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AS FILED WITH THE SECURITIES AND EXCHANGE COMMISSION ON JUNE 10, 1998</w:t>
      </w:r>
    </w:p>
    <w:p>
      <w:pPr>
        <w:spacing w:after="0" w:line="378" w:lineRule="exact"/>
        <w:rPr>
          <w:sz w:val="24"/>
          <w:szCs w:val="24"/>
          <w:color w:val="auto"/>
        </w:rPr>
      </w:pPr>
    </w:p>
    <w:p>
      <w:pPr>
        <w:ind w:left="5241"/>
        <w:spacing w:after="0"/>
        <w:rPr>
          <w:sz w:val="20"/>
          <w:szCs w:val="20"/>
          <w:color w:val="auto"/>
        </w:rPr>
      </w:pPr>
      <w:r>
        <w:rPr>
          <w:rFonts w:ascii="Courier New" w:cs="Courier New" w:eastAsia="Courier New" w:hAnsi="Courier New"/>
          <w:sz w:val="16"/>
          <w:szCs w:val="16"/>
          <w:color w:val="auto"/>
        </w:rPr>
        <w:t>REGISTRATION NO. 333-52197</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5"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3101"/>
        <w:spacing w:after="0"/>
        <w:rPr>
          <w:sz w:val="20"/>
          <w:szCs w:val="20"/>
          <w:color w:val="auto"/>
        </w:rPr>
      </w:pPr>
      <w:r>
        <w:rPr>
          <w:rFonts w:ascii="Courier New" w:cs="Courier New" w:eastAsia="Courier New" w:hAnsi="Courier New"/>
          <w:sz w:val="16"/>
          <w:szCs w:val="16"/>
          <w:color w:val="auto"/>
        </w:rPr>
        <w:t>AMENDMENT NO. 2</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TO</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FORM S-3</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REGISTRATION STATEMENT UNDER THE</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ACT OF 1933</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USA WASTE SERVICES, INC.</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41" w:orient="portrait"/>
          <w:cols w:equalWidth="0" w:num="1">
            <w:col w:w="10220"/>
          </w:cols>
          <w:pgMar w:left="239" w:top="614" w:right="1440" w:bottom="0" w:gutter="0" w:footer="0" w:header="0"/>
        </w:sectPr>
      </w:pPr>
    </w:p>
    <w:p>
      <w:pPr>
        <w:spacing w:after="0" w:line="200" w:lineRule="exact"/>
        <w:rPr>
          <w:sz w:val="24"/>
          <w:szCs w:val="24"/>
          <w:color w:val="auto"/>
        </w:rPr>
      </w:pPr>
    </w:p>
    <w:p>
      <w:pPr>
        <w:spacing w:after="0" w:line="364" w:lineRule="exact"/>
        <w:rPr>
          <w:sz w:val="24"/>
          <w:szCs w:val="24"/>
          <w:color w:val="auto"/>
        </w:rPr>
      </w:pPr>
    </w:p>
    <w:p>
      <w:pPr>
        <w:ind w:left="1841"/>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781"/>
        <w:spacing w:after="0"/>
        <w:rPr>
          <w:sz w:val="20"/>
          <w:szCs w:val="20"/>
          <w:color w:val="auto"/>
        </w:rPr>
      </w:pPr>
      <w:r>
        <w:rPr>
          <w:rFonts w:ascii="Courier New" w:cs="Courier New" w:eastAsia="Courier New" w:hAnsi="Courier New"/>
          <w:sz w:val="16"/>
          <w:szCs w:val="16"/>
          <w:color w:val="auto"/>
        </w:rPr>
        <w:t>(State or other jurisdiction of</w:t>
      </w:r>
    </w:p>
    <w:p>
      <w:pPr>
        <w:spacing w:after="0" w:line="5" w:lineRule="exact"/>
        <w:rPr>
          <w:sz w:val="24"/>
          <w:szCs w:val="24"/>
          <w:color w:val="auto"/>
        </w:rPr>
      </w:pPr>
    </w:p>
    <w:p>
      <w:pPr>
        <w:ind w:left="781"/>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jc w:val="center"/>
        <w:ind w:right="1499"/>
        <w:spacing w:after="0"/>
        <w:rPr>
          <w:sz w:val="20"/>
          <w:szCs w:val="20"/>
          <w:color w:val="auto"/>
        </w:rPr>
      </w:pPr>
      <w:r>
        <w:rPr>
          <w:rFonts w:ascii="Courier New" w:cs="Courier New" w:eastAsia="Courier New" w:hAnsi="Courier New"/>
          <w:sz w:val="16"/>
          <w:szCs w:val="16"/>
          <w:color w:val="auto"/>
        </w:rPr>
        <w:t>73-1309529</w:t>
      </w:r>
    </w:p>
    <w:p>
      <w:pPr>
        <w:spacing w:after="0" w:line="5" w:lineRule="exact"/>
        <w:rPr>
          <w:sz w:val="24"/>
          <w:szCs w:val="24"/>
          <w:color w:val="auto"/>
        </w:rPr>
      </w:pPr>
    </w:p>
    <w:p>
      <w:pPr>
        <w:jc w:val="center"/>
        <w:ind w:right="1499"/>
        <w:spacing w:after="0"/>
        <w:rPr>
          <w:sz w:val="20"/>
          <w:szCs w:val="20"/>
          <w:color w:val="auto"/>
        </w:rPr>
      </w:pPr>
      <w:r>
        <w:rPr>
          <w:rFonts w:ascii="Courier New" w:cs="Courier New" w:eastAsia="Courier New" w:hAnsi="Courier New"/>
          <w:sz w:val="16"/>
          <w:szCs w:val="16"/>
          <w:color w:val="auto"/>
        </w:rPr>
        <w:t>(I.R.S. Employer Identification No.)</w:t>
      </w:r>
    </w:p>
    <w:p>
      <w:pPr>
        <w:spacing w:after="0" w:line="386" w:lineRule="exact"/>
        <w:rPr>
          <w:sz w:val="24"/>
          <w:szCs w:val="24"/>
          <w:color w:val="auto"/>
        </w:rPr>
      </w:pPr>
    </w:p>
    <w:p>
      <w:pPr>
        <w:sectPr>
          <w:pgSz w:w="11900" w:h="16841" w:orient="portrait"/>
          <w:cols w:equalWidth="0" w:num="2">
            <w:col w:w="4521" w:space="720"/>
            <w:col w:w="4979"/>
          </w:cols>
          <w:pgMar w:left="239" w:top="614" w:right="1440" w:bottom="0" w:gutter="0" w:footer="0" w:header="0"/>
          <w:type w:val="continuous"/>
        </w:sectPr>
      </w:pPr>
    </w:p>
    <w:p>
      <w:pPr>
        <w:spacing w:after="0" w:line="178"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1001 FANNIN STREET, SUITE 4000</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HOUSTON, TEXAS 77002</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(713) 512-6200</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(Address, including zip code, and telephone number,</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including area code, of Registrant's principal executive offices)</w:t>
      </w:r>
    </w:p>
    <w:p>
      <w:pPr>
        <w:spacing w:after="0" w:line="191"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GREGORY T. SANGALIS</w:t>
      </w:r>
    </w:p>
    <w:p>
      <w:pPr>
        <w:spacing w:after="0" w:line="5" w:lineRule="exact"/>
        <w:rPr>
          <w:sz w:val="24"/>
          <w:szCs w:val="24"/>
          <w:color w:val="auto"/>
        </w:rPr>
      </w:pPr>
    </w:p>
    <w:p>
      <w:pPr>
        <w:ind w:left="1641"/>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5" w:lineRule="exact"/>
        <w:rPr>
          <w:sz w:val="24"/>
          <w:szCs w:val="24"/>
          <w:color w:val="auto"/>
        </w:rPr>
      </w:pPr>
    </w:p>
    <w:p>
      <w:pPr>
        <w:ind w:left="2421"/>
        <w:spacing w:after="0"/>
        <w:rPr>
          <w:sz w:val="20"/>
          <w:szCs w:val="20"/>
          <w:color w:val="auto"/>
        </w:rPr>
      </w:pPr>
      <w:r>
        <w:rPr>
          <w:rFonts w:ascii="Courier New" w:cs="Courier New" w:eastAsia="Courier New" w:hAnsi="Courier New"/>
          <w:sz w:val="16"/>
          <w:szCs w:val="16"/>
          <w:color w:val="auto"/>
        </w:rPr>
        <w:t>1001 FANNIN STREET, SUITE 4000</w:t>
      </w:r>
    </w:p>
    <w:p>
      <w:pPr>
        <w:spacing w:after="0" w:line="5"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HOUSTON, TEXAS 77002</w:t>
      </w:r>
    </w:p>
    <w:p>
      <w:pPr>
        <w:spacing w:after="0" w:line="5"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(713) 512-6200</w:t>
      </w:r>
    </w:p>
    <w:p>
      <w:pPr>
        <w:spacing w:after="0" w:line="5" w:lineRule="exact"/>
        <w:rPr>
          <w:sz w:val="24"/>
          <w:szCs w:val="24"/>
          <w:color w:val="auto"/>
        </w:rPr>
      </w:pPr>
    </w:p>
    <w:p>
      <w:pPr>
        <w:ind w:left="1841" w:right="3639" w:hanging="774"/>
        <w:spacing w:after="0" w:line="248"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w:t>
      </w:r>
    </w:p>
    <w:p>
      <w:pPr>
        <w:spacing w:after="0" w:line="184" w:lineRule="exact"/>
        <w:rPr>
          <w:sz w:val="24"/>
          <w:szCs w:val="24"/>
          <w:color w:val="auto"/>
        </w:rPr>
      </w:pPr>
    </w:p>
    <w:p>
      <w:pPr>
        <w:ind w:left="3401"/>
        <w:spacing w:after="0"/>
        <w:rPr>
          <w:sz w:val="20"/>
          <w:szCs w:val="20"/>
          <w:color w:val="auto"/>
        </w:rPr>
      </w:pPr>
      <w:r>
        <w:rPr>
          <w:rFonts w:ascii="Courier New" w:cs="Courier New" w:eastAsia="Courier New" w:hAnsi="Courier New"/>
          <w:sz w:val="16"/>
          <w:szCs w:val="16"/>
          <w:color w:val="auto"/>
        </w:rPr>
        <w:t>COPIES TO:</w:t>
      </w:r>
    </w:p>
    <w:p>
      <w:pPr>
        <w:spacing w:after="0" w:line="200" w:lineRule="exact"/>
        <w:rPr>
          <w:sz w:val="24"/>
          <w:szCs w:val="24"/>
          <w:color w:val="auto"/>
        </w:rPr>
      </w:pPr>
    </w:p>
    <w:p>
      <w:pPr>
        <w:spacing w:after="0" w:line="364" w:lineRule="exact"/>
        <w:rPr>
          <w:sz w:val="24"/>
          <w:szCs w:val="24"/>
          <w:color w:val="auto"/>
        </w:rPr>
      </w:pPr>
    </w:p>
    <w:tbl>
      <w:tblPr>
        <w:tblLayout w:type="fixed"/>
        <w:tblInd w:w="101" w:type="dxa"/>
        <w:tblCellMar>
          <w:top w:w="0" w:type="dxa"/>
          <w:left w:w="0" w:type="dxa"/>
          <w:bottom w:w="0" w:type="dxa"/>
          <w:right w:w="0" w:type="dxa"/>
        </w:tblCellMar>
      </w:tblPr>
      <w:tr>
        <w:trPr>
          <w:trHeight w:val="183"/>
        </w:trPr>
        <w:tc>
          <w:tcPr>
            <w:tcW w:w="4880" w:type="dxa"/>
            <w:vAlign w:val="bottom"/>
            <w:gridSpan w:val="2"/>
          </w:tcPr>
          <w:p>
            <w:pPr>
              <w:jc w:val="right"/>
              <w:ind w:right="1899"/>
              <w:spacing w:after="0"/>
              <w:rPr>
                <w:sz w:val="20"/>
                <w:szCs w:val="20"/>
                <w:color w:val="auto"/>
              </w:rPr>
            </w:pPr>
            <w:r>
              <w:rPr>
                <w:rFonts w:ascii="Courier New" w:cs="Courier New" w:eastAsia="Courier New" w:hAnsi="Courier New"/>
                <w:sz w:val="16"/>
                <w:szCs w:val="16"/>
                <w:color w:val="auto"/>
              </w:rPr>
              <w:t>MARCUS A. WATTS</w:t>
            </w:r>
          </w:p>
        </w:tc>
        <w:tc>
          <w:tcPr>
            <w:tcW w:w="3360" w:type="dxa"/>
            <w:vAlign w:val="bottom"/>
          </w:tcPr>
          <w:p>
            <w:pPr>
              <w:jc w:val="center"/>
              <w:ind w:left="659"/>
              <w:spacing w:after="0"/>
              <w:rPr>
                <w:sz w:val="20"/>
                <w:szCs w:val="20"/>
                <w:color w:val="auto"/>
              </w:rPr>
            </w:pPr>
            <w:r>
              <w:rPr>
                <w:rFonts w:ascii="Courier New" w:cs="Courier New" w:eastAsia="Courier New" w:hAnsi="Courier New"/>
                <w:sz w:val="16"/>
                <w:szCs w:val="16"/>
                <w:color w:val="auto"/>
              </w:rPr>
              <w:t>THOMAS JAMES MURPHY, P.C.</w:t>
            </w:r>
          </w:p>
        </w:tc>
      </w:tr>
      <w:tr>
        <w:trPr>
          <w:trHeight w:val="186"/>
        </w:trPr>
        <w:tc>
          <w:tcPr>
            <w:tcW w:w="48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LIDDELL, SAPP, ZIVLEY, HILL &amp; LABOON, L.L.P.</w:t>
            </w:r>
          </w:p>
        </w:tc>
        <w:tc>
          <w:tcPr>
            <w:tcW w:w="3360" w:type="dxa"/>
            <w:vAlign w:val="bottom"/>
          </w:tcPr>
          <w:p>
            <w:pPr>
              <w:jc w:val="center"/>
              <w:ind w:left="659"/>
              <w:spacing w:after="0"/>
              <w:rPr>
                <w:sz w:val="20"/>
                <w:szCs w:val="20"/>
                <w:color w:val="auto"/>
              </w:rPr>
            </w:pPr>
            <w:r>
              <w:rPr>
                <w:rFonts w:ascii="Courier New" w:cs="Courier New" w:eastAsia="Courier New" w:hAnsi="Courier New"/>
                <w:sz w:val="16"/>
                <w:szCs w:val="16"/>
                <w:color w:val="auto"/>
              </w:rPr>
              <w:t>MCDERMOTT, WILL &amp; EMERY</w:t>
            </w:r>
          </w:p>
        </w:tc>
      </w:tr>
      <w:tr>
        <w:trPr>
          <w:trHeight w:val="186"/>
        </w:trPr>
        <w:tc>
          <w:tcPr>
            <w:tcW w:w="4880" w:type="dxa"/>
            <w:vAlign w:val="bottom"/>
            <w:gridSpan w:val="2"/>
          </w:tcPr>
          <w:p>
            <w:pPr>
              <w:jc w:val="right"/>
              <w:ind w:right="1899"/>
              <w:spacing w:after="0"/>
              <w:rPr>
                <w:sz w:val="20"/>
                <w:szCs w:val="20"/>
                <w:color w:val="auto"/>
              </w:rPr>
            </w:pPr>
            <w:r>
              <w:rPr>
                <w:rFonts w:ascii="Courier New" w:cs="Courier New" w:eastAsia="Courier New" w:hAnsi="Courier New"/>
                <w:sz w:val="16"/>
                <w:szCs w:val="16"/>
                <w:color w:val="auto"/>
              </w:rPr>
              <w:t>3400 CHASE TOWER</w:t>
            </w:r>
          </w:p>
        </w:tc>
        <w:tc>
          <w:tcPr>
            <w:tcW w:w="3360" w:type="dxa"/>
            <w:vAlign w:val="bottom"/>
          </w:tcPr>
          <w:p>
            <w:pPr>
              <w:jc w:val="center"/>
              <w:ind w:left="559"/>
              <w:spacing w:after="0"/>
              <w:rPr>
                <w:sz w:val="20"/>
                <w:szCs w:val="20"/>
                <w:color w:val="auto"/>
              </w:rPr>
            </w:pPr>
            <w:r>
              <w:rPr>
                <w:rFonts w:ascii="Courier New" w:cs="Courier New" w:eastAsia="Courier New" w:hAnsi="Courier New"/>
                <w:sz w:val="16"/>
                <w:szCs w:val="16"/>
                <w:color w:val="auto"/>
              </w:rPr>
              <w:t>227 WEST MONROE STREET</w:t>
            </w:r>
          </w:p>
        </w:tc>
      </w:tr>
      <w:tr>
        <w:trPr>
          <w:trHeight w:val="186"/>
        </w:trPr>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HOUSTON,</w:t>
            </w:r>
          </w:p>
        </w:tc>
        <w:tc>
          <w:tcPr>
            <w:tcW w:w="2900" w:type="dxa"/>
            <w:vAlign w:val="bottom"/>
          </w:tcPr>
          <w:p>
            <w:pPr>
              <w:ind w:left="60"/>
              <w:spacing w:after="0"/>
              <w:rPr>
                <w:sz w:val="20"/>
                <w:szCs w:val="20"/>
                <w:color w:val="auto"/>
              </w:rPr>
            </w:pPr>
            <w:r>
              <w:rPr>
                <w:rFonts w:ascii="Courier New" w:cs="Courier New" w:eastAsia="Courier New" w:hAnsi="Courier New"/>
                <w:sz w:val="16"/>
                <w:szCs w:val="16"/>
                <w:color w:val="auto"/>
              </w:rPr>
              <w:t>TEXAS 77002</w:t>
            </w:r>
          </w:p>
        </w:tc>
        <w:tc>
          <w:tcPr>
            <w:tcW w:w="3360" w:type="dxa"/>
            <w:vAlign w:val="bottom"/>
          </w:tcPr>
          <w:p>
            <w:pPr>
              <w:jc w:val="center"/>
              <w:ind w:left="559"/>
              <w:spacing w:after="0"/>
              <w:rPr>
                <w:sz w:val="20"/>
                <w:szCs w:val="20"/>
                <w:color w:val="auto"/>
              </w:rPr>
            </w:pPr>
            <w:r>
              <w:rPr>
                <w:rFonts w:ascii="Courier New" w:cs="Courier New" w:eastAsia="Courier New" w:hAnsi="Courier New"/>
                <w:sz w:val="16"/>
                <w:szCs w:val="16"/>
                <w:color w:val="auto"/>
              </w:rPr>
              <w:t>CHICAGO, ILLINOIS 60606-5096</w:t>
            </w:r>
          </w:p>
        </w:tc>
      </w:tr>
      <w:tr>
        <w:trPr>
          <w:trHeight w:val="186"/>
        </w:trPr>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(713)</w:t>
            </w:r>
          </w:p>
        </w:tc>
        <w:tc>
          <w:tcPr>
            <w:tcW w:w="2900" w:type="dxa"/>
            <w:vAlign w:val="bottom"/>
          </w:tcPr>
          <w:p>
            <w:pPr>
              <w:ind w:left="60"/>
              <w:spacing w:after="0"/>
              <w:rPr>
                <w:sz w:val="20"/>
                <w:szCs w:val="20"/>
                <w:color w:val="auto"/>
              </w:rPr>
            </w:pPr>
            <w:r>
              <w:rPr>
                <w:rFonts w:ascii="Courier New" w:cs="Courier New" w:eastAsia="Courier New" w:hAnsi="Courier New"/>
                <w:sz w:val="16"/>
                <w:szCs w:val="16"/>
                <w:color w:val="auto"/>
              </w:rPr>
              <w:t>226-1200</w:t>
            </w:r>
          </w:p>
        </w:tc>
        <w:tc>
          <w:tcPr>
            <w:tcW w:w="3360" w:type="dxa"/>
            <w:vAlign w:val="bottom"/>
          </w:tcPr>
          <w:p>
            <w:pPr>
              <w:jc w:val="center"/>
              <w:ind w:left="559"/>
              <w:spacing w:after="0"/>
              <w:rPr>
                <w:sz w:val="20"/>
                <w:szCs w:val="20"/>
                <w:color w:val="auto"/>
              </w:rPr>
            </w:pPr>
            <w:r>
              <w:rPr>
                <w:rFonts w:ascii="Courier New" w:cs="Courier New" w:eastAsia="Courier New" w:hAnsi="Courier New"/>
                <w:sz w:val="16"/>
                <w:szCs w:val="16"/>
                <w:color w:val="auto"/>
              </w:rPr>
              <w:t>(312) 372-2000</w:t>
            </w:r>
          </w:p>
        </w:tc>
      </w:tr>
    </w:tbl>
    <w:p>
      <w:pPr>
        <w:spacing w:after="0" w:line="377"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APPROXIMATE DATE OF COMMENCEMENT OF PROPOSED SALE TO THE PUBLIC:</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From time to time after this Registration Statement becomes effective.</w:t>
      </w:r>
    </w:p>
    <w:p>
      <w:pPr>
        <w:spacing w:after="0" w:line="5"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86" w:lineRule="exact"/>
        <w:rPr>
          <w:sz w:val="24"/>
          <w:szCs w:val="24"/>
          <w:color w:val="auto"/>
        </w:rPr>
      </w:pPr>
    </w:p>
    <w:p>
      <w:pPr>
        <w:ind w:left="1" w:right="2459" w:firstLine="388"/>
        <w:spacing w:after="0" w:line="247" w:lineRule="auto"/>
        <w:rPr>
          <w:sz w:val="20"/>
          <w:szCs w:val="20"/>
          <w:color w:val="auto"/>
        </w:rPr>
      </w:pPr>
      <w:r>
        <w:rPr>
          <w:rFonts w:ascii="Courier New" w:cs="Courier New" w:eastAsia="Courier New" w:hAnsi="Courier New"/>
          <w:sz w:val="16"/>
          <w:szCs w:val="16"/>
          <w:color w:val="auto"/>
        </w:rPr>
        <w:t>If any of the securities being registered on this Form are being offered on a delayed or continuous basis pursuant to Rule 415 under the Securities Act of 1933, other than securities offered only in connection with dividend or interest reinvestment plans, check the following box. /X/</w:t>
      </w:r>
    </w:p>
    <w:p>
      <w:pPr>
        <w:spacing w:after="0" w:line="186" w:lineRule="exact"/>
        <w:rPr>
          <w:sz w:val="24"/>
          <w:szCs w:val="24"/>
          <w:color w:val="auto"/>
        </w:rPr>
      </w:pPr>
    </w:p>
    <w:p>
      <w:pPr>
        <w:ind w:left="1" w:right="2459" w:firstLine="388"/>
        <w:spacing w:after="0" w:line="24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6" w:lineRule="exact"/>
        <w:rPr>
          <w:sz w:val="24"/>
          <w:szCs w:val="24"/>
          <w:color w:val="auto"/>
        </w:rPr>
      </w:pPr>
    </w:p>
    <w:p>
      <w:pPr>
        <w:jc w:val="both"/>
        <w:ind w:left="1" w:right="2759" w:firstLine="388"/>
        <w:spacing w:after="0" w:line="24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6" w:lineRule="exact"/>
        <w:rPr>
          <w:sz w:val="24"/>
          <w:szCs w:val="24"/>
          <w:color w:val="auto"/>
        </w:rPr>
      </w:pPr>
    </w:p>
    <w:p>
      <w:pPr>
        <w:ind w:left="1" w:right="2659" w:firstLine="388"/>
        <w:spacing w:after="0" w:line="248"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pacing w:after="0" w:line="184" w:lineRule="exact"/>
        <w:rPr>
          <w:sz w:val="24"/>
          <w:szCs w:val="24"/>
          <w:color w:val="auto"/>
        </w:rPr>
      </w:pPr>
    </w:p>
    <w:p>
      <w:pPr>
        <w:ind w:left="1" w:right="2459" w:firstLine="388"/>
        <w:spacing w:after="0" w:line="247"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w:t>
      </w:r>
    </w:p>
    <w:p>
      <w:pPr>
        <w:sectPr>
          <w:pgSz w:w="11900" w:h="16841" w:orient="portrait"/>
          <w:cols w:equalWidth="0" w:num="1">
            <w:col w:w="10220"/>
          </w:cols>
          <w:pgMar w:left="239" w:top="614" w:right="1440" w:bottom="0" w:gutter="0" w:footer="0" w:header="0"/>
          <w:type w:val="continuous"/>
        </w:sectPr>
      </w:pPr>
    </w:p>
    <w:bookmarkStart w:id="1" w:name="page2"/>
    <w:bookmarkEnd w:id="1"/>
    <w:p>
      <w:pPr>
        <w:ind w:left="1" w:right="2659"/>
        <w:spacing w:after="0" w:line="247" w:lineRule="auto"/>
        <w:rPr>
          <w:sz w:val="20"/>
          <w:szCs w:val="20"/>
          <w:color w:val="auto"/>
        </w:rPr>
      </w:pPr>
      <w:r>
        <w:rPr>
          <w:rFonts w:ascii="Courier New" w:cs="Courier New" w:eastAsia="Courier New" w:hAnsi="Courier New"/>
          <w:sz w:val="16"/>
          <w:szCs w:val="16"/>
          <w:color w:val="auto"/>
        </w:rPr>
        <w:t>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186" w:lineRule="exact"/>
        <w:rPr>
          <w:sz w:val="20"/>
          <w:szCs w:val="20"/>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142" w:right="1440" w:bottom="1440" w:gutter="0" w:footer="0" w:header="0"/>
        </w:sectPr>
      </w:pPr>
    </w:p>
    <w:bookmarkStart w:id="2" w:name="page3"/>
    <w:bookmarkEnd w:id="2"/>
    <w:p>
      <w:pPr>
        <w:ind w:left="1840"/>
        <w:spacing w:after="0"/>
        <w:rPr>
          <w:sz w:val="20"/>
          <w:szCs w:val="20"/>
          <w:color w:val="auto"/>
        </w:rPr>
      </w:pPr>
      <w:r>
        <w:rPr>
          <w:rFonts w:ascii="Courier New" w:cs="Courier New" w:eastAsia="Courier New" w:hAnsi="Courier New"/>
          <w:sz w:val="16"/>
          <w:szCs w:val="16"/>
          <w:color w:val="auto"/>
        </w:rPr>
        <w:t>SUBJECT TO COMPLETION DATED JUNE 10, 1998</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USA WASTE SERVICES, INC.</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DEBT SECURITIES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COMMON STOCK</w:t>
      </w:r>
    </w:p>
    <w:p>
      <w:pPr>
        <w:spacing w:after="0" w:line="191" w:lineRule="exact"/>
        <w:rPr>
          <w:sz w:val="20"/>
          <w:szCs w:val="20"/>
          <w:color w:val="auto"/>
        </w:rPr>
      </w:pPr>
    </w:p>
    <w:p>
      <w:pPr>
        <w:ind w:right="2659" w:firstLine="388"/>
        <w:spacing w:after="0" w:line="246" w:lineRule="auto"/>
        <w:rPr>
          <w:sz w:val="20"/>
          <w:szCs w:val="20"/>
          <w:color w:val="auto"/>
        </w:rPr>
      </w:pPr>
      <w:r>
        <w:rPr>
          <w:rFonts w:ascii="Courier New" w:cs="Courier New" w:eastAsia="Courier New" w:hAnsi="Courier New"/>
          <w:sz w:val="16"/>
          <w:szCs w:val="16"/>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$2,000,000,000 or, if applicable, the equivalent thereof in any other currency or currency unit. The Securities will be offered in amounts, at prices and on terms to be determined at the time of sale and set forth in a supplement to this Prospectus (a "Prospectus Supplement").</w:t>
      </w:r>
    </w:p>
    <w:p>
      <w:pPr>
        <w:spacing w:after="0" w:line="19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covenants or events of default that are in addition to or different from those described herein,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19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Debt Securities may be issued in registered form ("Registered Securities") or bearer form ("Bearer Securities")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185" w:lineRule="exact"/>
        <w:rPr>
          <w:sz w:val="20"/>
          <w:szCs w:val="20"/>
          <w:color w:val="auto"/>
        </w:rPr>
      </w:pPr>
    </w:p>
    <w:p>
      <w:pPr>
        <w:jc w:val="both"/>
        <w:ind w:right="2659" w:firstLine="388"/>
        <w:spacing w:after="0" w:line="246" w:lineRule="auto"/>
        <w:rPr>
          <w:sz w:val="20"/>
          <w:szCs w:val="20"/>
          <w:color w:val="auto"/>
        </w:rPr>
      </w:pPr>
      <w:r>
        <w:rPr>
          <w:rFonts w:ascii="Courier New" w:cs="Courier New" w:eastAsia="Courier New" w:hAnsi="Courier New"/>
          <w:sz w:val="16"/>
          <w:szCs w:val="16"/>
          <w:color w:val="auto"/>
        </w:rPr>
        <w:t>The Common Stock is traded on the New York Stock Exchange under the symbol "UW." Any Common Stock sold pursuant to a Prospectus Supplement will be listed on such exchange, subject to official notice of issuance.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 AND</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EXCHANGE COMMISSION OR ANY STATE SECURITIES COMMISSION NOR HAS THE</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SECURITIES AND EXCHANGE COMMISSION OR ANY STATE SECURITIES</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COMMISSION PASSED UPON THE ACCURACY OR ADEQUACY OF</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THIS PROSPECTUS. ANY REPRESENTATION TO THE</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CONTRARY IS A CRIMINAL OFFENSE.</w:t>
      </w:r>
    </w:p>
    <w:p>
      <w:pPr>
        <w:spacing w:after="0" w:line="191" w:lineRule="exact"/>
        <w:rPr>
          <w:sz w:val="20"/>
          <w:szCs w:val="20"/>
          <w:color w:val="auto"/>
        </w:rPr>
      </w:pPr>
    </w:p>
    <w:p>
      <w:pPr>
        <w:ind w:right="2459" w:firstLine="388"/>
        <w:spacing w:after="0" w:line="248" w:lineRule="auto"/>
        <w:rPr>
          <w:sz w:val="20"/>
          <w:szCs w:val="20"/>
          <w:color w:val="auto"/>
        </w:rPr>
      </w:pPr>
      <w:r>
        <w:rPr>
          <w:rFonts w:ascii="Courier New" w:cs="Courier New" w:eastAsia="Courier New" w:hAnsi="Courier New"/>
          <w:sz w:val="16"/>
          <w:szCs w:val="16"/>
          <w:color w:val="auto"/>
        </w:rPr>
        <w:t>This Prospectus may not be used to consummate sales of the Securities unless accompanied by a Prospectus Supplement.</w:t>
      </w:r>
    </w:p>
    <w:p>
      <w:pPr>
        <w:sectPr>
          <w:pgSz w:w="11900" w:h="16838" w:orient="portrait"/>
          <w:cols w:equalWidth="0" w:num="1">
            <w:col w:w="10219"/>
          </w:cols>
          <w:pgMar w:left="240" w:top="676" w:right="1440" w:bottom="1440" w:gutter="0" w:footer="0" w:header="0"/>
        </w:sectPr>
      </w:pPr>
    </w:p>
    <w:bookmarkStart w:id="3" w:name="page4"/>
    <w:bookmarkEnd w:id="3"/>
    <w:tbl>
      <w:tblPr>
        <w:tblLayout w:type="fixed"/>
        <w:tblInd w:w="440" w:type="dxa"/>
        <w:tblCellMar>
          <w:top w:w="0" w:type="dxa"/>
          <w:left w:w="0" w:type="dxa"/>
          <w:bottom w:w="0" w:type="dxa"/>
          <w:right w:w="0" w:type="dxa"/>
        </w:tblCellMar>
      </w:tblP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THE DATE OF THIS PROSPECTUS IS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1998.</w:t>
            </w:r>
          </w:p>
        </w:tc>
      </w:tr>
    </w:tbl>
    <w:p>
      <w:pPr>
        <w:sectPr>
          <w:pgSz w:w="11900" w:h="16838" w:orient="portrait"/>
          <w:cols w:equalWidth="0" w:num="1">
            <w:col w:w="9019"/>
          </w:cols>
          <w:pgMar w:left="1440" w:top="489" w:right="1440" w:bottom="1440" w:gutter="0" w:footer="0" w:header="0"/>
        </w:sectPr>
      </w:pPr>
    </w:p>
    <w:bookmarkStart w:id="4" w:name="page5"/>
    <w:bookmarkEnd w:id="4"/>
    <w:p>
      <w:pPr>
        <w:jc w:val="center"/>
        <w:ind w:right="2559"/>
        <w:spacing w:after="0"/>
        <w:rPr>
          <w:sz w:val="20"/>
          <w:szCs w:val="20"/>
          <w:color w:val="auto"/>
        </w:rPr>
      </w:pPr>
      <w:r>
        <w:rPr>
          <w:rFonts w:ascii="Courier New" w:cs="Courier New" w:eastAsia="Courier New" w:hAnsi="Courier New"/>
          <w:sz w:val="16"/>
          <w:szCs w:val="16"/>
          <w:color w:val="auto"/>
        </w:rPr>
        <w:t>AVAILABLE INFORMATION</w:t>
      </w:r>
    </w:p>
    <w:p>
      <w:pPr>
        <w:spacing w:after="0" w:line="191"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60661-2511 and New York Regional Office, Seven World Trade Center, Suite 1300, New York, New York 10048. Copies of such material can be obtained from the Public Reference Section of the Commission at 450 Fifth Street, N.W., Washington, D.C. 20549, at prescribed rates. The Commission maintains an Internet Web site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197"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in accordance with the rules and regulations of the Commission. Reference is hereby made to the Registration Statement and exhibits thereto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89" w:right="1440" w:bottom="1440" w:gutter="0" w:footer="0" w:header="0"/>
        </w:sectPr>
      </w:pPr>
    </w:p>
    <w:bookmarkStart w:id="5" w:name="page6"/>
    <w:bookmarkEnd w:id="5"/>
    <w:p>
      <w:pPr>
        <w:ind w:left="154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91" w:lineRule="exact"/>
        <w:rPr>
          <w:sz w:val="20"/>
          <w:szCs w:val="20"/>
          <w:color w:val="auto"/>
        </w:rPr>
      </w:pPr>
    </w:p>
    <w:p>
      <w:pPr>
        <w:ind w:right="2659" w:firstLine="388"/>
        <w:spacing w:after="0" w:line="247" w:lineRule="auto"/>
        <w:rPr>
          <w:sz w:val="20"/>
          <w:szCs w:val="20"/>
          <w:color w:val="auto"/>
        </w:rPr>
      </w:pPr>
      <w:r>
        <w:rPr>
          <w:rFonts w:ascii="Courier New" w:cs="Courier New" w:eastAsia="Courier New" w:hAnsi="Courier New"/>
          <w:sz w:val="16"/>
          <w:szCs w:val="16"/>
          <w:color w:val="auto"/>
        </w:rPr>
        <w:t>The following documents filed by the Company with the Commission under the Exchange Act (File No. 1-12154) are incorporated by reference in this Prospectus:</w:t>
      </w:r>
    </w:p>
    <w:p>
      <w:pPr>
        <w:spacing w:after="0" w:line="186" w:lineRule="exact"/>
        <w:rPr>
          <w:sz w:val="20"/>
          <w:szCs w:val="20"/>
          <w:color w:val="auto"/>
        </w:rPr>
      </w:pPr>
    </w:p>
    <w:p>
      <w:pPr>
        <w:ind w:left="680" w:right="2459" w:hanging="293"/>
        <w:spacing w:after="0" w:line="248" w:lineRule="auto"/>
        <w:tabs>
          <w:tab w:leader="none" w:pos="77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year ended December 31, 1997;</w:t>
      </w:r>
    </w:p>
    <w:p>
      <w:pPr>
        <w:spacing w:after="0" w:line="184" w:lineRule="exact"/>
        <w:rPr>
          <w:rFonts w:ascii="Courier New" w:cs="Courier New" w:eastAsia="Courier New" w:hAnsi="Courier New"/>
          <w:sz w:val="16"/>
          <w:szCs w:val="16"/>
          <w:color w:val="auto"/>
        </w:rPr>
      </w:pPr>
    </w:p>
    <w:p>
      <w:pPr>
        <w:ind w:left="780" w:hanging="393"/>
        <w:spacing w:after="0"/>
        <w:tabs>
          <w:tab w:leader="none" w:pos="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 on Form 8-K dated March 10, 1998;</w:t>
      </w:r>
    </w:p>
    <w:p>
      <w:pPr>
        <w:spacing w:after="0" w:line="377" w:lineRule="exact"/>
        <w:rPr>
          <w:rFonts w:ascii="Courier New" w:cs="Courier New" w:eastAsia="Courier New" w:hAnsi="Courier New"/>
          <w:sz w:val="16"/>
          <w:szCs w:val="16"/>
          <w:color w:val="auto"/>
        </w:rPr>
      </w:pPr>
    </w:p>
    <w:p>
      <w:pPr>
        <w:ind w:left="680" w:right="2559" w:hanging="293"/>
        <w:spacing w:after="0" w:line="248" w:lineRule="auto"/>
        <w:tabs>
          <w:tab w:leader="none" w:pos="77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 ended March 31, 1998;</w:t>
      </w:r>
    </w:p>
    <w:p>
      <w:pPr>
        <w:spacing w:after="0" w:line="200" w:lineRule="exact"/>
        <w:rPr>
          <w:rFonts w:ascii="Courier New" w:cs="Courier New" w:eastAsia="Courier New" w:hAnsi="Courier New"/>
          <w:sz w:val="16"/>
          <w:szCs w:val="16"/>
          <w:color w:val="auto"/>
        </w:rPr>
      </w:pPr>
    </w:p>
    <w:p>
      <w:pPr>
        <w:spacing w:after="0" w:line="357" w:lineRule="exact"/>
        <w:rPr>
          <w:rFonts w:ascii="Courier New" w:cs="Courier New" w:eastAsia="Courier New" w:hAnsi="Courier New"/>
          <w:sz w:val="16"/>
          <w:szCs w:val="16"/>
          <w:color w:val="auto"/>
        </w:rPr>
      </w:pPr>
    </w:p>
    <w:p>
      <w:pPr>
        <w:jc w:val="both"/>
        <w:ind w:left="680" w:right="2459" w:hanging="293"/>
        <w:spacing w:after="0" w:line="247" w:lineRule="auto"/>
        <w:tabs>
          <w:tab w:leader="none" w:pos="77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Joint Proxy Statement and Prospectus, which is part of the Company's Registration Statement on Form S-4 (Registration No. 333-56113) filed on June 5, 1998; and</w:t>
      </w:r>
    </w:p>
    <w:p>
      <w:pPr>
        <w:spacing w:after="0" w:line="200" w:lineRule="exact"/>
        <w:rPr>
          <w:rFonts w:ascii="Courier New" w:cs="Courier New" w:eastAsia="Courier New" w:hAnsi="Courier New"/>
          <w:sz w:val="16"/>
          <w:szCs w:val="16"/>
          <w:color w:val="auto"/>
        </w:rPr>
      </w:pPr>
    </w:p>
    <w:p>
      <w:pPr>
        <w:spacing w:after="0" w:line="358" w:lineRule="exact"/>
        <w:rPr>
          <w:rFonts w:ascii="Courier New" w:cs="Courier New" w:eastAsia="Courier New" w:hAnsi="Courier New"/>
          <w:sz w:val="16"/>
          <w:szCs w:val="16"/>
          <w:color w:val="auto"/>
        </w:rPr>
      </w:pPr>
    </w:p>
    <w:p>
      <w:pPr>
        <w:ind w:left="680" w:right="2759" w:hanging="293"/>
        <w:spacing w:after="0" w:line="247" w:lineRule="auto"/>
        <w:tabs>
          <w:tab w:leader="none" w:pos="77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Common Stock contained in the Registration Statement on Form 8-A dated July 1, 1993, as amended by Form 8-B dated July 13, 1995.</w:t>
      </w:r>
    </w:p>
    <w:p>
      <w:pPr>
        <w:spacing w:after="0" w:line="372"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All documents filed by the Company pursuant to Section 13 (a),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9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First City Tower, 1001 Fannin Street, Suite 4000, Houston, Texas 77002, telephone number (713)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512-6200.</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9" w:right="1440" w:bottom="1440" w:gutter="0" w:footer="0" w:header="0"/>
        </w:sectPr>
      </w:pPr>
    </w:p>
    <w:bookmarkStart w:id="6" w:name="page7"/>
    <w:bookmarkEnd w:id="6"/>
    <w:p>
      <w:pPr>
        <w:ind w:left="3300"/>
        <w:spacing w:after="0"/>
        <w:rPr>
          <w:sz w:val="20"/>
          <w:szCs w:val="20"/>
          <w:color w:val="auto"/>
        </w:rPr>
      </w:pPr>
      <w:r>
        <w:rPr>
          <w:rFonts w:ascii="Courier New" w:cs="Courier New" w:eastAsia="Courier New" w:hAnsi="Courier New"/>
          <w:sz w:val="16"/>
          <w:szCs w:val="16"/>
          <w:color w:val="auto"/>
        </w:rPr>
        <w:t>THE COMPANY</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USA Waste is the third largest integrated nonhazardous solid waste management company in North America, as measured by revenues for the 1997 fiscal year, and currently serves the full spectrum of commercial, industrial, municipal and residential customers in 48 states, the District of Columbia, Canada and Puerto Rico. USA Waste's solid waste management services include collection, transfer and disposal operations and, to a lesser extent, recycling and certain other waste management services. At December 31, 1997, USA Waste owned or operated an extensive network of landfills, transfer stations and collection operations and had a diversified customer base in excess of seven million with no single customer accounting for more than 5% of USA Waste's operating revenues during 1997. USA Waste employed more than 17,700 people as of December 31, 1997. The principal executive offices of USA Waste are located at First City Tower, 1001 Fannin Street, Suite 4000, Houston, Texas 77002 and the telephone number is (713) 512-6200. The "Company" and "USA Waste" refer to USA Waste Services, Inc. and its subsidiaries and predecessors, unless otherwise indicated or the context requires otherwise.</w:t>
      </w:r>
    </w:p>
    <w:p>
      <w:pPr>
        <w:spacing w:after="0" w:line="19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RECENT DEVELOPMENTS</w:t>
      </w:r>
    </w:p>
    <w:p>
      <w:pPr>
        <w:spacing w:after="0" w:line="378"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On March 10, 1998, USA Waste entered into a definitive agreement and plan of merger pursuant to which a subsidiary of USA Waste will be merged with and into Waste Management, Inc. ("Waste Management"), and Waste Management will become a wholly owned subsidiary of USA Waste (the "Merger"). As of the effective time of the Merger, each outstanding share of Waste Management, other than shares held in Waste Management's treasury or owned by Waste Management, USA Waste or any wholly owned subsidiaries of either of them, will be converted into the right to receive 0.725 of a share of USA Waste Common Stock. Waste Management is a leading international provider of waste management and related services to governmental, residential, commercial and industrial customers in the United States and select international markets and had revenues in 1997 of approximately $9,188,582,000. This transaction, which is expected to close during 1998, is subject to regulatory approval and approval of the stockholders of the Company and Waste Management. It is anticipated that the Company will issue up to 380,625,000 shares of its common stock related to this transaction and that the Merger will be accounted for as a pooling of interests.</w:t>
      </w:r>
    </w:p>
    <w:p>
      <w:pPr>
        <w:spacing w:after="0" w:line="382"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As part of the Merger, the Company's Board of Directors will be increased to 14 members, seven of whom will be designated by each of Waste Management's Board of Directors and the Company's Board of Directors. Additionally, upon consummation of the Merger, it is expected that the Company will change its name to "Waste Management, Inc." ("New Waste Management"). The Corporate headquarters of New Waste Management will be located in Houston, Texas, and John E. Drury, the Company's Chairman of the Board and Chief Executive Officer, will remain as Chief Executive Officer. It is also expected that Rodney R. Proto, the Company's President and Chief Operating Officer, and Earl E. DeFrates, the Company's Executive Vice President and Chief Financial Officer, will retain such positions with New Waste Management.</w:t>
      </w:r>
    </w:p>
    <w:p>
      <w:pPr>
        <w:spacing w:after="0" w:line="19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USE OF PROCEEDS</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89" w:right="1440" w:bottom="1440" w:gutter="0" w:footer="0" w:header="0"/>
        </w:sectPr>
      </w:pPr>
    </w:p>
    <w:bookmarkStart w:id="7" w:name="page8"/>
    <w:bookmarkEnd w:id="7"/>
    <w:p>
      <w:pPr>
        <w:spacing w:after="0" w:line="59"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91" w:lineRule="exact"/>
        <w:rPr>
          <w:sz w:val="20"/>
          <w:szCs w:val="20"/>
          <w:color w:val="auto"/>
        </w:rPr>
      </w:pPr>
    </w:p>
    <w:p>
      <w:pPr>
        <w:ind w:right="3180" w:firstLine="388"/>
        <w:spacing w:after="0" w:line="248" w:lineRule="auto"/>
        <w:rPr>
          <w:sz w:val="20"/>
          <w:szCs w:val="20"/>
          <w:color w:val="auto"/>
        </w:rPr>
      </w:pPr>
      <w:r>
        <w:rPr>
          <w:rFonts w:ascii="Courier New" w:cs="Courier New" w:eastAsia="Courier New" w:hAnsi="Courier New"/>
          <w:sz w:val="16"/>
          <w:szCs w:val="16"/>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tcPr>
          <w:p>
            <w:pPr>
              <w:jc w:val="center"/>
              <w:ind w:left="39"/>
              <w:spacing w:after="0"/>
              <w:rPr>
                <w:sz w:val="20"/>
                <w:szCs w:val="20"/>
                <w:color w:val="auto"/>
              </w:rPr>
            </w:pPr>
            <w:r>
              <w:rPr>
                <w:rFonts w:ascii="Courier New" w:cs="Courier New" w:eastAsia="Courier New" w:hAnsi="Courier New"/>
                <w:sz w:val="16"/>
                <w:szCs w:val="16"/>
                <w:color w:val="auto"/>
              </w:rPr>
              <w:t>THREE MONTHS</w:t>
            </w:r>
          </w:p>
        </w:tc>
      </w:tr>
      <w:tr>
        <w:trPr>
          <w:trHeight w:val="186"/>
        </w:trPr>
        <w:tc>
          <w:tcPr>
            <w:tcW w:w="3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6"/>
                <w:szCs w:val="16"/>
                <w:color w:val="auto"/>
              </w:rPr>
              <w:t>ENDED</w:t>
            </w:r>
          </w:p>
        </w:tc>
      </w:tr>
      <w:tr>
        <w:trPr>
          <w:trHeight w:val="186"/>
        </w:trPr>
        <w:tc>
          <w:tcPr>
            <w:tcW w:w="3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00" w:type="dxa"/>
            <w:vAlign w:val="bottom"/>
            <w:gridSpan w:val="3"/>
          </w:tcPr>
          <w:p>
            <w:pPr>
              <w:jc w:val="right"/>
              <w:ind w:right="699"/>
              <w:spacing w:after="0"/>
              <w:rPr>
                <w:sz w:val="20"/>
                <w:szCs w:val="20"/>
                <w:color w:val="auto"/>
              </w:rPr>
            </w:pPr>
            <w:r>
              <w:rPr>
                <w:rFonts w:ascii="Courier New" w:cs="Courier New" w:eastAsia="Courier New" w:hAnsi="Courier New"/>
                <w:sz w:val="16"/>
                <w:szCs w:val="16"/>
                <w:color w:val="auto"/>
              </w:rPr>
              <w:t>YEAR ENDED DECEMBER 31,</w:t>
            </w:r>
          </w:p>
        </w:tc>
        <w:tc>
          <w:tcPr>
            <w:tcW w:w="106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6"/>
                <w:szCs w:val="16"/>
                <w:color w:val="auto"/>
                <w:w w:val="99"/>
              </w:rPr>
              <w:t>MARCH 31,</w:t>
            </w:r>
          </w:p>
        </w:tc>
      </w:tr>
      <w:tr>
        <w:trPr>
          <w:trHeight w:val="186"/>
        </w:trPr>
        <w:tc>
          <w:tcPr>
            <w:tcW w:w="3300" w:type="dxa"/>
            <w:vAlign w:val="bottom"/>
          </w:tcPr>
          <w:p>
            <w:pPr>
              <w:spacing w:after="0"/>
              <w:rPr>
                <w:sz w:val="16"/>
                <w:szCs w:val="16"/>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w:t>
            </w: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300" w:type="dxa"/>
            <w:vAlign w:val="bottom"/>
          </w:tcPr>
          <w:p>
            <w:pPr>
              <w:spacing w:after="0"/>
              <w:rPr>
                <w:sz w:val="16"/>
                <w:szCs w:val="16"/>
                <w:color w:val="auto"/>
              </w:rPr>
            </w:pPr>
          </w:p>
        </w:tc>
        <w:tc>
          <w:tcPr>
            <w:tcW w:w="1440" w:type="dxa"/>
            <w:vAlign w:val="bottom"/>
          </w:tcPr>
          <w:p>
            <w:pPr>
              <w:jc w:val="right"/>
              <w:ind w:right="608"/>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1994</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1995</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1996</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1997</w:t>
            </w:r>
          </w:p>
        </w:tc>
        <w:tc>
          <w:tcPr>
            <w:tcW w:w="1840" w:type="dxa"/>
            <w:vAlign w:val="bottom"/>
          </w:tcPr>
          <w:p>
            <w:pPr>
              <w:jc w:val="center"/>
              <w:ind w:left="3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3300" w:type="dxa"/>
            <w:vAlign w:val="bottom"/>
          </w:tcPr>
          <w:p>
            <w:pPr>
              <w:spacing w:after="0"/>
              <w:rPr>
                <w:sz w:val="16"/>
                <w:szCs w:val="16"/>
                <w:color w:val="auto"/>
              </w:rPr>
            </w:pPr>
          </w:p>
        </w:tc>
        <w:tc>
          <w:tcPr>
            <w:tcW w:w="1440" w:type="dxa"/>
            <w:vAlign w:val="bottom"/>
          </w:tcPr>
          <w:p>
            <w:pPr>
              <w:jc w:val="right"/>
              <w:ind w:right="60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9"/>
              </w:rPr>
              <w:t>-----</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300" w:type="dxa"/>
            <w:vAlign w:val="bottom"/>
          </w:tcPr>
          <w:p>
            <w:pPr>
              <w:spacing w:after="0"/>
              <w:rPr>
                <w:sz w:val="20"/>
                <w:szCs w:val="20"/>
                <w:color w:val="auto"/>
              </w:rPr>
            </w:pPr>
            <w:r>
              <w:rPr>
                <w:rFonts w:ascii="Courier New" w:cs="Courier New" w:eastAsia="Courier New" w:hAnsi="Courier New"/>
                <w:sz w:val="16"/>
                <w:szCs w:val="16"/>
                <w:color w:val="auto"/>
              </w:rPr>
              <w:t>Actual...........................</w:t>
            </w:r>
          </w:p>
        </w:tc>
        <w:tc>
          <w:tcPr>
            <w:tcW w:w="1440" w:type="dxa"/>
            <w:vAlign w:val="bottom"/>
          </w:tcPr>
          <w:p>
            <w:pPr>
              <w:jc w:val="right"/>
              <w:ind w:right="308"/>
              <w:spacing w:after="0"/>
              <w:rPr>
                <w:sz w:val="20"/>
                <w:szCs w:val="20"/>
                <w:color w:val="auto"/>
              </w:rPr>
            </w:pPr>
            <w:r>
              <w:rPr>
                <w:rFonts w:ascii="Courier New" w:cs="Courier New" w:eastAsia="Courier New" w:hAnsi="Courier New"/>
                <w:sz w:val="16"/>
                <w:szCs w:val="16"/>
                <w:color w:val="auto"/>
              </w:rPr>
              <w:t>1.9x</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1.1x</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2.4x</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2.3x</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4.1x</w:t>
            </w:r>
          </w:p>
        </w:tc>
        <w:tc>
          <w:tcPr>
            <w:tcW w:w="1840" w:type="dxa"/>
            <w:vAlign w:val="bottom"/>
          </w:tcPr>
          <w:p>
            <w:pPr>
              <w:ind w:left="1080"/>
              <w:spacing w:after="0"/>
              <w:rPr>
                <w:sz w:val="20"/>
                <w:szCs w:val="20"/>
                <w:color w:val="auto"/>
              </w:rPr>
            </w:pPr>
            <w:r>
              <w:rPr>
                <w:rFonts w:ascii="Courier New" w:cs="Courier New" w:eastAsia="Courier New" w:hAnsi="Courier New"/>
                <w:sz w:val="16"/>
                <w:szCs w:val="16"/>
                <w:color w:val="auto"/>
              </w:rPr>
              <w:t>5.0x</w:t>
            </w:r>
          </w:p>
        </w:tc>
      </w:tr>
    </w:tbl>
    <w:p>
      <w:pPr>
        <w:spacing w:after="0" w:line="200" w:lineRule="exact"/>
        <w:rPr>
          <w:sz w:val="20"/>
          <w:szCs w:val="20"/>
          <w:color w:val="auto"/>
        </w:rPr>
      </w:pPr>
    </w:p>
    <w:p>
      <w:pPr>
        <w:spacing w:after="0" w:line="363" w:lineRule="exact"/>
        <w:rPr>
          <w:sz w:val="20"/>
          <w:szCs w:val="20"/>
          <w:color w:val="auto"/>
        </w:rPr>
      </w:pPr>
    </w:p>
    <w:p>
      <w:pPr>
        <w:ind w:right="3180" w:firstLine="388"/>
        <w:spacing w:after="0" w:line="247" w:lineRule="auto"/>
        <w:rPr>
          <w:sz w:val="20"/>
          <w:szCs w:val="20"/>
          <w:color w:val="auto"/>
        </w:rPr>
      </w:pPr>
      <w:r>
        <w:rPr>
          <w:rFonts w:ascii="Courier New" w:cs="Courier New" w:eastAsia="Courier New" w:hAnsi="Courier New"/>
          <w:sz w:val="16"/>
          <w:szCs w:val="16"/>
          <w:color w:val="auto"/>
        </w:rPr>
        <w:t>The Company's consolidated ratios of earnings to fixed charges were computed by dividing earnings by fixed charges. For this purpose, earnings are the sum of income before taxes and extraordinary items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85" w:lineRule="exact"/>
        <w:rPr>
          <w:sz w:val="20"/>
          <w:szCs w:val="20"/>
          <w:color w:val="auto"/>
        </w:rPr>
      </w:pPr>
    </w:p>
    <w:p>
      <w:pPr>
        <w:ind w:right="3180" w:firstLine="388"/>
        <w:spacing w:after="0" w:line="247" w:lineRule="auto"/>
        <w:rPr>
          <w:sz w:val="20"/>
          <w:szCs w:val="20"/>
          <w:color w:val="auto"/>
        </w:rPr>
      </w:pPr>
      <w:r>
        <w:rPr>
          <w:rFonts w:ascii="Courier New" w:cs="Courier New" w:eastAsia="Courier New" w:hAnsi="Courier New"/>
          <w:sz w:val="16"/>
          <w:szCs w:val="16"/>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tcPr>
          <w:p>
            <w:pPr>
              <w:jc w:val="center"/>
              <w:ind w:left="39"/>
              <w:spacing w:after="0"/>
              <w:rPr>
                <w:sz w:val="20"/>
                <w:szCs w:val="20"/>
                <w:color w:val="auto"/>
              </w:rPr>
            </w:pPr>
            <w:r>
              <w:rPr>
                <w:rFonts w:ascii="Courier New" w:cs="Courier New" w:eastAsia="Courier New" w:hAnsi="Courier New"/>
                <w:sz w:val="16"/>
                <w:szCs w:val="16"/>
                <w:color w:val="auto"/>
              </w:rPr>
              <w:t>THREE MONTHS</w:t>
            </w:r>
          </w:p>
        </w:tc>
      </w:tr>
      <w:tr>
        <w:trPr>
          <w:trHeight w:val="186"/>
        </w:trPr>
        <w:tc>
          <w:tcPr>
            <w:tcW w:w="3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6"/>
                <w:szCs w:val="16"/>
                <w:color w:val="auto"/>
              </w:rPr>
              <w:t>ENDED</w:t>
            </w:r>
          </w:p>
        </w:tc>
      </w:tr>
      <w:tr>
        <w:trPr>
          <w:trHeight w:val="186"/>
        </w:trPr>
        <w:tc>
          <w:tcPr>
            <w:tcW w:w="3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00" w:type="dxa"/>
            <w:vAlign w:val="bottom"/>
            <w:gridSpan w:val="3"/>
          </w:tcPr>
          <w:p>
            <w:pPr>
              <w:jc w:val="right"/>
              <w:ind w:right="699"/>
              <w:spacing w:after="0"/>
              <w:rPr>
                <w:sz w:val="20"/>
                <w:szCs w:val="20"/>
                <w:color w:val="auto"/>
              </w:rPr>
            </w:pPr>
            <w:r>
              <w:rPr>
                <w:rFonts w:ascii="Courier New" w:cs="Courier New" w:eastAsia="Courier New" w:hAnsi="Courier New"/>
                <w:sz w:val="16"/>
                <w:szCs w:val="16"/>
                <w:color w:val="auto"/>
              </w:rPr>
              <w:t>YEAR ENDED DECEMBER 31,</w:t>
            </w:r>
          </w:p>
        </w:tc>
        <w:tc>
          <w:tcPr>
            <w:tcW w:w="106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6"/>
                <w:szCs w:val="16"/>
                <w:color w:val="auto"/>
                <w:w w:val="99"/>
              </w:rPr>
              <w:t>MARCH 31,</w:t>
            </w:r>
          </w:p>
        </w:tc>
      </w:tr>
      <w:tr>
        <w:trPr>
          <w:trHeight w:val="186"/>
        </w:trPr>
        <w:tc>
          <w:tcPr>
            <w:tcW w:w="3300" w:type="dxa"/>
            <w:vAlign w:val="bottom"/>
          </w:tcPr>
          <w:p>
            <w:pPr>
              <w:spacing w:after="0"/>
              <w:rPr>
                <w:sz w:val="16"/>
                <w:szCs w:val="16"/>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w:t>
            </w: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300" w:type="dxa"/>
            <w:vAlign w:val="bottom"/>
          </w:tcPr>
          <w:p>
            <w:pPr>
              <w:spacing w:after="0"/>
              <w:rPr>
                <w:sz w:val="16"/>
                <w:szCs w:val="16"/>
                <w:color w:val="auto"/>
              </w:rPr>
            </w:pPr>
          </w:p>
        </w:tc>
        <w:tc>
          <w:tcPr>
            <w:tcW w:w="1440" w:type="dxa"/>
            <w:vAlign w:val="bottom"/>
          </w:tcPr>
          <w:p>
            <w:pPr>
              <w:jc w:val="right"/>
              <w:ind w:right="608"/>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1994</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1995</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1996</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1997</w:t>
            </w:r>
          </w:p>
        </w:tc>
        <w:tc>
          <w:tcPr>
            <w:tcW w:w="1840" w:type="dxa"/>
            <w:vAlign w:val="bottom"/>
          </w:tcPr>
          <w:p>
            <w:pPr>
              <w:jc w:val="center"/>
              <w:ind w:left="3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3300" w:type="dxa"/>
            <w:vAlign w:val="bottom"/>
          </w:tcPr>
          <w:p>
            <w:pPr>
              <w:spacing w:after="0"/>
              <w:rPr>
                <w:sz w:val="16"/>
                <w:szCs w:val="16"/>
                <w:color w:val="auto"/>
              </w:rPr>
            </w:pPr>
          </w:p>
        </w:tc>
        <w:tc>
          <w:tcPr>
            <w:tcW w:w="1440" w:type="dxa"/>
            <w:vAlign w:val="bottom"/>
          </w:tcPr>
          <w:p>
            <w:pPr>
              <w:jc w:val="right"/>
              <w:ind w:right="60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9"/>
              </w:rPr>
              <w:t>-----</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300" w:type="dxa"/>
            <w:vAlign w:val="bottom"/>
          </w:tcPr>
          <w:p>
            <w:pPr>
              <w:spacing w:after="0"/>
              <w:rPr>
                <w:sz w:val="20"/>
                <w:szCs w:val="20"/>
                <w:color w:val="auto"/>
              </w:rPr>
            </w:pPr>
            <w:r>
              <w:rPr>
                <w:rFonts w:ascii="Courier New" w:cs="Courier New" w:eastAsia="Courier New" w:hAnsi="Courier New"/>
                <w:sz w:val="16"/>
                <w:szCs w:val="16"/>
                <w:color w:val="auto"/>
              </w:rPr>
              <w:t>Supplemental.....................</w:t>
            </w:r>
          </w:p>
        </w:tc>
        <w:tc>
          <w:tcPr>
            <w:tcW w:w="1440" w:type="dxa"/>
            <w:vAlign w:val="bottom"/>
          </w:tcPr>
          <w:p>
            <w:pPr>
              <w:jc w:val="right"/>
              <w:ind w:right="308"/>
              <w:spacing w:after="0"/>
              <w:rPr>
                <w:sz w:val="20"/>
                <w:szCs w:val="20"/>
                <w:color w:val="auto"/>
              </w:rPr>
            </w:pPr>
            <w:r>
              <w:rPr>
                <w:rFonts w:ascii="Courier New" w:cs="Courier New" w:eastAsia="Courier New" w:hAnsi="Courier New"/>
                <w:sz w:val="16"/>
                <w:szCs w:val="16"/>
                <w:color w:val="auto"/>
              </w:rPr>
              <w:t>2.0x</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2.4x</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3.2x</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4.5x</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5.1x</w:t>
            </w:r>
          </w:p>
        </w:tc>
        <w:tc>
          <w:tcPr>
            <w:tcW w:w="1840" w:type="dxa"/>
            <w:vAlign w:val="bottom"/>
          </w:tcPr>
          <w:p>
            <w:pPr>
              <w:ind w:left="1080"/>
              <w:spacing w:after="0"/>
              <w:rPr>
                <w:sz w:val="20"/>
                <w:szCs w:val="20"/>
                <w:color w:val="auto"/>
              </w:rPr>
            </w:pPr>
            <w:r>
              <w:rPr>
                <w:rFonts w:ascii="Courier New" w:cs="Courier New" w:eastAsia="Courier New" w:hAnsi="Courier New"/>
                <w:sz w:val="16"/>
                <w:szCs w:val="16"/>
                <w:color w:val="auto"/>
              </w:rPr>
              <w:t>5.0x</w:t>
            </w:r>
          </w:p>
        </w:tc>
      </w:tr>
    </w:tbl>
    <w:p>
      <w:pPr>
        <w:spacing w:after="0" w:line="200" w:lineRule="exact"/>
        <w:rPr>
          <w:sz w:val="20"/>
          <w:szCs w:val="20"/>
          <w:color w:val="auto"/>
        </w:rPr>
      </w:pPr>
    </w:p>
    <w:p>
      <w:pPr>
        <w:spacing w:after="0" w:line="363" w:lineRule="exact"/>
        <w:rPr>
          <w:sz w:val="20"/>
          <w:szCs w:val="20"/>
          <w:color w:val="auto"/>
        </w:rPr>
      </w:pPr>
    </w:p>
    <w:p>
      <w:pPr>
        <w:ind w:right="3180" w:firstLine="388"/>
        <w:spacing w:after="0" w:line="246" w:lineRule="auto"/>
        <w:rPr>
          <w:sz w:val="20"/>
          <w:szCs w:val="20"/>
          <w:color w:val="auto"/>
        </w:rPr>
      </w:pPr>
      <w:r>
        <w:rPr>
          <w:rFonts w:ascii="Courier New" w:cs="Courier New" w:eastAsia="Courier New" w:hAnsi="Courier New"/>
          <w:sz w:val="16"/>
          <w:szCs w:val="16"/>
          <w:color w:val="auto"/>
        </w:rPr>
        <w:t>Nonrecurring items in 1997 represent merger costs, primarily related to the Company's merger with United Waste Systems, Inc. in August 1997, and unusual items, primarily related to the closure of two transfer stations in Minnesota, estimated losses related to the closure and abandonment of two landfills in Massachusetts, and various other terminated projects. Nonrecurring items in 1996 represent merger costs, primarily related to mergers with Sanifill, Inc.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w:t>
      </w:r>
    </w:p>
    <w:p>
      <w:pPr>
        <w:spacing w:after="0" w:line="198"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DESCRIPTION OF DEBT SECURITIES</w:t>
      </w:r>
    </w:p>
    <w:p>
      <w:pPr>
        <w:spacing w:after="0" w:line="191" w:lineRule="exact"/>
        <w:rPr>
          <w:sz w:val="20"/>
          <w:szCs w:val="20"/>
          <w:color w:val="auto"/>
        </w:rPr>
      </w:pPr>
    </w:p>
    <w:p>
      <w:pPr>
        <w:ind w:right="3180" w:firstLine="388"/>
        <w:spacing w:after="0" w:line="246" w:lineRule="auto"/>
        <w:rPr>
          <w:sz w:val="20"/>
          <w:szCs w:val="20"/>
          <w:color w:val="auto"/>
        </w:rPr>
      </w:pPr>
      <w:r>
        <w:rPr>
          <w:rFonts w:ascii="Courier New" w:cs="Courier New" w:eastAsia="Courier New" w:hAnsi="Courier New"/>
          <w:sz w:val="16"/>
          <w:szCs w:val="16"/>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Texas Commerce Bank National Association, now known as Chase Bank of Texas, National Association ("Chase Bank"), and in the form that has been filed as an exhibit to the Registration Statement of which this Prospectus is a part, subject to such amendments or supplements as may be adopted from time to time. The Company has previously entered into a Senior Indenture dated as of September 10, 1997 with Chase Bank in the form filed as an exhibit to the Company's Current Report on Form 8-K (file no. 1-12154) filed with the Commission on September 24, 1997. The Company previously has entered into a Subordinated Indenture dated as of February 1, 1997</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97" w:orient="portrait"/>
          <w:cols w:equalWidth="0" w:num="1">
            <w:col w:w="10940"/>
          </w:cols>
          <w:pgMar w:left="240" w:top="489" w:right="719" w:bottom="0" w:gutter="0" w:footer="0" w:header="0"/>
        </w:sectPr>
      </w:pPr>
    </w:p>
    <w:bookmarkStart w:id="8" w:name="page9"/>
    <w:bookmarkEnd w:id="8"/>
    <w:p>
      <w:pPr>
        <w:ind w:left="1" w:right="2459"/>
        <w:spacing w:after="0" w:line="246" w:lineRule="auto"/>
        <w:rPr>
          <w:sz w:val="20"/>
          <w:szCs w:val="20"/>
          <w:color w:val="auto"/>
        </w:rPr>
      </w:pPr>
      <w:r>
        <w:rPr>
          <w:rFonts w:ascii="Courier New" w:cs="Courier New" w:eastAsia="Courier New" w:hAnsi="Courier New"/>
          <w:sz w:val="16"/>
          <w:szCs w:val="16"/>
          <w:color w:val="auto"/>
        </w:rPr>
        <w:t>with Chase Bank in the form filed as an exhibit to the Company's Current Report on Form 8-K (file no. 1-12154) filed with the Commission on February 7, 1997. The Senior Debt Indenture and the Subordinated Debt Indenture, as amended or supplemented from time to time, are sometimes hereinafter referred to individually as an "Indenture" and collectively as the "Indentures." Chase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197"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will be described therein.</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PROVISIONS APPLICABLE TO BOTH SENIOR AND SUBORDINATED DEBT SECURITIES</w:t>
      </w:r>
    </w:p>
    <w:p>
      <w:pPr>
        <w:spacing w:after="0" w:line="191"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other than as may be set forth in any Prospectus Supplement,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 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195"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Reference is made to the Prospectus Supplement for the following terms of and information relating to the Debt Securities (to the extent such terms are applicable to such Debt Securities): (i) the title of the Debt Securities; (ii) classification as either Senior Debt Securities or Subordinated Debt Securities;</w:t>
      </w:r>
    </w:p>
    <w:p>
      <w:pPr>
        <w:spacing w:after="0" w:line="2" w:lineRule="exact"/>
        <w:rPr>
          <w:sz w:val="20"/>
          <w:szCs w:val="20"/>
          <w:color w:val="auto"/>
        </w:rPr>
      </w:pPr>
    </w:p>
    <w:p>
      <w:pPr>
        <w:ind w:left="1" w:right="2459" w:hanging="1"/>
        <w:spacing w:after="0" w:line="246" w:lineRule="auto"/>
        <w:tabs>
          <w:tab w:leader="none" w:pos="5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Debt Securities; (v) whether the Debt Securities are to be issuable as Registered Securities or Bearer Securities or both, whether any of the Debt Securities are to be issuable initially in temporary global form and whether any of the Debt Securities are to be in permanent global form; (vi) the price or prices (expressed as a percentage of the aggregate principal amount thereof) at which the Debt Securities will be issued; (vii) the date or dates on which the Debt Securities will mature; (viii) the rate or rates per annum (or the method by which such will be determined) at which the Debt Securities will bear interest, if any, and the date from which any such interest will accrue; (ix) 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 (x) any mandatory or optional sinking fund or</w:t>
      </w:r>
    </w:p>
    <w:p>
      <w:pPr>
        <w:spacing w:after="0" w:line="199"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489" w:right="1440" w:bottom="1440" w:gutter="0" w:footer="0" w:header="0"/>
        </w:sectPr>
      </w:pPr>
    </w:p>
    <w:bookmarkStart w:id="9" w:name="page10"/>
    <w:bookmarkEnd w:id="9"/>
    <w:p>
      <w:pPr>
        <w:ind w:left="1" w:right="2459"/>
        <w:spacing w:after="0" w:line="246" w:lineRule="auto"/>
        <w:rPr>
          <w:sz w:val="20"/>
          <w:szCs w:val="20"/>
          <w:color w:val="auto"/>
        </w:rPr>
      </w:pPr>
      <w:r>
        <w:rPr>
          <w:rFonts w:ascii="Courier New" w:cs="Courier New" w:eastAsia="Courier New" w:hAnsi="Courier New"/>
          <w:sz w:val="16"/>
          <w:szCs w:val="16"/>
          <w:color w:val="auto"/>
        </w:rPr>
        <w:t>analogous provisions; (xi) 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 (xii) the right, if any, or obligation, if any, of the Company to redeem the Debt Securities at its option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w:t>
      </w:r>
    </w:p>
    <w:p>
      <w:pPr>
        <w:spacing w:after="0" w:line="6" w:lineRule="exact"/>
        <w:rPr>
          <w:sz w:val="20"/>
          <w:szCs w:val="20"/>
          <w:color w:val="auto"/>
        </w:rPr>
      </w:pPr>
    </w:p>
    <w:p>
      <w:pPr>
        <w:ind w:left="1" w:right="2459" w:hanging="1"/>
        <w:spacing w:after="0" w:line="246" w:lineRule="auto"/>
        <w:tabs>
          <w:tab w:leader="none" w:pos="67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 (xiv) the currency or currencies (including composite currencies) in which payment of principal of and any premium and interest on the Debt Securities is payable if other than United States dollars; (xv) any index used to determine the amount of payments of principal of and any premium and interest on the Debt Securities; (xvi) information with respect to book-entry procedures, if any; (xvii) any deletions from, modification of or additions to the Events of Default or covenants of the Company with respect to such Debt Securities; and (xviii) any other terms of the Debt Securities not inconsistent with the provisions of the Indentures. (Section 301) Any such Prospectus Supplement will also describe any special provisions for the payment of additional amounts with respect to the Debt Securities.</w:t>
      </w:r>
    </w:p>
    <w:p>
      <w:pPr>
        <w:spacing w:after="0" w:line="195" w:lineRule="exact"/>
        <w:rPr>
          <w:sz w:val="20"/>
          <w:szCs w:val="20"/>
          <w:color w:val="auto"/>
        </w:rPr>
      </w:pPr>
    </w:p>
    <w:p>
      <w:pPr>
        <w:ind w:left="1" w:right="2559" w:firstLine="388"/>
        <w:spacing w:after="0" w:line="246" w:lineRule="auto"/>
        <w:rPr>
          <w:sz w:val="20"/>
          <w:szCs w:val="20"/>
          <w:color w:val="auto"/>
        </w:rPr>
      </w:pPr>
      <w:r>
        <w:rPr>
          <w:rFonts w:ascii="Courier New" w:cs="Courier New" w:eastAsia="Courier New" w:hAnsi="Courier New"/>
          <w:sz w:val="16"/>
          <w:szCs w:val="16"/>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will be set forth in a Prospectus Supplement relating thereto.</w:t>
      </w:r>
    </w:p>
    <w:p>
      <w:pPr>
        <w:spacing w:after="0" w:line="194" w:lineRule="exact"/>
        <w:rPr>
          <w:sz w:val="20"/>
          <w:szCs w:val="20"/>
          <w:color w:val="auto"/>
        </w:rPr>
      </w:pPr>
    </w:p>
    <w:p>
      <w:pPr>
        <w:ind w:left="1" w:right="2459" w:firstLine="388"/>
        <w:spacing w:after="0" w:line="247" w:lineRule="auto"/>
        <w:rPr>
          <w:sz w:val="20"/>
          <w:szCs w:val="20"/>
          <w:color w:val="auto"/>
        </w:rPr>
      </w:pPr>
      <w:r>
        <w:rPr>
          <w:rFonts w:ascii="Courier New" w:cs="Courier New" w:eastAsia="Courier New" w:hAnsi="Courier New"/>
          <w:sz w:val="16"/>
          <w:szCs w:val="16"/>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The Indentures also provide that Debt Securities of a series may be issuable in temporary or permanent global form. (Section 201)</w:t>
      </w:r>
    </w:p>
    <w:p>
      <w:pPr>
        <w:spacing w:after="0" w:line="185"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19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489" w:right="1440" w:bottom="1440" w:gutter="0" w:footer="0" w:header="0"/>
        </w:sectPr>
      </w:pPr>
    </w:p>
    <w:bookmarkStart w:id="10" w:name="page11"/>
    <w:bookmarkEnd w:id="10"/>
    <w:p>
      <w:pPr>
        <w:ind w:left="1" w:right="2459" w:firstLine="388"/>
        <w:spacing w:after="0" w:line="246" w:lineRule="auto"/>
        <w:rPr>
          <w:sz w:val="20"/>
          <w:szCs w:val="20"/>
          <w:color w:val="auto"/>
        </w:rPr>
      </w:pPr>
      <w:r>
        <w:rPr>
          <w:rFonts w:ascii="Courier New" w:cs="Courier New" w:eastAsia="Courier New" w:hAnsi="Courier New"/>
          <w:sz w:val="16"/>
          <w:szCs w:val="16"/>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Company will serve as Security Registrar. (Section</w:t>
      </w:r>
    </w:p>
    <w:p>
      <w:pPr>
        <w:spacing w:after="0" w:line="6" w:lineRule="exact"/>
        <w:rPr>
          <w:sz w:val="20"/>
          <w:szCs w:val="20"/>
          <w:color w:val="auto"/>
        </w:rPr>
      </w:pPr>
    </w:p>
    <w:p>
      <w:pPr>
        <w:ind w:left="1" w:right="2459" w:hanging="1"/>
        <w:spacing w:after="0" w:line="246" w:lineRule="auto"/>
        <w:tabs>
          <w:tab w:leader="none" w:pos="4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193"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pacing w:after="0" w:line="191"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In the event of any redemption in part, the Company shall not be required to</w:t>
      </w:r>
    </w:p>
    <w:p>
      <w:pPr>
        <w:spacing w:after="0" w:line="5" w:lineRule="exact"/>
        <w:rPr>
          <w:sz w:val="20"/>
          <w:szCs w:val="20"/>
          <w:color w:val="auto"/>
        </w:rPr>
      </w:pPr>
    </w:p>
    <w:p>
      <w:pPr>
        <w:ind w:left="1" w:right="2459" w:hanging="1"/>
        <w:spacing w:after="0" w:line="246" w:lineRule="auto"/>
        <w:tabs>
          <w:tab w:leader="none" w:pos="38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194"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become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194" w:lineRule="exact"/>
        <w:rPr>
          <w:sz w:val="20"/>
          <w:szCs w:val="20"/>
          <w:color w:val="auto"/>
        </w:rPr>
      </w:pPr>
    </w:p>
    <w:p>
      <w:pPr>
        <w:ind w:left="1" w:right="2659" w:firstLine="388"/>
        <w:spacing w:after="0" w:line="247" w:lineRule="auto"/>
        <w:rPr>
          <w:sz w:val="20"/>
          <w:szCs w:val="20"/>
          <w:color w:val="auto"/>
        </w:rPr>
      </w:pPr>
      <w:r>
        <w:rPr>
          <w:rFonts w:ascii="Courier New" w:cs="Courier New" w:eastAsia="Courier New" w:hAnsi="Courier New"/>
          <w:sz w:val="16"/>
          <w:szCs w:val="16"/>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489" w:right="1440" w:bottom="1440" w:gutter="0" w:footer="0" w:header="0"/>
        </w:sectPr>
      </w:pPr>
    </w:p>
    <w:bookmarkStart w:id="11" w:name="page12"/>
    <w:bookmarkEnd w:id="11"/>
    <w:p>
      <w:pPr>
        <w:ind w:right="2559"/>
        <w:spacing w:after="0" w:line="246" w:lineRule="auto"/>
        <w:rPr>
          <w:sz w:val="20"/>
          <w:szCs w:val="20"/>
          <w:color w:val="auto"/>
        </w:rPr>
      </w:pPr>
      <w:r>
        <w:rPr>
          <w:rFonts w:ascii="Courier New" w:cs="Courier New" w:eastAsia="Courier New" w:hAnsi="Courier New"/>
          <w:sz w:val="16"/>
          <w:szCs w:val="16"/>
          <w:color w:val="auto"/>
        </w:rPr>
        <w:t>(Section 1002) Unless otherwise indicated in an applicable Prospectus Supplement, payment of interest on Bearer Securities on any Interest Payment Date will be made only against surrender to the Paying Agent of the coupon relating to such Interest Payment Date. (Section 1001 )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19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9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199" w:lineRule="exact"/>
        <w:rPr>
          <w:sz w:val="20"/>
          <w:szCs w:val="20"/>
          <w:color w:val="auto"/>
        </w:rPr>
      </w:pPr>
    </w:p>
    <w:p>
      <w:pPr>
        <w:ind w:right="2659" w:firstLine="388"/>
        <w:spacing w:after="0" w:line="247" w:lineRule="auto"/>
        <w:rPr>
          <w:sz w:val="20"/>
          <w:szCs w:val="20"/>
          <w:color w:val="auto"/>
        </w:rPr>
      </w:pPr>
      <w:r>
        <w:rPr>
          <w:rFonts w:ascii="Courier New" w:cs="Courier New" w:eastAsia="Courier New" w:hAnsi="Courier New"/>
          <w:sz w:val="16"/>
          <w:szCs w:val="16"/>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89" w:right="1440" w:bottom="1440" w:gutter="0" w:footer="0" w:header="0"/>
        </w:sectPr>
      </w:pPr>
    </w:p>
    <w:bookmarkStart w:id="12" w:name="page13"/>
    <w:bookmarkEnd w:id="12"/>
    <w:p>
      <w:pPr>
        <w:ind w:right="2459" w:firstLine="388"/>
        <w:spacing w:after="0" w:line="247" w:lineRule="auto"/>
        <w:rPr>
          <w:sz w:val="20"/>
          <w:szCs w:val="20"/>
          <w:color w:val="auto"/>
        </w:rPr>
      </w:pPr>
      <w:r>
        <w:rPr>
          <w:rFonts w:ascii="Courier New" w:cs="Courier New" w:eastAsia="Courier New" w:hAnsi="Courier New"/>
          <w:sz w:val="16"/>
          <w:szCs w:val="16"/>
          <w:color w:val="auto"/>
        </w:rPr>
        <w:t>The specific terms of the depository arrangement with respect to a series of Debt Securities in the form of one or more global Debt Securities will be described in the Prospectus Supplement relating to such series.</w:t>
      </w:r>
    </w:p>
    <w:p>
      <w:pPr>
        <w:spacing w:after="0" w:line="372"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SATISFACTION AND DISCHARGE OF INDENTURE. Each Indenture provides that the Company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378"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DEFEASANCE AND DISCHARGE. Each Indenture provides that, if the Company so elects by Board Resolution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 an Opinion of Counsel to the effect that (i) the Company has received from, or there has been published by, the 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20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COVENANT DEFEASANCE. Each Indenture also provides that, if the Company so elects by Board Resolution with respect to the Debt Securities of any series issued thereunder, the Company may omit to comply with certain restrictive covenants, including (in the case of the Senior Debt Indenture) the covenants described under "--Provisions Applicable Solely to Senior Debt Securities--Limitation on Liens" and "--Limitations on Sale and Leaseback Transactions," but excluding (in the case of the Subordinated Debt Indenture) any applicable obligation of the Company respecting the conversion of Debt Securities of such series into Common Stock, and any such omission shall not be an Event of Default with respect to the Debt Securities of such series, upon the deposit with the Trustee, in trust, of money and/ 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The obligations of the Company under such Indenture and the Debt Securities of such series other than with respect to such covenants shall remain in full force and effect. (Section 1303) Such a trust may be</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89" w:right="1440" w:bottom="1440" w:gutter="0" w:footer="0" w:header="0"/>
        </w:sectPr>
      </w:pPr>
    </w:p>
    <w:bookmarkStart w:id="13" w:name="page14"/>
    <w:bookmarkEnd w:id="13"/>
    <w:p>
      <w:pPr>
        <w:ind w:right="2459"/>
        <w:spacing w:after="0" w:line="247" w:lineRule="auto"/>
        <w:rPr>
          <w:sz w:val="20"/>
          <w:szCs w:val="20"/>
          <w:color w:val="auto"/>
        </w:rPr>
      </w:pPr>
      <w:r>
        <w:rPr>
          <w:rFonts w:ascii="Courier New" w:cs="Courier New" w:eastAsia="Courier New" w:hAnsi="Courier New"/>
          <w:sz w:val="16"/>
          <w:szCs w:val="16"/>
          <w:color w:val="auto"/>
        </w:rPr>
        <w:t>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192"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92"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 Security or any conversion right with respect thereto, (i) reduce the percentage in principal amount of 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200" w:lineRule="exact"/>
        <w:rPr>
          <w:sz w:val="20"/>
          <w:szCs w:val="20"/>
          <w:color w:val="auto"/>
        </w:rPr>
      </w:pPr>
    </w:p>
    <w:p>
      <w:pPr>
        <w:ind w:right="3139" w:firstLine="388"/>
        <w:spacing w:after="0" w:line="247" w:lineRule="auto"/>
        <w:rPr>
          <w:sz w:val="20"/>
          <w:szCs w:val="20"/>
          <w:color w:val="auto"/>
        </w:rPr>
      </w:pPr>
      <w:r>
        <w:rPr>
          <w:rFonts w:ascii="Courier New" w:cs="Courier New" w:eastAsia="Courier New" w:hAnsi="Courier New"/>
          <w:sz w:val="16"/>
          <w:szCs w:val="16"/>
          <w:color w:val="auto"/>
        </w:rPr>
        <w:t>The Subordinated Debt Indenture may not be amended to alter the subordination of any outstanding Subordinated Debt Securities without the consent of each holder of Senior Indebtedness (as defined below under "--Provisions Applicable Solely to Subordinated Debt Securities") then outstanding that would be adversely affected thereby. (Section 907 of the Subordinated Debt Indenture)</w:t>
      </w:r>
    </w:p>
    <w:p>
      <w:pPr>
        <w:spacing w:after="0" w:line="185"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1007 of the Senior Debt Indenture; Section 1008 of the Subordinated Debt Indenture) The Holders of a majority in aggregate principal amount of the Outstanding Securities , of each series may, on</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89" w:right="1440" w:bottom="1440" w:gutter="0" w:footer="0" w:header="0"/>
        </w:sectPr>
      </w:pPr>
    </w:p>
    <w:bookmarkStart w:id="14" w:name="page15"/>
    <w:bookmarkEnd w:id="14"/>
    <w:p>
      <w:pPr>
        <w:ind w:right="2559"/>
        <w:spacing w:after="0" w:line="247" w:lineRule="auto"/>
        <w:rPr>
          <w:sz w:val="20"/>
          <w:szCs w:val="20"/>
          <w:color w:val="auto"/>
        </w:rPr>
      </w:pPr>
      <w:r>
        <w:rPr>
          <w:rFonts w:ascii="Courier New" w:cs="Courier New" w:eastAsia="Courier New" w:hAnsi="Courier New"/>
          <w:sz w:val="16"/>
          <w:szCs w:val="16"/>
          <w:color w:val="auto"/>
        </w:rPr>
        <w:t>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19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 reconvened meeting, will be Persons holding or representing a majority in aggregate principal amount of the Outstanding Securities of a series. (Section 1404).</w:t>
      </w:r>
    </w:p>
    <w:p>
      <w:pPr>
        <w:spacing w:after="0" w:line="199"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185" w:lineRule="exact"/>
        <w:rPr>
          <w:sz w:val="20"/>
          <w:szCs w:val="20"/>
          <w:color w:val="auto"/>
        </w:rPr>
      </w:pPr>
    </w:p>
    <w:p>
      <w:pPr>
        <w:jc w:val="both"/>
        <w:ind w:right="2959" w:firstLine="388"/>
        <w:spacing w:after="0" w:line="247" w:lineRule="auto"/>
        <w:rPr>
          <w:sz w:val="20"/>
          <w:szCs w:val="20"/>
          <w:color w:val="auto"/>
        </w:rPr>
      </w:pPr>
      <w:r>
        <w:rPr>
          <w:rFonts w:ascii="Courier New" w:cs="Courier New" w:eastAsia="Courier New" w:hAnsi="Courier New"/>
          <w:sz w:val="16"/>
          <w:szCs w:val="16"/>
          <w:color w:val="auto"/>
        </w:rPr>
        <w:t>GOVERNING LAW. The Indentures, the Debt Securities and coupons will be governed by, and construed in accordance with, the laws of the State of New York. (Section 113)</w:t>
      </w:r>
    </w:p>
    <w:p>
      <w:pPr>
        <w:spacing w:after="0" w:line="186" w:lineRule="exact"/>
        <w:rPr>
          <w:sz w:val="20"/>
          <w:szCs w:val="20"/>
          <w:color w:val="auto"/>
        </w:rPr>
      </w:pPr>
    </w:p>
    <w:p>
      <w:pPr>
        <w:ind w:right="3239" w:firstLine="388"/>
        <w:spacing w:after="0" w:line="247" w:lineRule="auto"/>
        <w:rPr>
          <w:sz w:val="20"/>
          <w:szCs w:val="20"/>
          <w:color w:val="auto"/>
        </w:rPr>
      </w:pPr>
      <w:r>
        <w:rPr>
          <w:rFonts w:ascii="Courier New" w:cs="Courier New" w:eastAsia="Courier New" w:hAnsi="Courier New"/>
          <w:sz w:val="16"/>
          <w:szCs w:val="16"/>
          <w:color w:val="auto"/>
        </w:rPr>
        <w:t>REGARDING THE TRUSTEE. The Trustee appointed and serving as trustee pursuant to each of the Senior Debt Indenture and the Subordinated Debt Indenture is Chase Bank.</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89" w:right="1440" w:bottom="1440" w:gutter="0" w:footer="0" w:header="0"/>
        </w:sectPr>
      </w:pPr>
    </w:p>
    <w:bookmarkStart w:id="15" w:name="page16"/>
    <w:bookmarkEnd w:id="15"/>
    <w:p>
      <w:pPr>
        <w:ind w:left="1" w:right="2459" w:firstLine="388"/>
        <w:spacing w:after="0" w:line="247" w:lineRule="auto"/>
        <w:rPr>
          <w:sz w:val="20"/>
          <w:szCs w:val="20"/>
          <w:color w:val="auto"/>
        </w:rPr>
      </w:pPr>
      <w:r>
        <w:rPr>
          <w:rFonts w:ascii="Courier New" w:cs="Courier New" w:eastAsia="Courier New" w:hAnsi="Courier New"/>
          <w:sz w:val="16"/>
          <w:szCs w:val="16"/>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185" w:lineRule="exact"/>
        <w:rPr>
          <w:sz w:val="20"/>
          <w:szCs w:val="20"/>
          <w:color w:val="auto"/>
        </w:rPr>
      </w:pPr>
    </w:p>
    <w:p>
      <w:pPr>
        <w:ind w:left="1" w:right="2559" w:firstLine="388"/>
        <w:spacing w:after="0" w:line="246" w:lineRule="auto"/>
        <w:rPr>
          <w:sz w:val="20"/>
          <w:szCs w:val="20"/>
          <w:color w:val="auto"/>
        </w:rPr>
      </w:pPr>
      <w:r>
        <w:rPr>
          <w:rFonts w:ascii="Courier New" w:cs="Courier New" w:eastAsia="Courier New" w:hAnsi="Courier New"/>
          <w:sz w:val="16"/>
          <w:szCs w:val="16"/>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92"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 Indenture Act. In such event, the obligor must take prompt steps to have a successor trustee appointed in the manner provided in the indenture from which the trustee has resigned. Accordingly, Chase Bank, as trustee under the Senior Debt Indenture and the Subordinated Debt Indenture, could be required to resign as trustee under one of such Indentures should a default occur under one of such Indentures. In such event, the Company would be required to take prompt steps to have a successor trustee or successor trustees appointed in the manner provided in the applicable Indenture.</w:t>
      </w:r>
    </w:p>
    <w:p>
      <w:pPr>
        <w:spacing w:after="0" w:line="195" w:lineRule="exact"/>
        <w:rPr>
          <w:sz w:val="20"/>
          <w:szCs w:val="20"/>
          <w:color w:val="auto"/>
        </w:rPr>
      </w:pPr>
    </w:p>
    <w:p>
      <w:pPr>
        <w:ind w:left="1" w:right="2459" w:firstLine="388"/>
        <w:spacing w:after="0" w:line="247" w:lineRule="auto"/>
        <w:rPr>
          <w:sz w:val="20"/>
          <w:szCs w:val="20"/>
          <w:color w:val="auto"/>
        </w:rPr>
      </w:pPr>
      <w:r>
        <w:rPr>
          <w:rFonts w:ascii="Courier New" w:cs="Courier New" w:eastAsia="Courier New" w:hAnsi="Courier New"/>
          <w:sz w:val="16"/>
          <w:szCs w:val="16"/>
          <w:color w:val="auto"/>
        </w:rPr>
        <w:t>Chase Bank, as the trustee under the Senior Debt Indenture and the Subordinated Debt Indenture, may be a depositary for funds of, may make loans to and may perform other routine banking services for the Company and certain of its affiliates in the normal course of business.</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PROVISIONS APPLICABLE SOLELY TO SENIOR DEBT SECURITIES</w:t>
      </w:r>
    </w:p>
    <w:p>
      <w:pPr>
        <w:spacing w:after="0" w:line="191"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185" w:lineRule="exact"/>
        <w:rPr>
          <w:sz w:val="20"/>
          <w:szCs w:val="20"/>
          <w:color w:val="auto"/>
        </w:rPr>
      </w:pPr>
    </w:p>
    <w:p>
      <w:pPr>
        <w:ind w:left="1" w:right="2659" w:firstLine="388"/>
        <w:spacing w:after="0" w:line="247" w:lineRule="auto"/>
        <w:rPr>
          <w:sz w:val="20"/>
          <w:szCs w:val="20"/>
          <w:color w:val="auto"/>
        </w:rPr>
      </w:pPr>
      <w:r>
        <w:rPr>
          <w:rFonts w:ascii="Courier New" w:cs="Courier New" w:eastAsia="Courier New" w:hAnsi="Courier New"/>
          <w:sz w:val="16"/>
          <w:szCs w:val="16"/>
          <w:color w:val="auto"/>
        </w:rPr>
        <w:t>CERTAIN DEFINITIONS. For purposes of the following discussion, the following definitions are applicable (Section 1008 and 1009 of the Senior Debt Indenture).</w:t>
      </w:r>
    </w:p>
    <w:p>
      <w:pPr>
        <w:spacing w:after="0" w:line="186" w:lineRule="exact"/>
        <w:rPr>
          <w:sz w:val="20"/>
          <w:szCs w:val="20"/>
          <w:color w:val="auto"/>
        </w:rPr>
      </w:pPr>
    </w:p>
    <w:p>
      <w:pPr>
        <w:ind w:left="1" w:right="2559" w:firstLine="388"/>
        <w:spacing w:after="0" w:line="246"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of or</w:t>
      </w:r>
    </w:p>
    <w:p>
      <w:pPr>
        <w:spacing w:after="0" w:line="1" w:lineRule="exact"/>
        <w:rPr>
          <w:sz w:val="20"/>
          <w:szCs w:val="20"/>
          <w:color w:val="auto"/>
        </w:rPr>
      </w:pPr>
    </w:p>
    <w:p>
      <w:pPr>
        <w:ind w:left="1" w:right="2459" w:hanging="1"/>
        <w:spacing w:after="0" w:line="246" w:lineRule="auto"/>
        <w:tabs>
          <w:tab w:leader="none" w:pos="48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implied lease rate is not known to the Company, then the weighted average interest rate of all Senior Debt Securities outstanding at the time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94" w:lineRule="exact"/>
        <w:rPr>
          <w:sz w:val="20"/>
          <w:szCs w:val="20"/>
          <w:color w:val="auto"/>
        </w:rPr>
      </w:pPr>
    </w:p>
    <w:p>
      <w:pPr>
        <w:ind w:left="1" w:right="3039" w:firstLine="388"/>
        <w:spacing w:after="0" w:line="247" w:lineRule="auto"/>
        <w:rPr>
          <w:sz w:val="20"/>
          <w:szCs w:val="20"/>
          <w:color w:val="auto"/>
        </w:rPr>
      </w:pPr>
      <w:r>
        <w:rPr>
          <w:rFonts w:ascii="Courier New" w:cs="Courier New" w:eastAsia="Courier New" w:hAnsi="Courier New"/>
          <w:sz w:val="16"/>
          <w:szCs w:val="16"/>
          <w:color w:val="auto"/>
        </w:rPr>
        <w:t>The term "Consolidated Net Tangible Assets" shall mean, at any date of determination, the total amount of assets of the Company after deducting therefrom (i) all the current liabilities (excluding (a) any</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489" w:right="1440" w:bottom="1440" w:gutter="0" w:footer="0" w:header="0"/>
        </w:sectPr>
      </w:pPr>
    </w:p>
    <w:bookmarkStart w:id="16" w:name="page17"/>
    <w:bookmarkEnd w:id="16"/>
    <w:p>
      <w:pPr>
        <w:ind w:left="1" w:right="2459"/>
        <w:spacing w:after="0" w:line="246" w:lineRule="auto"/>
        <w:rPr>
          <w:sz w:val="20"/>
          <w:szCs w:val="20"/>
          <w:color w:val="auto"/>
        </w:rPr>
      </w:pPr>
      <w:r>
        <w:rPr>
          <w:rFonts w:ascii="Courier New" w:cs="Courier New" w:eastAsia="Courier New" w:hAnsi="Courier New"/>
          <w:sz w:val="16"/>
          <w:szCs w:val="16"/>
          <w:color w:val="auto"/>
        </w:rPr>
        <w:t>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the consolidated balance sheet of the Company and its consolidated Subsidiaries for the Company's most recently completed fiscal quarter, prepared in accordance with United States generally accepted accounting principles.</w:t>
      </w:r>
    </w:p>
    <w:p>
      <w:pPr>
        <w:spacing w:after="0" w:line="191" w:lineRule="exact"/>
        <w:rPr>
          <w:sz w:val="20"/>
          <w:szCs w:val="20"/>
          <w:color w:val="auto"/>
        </w:rPr>
      </w:pPr>
    </w:p>
    <w:p>
      <w:pPr>
        <w:jc w:val="both"/>
        <w:ind w:left="1" w:right="2659" w:firstLine="388"/>
        <w:spacing w:after="0" w:line="247" w:lineRule="auto"/>
        <w:rPr>
          <w:sz w:val="20"/>
          <w:szCs w:val="20"/>
          <w:color w:val="auto"/>
        </w:rPr>
      </w:pPr>
      <w:r>
        <w:rPr>
          <w:rFonts w:ascii="Courier New" w:cs="Courier New" w:eastAsia="Courier New" w:hAnsi="Courier New"/>
          <w:sz w:val="16"/>
          <w:szCs w:val="16"/>
          <w:color w:val="auto"/>
        </w:rPr>
        <w:t>"Funded Debt" shall mean any Indebtedness which by its terms matures at or is extendable or renewable at the sole option of the obligor without requiring the consent of the obligee to a date more than twelve months after the date of the creation of such Indebtedness.</w:t>
      </w:r>
    </w:p>
    <w:p>
      <w:pPr>
        <w:spacing w:after="0" w:line="186"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93"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"Indebtedness" of any Person shall mean</w:t>
      </w:r>
    </w:p>
    <w:p>
      <w:pPr>
        <w:spacing w:after="0" w:line="191" w:lineRule="exact"/>
        <w:rPr>
          <w:sz w:val="20"/>
          <w:szCs w:val="20"/>
          <w:color w:val="auto"/>
        </w:rPr>
      </w:pPr>
    </w:p>
    <w:p>
      <w:pPr>
        <w:ind w:left="681" w:right="2559" w:hanging="293"/>
        <w:spacing w:after="0" w:line="247" w:lineRule="auto"/>
        <w:tabs>
          <w:tab w:leader="none" w:pos="77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85" w:lineRule="exact"/>
        <w:rPr>
          <w:rFonts w:ascii="Courier New" w:cs="Courier New" w:eastAsia="Courier New" w:hAnsi="Courier New"/>
          <w:sz w:val="16"/>
          <w:szCs w:val="16"/>
          <w:color w:val="auto"/>
        </w:rPr>
      </w:pPr>
    </w:p>
    <w:p>
      <w:pPr>
        <w:ind w:left="681" w:right="2559" w:hanging="293"/>
        <w:spacing w:after="0" w:line="247" w:lineRule="auto"/>
        <w:tabs>
          <w:tab w:leader="none" w:pos="77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85" w:lineRule="exact"/>
        <w:rPr>
          <w:rFonts w:ascii="Courier New" w:cs="Courier New" w:eastAsia="Courier New" w:hAnsi="Courier New"/>
          <w:sz w:val="16"/>
          <w:szCs w:val="16"/>
          <w:color w:val="auto"/>
        </w:rPr>
      </w:pPr>
    </w:p>
    <w:p>
      <w:pPr>
        <w:ind w:left="681" w:right="2659" w:hanging="293"/>
        <w:spacing w:after="0" w:line="248" w:lineRule="auto"/>
        <w:tabs>
          <w:tab w:leader="none" w:pos="77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so included as liabilities in accordance with generally accepted accounting principles,</w:t>
      </w:r>
    </w:p>
    <w:p>
      <w:pPr>
        <w:spacing w:after="0" w:line="184" w:lineRule="exact"/>
        <w:rPr>
          <w:rFonts w:ascii="Courier New" w:cs="Courier New" w:eastAsia="Courier New" w:hAnsi="Courier New"/>
          <w:sz w:val="16"/>
          <w:szCs w:val="16"/>
          <w:color w:val="auto"/>
        </w:rPr>
      </w:pPr>
    </w:p>
    <w:p>
      <w:pPr>
        <w:ind w:left="1061" w:right="2559" w:hanging="382"/>
        <w:spacing w:after="0" w:line="247" w:lineRule="auto"/>
        <w:tabs>
          <w:tab w:leader="none" w:pos="106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85" w:lineRule="exact"/>
        <w:rPr>
          <w:rFonts w:ascii="Courier New" w:cs="Courier New" w:eastAsia="Courier New" w:hAnsi="Courier New"/>
          <w:sz w:val="16"/>
          <w:szCs w:val="16"/>
          <w:color w:val="auto"/>
        </w:rPr>
      </w:pPr>
    </w:p>
    <w:p>
      <w:pPr>
        <w:ind w:left="1161" w:hanging="482"/>
        <w:spacing w:after="0"/>
        <w:tabs>
          <w:tab w:leader="none" w:pos="116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Guaranties of such Person.</w:t>
      </w:r>
    </w:p>
    <w:p>
      <w:pPr>
        <w:spacing w:after="0" w:line="191"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"Principal Property" shall mean any waste processing, waste disposal or resource recovery plant or similar facility located within the United States (other than its territories and possessions and Puerto Rico) or Canada and owned by, or leased to, the Company or any Restricted Subsidiary, except (a) any such plant or facility (i) owned or leased jointly or in common with one or more persons other than the Company and its Restricted Subsidiaries in which the interest of the Company and its Restricted Subsidiaries does not exceed 50%, or</w:t>
      </w:r>
    </w:p>
    <w:p>
      <w:pPr>
        <w:spacing w:after="0" w:line="4" w:lineRule="exact"/>
        <w:rPr>
          <w:sz w:val="20"/>
          <w:szCs w:val="20"/>
          <w:color w:val="auto"/>
        </w:rPr>
      </w:pPr>
    </w:p>
    <w:p>
      <w:pPr>
        <w:ind w:left="1" w:right="2559" w:hanging="1"/>
        <w:spacing w:after="0" w:line="247" w:lineRule="auto"/>
        <w:tabs>
          <w:tab w:leader="none" w:pos="4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the Board of Directors determines in good faith is not of material importance to the total business conducted, or assets owned, by the Company and its Subsidiaries as an entirety, or (b) any portion of such plant or facility which the Board of Directors determines in good faith not to be of material importance to the use or operation thereof.</w:t>
      </w:r>
    </w:p>
    <w:p>
      <w:pPr>
        <w:spacing w:after="0" w:line="185" w:lineRule="exact"/>
        <w:rPr>
          <w:sz w:val="20"/>
          <w:szCs w:val="20"/>
          <w:color w:val="auto"/>
        </w:rPr>
      </w:pPr>
    </w:p>
    <w:p>
      <w:pPr>
        <w:ind w:left="1" w:right="2459" w:firstLine="388"/>
        <w:spacing w:after="0" w:line="247" w:lineRule="auto"/>
        <w:rPr>
          <w:sz w:val="20"/>
          <w:szCs w:val="20"/>
          <w:color w:val="auto"/>
        </w:rPr>
      </w:pPr>
      <w:r>
        <w:rPr>
          <w:rFonts w:ascii="Courier New" w:cs="Courier New" w:eastAsia="Courier New" w:hAnsi="Courier New"/>
          <w:sz w:val="16"/>
          <w:szCs w:val="16"/>
          <w:color w:val="auto"/>
        </w:rPr>
        <w:t>"Restricted Subsidiary" shall mean any Subsidiary (other than any Subsidiary of which the Company owns directly or indirectly less than all of the outstanding Voting Stock) (a) principally engaged in, or</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489" w:right="1440" w:bottom="1440" w:gutter="0" w:footer="0" w:header="0"/>
        </w:sectPr>
      </w:pPr>
    </w:p>
    <w:bookmarkStart w:id="17" w:name="page18"/>
    <w:bookmarkEnd w:id="17"/>
    <w:p>
      <w:pPr>
        <w:jc w:val="both"/>
        <w:ind w:right="2459"/>
        <w:spacing w:after="0" w:line="247" w:lineRule="auto"/>
        <w:rPr>
          <w:sz w:val="20"/>
          <w:szCs w:val="20"/>
          <w:color w:val="auto"/>
        </w:rPr>
      </w:pPr>
      <w:r>
        <w:rPr>
          <w:rFonts w:ascii="Courier New" w:cs="Courier New" w:eastAsia="Courier New" w:hAnsi="Courier New"/>
          <w:sz w:val="16"/>
          <w:szCs w:val="16"/>
          <w:color w:val="auto"/>
        </w:rPr>
        <w:t>whose principal assets consist of property used by the Company or any Restricted Subsidiary in, the storage, collection, transfer, interim processing or disposal of waste within the United States of America or Canada, or (b) which the Company shall designate as a Restricted Subsidiary in an Officers' Certificate delivered to the Trustee.</w:t>
      </w:r>
    </w:p>
    <w:p>
      <w:pPr>
        <w:spacing w:after="0" w:line="185" w:lineRule="exact"/>
        <w:rPr>
          <w:sz w:val="20"/>
          <w:szCs w:val="20"/>
          <w:color w:val="auto"/>
        </w:rPr>
      </w:pPr>
    </w:p>
    <w:p>
      <w:pPr>
        <w:ind w:right="2659" w:firstLine="388"/>
        <w:spacing w:after="0" w:line="247"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CONSOLIDATION, MERGER, SALE. The Senior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on the part of the Company to be performed or observed; and (2)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Senior Debt Indenture with the same effect as if such successor Person had been named as the Company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203"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EVENT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186" w:lineRule="exact"/>
        <w:rPr>
          <w:sz w:val="20"/>
          <w:szCs w:val="20"/>
          <w:color w:val="auto"/>
        </w:rPr>
      </w:pPr>
    </w:p>
    <w:p>
      <w:pPr>
        <w:ind w:right="2459" w:firstLine="387"/>
        <w:spacing w:after="0" w:line="247" w:lineRule="auto"/>
        <w:tabs>
          <w:tab w:leader="none" w:pos="77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Senior Debt Security of that series when it becomes due and payable, and continuance of such default for a period of 30 days; or</w:t>
      </w:r>
    </w:p>
    <w:p>
      <w:pPr>
        <w:spacing w:after="0" w:line="185" w:lineRule="exact"/>
        <w:rPr>
          <w:rFonts w:ascii="Courier New" w:cs="Courier New" w:eastAsia="Courier New" w:hAnsi="Courier New"/>
          <w:sz w:val="16"/>
          <w:szCs w:val="16"/>
          <w:color w:val="auto"/>
        </w:rPr>
      </w:pPr>
    </w:p>
    <w:p>
      <w:pPr>
        <w:ind w:right="2459" w:firstLine="387"/>
        <w:spacing w:after="0" w:line="247" w:lineRule="auto"/>
        <w:tabs>
          <w:tab w:leader="none" w:pos="77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185" w:lineRule="exact"/>
        <w:rPr>
          <w:rFonts w:ascii="Courier New" w:cs="Courier New" w:eastAsia="Courier New" w:hAnsi="Courier New"/>
          <w:sz w:val="16"/>
          <w:szCs w:val="16"/>
          <w:color w:val="auto"/>
        </w:rPr>
      </w:pPr>
    </w:p>
    <w:p>
      <w:pPr>
        <w:ind w:right="2659" w:firstLine="387"/>
        <w:spacing w:after="0" w:line="248" w:lineRule="auto"/>
        <w:tabs>
          <w:tab w:leader="none" w:pos="77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Senior Debt Security of that series; or</w:t>
      </w:r>
    </w:p>
    <w:p>
      <w:pPr>
        <w:spacing w:after="0" w:line="184" w:lineRule="exact"/>
        <w:rPr>
          <w:rFonts w:ascii="Courier New" w:cs="Courier New" w:eastAsia="Courier New" w:hAnsi="Courier New"/>
          <w:sz w:val="16"/>
          <w:szCs w:val="16"/>
          <w:color w:val="auto"/>
        </w:rPr>
      </w:pPr>
    </w:p>
    <w:p>
      <w:pPr>
        <w:ind w:right="2459" w:firstLine="387"/>
        <w:spacing w:after="0" w:line="247" w:lineRule="auto"/>
        <w:tabs>
          <w:tab w:leader="none" w:pos="77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other covenant or warranty of the Company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90" w:right="1440" w:bottom="1440" w:gutter="0" w:footer="0" w:header="0"/>
        </w:sectPr>
      </w:pPr>
    </w:p>
    <w:bookmarkStart w:id="18" w:name="page19"/>
    <w:bookmarkEnd w:id="18"/>
    <w:p>
      <w:pPr>
        <w:ind w:left="1" w:right="2459"/>
        <w:spacing w:after="0" w:line="247" w:lineRule="auto"/>
        <w:rPr>
          <w:sz w:val="20"/>
          <w:szCs w:val="20"/>
          <w:color w:val="auto"/>
        </w:rPr>
      </w:pPr>
      <w:r>
        <w:rPr>
          <w:rFonts w:ascii="Courier New" w:cs="Courier New" w:eastAsia="Courier New" w:hAnsi="Courier New"/>
          <w:sz w:val="16"/>
          <w:szCs w:val="16"/>
          <w:color w:val="auto"/>
        </w:rPr>
        <w:t>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185" w:lineRule="exact"/>
        <w:rPr>
          <w:sz w:val="20"/>
          <w:szCs w:val="20"/>
          <w:color w:val="auto"/>
        </w:rPr>
      </w:pPr>
    </w:p>
    <w:p>
      <w:pPr>
        <w:ind w:left="1" w:right="2459" w:firstLine="387"/>
        <w:spacing w:after="0" w:line="246" w:lineRule="auto"/>
        <w:tabs>
          <w:tab w:leader="none" w:pos="77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3" w:lineRule="exact"/>
        <w:rPr>
          <w:rFonts w:ascii="Courier New" w:cs="Courier New" w:eastAsia="Courier New" w:hAnsi="Courier New"/>
          <w:sz w:val="16"/>
          <w:szCs w:val="16"/>
          <w:color w:val="auto"/>
        </w:rPr>
      </w:pPr>
    </w:p>
    <w:p>
      <w:pPr>
        <w:ind w:left="1" w:right="2459" w:firstLine="387"/>
        <w:spacing w:after="0" w:line="246" w:lineRule="auto"/>
        <w:tabs>
          <w:tab w:leader="none" w:pos="77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5" w:lineRule="exact"/>
        <w:rPr>
          <w:rFonts w:ascii="Courier New" w:cs="Courier New" w:eastAsia="Courier New" w:hAnsi="Courier New"/>
          <w:sz w:val="16"/>
          <w:szCs w:val="16"/>
          <w:color w:val="auto"/>
        </w:rPr>
      </w:pPr>
    </w:p>
    <w:p>
      <w:pPr>
        <w:ind w:left="1" w:right="3339" w:firstLine="387"/>
        <w:spacing w:after="0" w:line="248" w:lineRule="auto"/>
        <w:tabs>
          <w:tab w:leader="none" w:pos="77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Senior Debt Securities of that series. (Section 501 of the Senior Debt Indenture)</w:t>
      </w:r>
    </w:p>
    <w:p>
      <w:pPr>
        <w:spacing w:after="0" w:line="184"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the Company and the Trustee, may rescind and annul such declaration and its consequences if: (1) the Company has paid or deposited with the Trustee a sum sufficient to pay (A) all overdue interest on all Senior Debt Securities of that series, (B) the principal of (and premium, if any, on) any Senior Debt Securities of that series which has become due otherwise than by such declaration of acceleration and any interest thereon at the rate or rates prescribed therefor in such Senior Debt Securities, (C) to the extent that payment of such interest is lawful, interest upon overdue interest at the rate or rates prescribed therefor in such Senior Debt Securities, and (D) all sums paid or advanced by the Trustee hereunder and the reasonable compensation, expenses, disbursements and advances of the Trustee, its agents and counsel; and</w:t>
      </w:r>
    </w:p>
    <w:p>
      <w:pPr>
        <w:spacing w:after="0" w:line="15" w:lineRule="exact"/>
        <w:rPr>
          <w:sz w:val="20"/>
          <w:szCs w:val="20"/>
          <w:color w:val="auto"/>
        </w:rPr>
      </w:pPr>
    </w:p>
    <w:p>
      <w:pPr>
        <w:ind w:left="1" w:right="2459" w:hanging="1"/>
        <w:spacing w:after="0" w:line="247" w:lineRule="auto"/>
        <w:tabs>
          <w:tab w:leader="none" w:pos="38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with respect to Senior Debt Securities of that series, other than the non-payment of the principal of Senior Debt Securities of that series which has become due solely by such</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0"/>
          </w:cols>
          <w:pgMar w:left="239" w:top="489" w:right="1440" w:bottom="1440" w:gutter="0" w:footer="0" w:header="0"/>
        </w:sectPr>
      </w:pPr>
    </w:p>
    <w:bookmarkStart w:id="19" w:name="page20"/>
    <w:bookmarkEnd w:id="19"/>
    <w:p>
      <w:pPr>
        <w:ind w:right="2459"/>
        <w:spacing w:after="0" w:line="246" w:lineRule="auto"/>
        <w:rPr>
          <w:sz w:val="20"/>
          <w:szCs w:val="20"/>
          <w:color w:val="auto"/>
        </w:rPr>
      </w:pPr>
      <w:r>
        <w:rPr>
          <w:rFonts w:ascii="Courier New" w:cs="Courier New" w:eastAsia="Courier New" w:hAnsi="Courier New"/>
          <w:sz w:val="16"/>
          <w:szCs w:val="16"/>
          <w:color w:val="auto"/>
        </w:rPr>
        <w:t>declaration of acceleration, have been cured or waived as provided in the Senior Debt Indenture. 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the Company,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19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 (1) such Holder has previously given written notice to the Trustee of a continuing Event of Default with respect to the Senior Debt Securities of that series; (2) 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Senior Debt Securities of that series. (Section 507 of the Senior Debt Indenture) 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 Senior Debt Security or coupon, or to institute suit for the enforcement of any such payment on or after such respective dates shall not be impaired or affected without the consent of such Holder. (Sections 508, 902 of the Senior Debt Indenture)</w:t>
      </w:r>
    </w:p>
    <w:p>
      <w:pPr>
        <w:spacing w:after="0" w:line="20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89" w:right="1440" w:bottom="1440" w:gutter="0" w:footer="0" w:header="0"/>
        </w:sectPr>
      </w:pPr>
    </w:p>
    <w:bookmarkStart w:id="20" w:name="page21"/>
    <w:bookmarkEnd w:id="20"/>
    <w:p>
      <w:pPr>
        <w:ind w:left="1" w:right="2459" w:firstLine="388"/>
        <w:spacing w:after="0" w:line="246" w:lineRule="auto"/>
        <w:rPr>
          <w:sz w:val="20"/>
          <w:szCs w:val="20"/>
          <w:color w:val="auto"/>
        </w:rPr>
      </w:pPr>
      <w:r>
        <w:rPr>
          <w:rFonts w:ascii="Courier New" w:cs="Courier New" w:eastAsia="Courier New" w:hAnsi="Courier New"/>
          <w:sz w:val="16"/>
          <w:szCs w:val="16"/>
          <w:color w:val="auto"/>
        </w:rPr>
        <w:t>If a default occurs under the Senior Debt Indenture with respect to Senior Debt Securities of any series, the Trustee shall give the Holders of Senior Debt Securities of such series notice of such default as and to the 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192" w:lineRule="exact"/>
        <w:rPr>
          <w:sz w:val="20"/>
          <w:szCs w:val="20"/>
          <w:color w:val="auto"/>
        </w:rPr>
      </w:pPr>
    </w:p>
    <w:p>
      <w:pPr>
        <w:ind w:left="1" w:right="2559" w:firstLine="388"/>
        <w:spacing w:after="0" w:line="246" w:lineRule="auto"/>
        <w:rPr>
          <w:sz w:val="20"/>
          <w:szCs w:val="20"/>
          <w:color w:val="auto"/>
        </w:rPr>
      </w:pPr>
      <w:r>
        <w:rPr>
          <w:rFonts w:ascii="Courier New" w:cs="Courier New" w:eastAsia="Courier New" w:hAnsi="Courier New"/>
          <w:sz w:val="16"/>
          <w:szCs w:val="16"/>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3" w:lineRule="exact"/>
        <w:rPr>
          <w:sz w:val="20"/>
          <w:szCs w:val="20"/>
          <w:color w:val="auto"/>
        </w:rPr>
      </w:pPr>
    </w:p>
    <w:p>
      <w:pPr>
        <w:ind w:left="1" w:right="2459" w:hanging="1"/>
        <w:spacing w:after="0" w:line="246" w:lineRule="auto"/>
        <w:tabs>
          <w:tab w:leader="none" w:pos="38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 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 Debt Securities to whom amounts are payable under the Senior Debt Indenture. (Sections 506, 902 of the Senior Debt Indenture)</w:t>
      </w:r>
    </w:p>
    <w:p>
      <w:pPr>
        <w:spacing w:after="0" w:line="197"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the Company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the Company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the Company on the claim or claims underlying such judgment. (Section 506 of the Senior Debt Indenture)</w:t>
      </w:r>
    </w:p>
    <w:p>
      <w:pPr>
        <w:spacing w:after="0" w:line="197" w:lineRule="exact"/>
        <w:rPr>
          <w:sz w:val="20"/>
          <w:szCs w:val="20"/>
          <w:color w:val="auto"/>
        </w:rPr>
      </w:pPr>
    </w:p>
    <w:p>
      <w:pPr>
        <w:jc w:val="both"/>
        <w:ind w:left="1" w:right="2459" w:firstLine="388"/>
        <w:spacing w:after="0" w:line="247" w:lineRule="auto"/>
        <w:rPr>
          <w:sz w:val="20"/>
          <w:szCs w:val="20"/>
          <w:color w:val="auto"/>
        </w:rPr>
      </w:pPr>
      <w:r>
        <w:rPr>
          <w:rFonts w:ascii="Courier New" w:cs="Courier New" w:eastAsia="Courier New" w:hAnsi="Courier New"/>
          <w:sz w:val="16"/>
          <w:szCs w:val="16"/>
          <w:color w:val="auto"/>
        </w:rPr>
        <w:t>The Company is required to furnish to the Trustee annually a statement as to the compliance by the Company with all conditions and covenants under the Senior Debt Indenture. (Section 1006)</w:t>
      </w:r>
    </w:p>
    <w:p>
      <w:pPr>
        <w:spacing w:after="0" w:line="186" w:lineRule="exact"/>
        <w:rPr>
          <w:sz w:val="20"/>
          <w:szCs w:val="20"/>
          <w:color w:val="auto"/>
        </w:rPr>
      </w:pPr>
    </w:p>
    <w:p>
      <w:pPr>
        <w:jc w:val="both"/>
        <w:ind w:left="1" w:right="2459" w:firstLine="388"/>
        <w:spacing w:after="0" w:line="247" w:lineRule="auto"/>
        <w:rPr>
          <w:sz w:val="20"/>
          <w:szCs w:val="20"/>
          <w:color w:val="auto"/>
        </w:rPr>
      </w:pPr>
      <w:r>
        <w:rPr>
          <w:rFonts w:ascii="Courier New" w:cs="Courier New" w:eastAsia="Courier New" w:hAnsi="Courier New"/>
          <w:sz w:val="16"/>
          <w:szCs w:val="16"/>
          <w:color w:val="auto"/>
        </w:rPr>
        <w:t>LIMITATION ON LIENS. Unless provided otherwise in the applicable Prospectus Supplement, the provisions of this covenant shall apply to each series of Senior Debt Securities issued under the Senior Debt Indenture:</w:t>
      </w:r>
    </w:p>
    <w:p>
      <w:pPr>
        <w:spacing w:after="0" w:line="186" w:lineRule="exact"/>
        <w:rPr>
          <w:sz w:val="20"/>
          <w:szCs w:val="20"/>
          <w:color w:val="auto"/>
        </w:rPr>
      </w:pPr>
    </w:p>
    <w:p>
      <w:pPr>
        <w:ind w:left="1" w:right="3339" w:firstLine="387"/>
        <w:spacing w:after="0" w:line="247" w:lineRule="auto"/>
        <w:tabs>
          <w:tab w:leader="none" w:pos="77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and will not permit any of its Restricted Subsidiaries to, create, incur, assume or suffer to exist, directly or indirectly, any Indebtedness secured by a Security Interest upon any</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0"/>
          </w:cols>
          <w:pgMar w:left="239" w:top="489" w:right="1440" w:bottom="1440" w:gutter="0" w:footer="0" w:header="0"/>
        </w:sectPr>
      </w:pPr>
    </w:p>
    <w:bookmarkStart w:id="21" w:name="page22"/>
    <w:bookmarkEnd w:id="21"/>
    <w:p>
      <w:pPr>
        <w:ind w:right="2459"/>
        <w:spacing w:after="0" w:line="246" w:lineRule="auto"/>
        <w:rPr>
          <w:sz w:val="20"/>
          <w:szCs w:val="20"/>
          <w:color w:val="auto"/>
        </w:rPr>
      </w:pPr>
      <w:r>
        <w:rPr>
          <w:rFonts w:ascii="Courier New" w:cs="Courier New" w:eastAsia="Courier New" w:hAnsi="Courier New"/>
          <w:sz w:val="16"/>
          <w:szCs w:val="16"/>
          <w:color w:val="auto"/>
        </w:rPr>
        <w:t>Principal Property of the Company or of a Restricted Subsidiary, whether owned as of the date of this Indenture or hereafter acquired, without making effective provision (and the Company hereby covenants that in any such case it shall make or cause to be made effective provision) whereby the Senior Debt Securities of that series then outstanding and any other Indebtedness of the Company or any Restricted Subsidiary then entitled thereto shall be secured by such Security Interest equally and ratably with (or, in the case of the Senior Debt Securities of that series and if the Company shall so determine, prior to) any and all other Indebtedness of the Company or any Restricted Subsidiary thereby secured for so long as any such other Indebtedness of the Company or any Restricted Subsidiary shall be so secured; provided, that nothing in the Senior Debt Indenture shall prevent, restrict or apply to Indebtedness secured by:</w:t>
      </w:r>
    </w:p>
    <w:p>
      <w:pPr>
        <w:spacing w:after="0" w:line="193" w:lineRule="exact"/>
        <w:rPr>
          <w:sz w:val="20"/>
          <w:szCs w:val="20"/>
          <w:color w:val="auto"/>
        </w:rPr>
      </w:pPr>
    </w:p>
    <w:p>
      <w:pPr>
        <w:ind w:right="2459" w:firstLine="387"/>
        <w:spacing w:after="0" w:line="246" w:lineRule="auto"/>
        <w:tabs>
          <w:tab w:leader="none" w:pos="7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 (i) 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the Company or any Restricted Subsidiary; or (c) any conditional sales agreement or other title retention agreement with respect to any property or assets acquired by the Company or any Restricted Subsidiary, or (d) any Security Interest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(e) any Security Interest existing on the property, assets or shares of stock of any successor which shall have become the Company in accordance with the provisions of the covenant described in</w:t>
      </w:r>
    </w:p>
    <w:p>
      <w:pPr>
        <w:spacing w:after="0" w:line="13"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Applicable Solely to Senior Debt Securities--Consolidation, Merger and Sale of Assets"; provided, in each case, that any such Security Interest described in the foregoing clauses (b), (c), (d) or (e) does not attach to or affect property or assets owned by the Company or any Restricted Subsidiary prior to the event referred to in such clauses; or</w:t>
      </w:r>
    </w:p>
    <w:p>
      <w:pPr>
        <w:spacing w:after="0" w:line="185" w:lineRule="exact"/>
        <w:rPr>
          <w:rFonts w:ascii="Courier New" w:cs="Courier New" w:eastAsia="Courier New" w:hAnsi="Courier New"/>
          <w:sz w:val="16"/>
          <w:szCs w:val="16"/>
          <w:color w:val="auto"/>
        </w:rPr>
      </w:pPr>
    </w:p>
    <w:p>
      <w:pPr>
        <w:ind w:right="2459" w:firstLine="387"/>
        <w:spacing w:after="0" w:line="247" w:lineRule="auto"/>
        <w:tabs>
          <w:tab w:leader="none" w:pos="7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85" w:lineRule="exact"/>
        <w:rPr>
          <w:rFonts w:ascii="Courier New" w:cs="Courier New" w:eastAsia="Courier New" w:hAnsi="Courier New"/>
          <w:sz w:val="16"/>
          <w:szCs w:val="16"/>
          <w:color w:val="auto"/>
        </w:rPr>
      </w:pPr>
    </w:p>
    <w:p>
      <w:pPr>
        <w:ind w:right="2459" w:firstLine="387"/>
        <w:spacing w:after="0" w:line="246" w:lineRule="auto"/>
        <w:tabs>
          <w:tab w:leader="none" w:pos="7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the Company or any of its Subsidiaries or their respective affiliates); or</w:t>
      </w:r>
    </w:p>
    <w:p>
      <w:pPr>
        <w:spacing w:after="0" w:line="190" w:lineRule="exact"/>
        <w:rPr>
          <w:rFonts w:ascii="Courier New" w:cs="Courier New" w:eastAsia="Courier New" w:hAnsi="Courier New"/>
          <w:sz w:val="16"/>
          <w:szCs w:val="16"/>
          <w:color w:val="auto"/>
        </w:rPr>
      </w:pPr>
    </w:p>
    <w:p>
      <w:pPr>
        <w:ind w:right="2659" w:firstLine="387"/>
        <w:spacing w:after="0" w:line="247" w:lineRule="auto"/>
        <w:tabs>
          <w:tab w:leader="none" w:pos="7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85" w:lineRule="exact"/>
        <w:rPr>
          <w:rFonts w:ascii="Courier New" w:cs="Courier New" w:eastAsia="Courier New" w:hAnsi="Courier New"/>
          <w:sz w:val="16"/>
          <w:szCs w:val="16"/>
          <w:color w:val="auto"/>
        </w:rPr>
      </w:pPr>
    </w:p>
    <w:p>
      <w:pPr>
        <w:ind w:right="2459" w:firstLine="387"/>
        <w:spacing w:after="0" w:line="247" w:lineRule="auto"/>
        <w:tabs>
          <w:tab w:leader="none" w:pos="7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(including judgment liens) arising in connection with legal proceedings so long as such proceedings are being contested in good faith and, in the case of judgment liens, execution thereon is stayed; or</w:t>
      </w:r>
    </w:p>
    <w:p>
      <w:pPr>
        <w:spacing w:after="0" w:line="185" w:lineRule="exact"/>
        <w:rPr>
          <w:rFonts w:ascii="Courier New" w:cs="Courier New" w:eastAsia="Courier New" w:hAnsi="Courier New"/>
          <w:sz w:val="16"/>
          <w:szCs w:val="16"/>
          <w:color w:val="auto"/>
        </w:rPr>
      </w:pPr>
    </w:p>
    <w:p>
      <w:pPr>
        <w:ind w:right="2659" w:firstLine="387"/>
        <w:spacing w:after="0" w:line="248" w:lineRule="auto"/>
        <w:tabs>
          <w:tab w:leader="none" w:pos="7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liens on fixtures located on premises leased by the Company or any Restricted Subsidiary in the ordinary course of business; or</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89" w:right="1440" w:bottom="1440" w:gutter="0" w:footer="0" w:header="0"/>
        </w:sectPr>
      </w:pPr>
    </w:p>
    <w:bookmarkStart w:id="22" w:name="page23"/>
    <w:bookmarkEnd w:id="22"/>
    <w:p>
      <w:pPr>
        <w:ind w:right="2959" w:firstLine="387"/>
        <w:spacing w:after="0" w:line="247" w:lineRule="auto"/>
        <w:tabs>
          <w:tab w:leader="none" w:pos="77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in favor of any governmental authority in connection with the financing of the cost of construction or acquisition of property; or</w:t>
      </w:r>
    </w:p>
    <w:p>
      <w:pPr>
        <w:spacing w:after="0" w:line="185" w:lineRule="exact"/>
        <w:rPr>
          <w:rFonts w:ascii="Courier New" w:cs="Courier New" w:eastAsia="Courier New" w:hAnsi="Courier New"/>
          <w:sz w:val="16"/>
          <w:szCs w:val="16"/>
          <w:color w:val="auto"/>
        </w:rPr>
      </w:pPr>
    </w:p>
    <w:p>
      <w:pPr>
        <w:ind w:right="3039" w:firstLine="387"/>
        <w:spacing w:after="0" w:line="247" w:lineRule="auto"/>
        <w:tabs>
          <w:tab w:leader="none" w:pos="77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to qualify the Company or any Restricted Subsidiary to conduct business, to maintain self-insurance, or to obtain the benefit of, or comply with, laws; or</w:t>
      </w:r>
    </w:p>
    <w:p>
      <w:pPr>
        <w:spacing w:after="0" w:line="185" w:lineRule="exact"/>
        <w:rPr>
          <w:rFonts w:ascii="Courier New" w:cs="Courier New" w:eastAsia="Courier New" w:hAnsi="Courier New"/>
          <w:sz w:val="16"/>
          <w:szCs w:val="16"/>
          <w:color w:val="auto"/>
        </w:rPr>
      </w:pPr>
    </w:p>
    <w:p>
      <w:pPr>
        <w:ind w:right="2959" w:firstLine="387"/>
        <w:spacing w:after="0" w:line="247" w:lineRule="auto"/>
        <w:tabs>
          <w:tab w:leader="none" w:pos="77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that secures any Indebtedness of a Restricted Subsidiary owing to the Company or another Restricted Subsidiary or by the Company to a Restricted Subsidiary, or</w:t>
      </w:r>
    </w:p>
    <w:p>
      <w:pPr>
        <w:spacing w:after="0" w:line="185" w:lineRule="exact"/>
        <w:rPr>
          <w:rFonts w:ascii="Courier New" w:cs="Courier New" w:eastAsia="Courier New" w:hAnsi="Courier New"/>
          <w:sz w:val="16"/>
          <w:szCs w:val="16"/>
          <w:color w:val="auto"/>
        </w:rPr>
      </w:pPr>
    </w:p>
    <w:p>
      <w:pPr>
        <w:ind w:right="2859" w:firstLine="290"/>
        <w:spacing w:after="0" w:line="248" w:lineRule="auto"/>
        <w:tabs>
          <w:tab w:leader="none" w:pos="77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incurred in connection with pollution control, sewage or solid waste disposal, industrial revenue or similar financing; or</w:t>
      </w:r>
    </w:p>
    <w:p>
      <w:pPr>
        <w:spacing w:after="0" w:line="184" w:lineRule="exact"/>
        <w:rPr>
          <w:rFonts w:ascii="Courier New" w:cs="Courier New" w:eastAsia="Courier New" w:hAnsi="Courier New"/>
          <w:sz w:val="16"/>
          <w:szCs w:val="16"/>
          <w:color w:val="auto"/>
        </w:rPr>
      </w:pPr>
    </w:p>
    <w:p>
      <w:pPr>
        <w:ind w:right="2459" w:firstLine="290"/>
        <w:spacing w:after="0" w:line="246" w:lineRule="auto"/>
        <w:tabs>
          <w:tab w:leader="none" w:pos="77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created by any program providing for the financing, sale or other disposition of trade or other receivables qualified as current assets in accordance with United States generally accepted accounting principles entered into by the Company or by any Restricted Subsidiary, provided that such program is on terms comparable for similar transactions, or any document executed by the Company or any Restricted Subsidiary in connection therewith, and provided that such Security Interest is limited to the trade or other receivables in respect of which such program is created or exists and the proceeds thereof, or</w:t>
      </w:r>
    </w:p>
    <w:p>
      <w:pPr>
        <w:spacing w:after="0" w:line="191" w:lineRule="exact"/>
        <w:rPr>
          <w:rFonts w:ascii="Courier New" w:cs="Courier New" w:eastAsia="Courier New" w:hAnsi="Courier New"/>
          <w:sz w:val="16"/>
          <w:szCs w:val="16"/>
          <w:color w:val="auto"/>
        </w:rPr>
      </w:pPr>
    </w:p>
    <w:p>
      <w:pPr>
        <w:ind w:right="2459" w:firstLine="290"/>
        <w:spacing w:after="0" w:line="247" w:lineRule="auto"/>
        <w:tabs>
          <w:tab w:leader="none" w:pos="77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Notwithstanding the foregoing provisions, the Company or any of its Restricted Subsidiaries may create, incur, assume or suffer to exist any Indebtedness secured by a Security Interest without so securing the Senior Debt Securities of that series if, at the time such Security Interest becomes a Security Interest upon any Principal Property of the Company or such Restricted Subsidiary and after giving effect thereto, the aggregate outstanding principal amount of all Indebtedness of the Company and its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clause (1) (a) above, other Sale and Leaseback Transactions the proceeds of which have been applied or committed to be applied in accordance with the covenant described in "--Provisions Applicable Solely to Senior Debt Securities--Limitations on Sale and Leaseback Transactions" and other than Sale and Leaseback Transactions between the Company and any Restricted Subsidiary) does not exceed 15% of Consolidated Net Tangible Assets. (Section 1008 of the Senior Debt Indenture)</w:t>
      </w:r>
    </w:p>
    <w:p>
      <w:pPr>
        <w:spacing w:after="0" w:line="197" w:lineRule="exact"/>
        <w:rPr>
          <w:sz w:val="20"/>
          <w:szCs w:val="20"/>
          <w:color w:val="auto"/>
        </w:rPr>
      </w:pPr>
    </w:p>
    <w:p>
      <w:pPr>
        <w:ind w:right="2459" w:firstLine="387"/>
        <w:spacing w:after="0" w:line="246" w:lineRule="auto"/>
        <w:tabs>
          <w:tab w:leader="none" w:pos="7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upon any consolidation or merger of any Restricted Subsidiary with or into any other corporation, or upon any consolidation or merger of any other corporation with or into the Company or any Restricted Subsidiary or upon any sale or conveyance of the Principal Property of any Restricted Subsidiary as an entirety or substantially as an entirety to any other Person, or upon any acquisition by the Company or any Restricted Subsidiary by purchase or otherwise of all or any part of the Principal Property of any other Person, any Principal Property theretofore owned by the Company or such Restricted Subsidiary would thereupon become subject to any Security Interest not permitted by the terms of the foregoing covenant, the Company,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the Company or such Restricted Subsidiary then entitled thereto) by a direct lien on all such Principal Property</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89" w:right="1440" w:bottom="1440" w:gutter="0" w:footer="0" w:header="0"/>
        </w:sectPr>
      </w:pPr>
    </w:p>
    <w:bookmarkStart w:id="23" w:name="page24"/>
    <w:bookmarkEnd w:id="23"/>
    <w:p>
      <w:pPr>
        <w:ind w:left="1" w:right="2459"/>
        <w:spacing w:after="0" w:line="248" w:lineRule="auto"/>
        <w:rPr>
          <w:sz w:val="20"/>
          <w:szCs w:val="20"/>
          <w:color w:val="auto"/>
        </w:rPr>
      </w:pPr>
      <w:r>
        <w:rPr>
          <w:rFonts w:ascii="Courier New" w:cs="Courier New" w:eastAsia="Courier New" w:hAnsi="Courier New"/>
          <w:sz w:val="16"/>
          <w:szCs w:val="16"/>
          <w:color w:val="auto"/>
        </w:rPr>
        <w:t>prior to all liens other than any liens theretofore existing thereon by a supplemental indenture or otherwise. (Section 1008 of the Senior Debt Indenture)</w:t>
      </w:r>
    </w:p>
    <w:p>
      <w:pPr>
        <w:spacing w:after="0" w:line="184" w:lineRule="exact"/>
        <w:rPr>
          <w:sz w:val="20"/>
          <w:szCs w:val="20"/>
          <w:color w:val="auto"/>
        </w:rPr>
      </w:pPr>
    </w:p>
    <w:p>
      <w:pPr>
        <w:ind w:left="1" w:right="2659" w:firstLine="388"/>
        <w:spacing w:after="0" w:line="247" w:lineRule="auto"/>
        <w:rPr>
          <w:sz w:val="20"/>
          <w:szCs w:val="20"/>
          <w:color w:val="auto"/>
        </w:rPr>
      </w:pPr>
      <w:r>
        <w:rPr>
          <w:rFonts w:ascii="Courier New" w:cs="Courier New" w:eastAsia="Courier New" w:hAnsi="Courier New"/>
          <w:sz w:val="16"/>
          <w:szCs w:val="16"/>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186"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The Company will not, and will not permit a Restricted Subsidiary to, enter into any arrangement with any Person (other than with any Restricted Subsidiary) providing for the leasing to the Company or any Restricted Subsidiary of any Principal Property owned or hereafter acquired by the Company or such Restricted Subsidiary (except for temporary leases for a term, including any renewal thereof, of not more than three years and except for leases between the Company and a Restricted Subsidiary or between Restricted Subsidiaries), which Principal Property has been or is to be sold or transferred by the Company or such Restricted Subsidiary to such person (a "Sale and Leaseback Transaction") unless</w:t>
      </w:r>
    </w:p>
    <w:p>
      <w:pPr>
        <w:spacing w:after="0" w:line="5" w:lineRule="exact"/>
        <w:rPr>
          <w:sz w:val="20"/>
          <w:szCs w:val="20"/>
          <w:color w:val="auto"/>
        </w:rPr>
      </w:pPr>
    </w:p>
    <w:p>
      <w:pPr>
        <w:ind w:left="1" w:right="2459" w:hanging="1"/>
        <w:spacing w:after="0" w:line="246" w:lineRule="auto"/>
        <w:tabs>
          <w:tab w:leader="none" w:pos="38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such Restricted Subsidiary would be entitled, pursuant to the covenant described in "--Provisions Applicable Solely to Senior Debt Securities--Limitation on Liens," to incur Indebtedness secured by a Security Interest on the property to be leased without equally and ratably securing the Senior Debt Securities of that series, or (b) the Company shall, and in any such case the Company covenants that it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the Company which ranks senior to or pari passu with the Senior Debt Securities of that series or of funded debt for money borrowed, incurred or assumed by any Restricted Subsidiary (other than, in either case, funded debt owed by the Company or any Restricted Subsidiary), or (c) the Company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383"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Notwithstanding the foregoing, the Company may, and may permit any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Restricted Subsidiary to, effect any Sale and Leaseback Transaction that is not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acceptable pursuant to clauses (a) through (c), inclusive, of the foregoing</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covenant, provided that the Attributable Debt associated with such Sale and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Leaseback Transaction, together with the aggregate principal amount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outstanding debt secured by Security Interests upon Principal Property not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acceptable pursuant to clauses (1) through (12) of the covenant described in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"--Provisions Applicable Solely to Senior Debt Securities--Limitation on Liens,"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inclusive, do not exceed 15% of Consolidated Net Tangible Assets. (Section 1009</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the Senior Debt Indenture)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PROVISIONS APPLICABLE SOLELY TO SUBORDINATED DEBT SECURITIES</w:t>
      </w:r>
    </w:p>
    <w:p>
      <w:pPr>
        <w:spacing w:after="0" w:line="191" w:lineRule="exact"/>
        <w:rPr>
          <w:sz w:val="20"/>
          <w:szCs w:val="20"/>
          <w:color w:val="auto"/>
        </w:rPr>
      </w:pPr>
    </w:p>
    <w:p>
      <w:pPr>
        <w:ind w:left="1" w:right="2559" w:firstLine="388"/>
        <w:spacing w:after="0" w:line="246" w:lineRule="auto"/>
        <w:rPr>
          <w:sz w:val="20"/>
          <w:szCs w:val="20"/>
          <w:color w:val="auto"/>
        </w:rPr>
      </w:pPr>
      <w:r>
        <w:rPr>
          <w:rFonts w:ascii="Courier New" w:cs="Courier New" w:eastAsia="Courier New" w:hAnsi="Courier New"/>
          <w:sz w:val="16"/>
          <w:szCs w:val="16"/>
          <w:color w:val="auto"/>
        </w:rPr>
        <w:t>CONSOLIDATION, MERGER, SALE. The Subordinated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organized and validly existing under the laws of the United States of America,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on the part of the Company to be performed or observed; and (2) immediately after giving effect to such transaction and treating any indebtedness which becomes an obligation of the Company or a Subsidiary as a result of such transaction as having been</w:t>
      </w:r>
    </w:p>
    <w:p>
      <w:pPr>
        <w:spacing w:after="0" w:line="197"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0"/>
          </w:cols>
          <w:pgMar w:left="239" w:top="489" w:right="1440" w:bottom="1440" w:gutter="0" w:footer="0" w:header="0"/>
        </w:sectPr>
      </w:pPr>
    </w:p>
    <w:bookmarkStart w:id="24" w:name="page25"/>
    <w:bookmarkEnd w:id="24"/>
    <w:p>
      <w:pPr>
        <w:ind w:right="2459"/>
        <w:spacing w:after="0" w:line="246" w:lineRule="auto"/>
        <w:rPr>
          <w:sz w:val="20"/>
          <w:szCs w:val="20"/>
          <w:color w:val="auto"/>
        </w:rPr>
      </w:pPr>
      <w:r>
        <w:rPr>
          <w:rFonts w:ascii="Courier New" w:cs="Courier New" w:eastAsia="Courier New" w:hAnsi="Courier New"/>
          <w:sz w:val="16"/>
          <w:szCs w:val="16"/>
          <w:color w:val="auto"/>
        </w:rPr>
        <w:t>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Subordinated Debt Indenture with the same effect as if such successor Person had been named as the Company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194"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EVENT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186" w:lineRule="exact"/>
        <w:rPr>
          <w:sz w:val="20"/>
          <w:szCs w:val="20"/>
          <w:color w:val="auto"/>
        </w:rPr>
      </w:pPr>
    </w:p>
    <w:p>
      <w:pPr>
        <w:ind w:right="2459" w:firstLine="387"/>
        <w:spacing w:after="0" w:line="247" w:lineRule="auto"/>
        <w:tabs>
          <w:tab w:leader="none" w:pos="77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Subordinated Debt Security of that series when it becomes due and payable, and continuance of such default for a period of 30 days; or</w:t>
      </w:r>
    </w:p>
    <w:p>
      <w:pPr>
        <w:spacing w:after="0" w:line="185" w:lineRule="exact"/>
        <w:rPr>
          <w:rFonts w:ascii="Courier New" w:cs="Courier New" w:eastAsia="Courier New" w:hAnsi="Courier New"/>
          <w:sz w:val="16"/>
          <w:szCs w:val="16"/>
          <w:color w:val="auto"/>
        </w:rPr>
      </w:pPr>
    </w:p>
    <w:p>
      <w:pPr>
        <w:ind w:right="2559" w:firstLine="387"/>
        <w:spacing w:after="0" w:line="247" w:lineRule="auto"/>
        <w:tabs>
          <w:tab w:leader="none" w:pos="77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185" w:lineRule="exact"/>
        <w:rPr>
          <w:rFonts w:ascii="Courier New" w:cs="Courier New" w:eastAsia="Courier New" w:hAnsi="Courier New"/>
          <w:sz w:val="16"/>
          <w:szCs w:val="16"/>
          <w:color w:val="auto"/>
        </w:rPr>
      </w:pPr>
    </w:p>
    <w:p>
      <w:pPr>
        <w:ind w:right="2659" w:firstLine="387"/>
        <w:spacing w:after="0" w:line="248" w:lineRule="auto"/>
        <w:tabs>
          <w:tab w:leader="none" w:pos="77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Subordinated Debt Security of that series; or</w:t>
      </w:r>
    </w:p>
    <w:p>
      <w:pPr>
        <w:spacing w:after="0" w:line="184" w:lineRule="exact"/>
        <w:rPr>
          <w:rFonts w:ascii="Courier New" w:cs="Courier New" w:eastAsia="Courier New" w:hAnsi="Courier New"/>
          <w:sz w:val="16"/>
          <w:szCs w:val="16"/>
          <w:color w:val="auto"/>
        </w:rPr>
      </w:pPr>
    </w:p>
    <w:p>
      <w:pPr>
        <w:ind w:right="2459" w:firstLine="387"/>
        <w:spacing w:after="0" w:line="246" w:lineRule="auto"/>
        <w:tabs>
          <w:tab w:leader="none" w:pos="77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other covenant or warranty of the Company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193" w:lineRule="exact"/>
        <w:rPr>
          <w:rFonts w:ascii="Courier New" w:cs="Courier New" w:eastAsia="Courier New" w:hAnsi="Courier New"/>
          <w:sz w:val="16"/>
          <w:szCs w:val="16"/>
          <w:color w:val="auto"/>
        </w:rPr>
      </w:pPr>
    </w:p>
    <w:p>
      <w:pPr>
        <w:ind w:right="2459" w:firstLine="387"/>
        <w:spacing w:after="0" w:line="246" w:lineRule="auto"/>
        <w:tabs>
          <w:tab w:leader="none" w:pos="77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89" w:right="1440" w:bottom="1440" w:gutter="0" w:footer="0" w:header="0"/>
        </w:sectPr>
      </w:pPr>
    </w:p>
    <w:bookmarkStart w:id="25" w:name="page26"/>
    <w:bookmarkEnd w:id="25"/>
    <w:p>
      <w:pPr>
        <w:ind w:right="2459" w:firstLine="387"/>
        <w:spacing w:after="0" w:line="246" w:lineRule="auto"/>
        <w:tabs>
          <w:tab w:leader="none" w:pos="77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5" w:lineRule="exact"/>
        <w:rPr>
          <w:rFonts w:ascii="Courier New" w:cs="Courier New" w:eastAsia="Courier New" w:hAnsi="Courier New"/>
          <w:sz w:val="16"/>
          <w:szCs w:val="16"/>
          <w:color w:val="auto"/>
        </w:rPr>
      </w:pPr>
    </w:p>
    <w:p>
      <w:pPr>
        <w:ind w:right="2759" w:firstLine="387"/>
        <w:spacing w:after="0" w:line="248" w:lineRule="auto"/>
        <w:tabs>
          <w:tab w:leader="none" w:pos="77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Subordinated Debt Securities of that series. (Section 501 of the Subordinated Debt Indenture)</w:t>
      </w:r>
    </w:p>
    <w:p>
      <w:pPr>
        <w:spacing w:after="0" w:line="18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the Company and the Trustee, may rescind and annul such declaration and its consequences if: (1) the Company has paid or deposited with the Trustee a sum sufficient to pay (A) all overdue interest on all Subordinated Debt Securities of that series, (B) the principal of (and premium, if any, on) any Subordinated Debt Securities of that series which has become due otherwise than by such declaration of acceleration and any interest thereon at the rate or rates prescribed therefor in such Subordinated Debt Securities, (C) to the extent that payment of such interest is lawful, interest upon overdue interest at the rate or rates prescribed therefor in such Subordinated Debt Securities, and (D) all sums paid or advanced by the Trustee hereunder and the reasonable compensation, expenses, disbursements and advances of the Trustee, its agents and counsel; and (2) 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 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the Company,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1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89" w:right="1440" w:bottom="1440" w:gutter="0" w:footer="0" w:header="0"/>
        </w:sectPr>
      </w:pPr>
    </w:p>
    <w:bookmarkStart w:id="26" w:name="page27"/>
    <w:bookmarkEnd w:id="26"/>
    <w:p>
      <w:pPr>
        <w:ind w:right="2459"/>
        <w:spacing w:after="0" w:line="246" w:lineRule="auto"/>
        <w:rPr>
          <w:sz w:val="20"/>
          <w:szCs w:val="20"/>
          <w:color w:val="auto"/>
        </w:rPr>
      </w:pPr>
      <w:r>
        <w:rPr>
          <w:rFonts w:ascii="Courier New" w:cs="Courier New" w:eastAsia="Courier New" w:hAnsi="Courier New"/>
          <w:sz w:val="16"/>
          <w:szCs w:val="16"/>
          <w:color w:val="auto"/>
        </w:rPr>
        <w:t>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 (1) such Holder has previously given written notice to the Trustee of a continuing Event of Default with respect to the Subordinated Debt Securities of that series; (2) 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Subordinated Debt Securities of that series. (Section 507 of the Subordinated Debt Indenture) 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20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200"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89" w:right="1440" w:bottom="1440" w:gutter="0" w:footer="0" w:header="0"/>
        </w:sectPr>
      </w:pPr>
    </w:p>
    <w:bookmarkStart w:id="27" w:name="page28"/>
    <w:bookmarkEnd w:id="27"/>
    <w:p>
      <w:pPr>
        <w:ind w:right="2459" w:firstLine="388"/>
        <w:spacing w:after="0" w:line="246" w:lineRule="auto"/>
        <w:rPr>
          <w:sz w:val="20"/>
          <w:szCs w:val="20"/>
          <w:color w:val="auto"/>
        </w:rPr>
      </w:pPr>
      <w:r>
        <w:rPr>
          <w:rFonts w:ascii="Courier New" w:cs="Courier New" w:eastAsia="Courier New" w:hAnsi="Courier New"/>
          <w:sz w:val="16"/>
          <w:szCs w:val="16"/>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 (i) 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 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200"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the Company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Subordinated Debt Securities under the Subordinated Debt Indenture caused by a change in exchange rates between the time the amount of a judgment against the Company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the Company on the claim or claims underlying such judgment. (Section 506 of the Subordinated Debt Indenture)</w:t>
      </w:r>
    </w:p>
    <w:p>
      <w:pPr>
        <w:spacing w:after="0" w:line="197"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Company is required to furnish to the Trustee annually a statement as to the compliance by the Company with all conditions and covenants under the Subordinated Debt Indenture. (Section 1007 of the Subordinated Debt Indenture)</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89"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Subordinated Debt Securities or otherwise made in capital stock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(Sections 1601, 1604 and 1605 of the Subordinated Debt Indenture)</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businesses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20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If (i) without the consent of the Company a court having jurisdiction shall enter (A) an order for relief with respect to the Company under the United States federal bankruptcy laws, (B) a judgment, order or decree adjudging the Company a bankrupt or insolvent, or (C) an order for relief for reorganization, arrangement, adjustment or 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the Company or of substantially all of its property, or the Company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w:t>
      </w:r>
    </w:p>
    <w:p>
      <w:pPr>
        <w:spacing w:after="0" w:line="20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89" w:right="1440" w:bottom="1440" w:gutter="0" w:footer="0" w:header="0"/>
        </w:sectPr>
      </w:pPr>
    </w:p>
    <w:bookmarkStart w:id="29" w:name="page30"/>
    <w:bookmarkEnd w:id="29"/>
    <w:p>
      <w:pPr>
        <w:ind w:right="2459"/>
        <w:spacing w:after="0" w:line="246" w:lineRule="auto"/>
        <w:rPr>
          <w:sz w:val="20"/>
          <w:szCs w:val="20"/>
          <w:color w:val="auto"/>
        </w:rPr>
      </w:pPr>
      <w:r>
        <w:rPr>
          <w:rFonts w:ascii="Courier New" w:cs="Courier New" w:eastAsia="Courier New" w:hAnsi="Courier New"/>
          <w:sz w:val="16"/>
          <w:szCs w:val="16"/>
          <w:color w:val="auto"/>
        </w:rPr>
        <w:t>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other obligations of the Company ranking on a parity with the Subordinated Debt Securities, will be entitled to be repaid from the remaining assets of the Company the amounts at that time due and owing on account of unpaid principal of and any premium and interest on the Subordinated Debt Securities and such other obligations before any payment or other distribution, whether in cash, property or otherwise, shall be made on account of any capital stock or obligations of the Company ranking junior to the Subordinated Debt Securities and such other obligations. (Section 1601 of the Subordinated Debt Indenture)</w:t>
      </w:r>
    </w:p>
    <w:p>
      <w:pPr>
        <w:spacing w:after="0" w:line="20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the Company and its creditors other than the holders of such Senior Indebtedness, on the one hand, and such Holders, on the other hand, be deemed to be a payment by the Company on account of such Senior Indebtedness, and not on account of the Subordinated Debt Securities of such series. (Section 1601 of the Subordinated Debt Indenture)</w:t>
      </w:r>
    </w:p>
    <w:p>
      <w:pPr>
        <w:spacing w:after="0" w:line="195" w:lineRule="exact"/>
        <w:rPr>
          <w:sz w:val="20"/>
          <w:szCs w:val="20"/>
          <w:color w:val="auto"/>
        </w:rPr>
      </w:pPr>
    </w:p>
    <w:p>
      <w:pPr>
        <w:ind w:right="2959" w:firstLine="388"/>
        <w:spacing w:after="0" w:line="247" w:lineRule="auto"/>
        <w:rPr>
          <w:sz w:val="20"/>
          <w:szCs w:val="20"/>
          <w:color w:val="auto"/>
        </w:rPr>
      </w:pPr>
      <w:r>
        <w:rPr>
          <w:rFonts w:ascii="Courier New" w:cs="Courier New" w:eastAsia="Courier New" w:hAnsi="Courier New"/>
          <w:sz w:val="16"/>
          <w:szCs w:val="16"/>
          <w:color w:val="auto"/>
        </w:rPr>
        <w:t>The Prospectus Supplement respecting any series of Subordinated Debt Securities's will set forth any subordination provisions applicable to such series in addition to or different from those described above.</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By reason of such subordination, in the event of a liquidation, bankruptcy, reorganization, insolvency, receivership or similar proceeding involving the Company or an assignment for the benefit of creditors of the Company or any of its Subsidiaries or a marshaling of assets or liabilities of the Company and its Subsidiaries, 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193" w:lineRule="exact"/>
        <w:rPr>
          <w:sz w:val="20"/>
          <w:szCs w:val="20"/>
          <w:color w:val="auto"/>
        </w:rPr>
      </w:pPr>
    </w:p>
    <w:p>
      <w:pPr>
        <w:ind w:right="2759" w:firstLine="388"/>
        <w:spacing w:after="0" w:line="247" w:lineRule="auto"/>
        <w:rPr>
          <w:sz w:val="20"/>
          <w:szCs w:val="20"/>
          <w:color w:val="auto"/>
        </w:rPr>
      </w:pPr>
      <w:r>
        <w:rPr>
          <w:rFonts w:ascii="Courier New" w:cs="Courier New" w:eastAsia="Courier New" w:hAnsi="Courier New"/>
          <w:sz w:val="16"/>
          <w:szCs w:val="16"/>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489" w:right="1440" w:bottom="1440" w:gutter="0" w:footer="0" w:header="0"/>
        </w:sectPr>
      </w:pPr>
    </w:p>
    <w:bookmarkStart w:id="30" w:name="page31"/>
    <w:bookmarkEnd w:id="30"/>
    <w:p>
      <w:pPr>
        <w:ind w:right="3239"/>
        <w:spacing w:after="0" w:line="248" w:lineRule="auto"/>
        <w:rPr>
          <w:sz w:val="20"/>
          <w:szCs w:val="20"/>
          <w:color w:val="auto"/>
        </w:rPr>
      </w:pPr>
      <w:r>
        <w:rPr>
          <w:rFonts w:ascii="Courier New" w:cs="Courier New" w:eastAsia="Courier New" w:hAnsi="Courier New"/>
          <w:sz w:val="16"/>
          <w:szCs w:val="16"/>
          <w:color w:val="auto"/>
        </w:rPr>
        <w:t>Subordinated Debt Securities unless otherwise provided in the applicable Prospectus Supplement for such Debt Securities.</w:t>
      </w:r>
    </w:p>
    <w:p>
      <w:pPr>
        <w:spacing w:after="0" w:line="18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Liddell, Sapp, Zivley, Hill &amp; LaBoon,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01"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19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In the case of any consolidation or merger of the Company (with certain exceptions) or any conveyance, transfer or lease of the properties and assets of the Company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89" w:right="1440" w:bottom="1440" w:gutter="0" w:footer="0" w:header="0"/>
        </w:sectPr>
      </w:pPr>
    </w:p>
    <w:bookmarkStart w:id="31" w:name="page32"/>
    <w:bookmarkEnd w:id="31"/>
    <w:p>
      <w:pPr>
        <w:ind w:right="2459"/>
        <w:spacing w:after="0" w:line="248" w:lineRule="auto"/>
        <w:rPr>
          <w:sz w:val="20"/>
          <w:szCs w:val="20"/>
          <w:color w:val="auto"/>
        </w:rPr>
      </w:pPr>
      <w:r>
        <w:rPr>
          <w:rFonts w:ascii="Courier New" w:cs="Courier New" w:eastAsia="Courier New" w:hAnsi="Courier New"/>
          <w:sz w:val="16"/>
          <w:szCs w:val="16"/>
          <w:color w:val="auto"/>
        </w:rPr>
        <w:t>Securities immediately prior to such consolidation, merger, conveyance, transfer or lease. (Section 1505 of the Subordinated Debt Indenture)</w:t>
      </w:r>
    </w:p>
    <w:p>
      <w:pPr>
        <w:spacing w:after="0" w:line="184"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DESCRIPTION OF CAPITAL STOCK</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Company is currently authorized to issue 500,000,000 shares of its Common Stock, par value $.01 per share, of which 219,811,065 shares were outstanding on March 31, 1998 and 10,000,000 shares of Preferred Stock, par value $.01 per share (the "Preferred Stock"), none of which were outstanding on such date.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85"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Holders of Common Stock have no conversion, redemption or preemptive rights. All outstanding shares of Common Stock are, and the Common Stock to be issued hereunder will be, validly issued, fully paid and nonassessable.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BUT UNISSUED SHARES</w:t>
      </w:r>
    </w:p>
    <w:p>
      <w:pPr>
        <w:spacing w:after="0" w:line="191" w:lineRule="exact"/>
        <w:rPr>
          <w:sz w:val="20"/>
          <w:szCs w:val="20"/>
          <w:color w:val="auto"/>
        </w:rPr>
      </w:pPr>
    </w:p>
    <w:p>
      <w:pPr>
        <w:ind w:right="2859" w:firstLine="388"/>
        <w:spacing w:after="0" w:line="247" w:lineRule="auto"/>
        <w:rPr>
          <w:sz w:val="20"/>
          <w:szCs w:val="20"/>
          <w:color w:val="auto"/>
        </w:rPr>
      </w:pPr>
      <w:r>
        <w:rPr>
          <w:rFonts w:ascii="Courier New" w:cs="Courier New" w:eastAsia="Courier New" w:hAnsi="Courier New"/>
          <w:sz w:val="16"/>
          <w:szCs w:val="16"/>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91" w:lineRule="exact"/>
        <w:rPr>
          <w:sz w:val="20"/>
          <w:szCs w:val="20"/>
          <w:color w:val="auto"/>
        </w:rPr>
      </w:pPr>
    </w:p>
    <w:p>
      <w:pPr>
        <w:ind w:right="2659" w:firstLine="388"/>
        <w:spacing w:after="0" w:line="248" w:lineRule="auto"/>
        <w:rPr>
          <w:sz w:val="20"/>
          <w:szCs w:val="20"/>
          <w:color w:val="auto"/>
        </w:rPr>
      </w:pPr>
      <w:r>
        <w:rPr>
          <w:rFonts w:ascii="Courier New" w:cs="Courier New" w:eastAsia="Courier New" w:hAnsi="Courier New"/>
          <w:sz w:val="16"/>
          <w:szCs w:val="16"/>
          <w:color w:val="auto"/>
        </w:rPr>
        <w:t>The transfer agent and registrar for the Common Stock is Boston EquiServe, Boston, Massachusetts.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ANTI-TAKEOVER LAW</w:t>
      </w:r>
    </w:p>
    <w:p>
      <w:pPr>
        <w:spacing w:after="0" w:line="191" w:lineRule="exact"/>
        <w:rPr>
          <w:sz w:val="20"/>
          <w:szCs w:val="20"/>
          <w:color w:val="auto"/>
        </w:rPr>
      </w:pPr>
    </w:p>
    <w:p>
      <w:pPr>
        <w:jc w:val="both"/>
        <w:ind w:right="2859" w:firstLine="388"/>
        <w:spacing w:after="0" w:line="247" w:lineRule="auto"/>
        <w:rPr>
          <w:sz w:val="20"/>
          <w:szCs w:val="20"/>
          <w:color w:val="auto"/>
        </w:rPr>
      </w:pPr>
      <w:r>
        <w:rPr>
          <w:rFonts w:ascii="Courier New" w:cs="Courier New" w:eastAsia="Courier New" w:hAnsi="Courier New"/>
          <w:sz w:val="16"/>
          <w:szCs w:val="16"/>
          <w:color w:val="auto"/>
        </w:rPr>
        <w:t>Section 203 of the DGCL ("Section 203") generally provides that a person who, together with affiliates and associates owns, or within three years did own, at least 15% but less than 85% of the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489" w:right="1440" w:bottom="1440" w:gutter="0" w:footer="0" w:header="0"/>
        </w:sectPr>
      </w:pPr>
    </w:p>
    <w:bookmarkStart w:id="32" w:name="page33"/>
    <w:bookmarkEnd w:id="32"/>
    <w:p>
      <w:pPr>
        <w:ind w:right="2459"/>
        <w:spacing w:after="0" w:line="246" w:lineRule="auto"/>
        <w:rPr>
          <w:sz w:val="20"/>
          <w:szCs w:val="20"/>
          <w:color w:val="auto"/>
        </w:rPr>
      </w:pPr>
      <w:r>
        <w:rPr>
          <w:rFonts w:ascii="Courier New" w:cs="Courier New" w:eastAsia="Courier New" w:hAnsi="Courier New"/>
          <w:sz w:val="16"/>
          <w:szCs w:val="16"/>
          <w:color w:val="auto"/>
        </w:rPr>
        <w:t>outstanding voting stock of a corporation subject to the statute (an "Interested Stockholder") may not engage in certain business combinations with the corporation for a period of three years after the date on which the person became an Interested Stockholder unless (i) 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94"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provisions of Section 203, combined with the Board of Directors'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192"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PLAN OF DISTRIBUTION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right="2659" w:firstLine="388"/>
        <w:spacing w:after="0" w:line="248" w:lineRule="auto"/>
        <w:rPr>
          <w:sz w:val="20"/>
          <w:szCs w:val="20"/>
          <w:color w:val="auto"/>
        </w:rPr>
      </w:pPr>
      <w:r>
        <w:rPr>
          <w:rFonts w:ascii="Courier New" w:cs="Courier New" w:eastAsia="Courier New" w:hAnsi="Courier New"/>
          <w:sz w:val="16"/>
          <w:szCs w:val="16"/>
          <w:color w:val="auto"/>
        </w:rPr>
        <w:t>The Company may sell Securities to or through underwriters or dealers, and also may sell Securities directly to other purchasers or through agents.</w:t>
      </w:r>
    </w:p>
    <w:p>
      <w:pPr>
        <w:spacing w:after="0" w:line="184"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applicable Prospectus Supplement.</w:t>
      </w:r>
    </w:p>
    <w:p>
      <w:pPr>
        <w:spacing w:after="0" w:line="193"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185" w:lineRule="exact"/>
        <w:rPr>
          <w:sz w:val="20"/>
          <w:szCs w:val="20"/>
          <w:color w:val="auto"/>
        </w:rPr>
      </w:pPr>
    </w:p>
    <w:p>
      <w:pPr>
        <w:ind w:right="2859" w:firstLine="388"/>
        <w:spacing w:after="0" w:line="247" w:lineRule="auto"/>
        <w:rPr>
          <w:sz w:val="20"/>
          <w:szCs w:val="20"/>
          <w:color w:val="auto"/>
        </w:rPr>
      </w:pPr>
      <w:r>
        <w:rPr>
          <w:rFonts w:ascii="Courier New" w:cs="Courier New" w:eastAsia="Courier New" w:hAnsi="Courier New"/>
          <w:sz w:val="16"/>
          <w:szCs w:val="16"/>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DELAYED DELIVERY ARRANGEMENT</w:t>
      </w:r>
    </w:p>
    <w:p>
      <w:pPr>
        <w:spacing w:after="0" w:line="191" w:lineRule="exact"/>
        <w:rPr>
          <w:sz w:val="20"/>
          <w:szCs w:val="20"/>
          <w:color w:val="auto"/>
        </w:rPr>
      </w:pPr>
    </w:p>
    <w:p>
      <w:pPr>
        <w:ind w:right="2759" w:firstLine="388"/>
        <w:spacing w:after="0" w:line="247" w:lineRule="auto"/>
        <w:rPr>
          <w:sz w:val="20"/>
          <w:szCs w:val="20"/>
          <w:color w:val="auto"/>
        </w:rPr>
      </w:pPr>
      <w:r>
        <w:rPr>
          <w:rFonts w:ascii="Courier New" w:cs="Courier New" w:eastAsia="Courier New" w:hAnsi="Courier New"/>
          <w:sz w:val="16"/>
          <w:szCs w:val="16"/>
          <w:color w:val="auto"/>
        </w:rPr>
        <w:t>If so indicated in the applicable Prospectus Supplement, the Company will authorize underwriters or other persons acting as the Company's agents to solicit offers by certain institutions to purchase Debt Securities from the Company pursuant to contracts providing for payment and delivery on a future date.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489" w:right="1440" w:bottom="1440" w:gutter="0" w:footer="0" w:header="0"/>
        </w:sectPr>
      </w:pPr>
    </w:p>
    <w:bookmarkStart w:id="33" w:name="page34"/>
    <w:bookmarkEnd w:id="33"/>
    <w:p>
      <w:pPr>
        <w:ind w:right="2459"/>
        <w:spacing w:after="0" w:line="246" w:lineRule="auto"/>
        <w:rPr>
          <w:sz w:val="20"/>
          <w:szCs w:val="20"/>
          <w:color w:val="auto"/>
        </w:rPr>
      </w:pPr>
      <w:r>
        <w:rPr>
          <w:rFonts w:ascii="Courier New" w:cs="Courier New" w:eastAsia="Courier New" w:hAnsi="Courier New"/>
          <w:sz w:val="16"/>
          <w:szCs w:val="16"/>
          <w:color w:val="auto"/>
        </w:rPr>
        <w:t>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VALIDITY OF SECURITIES</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validity of the Offered Securities, as well as certain tax matters in connection therewith, will be passed upon for the Company by Liddell, Sapp, Zivley, Hill &amp; LaBoon, L.L.P., Houston, Texas and certain legal matters will be passed upon for any agents, dealers or underwriters by McDermott, Will &amp; Emery, Chicago, Illinois.</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EXPERTS</w:t>
      </w:r>
    </w:p>
    <w:p>
      <w:pPr>
        <w:spacing w:after="0" w:line="191" w:lineRule="exact"/>
        <w:rPr>
          <w:sz w:val="20"/>
          <w:szCs w:val="20"/>
          <w:color w:val="auto"/>
        </w:rPr>
      </w:pPr>
    </w:p>
    <w:p>
      <w:pPr>
        <w:ind w:right="2659" w:firstLine="388"/>
        <w:spacing w:after="0" w:line="247" w:lineRule="auto"/>
        <w:rPr>
          <w:sz w:val="20"/>
          <w:szCs w:val="20"/>
          <w:color w:val="auto"/>
        </w:rPr>
      </w:pPr>
      <w:r>
        <w:rPr>
          <w:rFonts w:ascii="Courier New" w:cs="Courier New" w:eastAsia="Courier New" w:hAnsi="Courier New"/>
          <w:sz w:val="16"/>
          <w:szCs w:val="16"/>
          <w:color w:val="auto"/>
        </w:rPr>
        <w:t>The consolidated balance sheets of USA Waste as of December 31, 1997 and 1996 and the consolidated statements of operations, stockholders' equity and cash flows for each of the three years in the period ended December 31, 1997, incorporated by reference in this Prospectus, have been incorporated herein in reliance on the report of Coopers &amp; Lybrand L.L.P., independent accountants, given on the authority of that firm as experts in accounting and auditing.</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489" w:right="1440" w:bottom="1440" w:gutter="0" w:footer="0" w:header="0"/>
        </w:sectPr>
      </w:pPr>
    </w:p>
    <w:bookmarkStart w:id="34" w:name="page35"/>
    <w:bookmarkEnd w:id="34"/>
    <w:p>
      <w:pPr>
        <w:jc w:val="center"/>
        <w:ind w:right="2559"/>
        <w:spacing w:after="0"/>
        <w:rPr>
          <w:sz w:val="20"/>
          <w:szCs w:val="20"/>
          <w:color w:val="auto"/>
        </w:rPr>
      </w:pPr>
      <w:r>
        <w:rPr>
          <w:rFonts w:ascii="Courier New" w:cs="Courier New" w:eastAsia="Courier New" w:hAnsi="Courier New"/>
          <w:sz w:val="16"/>
          <w:szCs w:val="16"/>
          <w:color w:val="auto"/>
        </w:rPr>
        <w:t>PART II</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14.</w:t>
        <w:tab/>
        <w:t>OTHER EXPENSES OF ISSUANCE AND DISTRIBUTION.</w:t>
      </w:r>
    </w:p>
    <w:p>
      <w:pPr>
        <w:spacing w:after="0" w:line="191" w:lineRule="exact"/>
        <w:rPr>
          <w:sz w:val="20"/>
          <w:szCs w:val="20"/>
          <w:color w:val="auto"/>
        </w:rPr>
      </w:pPr>
    </w:p>
    <w:p>
      <w:pPr>
        <w:ind w:right="2859" w:firstLine="388"/>
        <w:spacing w:after="0" w:line="247" w:lineRule="auto"/>
        <w:rPr>
          <w:sz w:val="20"/>
          <w:szCs w:val="20"/>
          <w:color w:val="auto"/>
        </w:rPr>
      </w:pPr>
      <w:r>
        <w:rPr>
          <w:rFonts w:ascii="Courier New" w:cs="Courier New" w:eastAsia="Courier New" w:hAnsi="Courier New"/>
          <w:sz w:val="16"/>
          <w:szCs w:val="16"/>
          <w:color w:val="auto"/>
        </w:rPr>
        <w:t>The following table sets forth all expenses payable by the Company in connection with the issuance and distribution of the securities, other than underwriting discounts and commissions. All the amounts shown are estimates, except the registration fee.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Registration Fee................................................</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$ 472,000</w:t>
            </w:r>
          </w:p>
        </w:tc>
      </w:tr>
      <w:tr>
        <w:trPr>
          <w:trHeight w:val="186"/>
        </w:trPr>
        <w:tc>
          <w:tcPr>
            <w:tcW w:w="6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Fees and expenses of accountants................................</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150,000</w:t>
            </w:r>
          </w:p>
        </w:tc>
      </w:tr>
      <w:tr>
        <w:trPr>
          <w:trHeight w:val="186"/>
        </w:trPr>
        <w:tc>
          <w:tcPr>
            <w:tcW w:w="6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Fees and expenses of legal counsel..............................</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75,000</w:t>
            </w:r>
          </w:p>
        </w:tc>
      </w:tr>
      <w:tr>
        <w:trPr>
          <w:trHeight w:val="186"/>
        </w:trPr>
        <w:tc>
          <w:tcPr>
            <w:tcW w:w="6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Fees and expenses of trustee and counsel........................</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40,000</w:t>
            </w:r>
          </w:p>
        </w:tc>
      </w:tr>
      <w:tr>
        <w:trPr>
          <w:trHeight w:val="186"/>
        </w:trPr>
        <w:tc>
          <w:tcPr>
            <w:tcW w:w="6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Fees of rating agencies.........................................</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70,000</w:t>
            </w:r>
          </w:p>
        </w:tc>
      </w:tr>
      <w:tr>
        <w:trPr>
          <w:trHeight w:val="186"/>
        </w:trPr>
        <w:tc>
          <w:tcPr>
            <w:tcW w:w="6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Printing and engraving expenses.................................</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150,000</w:t>
            </w:r>
          </w:p>
        </w:tc>
      </w:tr>
      <w:tr>
        <w:trPr>
          <w:trHeight w:val="186"/>
        </w:trPr>
        <w:tc>
          <w:tcPr>
            <w:tcW w:w="6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Blue Sky fee and expenses (including counsel)...................</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15,000</w:t>
            </w:r>
          </w:p>
        </w:tc>
      </w:tr>
      <w:tr>
        <w:trPr>
          <w:trHeight w:val="186"/>
        </w:trPr>
        <w:tc>
          <w:tcPr>
            <w:tcW w:w="6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Miscellaneous...................................................</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28,000</w:t>
            </w:r>
          </w:p>
        </w:tc>
      </w:tr>
      <w:tr>
        <w:trPr>
          <w:trHeight w:val="186"/>
        </w:trPr>
        <w:tc>
          <w:tcPr>
            <w:tcW w:w="63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$1,000,000</w:t>
            </w:r>
          </w:p>
        </w:tc>
      </w:tr>
      <w:tr>
        <w:trPr>
          <w:trHeight w:val="186"/>
        </w:trPr>
        <w:tc>
          <w:tcPr>
            <w:tcW w:w="63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3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15.</w:t>
        <w:tab/>
        <w:t>INDEMNIFICATION OF DIRECTORS AND OFFICERS.</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19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Section 145 of the</w:t>
            </w:r>
          </w:p>
        </w:tc>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rPr>
              <w:t>Delaware General Corporation Law</w:t>
            </w:r>
          </w:p>
        </w:tc>
        <w:tc>
          <w:tcPr>
            <w:tcW w:w="2380" w:type="dxa"/>
            <w:vAlign w:val="bottom"/>
          </w:tcPr>
          <w:p>
            <w:pPr>
              <w:ind w:left="40"/>
              <w:spacing w:after="0"/>
              <w:rPr>
                <w:sz w:val="20"/>
                <w:szCs w:val="20"/>
                <w:color w:val="auto"/>
              </w:rPr>
            </w:pPr>
            <w:r>
              <w:rPr>
                <w:rFonts w:ascii="Courier New" w:cs="Courier New" w:eastAsia="Courier New" w:hAnsi="Courier New"/>
                <w:sz w:val="16"/>
                <w:szCs w:val="16"/>
                <w:color w:val="auto"/>
              </w:rPr>
              <w:t>also empowers the</w:t>
            </w:r>
          </w:p>
        </w:tc>
      </w:tr>
      <w:tr>
        <w:trPr>
          <w:trHeight w:val="186"/>
        </w:trPr>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w w:val="99"/>
              </w:rPr>
              <w:t>Company to purchase and</w:t>
            </w:r>
          </w:p>
        </w:tc>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maintain insurance on</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behalf of</w:t>
            </w:r>
          </w:p>
        </w:tc>
        <w:tc>
          <w:tcPr>
            <w:tcW w:w="2380" w:type="dxa"/>
            <w:vAlign w:val="bottom"/>
          </w:tcPr>
          <w:p>
            <w:pPr>
              <w:ind w:left="40"/>
              <w:spacing w:after="0"/>
              <w:rPr>
                <w:sz w:val="20"/>
                <w:szCs w:val="20"/>
                <w:color w:val="auto"/>
              </w:rPr>
            </w:pPr>
            <w:r>
              <w:rPr>
                <w:rFonts w:ascii="Courier New" w:cs="Courier New" w:eastAsia="Courier New" w:hAnsi="Courier New"/>
                <w:sz w:val="16"/>
                <w:szCs w:val="16"/>
                <w:color w:val="auto"/>
              </w:rPr>
              <w:t>any person who is or was</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an officer or</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of the Company against</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liability</w:t>
            </w:r>
          </w:p>
        </w:tc>
        <w:tc>
          <w:tcPr>
            <w:tcW w:w="2380" w:type="dxa"/>
            <w:vAlign w:val="bottom"/>
          </w:tcPr>
          <w:p>
            <w:pPr>
              <w:ind w:left="40"/>
              <w:spacing w:after="0"/>
              <w:rPr>
                <w:sz w:val="20"/>
                <w:szCs w:val="20"/>
                <w:color w:val="auto"/>
              </w:rPr>
            </w:pPr>
            <w:r>
              <w:rPr>
                <w:rFonts w:ascii="Courier New" w:cs="Courier New" w:eastAsia="Courier New" w:hAnsi="Courier New"/>
                <w:sz w:val="16"/>
                <w:szCs w:val="16"/>
                <w:color w:val="auto"/>
              </w:rPr>
              <w:t>asserted against or</w:t>
            </w:r>
          </w:p>
        </w:tc>
      </w:tr>
      <w:tr>
        <w:trPr>
          <w:trHeight w:val="186"/>
        </w:trPr>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rPr>
              <w:t>incurred by him in any</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such capacity, whether</w:t>
            </w:r>
          </w:p>
        </w:tc>
        <w:tc>
          <w:tcPr>
            <w:tcW w:w="3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or not the Company would have the</w:t>
            </w:r>
          </w:p>
        </w:tc>
      </w:tr>
      <w:tr>
        <w:trPr>
          <w:trHeight w:val="186"/>
        </w:trPr>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w w:val="99"/>
              </w:rPr>
              <w:t>power to indemnify such</w:t>
            </w:r>
          </w:p>
        </w:tc>
        <w:tc>
          <w:tcPr>
            <w:tcW w:w="55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officer or director against such liability under the</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provisions of</w:t>
            </w:r>
          </w:p>
        </w:tc>
        <w:tc>
          <w:tcPr>
            <w:tcW w:w="646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Section 145. The Company has purchased and maintains a directors'</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and officers'</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w w:val="97"/>
              </w:rPr>
              <w:t>liability</w:t>
            </w:r>
          </w:p>
        </w:tc>
        <w:tc>
          <w:tcPr>
            <w:tcW w:w="31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policy for such purposes.</w:t>
            </w:r>
          </w:p>
        </w:tc>
        <w:tc>
          <w:tcPr>
            <w:tcW w:w="2380" w:type="dxa"/>
            <w:vAlign w:val="bottom"/>
          </w:tcPr>
          <w:p>
            <w:pPr>
              <w:spacing w:after="0"/>
              <w:rPr>
                <w:sz w:val="16"/>
                <w:szCs w:val="16"/>
                <w:color w:val="auto"/>
              </w:rPr>
            </w:pPr>
          </w:p>
        </w:tc>
      </w:tr>
    </w:tbl>
    <w:p>
      <w:pPr>
        <w:spacing w:after="0" w:line="190"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490" w:right="1440" w:bottom="1440" w:gutter="0" w:footer="0" w:header="0"/>
        </w:sectPr>
      </w:pPr>
    </w:p>
    <w:bookmarkStart w:id="35" w:name="page36"/>
    <w:bookmarkEnd w:id="35"/>
    <w:p>
      <w:pPr>
        <w:ind w:left="1" w:right="3860"/>
        <w:spacing w:after="0" w:line="246" w:lineRule="auto"/>
        <w:rPr>
          <w:sz w:val="20"/>
          <w:szCs w:val="20"/>
          <w:color w:val="auto"/>
        </w:rPr>
      </w:pPr>
      <w:r>
        <w:rPr>
          <w:rFonts w:ascii="Courier New" w:cs="Courier New" w:eastAsia="Courier New" w:hAnsi="Courier New"/>
          <w:sz w:val="16"/>
          <w:szCs w:val="16"/>
          <w:color w:val="auto"/>
        </w:rPr>
        <w:t>was a director, officer, agent or fiduciary of the Company or serving at the request of the Company as a director, officer, employee, fiduciary or representative or another enterprise. Such Indemnification Agreements also provide that the Company, if requested to do so by an Indemnitee, will advance to such Indemnitee, prior to final disposition of any proceeding, the expense actually incurred by the Indemnitee subject to the obligation of the Indemnitee to refund if it is ultimately determined that such Indemnitee was not entitled to indemnification.</w:t>
      </w:r>
    </w:p>
    <w:p>
      <w:pPr>
        <w:spacing w:after="0" w:line="191" w:lineRule="exact"/>
        <w:rPr>
          <w:sz w:val="20"/>
          <w:szCs w:val="20"/>
          <w:color w:val="auto"/>
        </w:rPr>
      </w:pPr>
    </w:p>
    <w:p>
      <w:pPr>
        <w:ind w:left="1"/>
        <w:spacing w:after="0"/>
        <w:tabs>
          <w:tab w:leader="none" w:pos="940" w:val="left"/>
        </w:tabs>
        <w:rPr>
          <w:sz w:val="20"/>
          <w:szCs w:val="20"/>
          <w:color w:val="auto"/>
        </w:rPr>
      </w:pPr>
      <w:r>
        <w:rPr>
          <w:rFonts w:ascii="Courier New" w:cs="Courier New" w:eastAsia="Courier New" w:hAnsi="Courier New"/>
          <w:sz w:val="16"/>
          <w:szCs w:val="16"/>
          <w:color w:val="auto"/>
        </w:rPr>
        <w:t>ITEM 16.</w:t>
        <w:tab/>
        <w:t>EXHIBITS.</w:t>
      </w:r>
    </w:p>
    <w:p>
      <w:pPr>
        <w:spacing w:after="0" w:line="191"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The following documents are filed as exhibits to this Registration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Statement, including those exhibits incorporated herein by reference to a prior</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360" w:type="dxa"/>
            <w:vAlign w:val="bottom"/>
          </w:tcPr>
          <w:p>
            <w:pPr>
              <w:spacing w:after="0"/>
              <w:rPr>
                <w:sz w:val="20"/>
                <w:szCs w:val="20"/>
                <w:color w:val="auto"/>
              </w:rPr>
            </w:pPr>
            <w:r>
              <w:rPr>
                <w:rFonts w:ascii="Courier New" w:cs="Courier New" w:eastAsia="Courier New" w:hAnsi="Courier New"/>
                <w:sz w:val="16"/>
                <w:szCs w:val="16"/>
                <w:color w:val="auto"/>
              </w:rPr>
              <w:t>filing of the</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Company under the Securities Act or the Exchange Act as indicated</w:t>
            </w:r>
          </w:p>
        </w:tc>
      </w:tr>
      <w:tr>
        <w:trPr>
          <w:trHeight w:val="186"/>
        </w:trPr>
        <w:tc>
          <w:tcPr>
            <w:tcW w:w="11520" w:type="dxa"/>
            <w:vAlign w:val="bottom"/>
            <w:gridSpan w:val="2"/>
          </w:tcPr>
          <w:p>
            <w:pPr>
              <w:spacing w:after="0"/>
              <w:rPr>
                <w:sz w:val="20"/>
                <w:szCs w:val="20"/>
                <w:color w:val="auto"/>
              </w:rPr>
            </w:pPr>
            <w:r>
              <w:rPr>
                <w:rFonts w:ascii="Courier New" w:cs="Courier New" w:eastAsia="Courier New" w:hAnsi="Courier New"/>
                <w:sz w:val="16"/>
                <w:szCs w:val="16"/>
                <w:color w:val="auto"/>
              </w:rPr>
              <w:t>in parentheses:</w:t>
            </w:r>
          </w:p>
        </w:tc>
      </w:tr>
      <w:tr>
        <w:trPr>
          <w:trHeight w:val="932"/>
        </w:trPr>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EXHIBIT</w:t>
            </w:r>
          </w:p>
        </w:tc>
        <w:tc>
          <w:tcPr>
            <w:tcW w:w="10160" w:type="dxa"/>
            <w:vAlign w:val="bottom"/>
          </w:tcPr>
          <w:p>
            <w:pPr>
              <w:spacing w:after="0"/>
              <w:rPr>
                <w:sz w:val="24"/>
                <w:szCs w:val="24"/>
                <w:color w:val="auto"/>
              </w:rPr>
            </w:pPr>
          </w:p>
        </w:tc>
      </w:tr>
      <w:tr>
        <w:trPr>
          <w:trHeight w:val="186"/>
        </w:trPr>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NUMBER</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EXHIBIT</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01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r>
      <w:tr>
        <w:trPr>
          <w:trHeight w:val="373"/>
        </w:trPr>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Form of Underwriting Agreement (Debt Securities).</w:t>
            </w:r>
          </w:p>
        </w:tc>
      </w:tr>
      <w:tr>
        <w:trPr>
          <w:trHeight w:val="186"/>
        </w:trPr>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Form of Underwriting Agreement (Common Stock).</w:t>
            </w:r>
          </w:p>
        </w:tc>
      </w:tr>
      <w:tr>
        <w:trPr>
          <w:trHeight w:val="186"/>
        </w:trPr>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4.1</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Indenture for Senior Debt Securities dated September 10, 1997, among the Registrant and Texas Commerce</w:t>
            </w:r>
          </w:p>
        </w:tc>
      </w:tr>
      <w:tr>
        <w:trPr>
          <w:trHeight w:val="186"/>
        </w:trPr>
        <w:tc>
          <w:tcPr>
            <w:tcW w:w="1360" w:type="dxa"/>
            <w:vAlign w:val="bottom"/>
          </w:tcPr>
          <w:p>
            <w:pPr>
              <w:spacing w:after="0"/>
              <w:rPr>
                <w:sz w:val="16"/>
                <w:szCs w:val="16"/>
                <w:color w:val="auto"/>
              </w:rPr>
            </w:pPr>
          </w:p>
        </w:tc>
        <w:tc>
          <w:tcPr>
            <w:tcW w:w="10160" w:type="dxa"/>
            <w:vAlign w:val="bottom"/>
          </w:tcPr>
          <w:p>
            <w:pPr>
              <w:ind w:left="180"/>
              <w:spacing w:after="0"/>
              <w:rPr>
                <w:sz w:val="20"/>
                <w:szCs w:val="20"/>
                <w:color w:val="auto"/>
              </w:rPr>
            </w:pPr>
            <w:r>
              <w:rPr>
                <w:rFonts w:ascii="Courier New" w:cs="Courier New" w:eastAsia="Courier New" w:hAnsi="Courier New"/>
                <w:sz w:val="16"/>
                <w:szCs w:val="16"/>
                <w:color w:val="auto"/>
              </w:rPr>
              <w:t>Bank National Association, now known as Chase Bank of Texas, National Association, as trustee</w:t>
            </w:r>
          </w:p>
        </w:tc>
      </w:tr>
      <w:tr>
        <w:trPr>
          <w:trHeight w:val="186"/>
        </w:trPr>
        <w:tc>
          <w:tcPr>
            <w:tcW w:w="1360" w:type="dxa"/>
            <w:vAlign w:val="bottom"/>
          </w:tcPr>
          <w:p>
            <w:pPr>
              <w:spacing w:after="0"/>
              <w:rPr>
                <w:sz w:val="16"/>
                <w:szCs w:val="16"/>
                <w:color w:val="auto"/>
              </w:rPr>
            </w:pPr>
          </w:p>
        </w:tc>
        <w:tc>
          <w:tcPr>
            <w:tcW w:w="10160" w:type="dxa"/>
            <w:vAlign w:val="bottom"/>
          </w:tcPr>
          <w:p>
            <w:pPr>
              <w:ind w:left="180"/>
              <w:spacing w:after="0"/>
              <w:rPr>
                <w:sz w:val="20"/>
                <w:szCs w:val="20"/>
                <w:color w:val="auto"/>
              </w:rPr>
            </w:pPr>
            <w:r>
              <w:rPr>
                <w:rFonts w:ascii="Courier New" w:cs="Courier New" w:eastAsia="Courier New" w:hAnsi="Courier New"/>
                <w:sz w:val="16"/>
                <w:szCs w:val="16"/>
                <w:color w:val="auto"/>
              </w:rPr>
              <w:t>(incorporated by reference to Exhibit 4.1 to the Company's Current Report on Form 8-K (File No.</w:t>
            </w:r>
          </w:p>
        </w:tc>
      </w:tr>
      <w:tr>
        <w:trPr>
          <w:trHeight w:val="186"/>
        </w:trPr>
        <w:tc>
          <w:tcPr>
            <w:tcW w:w="1360" w:type="dxa"/>
            <w:vAlign w:val="bottom"/>
          </w:tcPr>
          <w:p>
            <w:pPr>
              <w:spacing w:after="0"/>
              <w:rPr>
                <w:sz w:val="16"/>
                <w:szCs w:val="16"/>
                <w:color w:val="auto"/>
              </w:rPr>
            </w:pPr>
          </w:p>
        </w:tc>
        <w:tc>
          <w:tcPr>
            <w:tcW w:w="10160" w:type="dxa"/>
            <w:vAlign w:val="bottom"/>
          </w:tcPr>
          <w:p>
            <w:pPr>
              <w:ind w:left="180"/>
              <w:spacing w:after="0"/>
              <w:rPr>
                <w:sz w:val="20"/>
                <w:szCs w:val="20"/>
                <w:color w:val="auto"/>
              </w:rPr>
            </w:pPr>
            <w:r>
              <w:rPr>
                <w:rFonts w:ascii="Courier New" w:cs="Courier New" w:eastAsia="Courier New" w:hAnsi="Courier New"/>
                <w:sz w:val="16"/>
                <w:szCs w:val="16"/>
                <w:color w:val="auto"/>
              </w:rPr>
              <w:t>1-12154) filed with the Commission on September 24, 1997).</w:t>
            </w:r>
          </w:p>
        </w:tc>
      </w:tr>
      <w:tr>
        <w:trPr>
          <w:trHeight w:val="186"/>
        </w:trPr>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4.2</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Subordinated Indenture, dated as of February 1, 1997, between USA Waste Services, Inc. and Texas</w:t>
            </w:r>
          </w:p>
        </w:tc>
      </w:tr>
      <w:tr>
        <w:trPr>
          <w:trHeight w:val="186"/>
        </w:trPr>
        <w:tc>
          <w:tcPr>
            <w:tcW w:w="1360" w:type="dxa"/>
            <w:vAlign w:val="bottom"/>
          </w:tcPr>
          <w:p>
            <w:pPr>
              <w:spacing w:after="0"/>
              <w:rPr>
                <w:sz w:val="16"/>
                <w:szCs w:val="16"/>
                <w:color w:val="auto"/>
              </w:rPr>
            </w:pPr>
          </w:p>
        </w:tc>
        <w:tc>
          <w:tcPr>
            <w:tcW w:w="10160" w:type="dxa"/>
            <w:vAlign w:val="bottom"/>
          </w:tcPr>
          <w:p>
            <w:pPr>
              <w:ind w:left="180"/>
              <w:spacing w:after="0"/>
              <w:rPr>
                <w:sz w:val="20"/>
                <w:szCs w:val="20"/>
                <w:color w:val="auto"/>
              </w:rPr>
            </w:pPr>
            <w:r>
              <w:rPr>
                <w:rFonts w:ascii="Courier New" w:cs="Courier New" w:eastAsia="Courier New" w:hAnsi="Courier New"/>
                <w:sz w:val="16"/>
                <w:szCs w:val="16"/>
                <w:color w:val="auto"/>
              </w:rPr>
              <w:t>Commerce Bank National Association, now known as Chase Bank of Texas, National Association, as</w:t>
            </w:r>
          </w:p>
        </w:tc>
      </w:tr>
      <w:tr>
        <w:trPr>
          <w:trHeight w:val="186"/>
        </w:trPr>
        <w:tc>
          <w:tcPr>
            <w:tcW w:w="1360" w:type="dxa"/>
            <w:vAlign w:val="bottom"/>
          </w:tcPr>
          <w:p>
            <w:pPr>
              <w:spacing w:after="0"/>
              <w:rPr>
                <w:sz w:val="16"/>
                <w:szCs w:val="16"/>
                <w:color w:val="auto"/>
              </w:rPr>
            </w:pPr>
          </w:p>
        </w:tc>
        <w:tc>
          <w:tcPr>
            <w:tcW w:w="10160" w:type="dxa"/>
            <w:vAlign w:val="bottom"/>
          </w:tcPr>
          <w:p>
            <w:pPr>
              <w:ind w:left="180"/>
              <w:spacing w:after="0"/>
              <w:rPr>
                <w:sz w:val="20"/>
                <w:szCs w:val="20"/>
                <w:color w:val="auto"/>
              </w:rPr>
            </w:pPr>
            <w:r>
              <w:rPr>
                <w:rFonts w:ascii="Courier New" w:cs="Courier New" w:eastAsia="Courier New" w:hAnsi="Courier New"/>
                <w:sz w:val="16"/>
                <w:szCs w:val="16"/>
                <w:color w:val="auto"/>
              </w:rPr>
              <w:t>trustee (incorporated by reference to Exhibit 4.1 to the Company's Current Report on Form 8-K (File</w:t>
            </w:r>
          </w:p>
        </w:tc>
      </w:tr>
      <w:tr>
        <w:trPr>
          <w:trHeight w:val="186"/>
        </w:trPr>
        <w:tc>
          <w:tcPr>
            <w:tcW w:w="1360" w:type="dxa"/>
            <w:vAlign w:val="bottom"/>
          </w:tcPr>
          <w:p>
            <w:pPr>
              <w:spacing w:after="0"/>
              <w:rPr>
                <w:sz w:val="16"/>
                <w:szCs w:val="16"/>
                <w:color w:val="auto"/>
              </w:rPr>
            </w:pPr>
          </w:p>
        </w:tc>
        <w:tc>
          <w:tcPr>
            <w:tcW w:w="10160" w:type="dxa"/>
            <w:vAlign w:val="bottom"/>
          </w:tcPr>
          <w:p>
            <w:pPr>
              <w:ind w:left="180"/>
              <w:spacing w:after="0"/>
              <w:rPr>
                <w:sz w:val="20"/>
                <w:szCs w:val="20"/>
                <w:color w:val="auto"/>
              </w:rPr>
            </w:pPr>
            <w:r>
              <w:rPr>
                <w:rFonts w:ascii="Courier New" w:cs="Courier New" w:eastAsia="Courier New" w:hAnsi="Courier New"/>
                <w:sz w:val="16"/>
                <w:szCs w:val="16"/>
                <w:color w:val="auto"/>
              </w:rPr>
              <w:t>No. 1-12154) filed with the Commission on February 7, 1997).</w:t>
            </w:r>
          </w:p>
        </w:tc>
      </w:tr>
      <w:tr>
        <w:trPr>
          <w:trHeight w:val="186"/>
        </w:trPr>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4.3*</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Form of Debt Securities.</w:t>
            </w:r>
          </w:p>
        </w:tc>
      </w:tr>
      <w:tr>
        <w:trPr>
          <w:trHeight w:val="186"/>
        </w:trPr>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4.4</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Restated Certificate of Incorporation, as amended (incorporated by reference to Exhibit 3(b) of the</w:t>
            </w:r>
          </w:p>
        </w:tc>
      </w:tr>
      <w:tr>
        <w:trPr>
          <w:trHeight w:val="186"/>
        </w:trPr>
        <w:tc>
          <w:tcPr>
            <w:tcW w:w="1360" w:type="dxa"/>
            <w:vAlign w:val="bottom"/>
          </w:tcPr>
          <w:p>
            <w:pPr>
              <w:spacing w:after="0"/>
              <w:rPr>
                <w:sz w:val="16"/>
                <w:szCs w:val="16"/>
                <w:color w:val="auto"/>
              </w:rPr>
            </w:pPr>
          </w:p>
        </w:tc>
        <w:tc>
          <w:tcPr>
            <w:tcW w:w="10160" w:type="dxa"/>
            <w:vAlign w:val="bottom"/>
          </w:tcPr>
          <w:p>
            <w:pPr>
              <w:ind w:left="180"/>
              <w:spacing w:after="0"/>
              <w:rPr>
                <w:sz w:val="20"/>
                <w:szCs w:val="20"/>
                <w:color w:val="auto"/>
              </w:rPr>
            </w:pPr>
            <w:r>
              <w:rPr>
                <w:rFonts w:ascii="Courier New" w:cs="Courier New" w:eastAsia="Courier New" w:hAnsi="Courier New"/>
                <w:sz w:val="16"/>
                <w:szCs w:val="16"/>
                <w:color w:val="auto"/>
              </w:rPr>
              <w:t>Registrant's Quarterly Report on Form 10-Q for the period ended September 30, 1997).</w:t>
            </w:r>
          </w:p>
        </w:tc>
      </w:tr>
      <w:tr>
        <w:trPr>
          <w:trHeight w:val="186"/>
        </w:trPr>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4.5</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Bylaws (incorporated by reference to Exhibit 3.2 to Post-Effective Amendment No. 1 to the Company's</w:t>
            </w:r>
          </w:p>
        </w:tc>
      </w:tr>
      <w:tr>
        <w:trPr>
          <w:trHeight w:val="186"/>
        </w:trPr>
        <w:tc>
          <w:tcPr>
            <w:tcW w:w="1360" w:type="dxa"/>
            <w:vAlign w:val="bottom"/>
          </w:tcPr>
          <w:p>
            <w:pPr>
              <w:spacing w:after="0"/>
              <w:rPr>
                <w:sz w:val="16"/>
                <w:szCs w:val="16"/>
                <w:color w:val="auto"/>
              </w:rPr>
            </w:pPr>
          </w:p>
        </w:tc>
        <w:tc>
          <w:tcPr>
            <w:tcW w:w="10160" w:type="dxa"/>
            <w:vAlign w:val="bottom"/>
          </w:tcPr>
          <w:p>
            <w:pPr>
              <w:ind w:left="180"/>
              <w:spacing w:after="0"/>
              <w:rPr>
                <w:sz w:val="20"/>
                <w:szCs w:val="20"/>
                <w:color w:val="auto"/>
              </w:rPr>
            </w:pPr>
            <w:r>
              <w:rPr>
                <w:rFonts w:ascii="Courier New" w:cs="Courier New" w:eastAsia="Courier New" w:hAnsi="Courier New"/>
                <w:sz w:val="16"/>
                <w:szCs w:val="16"/>
                <w:color w:val="auto"/>
              </w:rPr>
              <w:t>Registration Statement on Form S-4 (File No. 33-60103)).</w:t>
            </w:r>
          </w:p>
        </w:tc>
      </w:tr>
      <w:tr>
        <w:trPr>
          <w:trHeight w:val="186"/>
        </w:trPr>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4.6</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Specimen Common Stock Certificate (incorporated by reference to Exhibit 4.3 to the Company's</w:t>
            </w:r>
          </w:p>
        </w:tc>
      </w:tr>
      <w:tr>
        <w:trPr>
          <w:trHeight w:val="186"/>
        </w:trPr>
        <w:tc>
          <w:tcPr>
            <w:tcW w:w="1360" w:type="dxa"/>
            <w:vAlign w:val="bottom"/>
          </w:tcPr>
          <w:p>
            <w:pPr>
              <w:spacing w:after="0"/>
              <w:rPr>
                <w:sz w:val="16"/>
                <w:szCs w:val="16"/>
                <w:color w:val="auto"/>
              </w:rPr>
            </w:pPr>
          </w:p>
        </w:tc>
        <w:tc>
          <w:tcPr>
            <w:tcW w:w="10160" w:type="dxa"/>
            <w:vAlign w:val="bottom"/>
          </w:tcPr>
          <w:p>
            <w:pPr>
              <w:ind w:left="180"/>
              <w:spacing w:after="0"/>
              <w:rPr>
                <w:sz w:val="20"/>
                <w:szCs w:val="20"/>
                <w:color w:val="auto"/>
              </w:rPr>
            </w:pPr>
            <w:r>
              <w:rPr>
                <w:rFonts w:ascii="Courier New" w:cs="Courier New" w:eastAsia="Courier New" w:hAnsi="Courier New"/>
                <w:sz w:val="16"/>
                <w:szCs w:val="16"/>
                <w:color w:val="auto"/>
              </w:rPr>
              <w:t>Registration Statement on Form S-3 (File No. 33-76224)).</w:t>
            </w:r>
          </w:p>
        </w:tc>
      </w:tr>
      <w:tr>
        <w:trPr>
          <w:trHeight w:val="186"/>
        </w:trPr>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Opinion of Liddell, Sapp, Zivley, Hill &amp; LaBoon, L.L.P. as to the legality of the Securities being</w:t>
            </w:r>
          </w:p>
        </w:tc>
      </w:tr>
      <w:tr>
        <w:trPr>
          <w:trHeight w:val="186"/>
        </w:trPr>
        <w:tc>
          <w:tcPr>
            <w:tcW w:w="1360" w:type="dxa"/>
            <w:vAlign w:val="bottom"/>
          </w:tcPr>
          <w:p>
            <w:pPr>
              <w:spacing w:after="0"/>
              <w:rPr>
                <w:sz w:val="16"/>
                <w:szCs w:val="16"/>
                <w:color w:val="auto"/>
              </w:rPr>
            </w:pPr>
          </w:p>
        </w:tc>
        <w:tc>
          <w:tcPr>
            <w:tcW w:w="10160" w:type="dxa"/>
            <w:vAlign w:val="bottom"/>
          </w:tcPr>
          <w:p>
            <w:pPr>
              <w:ind w:left="180"/>
              <w:spacing w:after="0"/>
              <w:rPr>
                <w:sz w:val="20"/>
                <w:szCs w:val="20"/>
                <w:color w:val="auto"/>
              </w:rPr>
            </w:pPr>
            <w:r>
              <w:rPr>
                <w:rFonts w:ascii="Courier New" w:cs="Courier New" w:eastAsia="Courier New" w:hAnsi="Courier New"/>
                <w:sz w:val="16"/>
                <w:szCs w:val="16"/>
                <w:color w:val="auto"/>
              </w:rPr>
              <w:t>registered.</w:t>
            </w:r>
          </w:p>
        </w:tc>
      </w:tr>
      <w:tr>
        <w:trPr>
          <w:trHeight w:val="186"/>
        </w:trPr>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12.1***</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Computation of ratios of earnings to fixed charges.</w:t>
            </w:r>
          </w:p>
        </w:tc>
      </w:tr>
      <w:tr>
        <w:trPr>
          <w:trHeight w:val="186"/>
        </w:trPr>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23.1**</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Consent of Liddell, Sapp, Zivley, Hill &amp; LaBoon, L.L.P. (included in Exhibit 5.1).</w:t>
            </w:r>
          </w:p>
        </w:tc>
      </w:tr>
      <w:tr>
        <w:trPr>
          <w:trHeight w:val="186"/>
        </w:trPr>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23.2***</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Consent of Coopers &amp; Lybrand L.L.P.</w:t>
            </w:r>
          </w:p>
        </w:tc>
      </w:tr>
      <w:tr>
        <w:trPr>
          <w:trHeight w:val="186"/>
        </w:trPr>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23.3***</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Consent of Arthur Andersen LLP.</w:t>
            </w:r>
          </w:p>
        </w:tc>
      </w:tr>
      <w:tr>
        <w:trPr>
          <w:trHeight w:val="186"/>
        </w:trPr>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24.1**</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Powers of Attorney.</w:t>
            </w:r>
          </w:p>
        </w:tc>
      </w:tr>
      <w:tr>
        <w:trPr>
          <w:trHeight w:val="186"/>
        </w:trPr>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25.1**</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Statement of Eligibility of Trustee with respect to Senior Debt Indenture.</w:t>
            </w:r>
          </w:p>
        </w:tc>
      </w:tr>
      <w:tr>
        <w:trPr>
          <w:trHeight w:val="186"/>
        </w:trPr>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25.2**</w:t>
            </w:r>
          </w:p>
        </w:tc>
        <w:tc>
          <w:tcPr>
            <w:tcW w:w="10160" w:type="dxa"/>
            <w:vAlign w:val="bottom"/>
          </w:tcPr>
          <w:p>
            <w:pPr>
              <w:spacing w:after="0"/>
              <w:rPr>
                <w:sz w:val="20"/>
                <w:szCs w:val="20"/>
                <w:color w:val="auto"/>
              </w:rPr>
            </w:pPr>
            <w:r>
              <w:rPr>
                <w:rFonts w:ascii="Courier New" w:cs="Courier New" w:eastAsia="Courier New" w:hAnsi="Courier New"/>
                <w:sz w:val="16"/>
                <w:szCs w:val="16"/>
                <w:color w:val="auto"/>
              </w:rPr>
              <w:t>Statement of Eligibility of Trustee with respect to Subordinated Debt Indenture.</w:t>
            </w:r>
          </w:p>
        </w:tc>
      </w:tr>
    </w:tbl>
    <w:p>
      <w:pPr>
        <w:spacing w:after="0" w:line="200" w:lineRule="exact"/>
        <w:rPr>
          <w:sz w:val="20"/>
          <w:szCs w:val="20"/>
          <w:color w:val="auto"/>
        </w:rPr>
      </w:pPr>
    </w:p>
    <w:p>
      <w:pPr>
        <w:spacing w:after="0" w:line="36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right="3760" w:hanging="381"/>
        <w:spacing w:after="0" w:line="247" w:lineRule="auto"/>
        <w:tabs>
          <w:tab w:leader="none" w:pos="3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file any underwriting agreement relating to Debt Securities or Common Stock that it may enter into and any form of Debt Securities not previously so filed, as an exhibit to a Current Report on Form 8-K.</w:t>
      </w:r>
    </w:p>
    <w:p>
      <w:pPr>
        <w:spacing w:after="0" w:line="186" w:lineRule="exact"/>
        <w:rPr>
          <w:sz w:val="20"/>
          <w:szCs w:val="20"/>
          <w:color w:val="auto"/>
        </w:rPr>
      </w:pPr>
    </w:p>
    <w:p>
      <w:pPr>
        <w:ind w:left="381" w:hanging="381"/>
        <w:spacing w:after="0"/>
        <w:tabs>
          <w:tab w:leader="none" w:pos="3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w:t>
      </w:r>
    </w:p>
    <w:p>
      <w:pPr>
        <w:spacing w:after="0" w:line="191"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19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1521"/>
          </w:cols>
          <w:pgMar w:left="239" w:top="489" w:right="139" w:bottom="1440" w:gutter="0" w:footer="0" w:header="0"/>
        </w:sectPr>
      </w:pPr>
    </w:p>
    <w:bookmarkStart w:id="36" w:name="page37"/>
    <w:bookmarkEnd w:id="36"/>
    <w:p>
      <w:pPr>
        <w:spacing w:after="0"/>
        <w:tabs>
          <w:tab w:leader="none" w:pos="940" w:val="left"/>
        </w:tabs>
        <w:rPr>
          <w:sz w:val="20"/>
          <w:szCs w:val="20"/>
          <w:color w:val="auto"/>
        </w:rPr>
      </w:pPr>
      <w:r>
        <w:rPr>
          <w:rFonts w:ascii="Courier New" w:cs="Courier New" w:eastAsia="Courier New" w:hAnsi="Courier New"/>
          <w:sz w:val="16"/>
          <w:szCs w:val="16"/>
          <w:color w:val="auto"/>
        </w:rPr>
        <w:t>ITEM 17.</w:t>
        <w:tab/>
        <w:t>UNDERTAKINGS.</w:t>
      </w:r>
    </w:p>
    <w:p>
      <w:pPr>
        <w:spacing w:after="0" w:line="191" w:lineRule="exact"/>
        <w:rPr>
          <w:sz w:val="20"/>
          <w:szCs w:val="20"/>
          <w:color w:val="auto"/>
        </w:rPr>
      </w:pPr>
    </w:p>
    <w:p>
      <w:pPr>
        <w:ind w:left="780" w:hanging="393"/>
        <w:spacing w:after="0"/>
        <w:tabs>
          <w:tab w:leader="none" w:pos="7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1" w:lineRule="exact"/>
        <w:rPr>
          <w:rFonts w:ascii="Courier New" w:cs="Courier New" w:eastAsia="Courier New" w:hAnsi="Courier New"/>
          <w:sz w:val="16"/>
          <w:szCs w:val="16"/>
          <w:color w:val="auto"/>
        </w:rPr>
      </w:pPr>
    </w:p>
    <w:p>
      <w:pPr>
        <w:ind w:left="380" w:right="2559" w:firstLine="395"/>
        <w:spacing w:after="0" w:line="248" w:lineRule="auto"/>
        <w:tabs>
          <w:tab w:leader="none" w:pos="115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4" w:lineRule="exact"/>
        <w:rPr>
          <w:rFonts w:ascii="Courier New" w:cs="Courier New" w:eastAsia="Courier New" w:hAnsi="Courier New"/>
          <w:sz w:val="16"/>
          <w:szCs w:val="16"/>
          <w:color w:val="auto"/>
        </w:rPr>
      </w:pPr>
    </w:p>
    <w:p>
      <w:pPr>
        <w:ind w:left="1540" w:right="2759" w:hanging="378"/>
        <w:spacing w:after="0" w:line="248" w:lineRule="auto"/>
        <w:tabs>
          <w:tab w:leader="none" w:pos="1540"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w:t>
      </w:r>
    </w:p>
    <w:p>
      <w:pPr>
        <w:spacing w:after="0" w:line="184" w:lineRule="exact"/>
        <w:rPr>
          <w:rFonts w:ascii="Courier New" w:cs="Courier New" w:eastAsia="Courier New" w:hAnsi="Courier New"/>
          <w:sz w:val="16"/>
          <w:szCs w:val="16"/>
          <w:color w:val="auto"/>
        </w:rPr>
      </w:pPr>
    </w:p>
    <w:p>
      <w:pPr>
        <w:ind w:left="1640" w:right="2459" w:hanging="478"/>
        <w:spacing w:after="0" w:line="246" w:lineRule="auto"/>
        <w:tabs>
          <w:tab w:leader="none" w:pos="1640"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95" w:lineRule="exact"/>
        <w:rPr>
          <w:sz w:val="20"/>
          <w:szCs w:val="20"/>
          <w:color w:val="auto"/>
        </w:rPr>
      </w:pPr>
    </w:p>
    <w:p>
      <w:pPr>
        <w:ind w:left="1640" w:right="2459" w:hanging="575"/>
        <w:spacing w:after="0" w:line="247" w:lineRule="auto"/>
        <w:tabs>
          <w:tab w:leader="none" w:pos="16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 filed with or furnished to the Commission by the registrant pursuant to Section 13 or Section 15(d) of the Exchange Act that are incorporated by reference in the registration statement.</w:t>
      </w:r>
    </w:p>
    <w:p>
      <w:pPr>
        <w:spacing w:after="0" w:line="185" w:lineRule="exact"/>
        <w:rPr>
          <w:sz w:val="20"/>
          <w:szCs w:val="20"/>
          <w:color w:val="auto"/>
        </w:rPr>
      </w:pPr>
    </w:p>
    <w:p>
      <w:pPr>
        <w:ind w:left="380" w:right="2659" w:firstLine="395"/>
        <w:spacing w:after="0" w:line="247" w:lineRule="auto"/>
        <w:tabs>
          <w:tab w:leader="none" w:pos="1155"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380" w:right="2659" w:firstLine="395"/>
        <w:spacing w:after="0" w:line="247" w:lineRule="auto"/>
        <w:tabs>
          <w:tab w:leader="none" w:pos="1155"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5" w:lineRule="exact"/>
        <w:rPr>
          <w:rFonts w:ascii="Courier New" w:cs="Courier New" w:eastAsia="Courier New" w:hAnsi="Courier New"/>
          <w:sz w:val="16"/>
          <w:szCs w:val="16"/>
          <w:color w:val="auto"/>
        </w:rPr>
      </w:pPr>
    </w:p>
    <w:p>
      <w:pPr>
        <w:ind w:left="780" w:hanging="393"/>
        <w:spacing w:after="0"/>
        <w:tabs>
          <w:tab w:leader="none" w:pos="7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w:t>
      </w:r>
    </w:p>
    <w:p>
      <w:pPr>
        <w:spacing w:after="0" w:line="191" w:lineRule="exact"/>
        <w:rPr>
          <w:rFonts w:ascii="Courier New" w:cs="Courier New" w:eastAsia="Courier New" w:hAnsi="Courier New"/>
          <w:sz w:val="16"/>
          <w:szCs w:val="16"/>
          <w:color w:val="auto"/>
        </w:rPr>
      </w:pPr>
    </w:p>
    <w:p>
      <w:pPr>
        <w:ind w:left="380" w:right="2459" w:firstLine="395"/>
        <w:spacing w:after="0" w:line="247" w:lineRule="auto"/>
        <w:tabs>
          <w:tab w:leader="none" w:pos="1155"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5" w:lineRule="exact"/>
        <w:rPr>
          <w:rFonts w:ascii="Courier New" w:cs="Courier New" w:eastAsia="Courier New" w:hAnsi="Courier New"/>
          <w:sz w:val="16"/>
          <w:szCs w:val="16"/>
          <w:color w:val="auto"/>
        </w:rPr>
      </w:pPr>
    </w:p>
    <w:p>
      <w:pPr>
        <w:ind w:left="380" w:right="2559" w:firstLine="395"/>
        <w:spacing w:after="0" w:line="247" w:lineRule="auto"/>
        <w:tabs>
          <w:tab w:leader="none" w:pos="1155"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right="2459" w:firstLine="387"/>
        <w:spacing w:after="0" w:line="247" w:lineRule="auto"/>
        <w:tabs>
          <w:tab w:leader="none" w:pos="77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489" w:right="1440" w:bottom="1440" w:gutter="0" w:footer="0" w:header="0"/>
        </w:sectPr>
      </w:pPr>
    </w:p>
    <w:bookmarkStart w:id="37" w:name="page38"/>
    <w:bookmarkEnd w:id="37"/>
    <w:p>
      <w:pPr>
        <w:jc w:val="both"/>
        <w:ind w:right="2559"/>
        <w:spacing w:after="0" w:line="247" w:lineRule="auto"/>
        <w:rPr>
          <w:sz w:val="20"/>
          <w:szCs w:val="20"/>
          <w:color w:val="auto"/>
        </w:rPr>
      </w:pPr>
      <w:r>
        <w:rPr>
          <w:rFonts w:ascii="Courier New" w:cs="Courier New" w:eastAsia="Courier New" w:hAnsi="Courier New"/>
          <w:sz w:val="16"/>
          <w:szCs w:val="16"/>
          <w:color w:val="auto"/>
        </w:rPr>
        <w:t>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ind w:right="2459" w:firstLine="387"/>
        <w:spacing w:after="0" w:line="246" w:lineRule="auto"/>
        <w:tabs>
          <w:tab w:leader="none" w:pos="77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any charter provision, by-law, contract, arrangement, statute,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490" w:right="1440" w:bottom="1440" w:gutter="0" w:footer="0" w:header="0"/>
        </w:sectPr>
      </w:pPr>
    </w:p>
    <w:bookmarkStart w:id="38" w:name="page39"/>
    <w:bookmarkEnd w:id="38"/>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378"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had duly caused this Amendment No. 2 to Registration Statement to be signed on its behalf by the undersigned, thereunto duly authorized, in the City of Houston, State of Texas on the 10th day of June, 1998.</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USA WASTE SERVICES, INC.</w:t>
      </w:r>
    </w:p>
    <w:p>
      <w:pPr>
        <w:sectPr>
          <w:pgSz w:w="11900" w:h="16838" w:orient="portrait"/>
          <w:cols w:equalWidth="0" w:num="1">
            <w:col w:w="10219"/>
          </w:cols>
          <w:pgMar w:left="240" w:top="490" w:right="1440" w:bottom="1440" w:gutter="0" w:footer="0" w:header="0"/>
        </w:sectPr>
      </w:pP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John E. Drury</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CHAIRMAN OF THE BOARD AND</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2">
            <w:col w:w="3400" w:space="180"/>
            <w:col w:w="6639"/>
          </w:cols>
          <w:pgMar w:left="240" w:top="490" w:right="1440" w:bottom="1440" w:gutter="0" w:footer="0" w:header="0"/>
          <w:type w:val="continuous"/>
        </w:sectPr>
      </w:pPr>
    </w:p>
    <w:p>
      <w:pPr>
        <w:spacing w:after="0" w:line="364" w:lineRule="exact"/>
        <w:rPr>
          <w:sz w:val="20"/>
          <w:szCs w:val="20"/>
          <w:color w:val="auto"/>
        </w:rPr>
      </w:pPr>
    </w:p>
    <w:p>
      <w:pPr>
        <w:jc w:val="both"/>
        <w:ind w:right="2559" w:firstLine="388"/>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this Amendment No. 2 to Registration Statement has been signed by the following persons in the capacities indicated on June 10, 1998.</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0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SIGNATURE</w:t>
            </w:r>
          </w:p>
        </w:tc>
        <w:tc>
          <w:tcPr>
            <w:tcW w:w="2720" w:type="dxa"/>
            <w:vAlign w:val="bottom"/>
          </w:tcPr>
          <w:p>
            <w:pPr>
              <w:ind w:left="960"/>
              <w:spacing w:after="0"/>
              <w:rPr>
                <w:sz w:val="20"/>
                <w:szCs w:val="20"/>
                <w:color w:val="auto"/>
              </w:rPr>
            </w:pPr>
            <w:r>
              <w:rPr>
                <w:rFonts w:ascii="Courier New" w:cs="Courier New" w:eastAsia="Courier New" w:hAnsi="Courier New"/>
                <w:sz w:val="16"/>
                <w:szCs w:val="16"/>
                <w:color w:val="auto"/>
              </w:rPr>
              <w:t>TITLE</w:t>
            </w:r>
          </w:p>
        </w:tc>
      </w:tr>
      <w:tr>
        <w:trPr>
          <w:trHeight w:val="186"/>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r>
      <w:tr>
        <w:trPr>
          <w:trHeight w:val="373"/>
        </w:trPr>
        <w:tc>
          <w:tcPr>
            <w:tcW w:w="310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6"/>
                <w:szCs w:val="16"/>
                <w:color w:val="auto"/>
              </w:rPr>
              <w:t>Chairman of the Board and</w:t>
            </w:r>
          </w:p>
        </w:tc>
      </w:tr>
      <w:tr>
        <w:trPr>
          <w:trHeight w:val="186"/>
        </w:trPr>
        <w:tc>
          <w:tcPr>
            <w:tcW w:w="310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/s/ JOHN E. DRURY</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w:t>
            </w:r>
          </w:p>
        </w:tc>
      </w:tr>
      <w:tr>
        <w:trPr>
          <w:trHeight w:val="186"/>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2720" w:type="dxa"/>
            <w:vAlign w:val="bottom"/>
          </w:tcPr>
          <w:p>
            <w:pPr>
              <w:ind w:left="380"/>
              <w:spacing w:after="0"/>
              <w:rPr>
                <w:sz w:val="20"/>
                <w:szCs w:val="20"/>
                <w:color w:val="auto"/>
              </w:rPr>
            </w:pPr>
            <w:r>
              <w:rPr>
                <w:rFonts w:ascii="Courier New" w:cs="Courier New" w:eastAsia="Courier New" w:hAnsi="Courier New"/>
                <w:sz w:val="16"/>
                <w:szCs w:val="16"/>
                <w:color w:val="auto"/>
              </w:rPr>
              <w:t>(Principal executive</w:t>
            </w:r>
          </w:p>
        </w:tc>
      </w:tr>
      <w:tr>
        <w:trPr>
          <w:trHeight w:val="186"/>
        </w:trPr>
        <w:tc>
          <w:tcPr>
            <w:tcW w:w="310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John E. Drury</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officer)</w:t>
            </w:r>
          </w:p>
        </w:tc>
      </w:tr>
      <w:tr>
        <w:trPr>
          <w:trHeight w:val="373"/>
        </w:trPr>
        <w:tc>
          <w:tcPr>
            <w:tcW w:w="310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w:t>
            </w:r>
          </w:p>
        </w:tc>
        <w:tc>
          <w:tcPr>
            <w:tcW w:w="2720" w:type="dxa"/>
            <w:vAlign w:val="bottom"/>
          </w:tcPr>
          <w:p>
            <w:pPr>
              <w:spacing w:after="0"/>
              <w:rPr>
                <w:sz w:val="24"/>
                <w:szCs w:val="24"/>
                <w:color w:val="auto"/>
              </w:rPr>
            </w:pPr>
          </w:p>
        </w:tc>
      </w:tr>
      <w:tr>
        <w:trPr>
          <w:trHeight w:val="186"/>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President, Chief Operating</w:t>
            </w:r>
          </w:p>
        </w:tc>
      </w:tr>
      <w:tr>
        <w:trPr>
          <w:trHeight w:val="186"/>
        </w:trPr>
        <w:tc>
          <w:tcPr>
            <w:tcW w:w="310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Rodney R. Proto</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Officer and Director</w:t>
            </w:r>
          </w:p>
        </w:tc>
      </w:tr>
      <w:tr>
        <w:trPr>
          <w:trHeight w:val="373"/>
        </w:trPr>
        <w:tc>
          <w:tcPr>
            <w:tcW w:w="310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6"/>
                <w:szCs w:val="16"/>
                <w:color w:val="auto"/>
              </w:rPr>
              <w:t>Executive Vice President</w:t>
            </w:r>
          </w:p>
        </w:tc>
      </w:tr>
      <w:tr>
        <w:trPr>
          <w:trHeight w:val="186"/>
        </w:trPr>
        <w:tc>
          <w:tcPr>
            <w:tcW w:w="310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/s/ EARL E. DEFRATES</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and Chief Financial</w:t>
            </w:r>
          </w:p>
        </w:tc>
      </w:tr>
      <w:tr>
        <w:trPr>
          <w:trHeight w:val="186"/>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2720" w:type="dxa"/>
            <w:vAlign w:val="bottom"/>
          </w:tcPr>
          <w:p>
            <w:pPr>
              <w:ind w:left="380"/>
              <w:spacing w:after="0"/>
              <w:rPr>
                <w:sz w:val="20"/>
                <w:szCs w:val="20"/>
                <w:color w:val="auto"/>
              </w:rPr>
            </w:pPr>
            <w:r>
              <w:rPr>
                <w:rFonts w:ascii="Courier New" w:cs="Courier New" w:eastAsia="Courier New" w:hAnsi="Courier New"/>
                <w:sz w:val="16"/>
                <w:szCs w:val="16"/>
                <w:color w:val="auto"/>
              </w:rPr>
              <w:t>Officer (Principal</w:t>
            </w:r>
          </w:p>
        </w:tc>
      </w:tr>
      <w:tr>
        <w:trPr>
          <w:trHeight w:val="186"/>
        </w:trPr>
        <w:tc>
          <w:tcPr>
            <w:tcW w:w="310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Earl E. DeFrates</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financial officer)</w:t>
            </w:r>
          </w:p>
        </w:tc>
      </w:tr>
      <w:tr>
        <w:trPr>
          <w:trHeight w:val="373"/>
        </w:trPr>
        <w:tc>
          <w:tcPr>
            <w:tcW w:w="310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6"/>
                <w:szCs w:val="16"/>
                <w:color w:val="auto"/>
              </w:rPr>
              <w:t>Vice President and Chief</w:t>
            </w:r>
          </w:p>
        </w:tc>
      </w:tr>
      <w:tr>
        <w:trPr>
          <w:trHeight w:val="186"/>
        </w:trPr>
        <w:tc>
          <w:tcPr>
            <w:tcW w:w="310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/s/ BRUCE E. SNYDER</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Accounting Officer</w:t>
            </w:r>
          </w:p>
        </w:tc>
      </w:tr>
      <w:tr>
        <w:trPr>
          <w:trHeight w:val="186"/>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2720" w:type="dxa"/>
            <w:vAlign w:val="bottom"/>
          </w:tcPr>
          <w:p>
            <w:pPr>
              <w:ind w:left="380"/>
              <w:spacing w:after="0"/>
              <w:rPr>
                <w:sz w:val="20"/>
                <w:szCs w:val="20"/>
                <w:color w:val="auto"/>
              </w:rPr>
            </w:pPr>
            <w:r>
              <w:rPr>
                <w:rFonts w:ascii="Courier New" w:cs="Courier New" w:eastAsia="Courier New" w:hAnsi="Courier New"/>
                <w:sz w:val="16"/>
                <w:szCs w:val="16"/>
                <w:color w:val="auto"/>
              </w:rPr>
              <w:t>(Principal accounting</w:t>
            </w:r>
          </w:p>
        </w:tc>
      </w:tr>
      <w:tr>
        <w:trPr>
          <w:trHeight w:val="186"/>
        </w:trPr>
        <w:tc>
          <w:tcPr>
            <w:tcW w:w="310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Bruce E. Snyder</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officer)</w:t>
            </w:r>
          </w:p>
        </w:tc>
      </w:tr>
      <w:tr>
        <w:trPr>
          <w:trHeight w:val="373"/>
        </w:trPr>
        <w:tc>
          <w:tcPr>
            <w:tcW w:w="310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w:t>
            </w:r>
          </w:p>
        </w:tc>
        <w:tc>
          <w:tcPr>
            <w:tcW w:w="2720" w:type="dxa"/>
            <w:vAlign w:val="bottom"/>
          </w:tcPr>
          <w:p>
            <w:pPr>
              <w:spacing w:after="0"/>
              <w:rPr>
                <w:sz w:val="24"/>
                <w:szCs w:val="24"/>
                <w:color w:val="auto"/>
              </w:rPr>
            </w:pPr>
          </w:p>
        </w:tc>
      </w:tr>
      <w:tr>
        <w:trPr>
          <w:trHeight w:val="186"/>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310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Ralph F. Cox</w:t>
            </w:r>
          </w:p>
        </w:tc>
        <w:tc>
          <w:tcPr>
            <w:tcW w:w="2720" w:type="dxa"/>
            <w:vAlign w:val="bottom"/>
          </w:tcPr>
          <w:p>
            <w:pPr>
              <w:spacing w:after="0"/>
              <w:rPr>
                <w:sz w:val="16"/>
                <w:szCs w:val="16"/>
                <w:color w:val="auto"/>
              </w:rPr>
            </w:pPr>
          </w:p>
        </w:tc>
      </w:tr>
      <w:tr>
        <w:trPr>
          <w:trHeight w:val="373"/>
        </w:trPr>
        <w:tc>
          <w:tcPr>
            <w:tcW w:w="3100" w:type="dxa"/>
            <w:vAlign w:val="bottom"/>
          </w:tcPr>
          <w:p>
            <w:pPr>
              <w:spacing w:after="0"/>
              <w:rPr>
                <w:sz w:val="24"/>
                <w:szCs w:val="24"/>
                <w:color w:val="auto"/>
              </w:rPr>
            </w:pPr>
          </w:p>
        </w:tc>
        <w:tc>
          <w:tcPr>
            <w:tcW w:w="2720" w:type="dxa"/>
            <w:vAlign w:val="bottom"/>
          </w:tcPr>
          <w:p>
            <w:pPr>
              <w:ind w:left="580"/>
              <w:spacing w:after="0"/>
              <w:rPr>
                <w:sz w:val="20"/>
                <w:szCs w:val="20"/>
                <w:color w:val="auto"/>
              </w:rPr>
            </w:pPr>
            <w:r>
              <w:rPr>
                <w:rFonts w:ascii="Courier New" w:cs="Courier New" w:eastAsia="Courier New" w:hAnsi="Courier New"/>
                <w:sz w:val="16"/>
                <w:szCs w:val="16"/>
                <w:color w:val="auto"/>
              </w:rPr>
              <w:t>II-5</w:t>
            </w:r>
          </w:p>
        </w:tc>
      </w:tr>
    </w:tbl>
    <w:p>
      <w:pPr>
        <w:sectPr>
          <w:pgSz w:w="11900" w:h="16838" w:orient="portrait"/>
          <w:cols w:equalWidth="0" w:num="1">
            <w:col w:w="10219"/>
          </w:cols>
          <w:pgMar w:left="240" w:top="490" w:right="1440" w:bottom="1440" w:gutter="0" w:footer="0" w:header="0"/>
          <w:type w:val="continuous"/>
        </w:sectPr>
      </w:pPr>
    </w:p>
    <w:bookmarkStart w:id="39" w:name="page40"/>
    <w:bookmarkEnd w:id="39"/>
    <w:p>
      <w:pPr>
        <w:ind w:left="960"/>
        <w:spacing w:after="0"/>
        <w:tabs>
          <w:tab w:leader="none" w:pos="404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 ------------------------------</w:t>
        <w:tab/>
        <w:t>--------------------------</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jc w:val="center"/>
        <w:ind w:right="7419"/>
        <w:spacing w:after="0"/>
        <w:rPr>
          <w:sz w:val="20"/>
          <w:szCs w:val="20"/>
          <w:color w:val="auto"/>
        </w:rPr>
      </w:pPr>
      <w:r>
        <w:rPr>
          <w:rFonts w:ascii="Courier New" w:cs="Courier New" w:eastAsia="Courier New" w:hAnsi="Courier New"/>
          <w:sz w:val="16"/>
          <w:szCs w:val="16"/>
          <w:color w:val="auto"/>
        </w:rPr>
        <w:t>Richard J. Heckmann</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jc w:val="center"/>
        <w:ind w:right="7419"/>
        <w:spacing w:after="0"/>
        <w:rPr>
          <w:sz w:val="20"/>
          <w:szCs w:val="20"/>
          <w:color w:val="auto"/>
        </w:rPr>
      </w:pPr>
      <w:r>
        <w:rPr>
          <w:rFonts w:ascii="Courier New" w:cs="Courier New" w:eastAsia="Courier New" w:hAnsi="Courier New"/>
          <w:sz w:val="16"/>
          <w:szCs w:val="16"/>
          <w:color w:val="auto"/>
        </w:rPr>
        <w:t>Richard D. Kinder</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jc w:val="center"/>
        <w:ind w:right="7419"/>
        <w:spacing w:after="0"/>
        <w:rPr>
          <w:sz w:val="20"/>
          <w:szCs w:val="20"/>
          <w:color w:val="auto"/>
        </w:rPr>
      </w:pPr>
      <w:r>
        <w:rPr>
          <w:rFonts w:ascii="Courier New" w:cs="Courier New" w:eastAsia="Courier New" w:hAnsi="Courier New"/>
          <w:sz w:val="16"/>
          <w:szCs w:val="16"/>
          <w:color w:val="auto"/>
        </w:rPr>
        <w:t>Larry J. Martin</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William E. Moffett</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jc w:val="center"/>
        <w:ind w:right="7419"/>
        <w:spacing w:after="0"/>
        <w:rPr>
          <w:sz w:val="20"/>
          <w:szCs w:val="20"/>
          <w:color w:val="auto"/>
        </w:rPr>
      </w:pPr>
      <w:r>
        <w:rPr>
          <w:rFonts w:ascii="Courier New" w:cs="Courier New" w:eastAsia="Courier New" w:hAnsi="Courier New"/>
          <w:sz w:val="16"/>
          <w:szCs w:val="16"/>
          <w:color w:val="auto"/>
        </w:rPr>
        <w:t>Alexander W. Rangos</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jc w:val="center"/>
        <w:ind w:right="7419"/>
        <w:spacing w:after="0"/>
        <w:rPr>
          <w:sz w:val="20"/>
          <w:szCs w:val="20"/>
          <w:color w:val="auto"/>
        </w:rPr>
      </w:pPr>
      <w:r>
        <w:rPr>
          <w:rFonts w:ascii="Courier New" w:cs="Courier New" w:eastAsia="Courier New" w:hAnsi="Courier New"/>
          <w:sz w:val="16"/>
          <w:szCs w:val="16"/>
          <w:color w:val="auto"/>
        </w:rPr>
        <w:t>John G. Rangos, Sr.</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Kosti Shirvanian</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David Sutherland-Yoest</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Jerome B. York</w:t>
      </w:r>
    </w:p>
    <w:p>
      <w:pPr>
        <w:spacing w:after="0" w:line="191"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GREGORY T. SANGALIS</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Gregory T. Sangalis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ATTORNEY-IN-FACT</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676"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3"/>
        </w:trPr>
        <w:tc>
          <w:tcPr>
            <w:tcW w:w="4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EXHIBIT 12.1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73"/>
        </w:trPr>
        <w:tc>
          <w:tcPr>
            <w:tcW w:w="5580" w:type="dxa"/>
            <w:vAlign w:val="bottom"/>
            <w:gridSpan w:val="2"/>
          </w:tcPr>
          <w:p>
            <w:pPr>
              <w:jc w:val="right"/>
              <w:ind w:right="759"/>
              <w:spacing w:after="0"/>
              <w:rPr>
                <w:sz w:val="20"/>
                <w:szCs w:val="20"/>
                <w:color w:val="auto"/>
              </w:rPr>
            </w:pPr>
            <w:r>
              <w:rPr>
                <w:rFonts w:ascii="Courier New" w:cs="Courier New" w:eastAsia="Courier New" w:hAnsi="Courier New"/>
                <w:sz w:val="16"/>
                <w:szCs w:val="16"/>
                <w:color w:val="auto"/>
              </w:rPr>
              <w:t>USA WASTE SERVICES, INC.</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55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RATIO OF EARNINGS TO FIXED CHARGES</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58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(IN THOUSANDS, EXCEPT RATIOS)</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559"/>
        </w:trPr>
        <w:tc>
          <w:tcPr>
            <w:tcW w:w="4260" w:type="dxa"/>
            <w:vAlign w:val="bottom"/>
          </w:tcPr>
          <w:p>
            <w:pPr>
              <w:spacing w:after="0"/>
              <w:rPr>
                <w:sz w:val="24"/>
                <w:szCs w:val="24"/>
                <w:color w:val="auto"/>
              </w:rPr>
            </w:pP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THREE MONTHS</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ENDED</w:t>
            </w:r>
          </w:p>
        </w:tc>
        <w:tc>
          <w:tcPr>
            <w:tcW w:w="1100" w:type="dxa"/>
            <w:vAlign w:val="bottom"/>
          </w:tcPr>
          <w:p>
            <w:pPr>
              <w:spacing w:after="0"/>
              <w:rPr>
                <w:sz w:val="16"/>
                <w:szCs w:val="16"/>
                <w:color w:val="auto"/>
              </w:rPr>
            </w:pPr>
          </w:p>
        </w:tc>
        <w:tc>
          <w:tcPr>
            <w:tcW w:w="320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YEAR ENDED DECEMBER 31,</w:t>
            </w:r>
          </w:p>
        </w:tc>
        <w:tc>
          <w:tcPr>
            <w:tcW w:w="980" w:type="dxa"/>
            <w:vAlign w:val="bottom"/>
          </w:tcPr>
          <w:p>
            <w:pPr>
              <w:spacing w:after="0"/>
              <w:rPr>
                <w:sz w:val="16"/>
                <w:szCs w:val="16"/>
                <w:color w:val="auto"/>
              </w:rPr>
            </w:pPr>
          </w:p>
        </w:tc>
      </w:tr>
      <w:tr>
        <w:trPr>
          <w:trHeight w:val="186"/>
        </w:trPr>
        <w:tc>
          <w:tcPr>
            <w:tcW w:w="42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MARCH 31,</w:t>
            </w:r>
          </w:p>
        </w:tc>
        <w:tc>
          <w:tcPr>
            <w:tcW w:w="5280" w:type="dxa"/>
            <w:vAlign w:val="bottom"/>
            <w:gridSpan w:val="5"/>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1998</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1997</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1996</w:t>
            </w:r>
          </w:p>
        </w:tc>
        <w:tc>
          <w:tcPr>
            <w:tcW w:w="10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260" w:type="dxa"/>
            <w:vAlign w:val="bottom"/>
          </w:tcPr>
          <w:p>
            <w:pPr>
              <w:spacing w:after="0"/>
              <w:rPr>
                <w:sz w:val="20"/>
                <w:szCs w:val="20"/>
                <w:color w:val="auto"/>
              </w:rPr>
            </w:pPr>
            <w:r>
              <w:rPr>
                <w:rFonts w:ascii="Courier New" w:cs="Courier New" w:eastAsia="Courier New" w:hAnsi="Courier New"/>
                <w:sz w:val="16"/>
                <w:szCs w:val="16"/>
                <w:color w:val="auto"/>
              </w:rPr>
              <w:t>Actual:</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Income before income taxes</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$201,604</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$463,267</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$138,737</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$141,089</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$ 20,927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$ 68,754</w:t>
            </w:r>
          </w:p>
        </w:tc>
      </w:tr>
      <w:tr>
        <w:trPr>
          <w:trHeight w:val="373"/>
        </w:trPr>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Fixed charges deducted from income:</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4260" w:type="dxa"/>
            <w:vAlign w:val="bottom"/>
          </w:tcPr>
          <w:p>
            <w:pPr>
              <w:ind w:left="380"/>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38,368</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104,261</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60,497</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69,613</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55,356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50,737</w:t>
            </w:r>
          </w:p>
        </w:tc>
      </w:tr>
      <w:tr>
        <w:trPr>
          <w:trHeight w:val="186"/>
        </w:trPr>
        <w:tc>
          <w:tcPr>
            <w:tcW w:w="4260" w:type="dxa"/>
            <w:vAlign w:val="bottom"/>
          </w:tcPr>
          <w:p>
            <w:pPr>
              <w:ind w:left="380"/>
              <w:spacing w:after="0"/>
              <w:rPr>
                <w:sz w:val="20"/>
                <w:szCs w:val="20"/>
                <w:color w:val="auto"/>
              </w:rPr>
            </w:pPr>
            <w:r>
              <w:rPr>
                <w:rFonts w:ascii="Courier New" w:cs="Courier New" w:eastAsia="Courier New" w:hAnsi="Courier New"/>
                <w:sz w:val="16"/>
                <w:szCs w:val="16"/>
                <w:color w:val="auto"/>
              </w:rPr>
              <w:t>Interest implicit in rents</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4,167</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11,790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7,345</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6,252</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8,069</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10,377</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ind w:left="580"/>
              <w:spacing w:after="0"/>
              <w:rPr>
                <w:sz w:val="20"/>
                <w:szCs w:val="20"/>
                <w:color w:val="auto"/>
              </w:rPr>
            </w:pPr>
            <w:r>
              <w:rPr>
                <w:rFonts w:ascii="Courier New" w:cs="Courier New" w:eastAsia="Courier New" w:hAnsi="Courier New"/>
                <w:sz w:val="16"/>
                <w:szCs w:val="16"/>
                <w:color w:val="auto"/>
              </w:rPr>
              <w:t>Earnings available for fixed charges</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$244,139</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$579,318</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$206,579</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$216,954</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$ 84,352</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$129,868</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$ 38,368</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$104,261</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$ 60,497</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$ 69,613</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$ 55,356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$ 50,737</w:t>
            </w:r>
          </w:p>
        </w:tc>
      </w:tr>
      <w:tr>
        <w:trPr>
          <w:trHeight w:val="186"/>
        </w:trPr>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Capitalized interest</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6,306</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25,197</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21,189</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13,808</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10,550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8,609</w:t>
            </w:r>
          </w:p>
        </w:tc>
      </w:tr>
      <w:tr>
        <w:trPr>
          <w:trHeight w:val="186"/>
        </w:trPr>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Interest implicit in rents</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4,167</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11,790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7,345</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6,252</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8,069</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10,377</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ind w:left="580"/>
              <w:spacing w:after="0"/>
              <w:rPr>
                <w:sz w:val="20"/>
                <w:szCs w:val="20"/>
                <w:color w:val="auto"/>
              </w:rPr>
            </w:pPr>
            <w:r>
              <w:rPr>
                <w:rFonts w:ascii="Courier New" w:cs="Courier New" w:eastAsia="Courier New" w:hAnsi="Courier New"/>
                <w:sz w:val="16"/>
                <w:szCs w:val="16"/>
                <w:color w:val="auto"/>
              </w:rPr>
              <w:t>Total fixed charges</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$ 48,841</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$141,248</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$ 89,031</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$ 89,673</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$ 73,975</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$ 69,723</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ind w:left="580"/>
              <w:spacing w:after="0"/>
              <w:rPr>
                <w:sz w:val="20"/>
                <w:szCs w:val="20"/>
                <w:color w:val="auto"/>
              </w:rPr>
            </w:pPr>
            <w:r>
              <w:rPr>
                <w:rFonts w:ascii="Courier New" w:cs="Courier New" w:eastAsia="Courier New" w:hAnsi="Courier New"/>
                <w:sz w:val="16"/>
                <w:szCs w:val="16"/>
                <w:color w:val="auto"/>
              </w:rPr>
              <w:t>Ratio of earnings to fixed charges</w:t>
            </w:r>
          </w:p>
        </w:tc>
        <w:tc>
          <w:tcPr>
            <w:tcW w:w="1320" w:type="dxa"/>
            <w:vAlign w:val="bottom"/>
          </w:tcPr>
          <w:p>
            <w:pPr>
              <w:ind w:left="580"/>
              <w:spacing w:after="0"/>
              <w:rPr>
                <w:sz w:val="20"/>
                <w:szCs w:val="20"/>
                <w:color w:val="auto"/>
              </w:rPr>
            </w:pPr>
            <w:r>
              <w:rPr>
                <w:rFonts w:ascii="Courier New" w:cs="Courier New" w:eastAsia="Courier New" w:hAnsi="Courier New"/>
                <w:sz w:val="16"/>
                <w:szCs w:val="16"/>
                <w:color w:val="auto"/>
              </w:rPr>
              <w:t>5.0x</w:t>
            </w:r>
          </w:p>
        </w:tc>
        <w:tc>
          <w:tcPr>
            <w:tcW w:w="1100" w:type="dxa"/>
            <w:vAlign w:val="bottom"/>
          </w:tcPr>
          <w:p>
            <w:pPr>
              <w:ind w:left="620"/>
              <w:spacing w:after="0"/>
              <w:rPr>
                <w:sz w:val="20"/>
                <w:szCs w:val="20"/>
                <w:color w:val="auto"/>
              </w:rPr>
            </w:pPr>
            <w:r>
              <w:rPr>
                <w:rFonts w:ascii="Courier New" w:cs="Courier New" w:eastAsia="Courier New" w:hAnsi="Courier New"/>
                <w:sz w:val="16"/>
                <w:szCs w:val="16"/>
                <w:color w:val="auto"/>
              </w:rPr>
              <w:t>4.1x</w:t>
            </w:r>
          </w:p>
        </w:tc>
        <w:tc>
          <w:tcPr>
            <w:tcW w:w="1080" w:type="dxa"/>
            <w:vAlign w:val="bottom"/>
          </w:tcPr>
          <w:p>
            <w:pPr>
              <w:ind w:left="580"/>
              <w:spacing w:after="0"/>
              <w:rPr>
                <w:sz w:val="20"/>
                <w:szCs w:val="20"/>
                <w:color w:val="auto"/>
              </w:rPr>
            </w:pPr>
            <w:r>
              <w:rPr>
                <w:rFonts w:ascii="Courier New" w:cs="Courier New" w:eastAsia="Courier New" w:hAnsi="Courier New"/>
                <w:sz w:val="16"/>
                <w:szCs w:val="16"/>
                <w:color w:val="auto"/>
              </w:rPr>
              <w:t>2.3x</w:t>
            </w:r>
          </w:p>
        </w:tc>
        <w:tc>
          <w:tcPr>
            <w:tcW w:w="1060" w:type="dxa"/>
            <w:vAlign w:val="bottom"/>
          </w:tcPr>
          <w:p>
            <w:pPr>
              <w:ind w:left="580"/>
              <w:spacing w:after="0"/>
              <w:rPr>
                <w:sz w:val="20"/>
                <w:szCs w:val="20"/>
                <w:color w:val="auto"/>
              </w:rPr>
            </w:pPr>
            <w:r>
              <w:rPr>
                <w:rFonts w:ascii="Courier New" w:cs="Courier New" w:eastAsia="Courier New" w:hAnsi="Courier New"/>
                <w:sz w:val="16"/>
                <w:szCs w:val="16"/>
                <w:color w:val="auto"/>
              </w:rPr>
              <w:t>2.4x</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1.1x</w:t>
            </w:r>
          </w:p>
        </w:tc>
        <w:tc>
          <w:tcPr>
            <w:tcW w:w="980" w:type="dxa"/>
            <w:vAlign w:val="bottom"/>
          </w:tcPr>
          <w:p>
            <w:pPr>
              <w:ind w:left="580"/>
              <w:spacing w:after="0"/>
              <w:rPr>
                <w:sz w:val="20"/>
                <w:szCs w:val="20"/>
                <w:color w:val="auto"/>
              </w:rPr>
            </w:pPr>
            <w:r>
              <w:rPr>
                <w:rFonts w:ascii="Courier New" w:cs="Courier New" w:eastAsia="Courier New" w:hAnsi="Courier New"/>
                <w:sz w:val="16"/>
                <w:szCs w:val="16"/>
                <w:color w:val="auto"/>
                <w:w w:val="98"/>
              </w:rPr>
              <w:t>1.9x</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Supplemental:</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Income before income taxes</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$201,604</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$463,267</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$138,737</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$141,089</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$ 20,927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$ 68,754</w:t>
            </w:r>
          </w:p>
        </w:tc>
      </w:tr>
      <w:tr>
        <w:trPr>
          <w:trHeight w:val="186"/>
        </w:trPr>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Nonrecurring charges deducted from income:</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4260" w:type="dxa"/>
            <w:vAlign w:val="bottom"/>
          </w:tcPr>
          <w:p>
            <w:pPr>
              <w:ind w:left="380"/>
              <w:spacing w:after="0"/>
              <w:rPr>
                <w:sz w:val="20"/>
                <w:szCs w:val="20"/>
                <w:color w:val="auto"/>
              </w:rPr>
            </w:pPr>
            <w:r>
              <w:rPr>
                <w:rFonts w:ascii="Courier New" w:cs="Courier New" w:eastAsia="Courier New" w:hAnsi="Courier New"/>
                <w:sz w:val="16"/>
                <w:szCs w:val="16"/>
                <w:color w:val="auto"/>
              </w:rPr>
              <w:t>Merger costs</w:t>
            </w:r>
          </w:p>
        </w:tc>
        <w:tc>
          <w:tcPr>
            <w:tcW w:w="13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109,411</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126,626</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26,539</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3,782</w:t>
            </w:r>
          </w:p>
        </w:tc>
        <w:tc>
          <w:tcPr>
            <w:tcW w:w="98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ind w:left="380"/>
              <w:spacing w:after="0"/>
              <w:rPr>
                <w:sz w:val="20"/>
                <w:szCs w:val="20"/>
                <w:color w:val="auto"/>
              </w:rPr>
            </w:pPr>
            <w:r>
              <w:rPr>
                <w:rFonts w:ascii="Courier New" w:cs="Courier New" w:eastAsia="Courier New" w:hAnsi="Courier New"/>
                <w:sz w:val="16"/>
                <w:szCs w:val="16"/>
                <w:color w:val="auto"/>
              </w:rPr>
              <w:t>Unusual items</w:t>
            </w:r>
          </w:p>
        </w:tc>
        <w:tc>
          <w:tcPr>
            <w:tcW w:w="13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24,720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63,800</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4,733</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8,863</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2,672</w:t>
            </w:r>
          </w:p>
        </w:tc>
      </w:tr>
      <w:tr>
        <w:trPr>
          <w:trHeight w:val="186"/>
        </w:trPr>
        <w:tc>
          <w:tcPr>
            <w:tcW w:w="4260" w:type="dxa"/>
            <w:vAlign w:val="bottom"/>
          </w:tcPr>
          <w:p>
            <w:pPr>
              <w:ind w:left="380"/>
              <w:spacing w:after="0"/>
              <w:rPr>
                <w:sz w:val="20"/>
                <w:szCs w:val="20"/>
                <w:color w:val="auto"/>
              </w:rPr>
            </w:pPr>
            <w:r>
              <w:rPr>
                <w:rFonts w:ascii="Courier New" w:cs="Courier New" w:eastAsia="Courier New" w:hAnsi="Courier New"/>
                <w:sz w:val="16"/>
                <w:szCs w:val="16"/>
                <w:color w:val="auto"/>
              </w:rPr>
              <w:t>Stockholder litigation costs</w:t>
            </w:r>
          </w:p>
        </w:tc>
        <w:tc>
          <w:tcPr>
            <w:tcW w:w="13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79,400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5,500</w:t>
            </w:r>
          </w:p>
        </w:tc>
      </w:tr>
      <w:tr>
        <w:trPr>
          <w:trHeight w:val="186"/>
        </w:trPr>
        <w:tc>
          <w:tcPr>
            <w:tcW w:w="4260" w:type="dxa"/>
            <w:vAlign w:val="bottom"/>
          </w:tcPr>
          <w:p>
            <w:pPr>
              <w:ind w:left="380"/>
              <w:spacing w:after="0"/>
              <w:rPr>
                <w:sz w:val="20"/>
                <w:szCs w:val="20"/>
                <w:color w:val="auto"/>
              </w:rPr>
            </w:pPr>
            <w:r>
              <w:rPr>
                <w:rFonts w:ascii="Courier New" w:cs="Courier New" w:eastAsia="Courier New" w:hAnsi="Courier New"/>
                <w:sz w:val="16"/>
                <w:szCs w:val="16"/>
                <w:color w:val="auto"/>
              </w:rPr>
              <w:t>Nonrecurring interest</w:t>
            </w:r>
          </w:p>
        </w:tc>
        <w:tc>
          <w:tcPr>
            <w:tcW w:w="13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10,994</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1,254</w:t>
            </w:r>
          </w:p>
        </w:tc>
        <w:tc>
          <w:tcPr>
            <w:tcW w:w="98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Fixed charges deducted from income:</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4260" w:type="dxa"/>
            <w:vAlign w:val="bottom"/>
          </w:tcPr>
          <w:p>
            <w:pPr>
              <w:ind w:left="380"/>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38,368</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104,261</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60,497</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69,613</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55,356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50,737</w:t>
            </w:r>
          </w:p>
        </w:tc>
      </w:tr>
      <w:tr>
        <w:trPr>
          <w:trHeight w:val="186"/>
        </w:trPr>
        <w:tc>
          <w:tcPr>
            <w:tcW w:w="4260" w:type="dxa"/>
            <w:vAlign w:val="bottom"/>
          </w:tcPr>
          <w:p>
            <w:pPr>
              <w:ind w:left="380"/>
              <w:spacing w:after="0"/>
              <w:rPr>
                <w:sz w:val="20"/>
                <w:szCs w:val="20"/>
                <w:color w:val="auto"/>
              </w:rPr>
            </w:pPr>
            <w:r>
              <w:rPr>
                <w:rFonts w:ascii="Courier New" w:cs="Courier New" w:eastAsia="Courier New" w:hAnsi="Courier New"/>
                <w:sz w:val="16"/>
                <w:szCs w:val="16"/>
                <w:color w:val="auto"/>
              </w:rPr>
              <w:t>Less: Nonrecurring interest</w:t>
            </w:r>
          </w:p>
        </w:tc>
        <w:tc>
          <w:tcPr>
            <w:tcW w:w="13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(10,994)</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(1,254)</w:t>
            </w:r>
          </w:p>
        </w:tc>
        <w:tc>
          <w:tcPr>
            <w:tcW w:w="98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ind w:left="380"/>
              <w:spacing w:after="0"/>
              <w:rPr>
                <w:sz w:val="20"/>
                <w:szCs w:val="20"/>
                <w:color w:val="auto"/>
              </w:rPr>
            </w:pPr>
            <w:r>
              <w:rPr>
                <w:rFonts w:ascii="Courier New" w:cs="Courier New" w:eastAsia="Courier New" w:hAnsi="Courier New"/>
                <w:sz w:val="16"/>
                <w:szCs w:val="16"/>
                <w:color w:val="auto"/>
              </w:rPr>
              <w:t>Interest implicit in rents</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4,167</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11,790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7,345</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6,252</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8,069</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10,377</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ind w:left="580"/>
              <w:spacing w:after="0"/>
              <w:rPr>
                <w:sz w:val="20"/>
                <w:szCs w:val="20"/>
                <w:color w:val="auto"/>
              </w:rPr>
            </w:pPr>
            <w:r>
              <w:rPr>
                <w:rFonts w:ascii="Courier New" w:cs="Courier New" w:eastAsia="Courier New" w:hAnsi="Courier New"/>
                <w:sz w:val="16"/>
                <w:szCs w:val="16"/>
                <w:color w:val="auto"/>
              </w:rPr>
              <w:t>Earnings available for fixed charges</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$244,139</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$713,449</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$397,005</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$248,226</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$176,397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$138,040</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$ 38,368</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$104,261</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$ 60,497</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$ 69,613</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$ 55,356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$ 50,737</w:t>
            </w:r>
          </w:p>
        </w:tc>
      </w:tr>
      <w:tr>
        <w:trPr>
          <w:trHeight w:val="186"/>
        </w:trPr>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Less: Nonrecurring interest</w:t>
            </w:r>
          </w:p>
        </w:tc>
        <w:tc>
          <w:tcPr>
            <w:tcW w:w="13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(10,994)</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(1,254)</w:t>
            </w:r>
          </w:p>
        </w:tc>
        <w:tc>
          <w:tcPr>
            <w:tcW w:w="98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Capitalized interest</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6,306</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25,197</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21,189</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13,808</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10,550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8,609</w:t>
            </w:r>
          </w:p>
        </w:tc>
      </w:tr>
      <w:tr>
        <w:trPr>
          <w:trHeight w:val="186"/>
        </w:trPr>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Interest implicit in rents</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4,167</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11,790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7,345</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6,252</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8,069</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10,377</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ind w:left="580"/>
              <w:spacing w:after="0"/>
              <w:rPr>
                <w:sz w:val="20"/>
                <w:szCs w:val="20"/>
                <w:color w:val="auto"/>
              </w:rPr>
            </w:pPr>
            <w:r>
              <w:rPr>
                <w:rFonts w:ascii="Courier New" w:cs="Courier New" w:eastAsia="Courier New" w:hAnsi="Courier New"/>
                <w:sz w:val="16"/>
                <w:szCs w:val="16"/>
                <w:color w:val="auto"/>
              </w:rPr>
              <w:t>Total fixed charges</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$ 48,841</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$141,248</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$ 89,031</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$ 78,679</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$ 72,721</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$ 69,723</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ind w:left="580"/>
              <w:spacing w:after="0"/>
              <w:rPr>
                <w:sz w:val="20"/>
                <w:szCs w:val="20"/>
                <w:color w:val="auto"/>
              </w:rPr>
            </w:pPr>
            <w:r>
              <w:rPr>
                <w:rFonts w:ascii="Courier New" w:cs="Courier New" w:eastAsia="Courier New" w:hAnsi="Courier New"/>
                <w:sz w:val="16"/>
                <w:szCs w:val="16"/>
                <w:color w:val="auto"/>
              </w:rPr>
              <w:t>Ratio of earnings to fixed charges</w:t>
            </w:r>
          </w:p>
        </w:tc>
        <w:tc>
          <w:tcPr>
            <w:tcW w:w="1320" w:type="dxa"/>
            <w:vAlign w:val="bottom"/>
          </w:tcPr>
          <w:p>
            <w:pPr>
              <w:ind w:left="580"/>
              <w:spacing w:after="0"/>
              <w:rPr>
                <w:sz w:val="20"/>
                <w:szCs w:val="20"/>
                <w:color w:val="auto"/>
              </w:rPr>
            </w:pPr>
            <w:r>
              <w:rPr>
                <w:rFonts w:ascii="Courier New" w:cs="Courier New" w:eastAsia="Courier New" w:hAnsi="Courier New"/>
                <w:sz w:val="16"/>
                <w:szCs w:val="16"/>
                <w:color w:val="auto"/>
              </w:rPr>
              <w:t>5.0x</w:t>
            </w:r>
          </w:p>
        </w:tc>
        <w:tc>
          <w:tcPr>
            <w:tcW w:w="1100" w:type="dxa"/>
            <w:vAlign w:val="bottom"/>
          </w:tcPr>
          <w:p>
            <w:pPr>
              <w:ind w:left="620"/>
              <w:spacing w:after="0"/>
              <w:rPr>
                <w:sz w:val="20"/>
                <w:szCs w:val="20"/>
                <w:color w:val="auto"/>
              </w:rPr>
            </w:pPr>
            <w:r>
              <w:rPr>
                <w:rFonts w:ascii="Courier New" w:cs="Courier New" w:eastAsia="Courier New" w:hAnsi="Courier New"/>
                <w:sz w:val="16"/>
                <w:szCs w:val="16"/>
                <w:color w:val="auto"/>
              </w:rPr>
              <w:t>5.1x</w:t>
            </w:r>
          </w:p>
        </w:tc>
        <w:tc>
          <w:tcPr>
            <w:tcW w:w="1080" w:type="dxa"/>
            <w:vAlign w:val="bottom"/>
          </w:tcPr>
          <w:p>
            <w:pPr>
              <w:ind w:left="580"/>
              <w:spacing w:after="0"/>
              <w:rPr>
                <w:sz w:val="20"/>
                <w:szCs w:val="20"/>
                <w:color w:val="auto"/>
              </w:rPr>
            </w:pPr>
            <w:r>
              <w:rPr>
                <w:rFonts w:ascii="Courier New" w:cs="Courier New" w:eastAsia="Courier New" w:hAnsi="Courier New"/>
                <w:sz w:val="16"/>
                <w:szCs w:val="16"/>
                <w:color w:val="auto"/>
              </w:rPr>
              <w:t>4.5x</w:t>
            </w:r>
          </w:p>
        </w:tc>
        <w:tc>
          <w:tcPr>
            <w:tcW w:w="1060" w:type="dxa"/>
            <w:vAlign w:val="bottom"/>
          </w:tcPr>
          <w:p>
            <w:pPr>
              <w:ind w:left="580"/>
              <w:spacing w:after="0"/>
              <w:rPr>
                <w:sz w:val="20"/>
                <w:szCs w:val="20"/>
                <w:color w:val="auto"/>
              </w:rPr>
            </w:pPr>
            <w:r>
              <w:rPr>
                <w:rFonts w:ascii="Courier New" w:cs="Courier New" w:eastAsia="Courier New" w:hAnsi="Courier New"/>
                <w:sz w:val="16"/>
                <w:szCs w:val="16"/>
                <w:color w:val="auto"/>
              </w:rPr>
              <w:t>3.2x</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2.4x</w:t>
            </w:r>
          </w:p>
        </w:tc>
        <w:tc>
          <w:tcPr>
            <w:tcW w:w="980" w:type="dxa"/>
            <w:vAlign w:val="bottom"/>
          </w:tcPr>
          <w:p>
            <w:pPr>
              <w:ind w:left="580"/>
              <w:spacing w:after="0"/>
              <w:rPr>
                <w:sz w:val="20"/>
                <w:szCs w:val="20"/>
                <w:color w:val="auto"/>
              </w:rPr>
            </w:pPr>
            <w:r>
              <w:rPr>
                <w:rFonts w:ascii="Courier New" w:cs="Courier New" w:eastAsia="Courier New" w:hAnsi="Courier New"/>
                <w:sz w:val="16"/>
                <w:szCs w:val="16"/>
                <w:color w:val="auto"/>
                <w:w w:val="98"/>
              </w:rPr>
              <w:t>2.0x</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860"/>
          </w:cols>
          <w:pgMar w:left="240" w:top="514" w:right="799" w:bottom="1440" w:gutter="0" w:footer="0" w:header="0"/>
        </w:sectPr>
      </w:pPr>
    </w:p>
    <w:bookmarkStart w:id="41" w:name="page42"/>
    <w:bookmarkEnd w:id="41"/>
    <w:p>
      <w:pPr>
        <w:jc w:val="right"/>
        <w:ind w:right="2559"/>
        <w:spacing w:after="0"/>
        <w:rPr>
          <w:sz w:val="20"/>
          <w:szCs w:val="20"/>
          <w:color w:val="auto"/>
        </w:rPr>
      </w:pPr>
      <w:r>
        <w:rPr>
          <w:rFonts w:ascii="Courier New" w:cs="Courier New" w:eastAsia="Courier New" w:hAnsi="Courier New"/>
          <w:sz w:val="16"/>
          <w:szCs w:val="16"/>
          <w:color w:val="auto"/>
        </w:rPr>
        <w:t>EXHIBIT 23.2</w:t>
      </w:r>
    </w:p>
    <w:p>
      <w:pPr>
        <w:spacing w:after="0" w:line="200" w:lineRule="exact"/>
        <w:rPr>
          <w:sz w:val="20"/>
          <w:szCs w:val="20"/>
          <w:color w:val="auto"/>
        </w:rPr>
      </w:pPr>
    </w:p>
    <w:p>
      <w:pPr>
        <w:spacing w:after="0" w:line="36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8"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We consent to the incorporation by reference in this Amendment No. 2 to registration statement on Form S-3 (File No. 333-52197) of our report dated March 16, 1998, on our audits of the consolidated financial statements of USA Waste Services, Inc. We also consent to the reference to our firm under the caption "Experts."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Coopers &amp; Lybrand L.L.P.</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10, 1998</w:t>
      </w:r>
    </w:p>
    <w:p>
      <w:pPr>
        <w:sectPr>
          <w:pgSz w:w="11900" w:h="16838" w:orient="portrait"/>
          <w:cols w:equalWidth="0" w:num="1">
            <w:col w:w="10219"/>
          </w:cols>
          <w:pgMar w:left="240" w:top="514" w:right="1440" w:bottom="1440" w:gutter="0" w:footer="0" w:header="0"/>
        </w:sectPr>
      </w:pPr>
    </w:p>
    <w:bookmarkStart w:id="42" w:name="page43"/>
    <w:bookmarkEnd w:id="42"/>
    <w:p>
      <w:pPr>
        <w:jc w:val="center"/>
        <w:ind w:right="-60"/>
        <w:spacing w:after="0"/>
        <w:rPr>
          <w:sz w:val="20"/>
          <w:szCs w:val="20"/>
          <w:color w:val="auto"/>
        </w:rPr>
      </w:pPr>
      <w:r>
        <w:rPr>
          <w:rFonts w:ascii="Courier New" w:cs="Courier New" w:eastAsia="Courier New" w:hAnsi="Courier New"/>
          <w:sz w:val="16"/>
          <w:szCs w:val="16"/>
          <w:color w:val="auto"/>
        </w:rPr>
        <w:t>Exhibit 23.3</w:t>
      </w:r>
    </w:p>
    <w:p>
      <w:pPr>
        <w:spacing w:after="0" w:line="37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91" w:lineRule="exact"/>
        <w:rPr>
          <w:sz w:val="20"/>
          <w:szCs w:val="20"/>
          <w:color w:val="auto"/>
        </w:rPr>
      </w:pPr>
    </w:p>
    <w:p>
      <w:pPr>
        <w:ind w:right="3339"/>
        <w:spacing w:after="0" w:line="247" w:lineRule="auto"/>
        <w:rPr>
          <w:sz w:val="20"/>
          <w:szCs w:val="20"/>
          <w:color w:val="auto"/>
        </w:rPr>
      </w:pPr>
      <w:r>
        <w:rPr>
          <w:rFonts w:ascii="Courier New" w:cs="Courier New" w:eastAsia="Courier New" w:hAnsi="Courier New"/>
          <w:sz w:val="16"/>
          <w:szCs w:val="16"/>
          <w:color w:val="auto"/>
        </w:rPr>
        <w:t>As independent public accountants, we hereby consent to the use of our report dated February 24, 1998 (except with respect to the matters discussed in Note 19, as to which the date is March 17, 1998) included in Waste Management, Inc.'s Form 10-K for the year ended December 31, 1997, which Form 10-K is incorporated by reference in the USA Waste Services, Inc. Form S-4 (Registration No. 333-56113), which Form S-4 is incorporated by reference in this registration statement.</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Chicago, Illinois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8, 1998</w:t>
      </w:r>
    </w:p>
    <w:sectPr>
      <w:pgSz w:w="11900" w:h="16838" w:orient="portrait"/>
      <w:cols w:equalWidth="0" w:num="1">
        <w:col w:w="10219"/>
      </w:cols>
      <w:pgMar w:left="240" w:top="7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lowerRoman"/>
      <w:start w:val="3"/>
    </w:lvl>
  </w:abstractNum>
  <w:abstractNum w:abstractNumId="4">
    <w:nsid w:val="25E45D32"/>
    <w:multiLevelType w:val="hybridMultilevel"/>
    <w:lvl w:ilvl="0">
      <w:lvlJc w:val="left"/>
      <w:lvlText w:val="(%1)"/>
      <w:numFmt w:val="lowerRoman"/>
      <w:start w:val="13"/>
    </w:lvl>
  </w:abstractNum>
  <w:abstractNum w:abstractNumId="5">
    <w:nsid w:val="519B500D"/>
    <w:multiLevelType w:val="hybridMultilevel"/>
    <w:lvl w:ilvl="0">
      <w:lvlJc w:val="left"/>
      <w:lvlText w:val="%1)"/>
      <w:numFmt w:val="decimal"/>
      <w:start w:val="305"/>
    </w:lvl>
  </w:abstractNum>
  <w:abstractNum w:abstractNumId="6">
    <w:nsid w:val="431BD7B7"/>
    <w:multiLevelType w:val="hybridMultilevel"/>
    <w:lvl w:ilvl="0">
      <w:lvlJc w:val="left"/>
      <w:lvlText w:val="(%1)"/>
      <w:numFmt w:val="lowerRoman"/>
      <w:start w:val="1"/>
    </w:lvl>
  </w:abstractNum>
  <w:abstractNum w:abstractNumId="7">
    <w:nsid w:val="3F2DBA31"/>
    <w:multiLevelType w:val="hybridMultilevel"/>
    <w:lvl w:ilvl="0">
      <w:lvlJc w:val="left"/>
      <w:lvlText w:val="(%1)"/>
      <w:numFmt w:val="lowerRoman"/>
      <w:start w:val="2"/>
    </w:lvl>
  </w:abstractNum>
  <w:abstractNum w:abstractNumId="8">
    <w:nsid w:val="7C83E458"/>
    <w:multiLevelType w:val="hybridMultilevel"/>
    <w:lvl w:ilvl="0">
      <w:lvlJc w:val="left"/>
      <w:lvlText w:val="(%1)"/>
      <w:numFmt w:val="lowerLetter"/>
      <w:start w:val="1"/>
    </w:lvl>
    <w:lvl w:ilvl="1">
      <w:lvlJc w:val="left"/>
      <w:lvlText w:val="(%2)"/>
      <w:numFmt w:val="lowerRoman"/>
      <w:start w:val="1"/>
    </w:lvl>
  </w:abstractNum>
  <w:abstractNum w:abstractNumId="9">
    <w:nsid w:val="257130A3"/>
    <w:multiLevelType w:val="hybridMultilevel"/>
    <w:lvl w:ilvl="0">
      <w:lvlJc w:val="left"/>
      <w:lvlText w:val="(%1)"/>
      <w:numFmt w:val="lowerRoman"/>
      <w:start w:val="2"/>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5"/>
    </w:lvl>
  </w:abstractNum>
  <w:abstractNum w:abstractNumId="12">
    <w:nsid w:val="628C895D"/>
    <w:multiLevelType w:val="hybridMultilevel"/>
    <w:lvl w:ilvl="0">
      <w:lvlJc w:val="left"/>
      <w:lvlText w:val="(%1)"/>
      <w:numFmt w:val="decimal"/>
      <w:start w:val="2"/>
    </w:lvl>
  </w:abstractNum>
  <w:abstractNum w:abstractNumId="13">
    <w:nsid w:val="333AB105"/>
    <w:multiLevelType w:val="hybridMultilevel"/>
    <w:lvl w:ilvl="0">
      <w:lvlJc w:val="left"/>
      <w:lvlText w:val="(%1)"/>
      <w:numFmt w:val="lowerRoman"/>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7"/>
    </w:lvl>
  </w:abstractNum>
  <w:abstractNum w:abstractNumId="17">
    <w:nsid w:val="6763845E"/>
    <w:multiLevelType w:val="hybridMultilevel"/>
    <w:lvl w:ilvl="0">
      <w:lvlJc w:val="left"/>
      <w:lvlText w:val="(%1)"/>
      <w:numFmt w:val="lowerLetter"/>
      <w:start w:val="2"/>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6"/>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71F32454"/>
    <w:multiLevelType w:val="hybridMultilevel"/>
    <w:lvl w:ilvl="0">
      <w:lvlJc w:val="left"/>
      <w:lvlText w:val="(%1)"/>
      <w:numFmt w:val="lowerRoman"/>
      <w:start w:val="3"/>
    </w:lvl>
  </w:abstractNum>
  <w:abstractNum w:abstractNumId="26">
    <w:nsid w:val="2CA88611"/>
    <w:multiLevelType w:val="hybridMultilevel"/>
    <w:lvl w:ilvl="0">
      <w:lvlJc w:val="left"/>
      <w:lvlText w:val="%1"/>
      <w:numFmt w:val="lowerLetter"/>
      <w:start w:val="1"/>
    </w:lvl>
    <w:lvl w:ilvl="1">
      <w:lvlJc w:val="left"/>
      <w:lvlText w:val="(%2)"/>
      <w:numFmt w:val="decimal"/>
      <w:start w:val="2"/>
    </w:lvl>
  </w:abstractNum>
  <w:abstractNum w:abstractNumId="27">
    <w:nsid w:val="836C40E"/>
    <w:multiLevelType w:val="hybridMultilevel"/>
    <w:lvl w:ilvl="0">
      <w:lvlJc w:val="left"/>
      <w:lvlText w:val="(%1)"/>
      <w:numFmt w:val="lowerLetter"/>
      <w:start w:val="2"/>
    </w:lvl>
    <w:lvl w:ilvl="1">
      <w:lvlJc w:val="left"/>
      <w:lvlText w:val="(%2)"/>
      <w:numFmt w:val="decimal"/>
      <w:start w:val="1"/>
    </w:lvl>
  </w:abstractNum>
  <w:abstractNum w:abstractNumId="28">
    <w:nsid w:val="2901D8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2019-12-20T13:50:49Z</dcterms:created>
  <dcterms:modified xsi:type="dcterms:W3CDTF">2019-12-20T13:50:49Z</dcterms:modified>
</cp:coreProperties>
</file>