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4"/>
          <w:szCs w:val="24"/>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4"/>
          <w:szCs w:val="24"/>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10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WASTE MANAGEMENT RETIREMENT SAVINGS</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PLAN FOR BARGAINING UNIT EMPLOYEES</w:t>
      </w:r>
    </w:p>
    <w:p>
      <w:pPr>
        <w:spacing w:after="0" w:line="8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BARGAINING UNIT EMPLOYEES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2220" w:type="dxa"/>
            <w:vAlign w:val="bottom"/>
          </w:tcPr>
          <w:p>
            <w:pPr>
              <w:spacing w:after="0"/>
              <w:rPr>
                <w:sz w:val="24"/>
                <w:szCs w:val="24"/>
                <w:color w:val="auto"/>
              </w:rPr>
            </w:pPr>
          </w:p>
        </w:tc>
      </w:tr>
      <w:tr>
        <w:trPr>
          <w:trHeight w:val="418"/>
        </w:trPr>
        <w:tc>
          <w:tcPr>
            <w:tcW w:w="9200" w:type="dxa"/>
            <w:vAlign w:val="bottom"/>
          </w:tcPr>
          <w:p>
            <w:pPr>
              <w:ind w:left="220"/>
              <w:spacing w:after="0"/>
              <w:rPr>
                <w:sz w:val="20"/>
                <w:szCs w:val="20"/>
                <w:color w:val="auto"/>
              </w:rPr>
            </w:pPr>
            <w:r>
              <w:rPr>
                <w:rFonts w:ascii="Arial" w:cs="Arial" w:eastAsia="Arial" w:hAnsi="Arial"/>
                <w:sz w:val="18"/>
                <w:szCs w:val="18"/>
                <w:color w:val="auto"/>
              </w:rPr>
              <w:t>Statements of Net Assets Available for Benefits as of December 31, 2009 and 2008</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Statement of Changes in Net Assets Available for Benefits for the Year Ended December 31, 2009</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9200" w:type="dxa"/>
            <w:vAlign w:val="bottom"/>
          </w:tcPr>
          <w:p>
            <w:pPr>
              <w:ind w:left="220"/>
              <w:spacing w:after="0"/>
              <w:rPr>
                <w:sz w:val="20"/>
                <w:szCs w:val="20"/>
                <w:color w:val="auto"/>
              </w:rPr>
            </w:pPr>
            <w:r>
              <w:rPr>
                <w:rFonts w:ascii="Arial" w:cs="Arial" w:eastAsia="Arial" w:hAnsi="Arial"/>
                <w:sz w:val="18"/>
                <w:szCs w:val="18"/>
                <w:color w:val="auto"/>
              </w:rPr>
              <w:t>Notes to Financial Statements</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Supplemental Schedule</w:t>
            </w:r>
          </w:p>
        </w:tc>
        <w:tc>
          <w:tcPr>
            <w:tcW w:w="2220" w:type="dxa"/>
            <w:vAlign w:val="bottom"/>
          </w:tcPr>
          <w:p>
            <w:pPr>
              <w:spacing w:after="0"/>
              <w:rPr>
                <w:sz w:val="24"/>
                <w:szCs w:val="24"/>
                <w:color w:val="auto"/>
              </w:rPr>
            </w:pPr>
          </w:p>
        </w:tc>
      </w:tr>
      <w:tr>
        <w:trPr>
          <w:trHeight w:val="432"/>
        </w:trPr>
        <w:tc>
          <w:tcPr>
            <w:tcW w:w="9200" w:type="dxa"/>
            <w:vAlign w:val="bottom"/>
          </w:tcPr>
          <w:p>
            <w:pPr>
              <w:ind w:left="220"/>
              <w:spacing w:after="0"/>
              <w:rPr>
                <w:sz w:val="20"/>
                <w:szCs w:val="20"/>
                <w:color w:val="auto"/>
              </w:rPr>
            </w:pPr>
            <w:r>
              <w:rPr>
                <w:rFonts w:ascii="Arial" w:cs="Arial" w:eastAsia="Arial" w:hAnsi="Arial"/>
                <w:sz w:val="18"/>
                <w:szCs w:val="18"/>
                <w:color w:val="auto"/>
              </w:rPr>
              <w:t>Schedule H, Line 4(i) — Schedule of Assets (Held At End of Year)</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632"/>
        </w:trPr>
        <w:tc>
          <w:tcPr>
            <w:tcW w:w="920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Bargaining Unit Employees</w:t>
      </w:r>
    </w:p>
    <w:p>
      <w:pPr>
        <w:spacing w:after="0" w:line="1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audited the accompanying statement of net assets available for benefits of the Waste Management Retirement Savings Plan for Bargaining Unit Employees (the “Plan”) as of December 31, 2009 and the related statement of changes in net assets available for benefits for the year then ended. These financial statements are the responsibility of the Plan’s management. Our responsibility is to express an opinion on these financial statements based on our audit.</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5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2009 and the changes in net assets available for benefits for the year then ended, in conformity with accounting principles generally accepted in the United States of America.</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audit was conducted for the purpose of forming an opinion on the basic financial statements taken as a whole. The supplemental schedule of assets (held at end of year) as of December 31, 2009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 of the basic financial statements and, in our opinion, is fairly stated in all material respects in relation to the basic financial statements taken as a whole.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Bargaining Unit Employees</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audited the accompanying statement of net assets available for benefits of the Waste Management Retirement Savings Plan for Bargaining Unit Employees as of December 31, 2008. This financial statement is the responsibility of the Plan’s management. Our responsibility is to express an opinion on the financial statement based on our audit.</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5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 our opinion, the financial statement referred to above presents fairly, in all material respects, the net assets available for benefits of the Plan at December 31, 2008, in conformity with US generally accepted accounting principles.</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2009</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62"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interest in the Master Trust (Note 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$ 6,070,397</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$ 3,777,684</w:t>
            </w: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Participant loans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200,450</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150,601</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6,270,847</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3,928,285</w:t>
            </w:r>
          </w:p>
        </w:tc>
      </w:tr>
      <w:tr>
        <w:trPr>
          <w:trHeight w:val="439"/>
        </w:trPr>
        <w:tc>
          <w:tcPr>
            <w:tcW w:w="8980" w:type="dxa"/>
            <w:vAlign w:val="bottom"/>
          </w:tcPr>
          <w:p>
            <w:pPr>
              <w:spacing w:after="0"/>
              <w:rPr>
                <w:sz w:val="20"/>
                <w:szCs w:val="20"/>
                <w:color w:val="auto"/>
              </w:rPr>
            </w:pPr>
            <w:r>
              <w:rPr>
                <w:rFonts w:ascii="Arial" w:cs="Arial" w:eastAsia="Arial" w:hAnsi="Arial"/>
                <w:sz w:val="18"/>
                <w:szCs w:val="18"/>
                <w:color w:val="auto"/>
              </w:rPr>
              <w:t>RECEIVABLES:</w:t>
            </w:r>
          </w:p>
        </w:tc>
        <w:tc>
          <w:tcPr>
            <w:tcW w:w="8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contributions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receivables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439"/>
        </w:trPr>
        <w:tc>
          <w:tcPr>
            <w:tcW w:w="8980" w:type="dxa"/>
            <w:vAlign w:val="bottom"/>
          </w:tcPr>
          <w:p>
            <w:pPr>
              <w:spacing w:after="0"/>
              <w:rPr>
                <w:sz w:val="20"/>
                <w:szCs w:val="20"/>
                <w:color w:val="auto"/>
              </w:rPr>
            </w:pPr>
            <w:r>
              <w:rPr>
                <w:rFonts w:ascii="Arial" w:cs="Arial" w:eastAsia="Arial" w:hAnsi="Arial"/>
                <w:sz w:val="18"/>
                <w:szCs w:val="18"/>
                <w:color w:val="auto"/>
              </w:rPr>
              <w:t>Net assets, reflecting investments at fair value</w:t>
            </w:r>
          </w:p>
        </w:tc>
        <w:tc>
          <w:tcPr>
            <w:tcW w:w="840" w:type="dxa"/>
            <w:vAlign w:val="bottom"/>
          </w:tcPr>
          <w:p>
            <w:pPr>
              <w:jc w:val="right"/>
              <w:spacing w:after="0"/>
              <w:rPr>
                <w:sz w:val="20"/>
                <w:szCs w:val="20"/>
                <w:color w:val="auto"/>
              </w:rPr>
            </w:pPr>
            <w:r>
              <w:rPr>
                <w:rFonts w:ascii="Arial" w:cs="Arial" w:eastAsia="Arial" w:hAnsi="Arial"/>
                <w:sz w:val="18"/>
                <w:szCs w:val="18"/>
                <w:color w:val="auto"/>
              </w:rPr>
              <w:t>6,271,162</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3,928,373</w:t>
            </w:r>
          </w:p>
        </w:tc>
      </w:tr>
      <w:tr>
        <w:trPr>
          <w:trHeight w:val="216"/>
        </w:trPr>
        <w:tc>
          <w:tcPr>
            <w:tcW w:w="8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(8,050)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r>
      <w:tr>
        <w:trPr>
          <w:trHeight w:val="439"/>
        </w:trPr>
        <w:tc>
          <w:tcPr>
            <w:tcW w:w="89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$ 6,263,112</w:t>
            </w:r>
          </w:p>
        </w:tc>
        <w:tc>
          <w:tcPr>
            <w:tcW w:w="66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$ 3,934,655</w:t>
            </w:r>
          </w:p>
        </w:tc>
        <w:tc>
          <w:tcPr>
            <w:tcW w:w="100" w:type="dxa"/>
            <w:vAlign w:val="bottom"/>
          </w:tcPr>
          <w:p>
            <w:pPr>
              <w:spacing w:after="0"/>
              <w:rPr>
                <w:sz w:val="24"/>
                <w:szCs w:val="24"/>
                <w:color w:val="auto"/>
              </w:rPr>
            </w:pPr>
          </w:p>
        </w:tc>
      </w:tr>
      <w:tr>
        <w:trPr>
          <w:trHeight w:val="20"/>
        </w:trPr>
        <w:tc>
          <w:tcPr>
            <w:tcW w:w="8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60" w:type="dxa"/>
            <w:vAlign w:val="bottom"/>
          </w:tcPr>
          <w:p>
            <w:pPr>
              <w:jc w:val="center"/>
              <w:ind w:left="850"/>
              <w:spacing w:after="0"/>
              <w:rPr>
                <w:sz w:val="20"/>
                <w:szCs w:val="20"/>
                <w:color w:val="auto"/>
              </w:rPr>
            </w:pPr>
            <w:r>
              <w:rPr>
                <w:rFonts w:ascii="Arial" w:cs="Arial" w:eastAsia="Arial" w:hAnsi="Arial"/>
                <w:sz w:val="18"/>
                <w:szCs w:val="18"/>
                <w:color w:val="auto"/>
                <w:w w:val="88"/>
              </w:rPr>
              <w:t>Waste Management Retirement Savings Plan</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460" w:type="dxa"/>
            <w:vAlign w:val="bottom"/>
          </w:tcPr>
          <w:p>
            <w:pPr>
              <w:jc w:val="center"/>
              <w:ind w:left="830"/>
              <w:spacing w:after="0"/>
              <w:rPr>
                <w:sz w:val="20"/>
                <w:szCs w:val="20"/>
                <w:color w:val="auto"/>
              </w:rPr>
            </w:pPr>
            <w:r>
              <w:rPr>
                <w:rFonts w:ascii="Arial" w:cs="Arial" w:eastAsia="Arial" w:hAnsi="Arial"/>
                <w:sz w:val="18"/>
                <w:szCs w:val="18"/>
                <w:color w:val="auto"/>
                <w:w w:val="92"/>
              </w:rPr>
              <w:t>For Bargaining Unit Employees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460" w:type="dxa"/>
            <w:vAlign w:val="bottom"/>
          </w:tcPr>
          <w:p>
            <w:pPr>
              <w:jc w:val="center"/>
              <w:ind w:left="83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460" w:type="dxa"/>
            <w:vAlign w:val="bottom"/>
          </w:tcPr>
          <w:p>
            <w:pPr>
              <w:jc w:val="center"/>
              <w:ind w:left="830"/>
              <w:spacing w:after="0"/>
              <w:rPr>
                <w:sz w:val="20"/>
                <w:szCs w:val="20"/>
                <w:color w:val="auto"/>
              </w:rPr>
            </w:pPr>
            <w:r>
              <w:rPr>
                <w:rFonts w:ascii="Arial" w:cs="Arial" w:eastAsia="Arial" w:hAnsi="Arial"/>
                <w:sz w:val="18"/>
                <w:szCs w:val="18"/>
                <w:color w:val="auto"/>
                <w:w w:val="89"/>
              </w:rPr>
              <w:t>Year Ended December 31, 2009</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$ 1,138,306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Rollover</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750,772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gain from the Master Trust (Note 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Transfers to the Plan</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loan interest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600"/>
              <w:spacing w:after="0"/>
              <w:rPr>
                <w:sz w:val="20"/>
                <w:szCs w:val="20"/>
                <w:color w:val="auto"/>
              </w:rPr>
            </w:pPr>
            <w:r>
              <w:rPr>
                <w:rFonts w:ascii="Arial" w:cs="Arial" w:eastAsia="Arial" w:hAnsi="Arial"/>
                <w:sz w:val="18"/>
                <w:szCs w:val="18"/>
                <w:color w:val="auto"/>
              </w:rPr>
              <w:t>Total additions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AVAILABLE FOR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Benefits paid to participants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480" w:type="dxa"/>
            <w:vAlign w:val="bottom"/>
            <w:gridSpan w:val="2"/>
          </w:tcPr>
          <w:p>
            <w:pPr>
              <w:spacing w:after="0"/>
              <w:rPr>
                <w:sz w:val="20"/>
                <w:szCs w:val="20"/>
                <w:color w:val="auto"/>
              </w:rPr>
            </w:pPr>
            <w:r>
              <w:rPr>
                <w:rFonts w:ascii="Arial" w:cs="Arial" w:eastAsia="Arial" w:hAnsi="Arial"/>
                <w:sz w:val="18"/>
                <w:szCs w:val="18"/>
                <w:color w:val="auto"/>
              </w:rPr>
              <w:t>NET INCREASE IN NET ASSETS AVAILABLE FOR BENEFITS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2,328,457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$ 6,263,112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Summary Plan Description and the plan document for a more complete description of the Plan’s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Holdings, Inc. and subsidiaries (“Waste Management”), and its affiliates (as defined in the Plan). The Plan is subject to the provisions of the Employee Retirement Income Security Act of 1974, as amended (“ERISA”).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board of directors of Waste Management, Inc. (the “Company”), the parent of Waste Management,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Lion Connecticut Holdings, Inc., a wholly-owned indirect subsidiary of ING America Insurance Holdings Inc. (“ING”), serves as recordkeeper.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 if they are covered by a collective bargaining agreement that provides for participation in the Plan.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Individuals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certain other pension, retirement, profit-sharing, stock bonus, thrift or savings plans maintained by Waste Management or the Company other than the Waste Management Pension Plan for Collectively Bargained Employees or such other plans as may from time to time be determined by the Administrative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Participants may contribute from one percent to 25 percent of their pre-tax compensation, as defined by the Plan, not to exceed certain limits as described in the plan document (“Employee Contribution”). After-tax contributions are not permitted by the Plan. In addition, participants that are age 50 or older are eligible to make pre-tax catch-up contributions not to exceed certain limits described in the Plan document. Participants may also contribute amounts representing distributions from other qualified plans (“Rollover Contribution”). The Plan was amended to provide for Employer Contributions on behalf of eligible participants under the terms of certain applicable collective bargaining agreements.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Plan, through its investments in the Master Trust, currently offers participants (a) five common/collective trust funds; (b) a Company common stock fund; (c) a self-managed account, which allows participants to select various securities sold on the New York Stock Exchange, American Stock Exchange and NASDAQ; (d) six target retirement-date funds, which are also common/collective trust funds; and (e) a stable value fund, which includes direct investments and investments in common/collective trust funds, managed by Galliard Capital Management (“Galliard”). With respect to the self-managed account, several restrictions apply and a minimum balance is required to participate. The Plan utilizes cash equivalents to temporarily hold monies pending settlement for transactions initiated by participants.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the participant’s account based upon the participant’s proportionate share of the funds within the Master Trust.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Distributions of accounts invested in Company common stock may be taken in whole shares of common stock or cash.</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Participants may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six months after receiving the hardship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w:t>
      </w:r>
    </w:p>
    <w:p>
      <w:pPr>
        <w:spacing w:after="0" w:line="2" w:lineRule="exact"/>
        <w:rPr>
          <w:sz w:val="20"/>
          <w:szCs w:val="20"/>
          <w:color w:val="auto"/>
        </w:rPr>
      </w:pPr>
    </w:p>
    <w:p>
      <w:pPr>
        <w:ind w:right="60" w:firstLine="8"/>
        <w:spacing w:after="0" w:line="270"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2009, Waste Management elected to pay certain audit and legal fees of the Plan.</w:t>
      </w:r>
    </w:p>
    <w:p>
      <w:pPr>
        <w:spacing w:after="0" w:line="184" w:lineRule="exact"/>
        <w:rPr>
          <w:sz w:val="20"/>
          <w:szCs w:val="20"/>
          <w:color w:val="auto"/>
        </w:rPr>
      </w:pPr>
    </w:p>
    <w:p>
      <w:pPr>
        <w:ind w:right="866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54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Benefits are recorded when paid to participants.</w:t>
      </w:r>
    </w:p>
    <w:p>
      <w:pPr>
        <w:spacing w:after="0" w:line="6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Subsequent events have been evaluated through the date the financial statements were issued. No material subsequent events have occurred since December 31, 2009 that required recognition in the current period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preparation of the financial statements, and accompanying notes and schedule,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cannot be calculated with a high degree of precision from available data or simply cannot be readily calculated based on generally accepted methods. In some cases, these estimates are particularly difficult to determine and management must exercise significant judgment. Actual results could differ materially from the estimates and assumptions used in the preparation of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Waste Management and the Company. The Master Trust’s assets are allocated among participating plans by assigning to each plan those transactions (primarily contributions, benefit payments and certain administrative expenses) which can be specifically identified, and by allocating among participating plans, in proportion to the fair value of the assets assigned to each plan, income and expenses resulting from the collective investment of the assets of the Master Trust.</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Corporate stocks, mutual funds and publicly-traded partnership interests held by the Master Trust are stated at fair value based on quoted market prices as of the financial statement date. The fair values of the common/collective trust funds held by the Master Trust are generally based on net asset values established by State Street (the issuer of the common/collective trust funds) based on fair values of the underlying assets. The investment options available within the Plan include a stable value fund that invests in fully benefit-responsive guaranteed investment contracts (“GICs”) and synthetic investment contracts (“Synthetic GICs”). At December 31, 2008, the stable value fund option was a common/collective trust fund established by State Street. At December 31, 2009, the stable value fund option was managed by Galliard.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4. Short-term investments (included in amounts reported as common/collective trust funds herein) and loans to participants are stated at cost, which approximates fair value.</w:t>
      </w:r>
    </w:p>
    <w:p>
      <w:pPr>
        <w:spacing w:after="0" w:line="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2009, the FASB issued authoritative guidance associated with fair value measurements which provides additional guidance on (i) estimating fair value when the volume and level of activity for an asset or liability have significantly decreased in relation to normal market activity for the asset or liability; and (ii) identifying circumstances that indicate a transaction is not orderly. This guidance also requires additional disclosures related to the inputs and valuation techniques used to measure fair value, changes in inputs and valuation techniques, if any, during the reporting period and the major debt and equity security types held by the reporting entity. We adopted this guidance effective January 1, 2009. The adoption of this guidance did not have a material impact on the Plan’s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Plan investments are held in the Master Trust along with the Waste Management Retirement Savings Plan (the “Non-Union Plan”). As of December 31, 2009 and 2008, the Plan’s beneficial interest in the net assets of the Master Trust was 0.48% and 0.35%, respectively.</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Neither the Plan nor the Non-Union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Common/collective trust funds</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805,023,187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949,051,449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Stable value fund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326,037,431</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stocks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10,959,252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Waste Management, Inc. common stock</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103,671,704</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104,384,770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16,405,708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Publicly-traded partnership interests and other</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290,033</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115,515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1,262,387,315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1,072,253,556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non-interest bearing</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4,624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Securities sold receivable, net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51,787</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1,262,443,942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1,073,096,355</w:t>
            </w:r>
          </w:p>
        </w:tc>
        <w:tc>
          <w:tcPr>
            <w:tcW w:w="0" w:type="dxa"/>
            <w:vAlign w:val="bottom"/>
          </w:tcPr>
          <w:p>
            <w:pPr>
              <w:spacing w:after="0"/>
              <w:rPr>
                <w:sz w:val="1"/>
                <w:szCs w:val="1"/>
                <w:color w:val="auto"/>
              </w:rPr>
            </w:pPr>
          </w:p>
        </w:tc>
      </w:tr>
      <w:tr>
        <w:trPr>
          <w:trHeight w:val="439"/>
        </w:trPr>
        <w:tc>
          <w:tcPr>
            <w:tcW w:w="80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payable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689,511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Securities purchased payable, net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689,511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748,642</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8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1,261,754,431</w:t>
            </w: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1,072,347,713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(3,044,004)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4,192,195</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80" w:type="dxa"/>
            <w:vAlign w:val="bottom"/>
            <w:gridSpan w:val="2"/>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1,258,710,427</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1,076,539,908</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w w:val="93"/>
              </w:rPr>
              <w:t>Respective interests in the net assets of the Master Trust by the Non-Union Plan and the Plan are as follows: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investments at fair value: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1,255,684,034</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1,068,570,029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6,070,397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1,261,754,431</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1,072,347,713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(3,035,954)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(3,044,004</w:t>
            </w:r>
          </w:p>
        </w:tc>
        <w:tc>
          <w:tcPr>
            <w:tcW w:w="620" w:type="dxa"/>
            <w:vAlign w:val="bottom"/>
          </w:tcPr>
          <w:p>
            <w:pPr>
              <w:jc w:val="right"/>
              <w:ind w:right="54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1,252,648,080</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1,072,755,942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6,062,347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1,258,710,427</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1,076,539,908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566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w w:val="96"/>
              </w:rPr>
              <w:t>Income or loss from investments held in the Master Trust for the year ended December 31, 2009, was as follows:</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in fair value of:</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Common/collective trust funds</w:t>
            </w: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$ 138,614,588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Stable value fund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8,964,727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Corporate stocks</w:t>
            </w:r>
          </w:p>
        </w:tc>
        <w:tc>
          <w:tcPr>
            <w:tcW w:w="1000" w:type="dxa"/>
            <w:vAlign w:val="bottom"/>
          </w:tcPr>
          <w:p>
            <w:pPr>
              <w:jc w:val="right"/>
              <w:spacing w:after="0"/>
              <w:rPr>
                <w:sz w:val="20"/>
                <w:szCs w:val="20"/>
                <w:color w:val="auto"/>
              </w:rPr>
            </w:pPr>
            <w:r>
              <w:rPr>
                <w:rFonts w:ascii="Arial" w:cs="Arial" w:eastAsia="Arial" w:hAnsi="Arial"/>
                <w:sz w:val="18"/>
                <w:szCs w:val="18"/>
                <w:color w:val="auto"/>
              </w:rPr>
              <w:t>3,531,032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2,373,864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000" w:type="dxa"/>
            <w:vAlign w:val="bottom"/>
          </w:tcPr>
          <w:p>
            <w:pPr>
              <w:jc w:val="right"/>
              <w:spacing w:after="0"/>
              <w:rPr>
                <w:sz w:val="20"/>
                <w:szCs w:val="20"/>
                <w:color w:val="auto"/>
              </w:rPr>
            </w:pPr>
            <w:r>
              <w:rPr>
                <w:rFonts w:ascii="Arial" w:cs="Arial" w:eastAsia="Arial" w:hAnsi="Arial"/>
                <w:sz w:val="18"/>
                <w:szCs w:val="18"/>
                <w:color w:val="auto"/>
              </w:rPr>
              <w:t>2,387,905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Publicly-traded partnership interests and other</w:t>
            </w:r>
          </w:p>
        </w:tc>
        <w:tc>
          <w:tcPr>
            <w:tcW w:w="16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72,604</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net appreciation in fair value of investments</w:t>
            </w:r>
          </w:p>
        </w:tc>
        <w:tc>
          <w:tcPr>
            <w:tcW w:w="1000" w:type="dxa"/>
            <w:vAlign w:val="bottom"/>
            <w:tcBorders>
              <w:top w:val="single" w:sz="8" w:color="auto"/>
            </w:tcBorders>
          </w:tcPr>
          <w:p>
            <w:pPr>
              <w:spacing w:after="0"/>
              <w:rPr>
                <w:sz w:val="19"/>
                <w:szCs w:val="19"/>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$ 155,944,720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778,393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Dividends</w:t>
            </w:r>
          </w:p>
        </w:tc>
        <w:tc>
          <w:tcPr>
            <w:tcW w:w="2680" w:type="dxa"/>
            <w:vAlign w:val="bottom"/>
            <w:gridSpan w:val="5"/>
          </w:tcPr>
          <w:p>
            <w:pPr>
              <w:jc w:val="right"/>
              <w:ind w:right="20"/>
              <w:spacing w:after="0"/>
              <w:rPr>
                <w:sz w:val="20"/>
                <w:szCs w:val="20"/>
                <w:color w:val="auto"/>
              </w:rPr>
            </w:pPr>
            <w:r>
              <w:rPr>
                <w:rFonts w:ascii="Arial" w:cs="Arial" w:eastAsia="Arial" w:hAnsi="Arial"/>
                <w:sz w:val="18"/>
                <w:szCs w:val="18"/>
                <w:color w:val="auto"/>
              </w:rPr>
              <w:t>359,630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Dividends — Waste Management, Inc. common stock</w:t>
            </w:r>
          </w:p>
        </w:tc>
        <w:tc>
          <w:tcPr>
            <w:tcW w:w="2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3,669,175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income/(expense)</w:t>
            </w:r>
          </w:p>
        </w:tc>
        <w:tc>
          <w:tcPr>
            <w:tcW w:w="1660" w:type="dxa"/>
            <w:vAlign w:val="bottom"/>
            <w:gridSpan w:val="3"/>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investment gain</w:t>
            </w:r>
          </w:p>
        </w:tc>
        <w:tc>
          <w:tcPr>
            <w:tcW w:w="1660" w:type="dxa"/>
            <w:vAlign w:val="bottom"/>
            <w:gridSpan w:val="3"/>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160,742,053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Administrative fees</w:t>
            </w:r>
          </w:p>
        </w:tc>
        <w:tc>
          <w:tcPr>
            <w:tcW w:w="1660" w:type="dxa"/>
            <w:vAlign w:val="bottom"/>
            <w:gridSpan w:val="3"/>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2,800,647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investment gain</w:t>
            </w:r>
          </w:p>
        </w:tc>
        <w:tc>
          <w:tcPr>
            <w:tcW w:w="2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157,941,406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60" w:type="dxa"/>
            <w:vAlign w:val="bottom"/>
            <w:gridSpan w:val="2"/>
          </w:tcPr>
          <w:p>
            <w:pPr>
              <w:spacing w:after="0"/>
              <w:rPr>
                <w:sz w:val="20"/>
                <w:szCs w:val="20"/>
                <w:color w:val="auto"/>
              </w:rPr>
            </w:pPr>
            <w:r>
              <w:rPr>
                <w:rFonts w:ascii="Arial" w:cs="Arial" w:eastAsia="Arial" w:hAnsi="Arial"/>
                <w:sz w:val="18"/>
                <w:szCs w:val="18"/>
                <w:color w:val="auto"/>
              </w:rPr>
              <w:t>Non-Union Plan interest in net investment gain from the Master Trust</w:t>
            </w:r>
          </w:p>
        </w:tc>
        <w:tc>
          <w:tcPr>
            <w:tcW w:w="2680" w:type="dxa"/>
            <w:vAlign w:val="bottom"/>
            <w:gridSpan w:val="5"/>
          </w:tcPr>
          <w:p>
            <w:pPr>
              <w:jc w:val="right"/>
              <w:ind w:right="20"/>
              <w:spacing w:after="0"/>
              <w:rPr>
                <w:sz w:val="20"/>
                <w:szCs w:val="20"/>
                <w:color w:val="auto"/>
              </w:rPr>
            </w:pPr>
            <w:r>
              <w:rPr>
                <w:rFonts w:ascii="Arial" w:cs="Arial" w:eastAsia="Arial" w:hAnsi="Arial"/>
                <w:sz w:val="18"/>
                <w:szCs w:val="18"/>
                <w:color w:val="auto"/>
              </w:rPr>
              <w:t>$ 157,122,480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2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818,926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157,941,406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Contracts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trust funds held by the Master Trust include a stable value fund that invests in fully benefit-responsive GICs and Synthetic GICs. At December 31, 2008, the stable value fund option was a common/collective trust fund established by State Street. At December 31, 2009, the stable value fund option was managed by Galliard and includes direct investments and investments in a common/collective trust fund. The following disclosures provide information about the nature of these investments and how fair values of these investments are measured.</w:t>
      </w:r>
    </w:p>
    <w:p>
      <w:pPr>
        <w:spacing w:after="0" w:line="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Plan’s Stable Value Fund are measured by the investment manager using a discounted cash flow methodology. Under this approach, the cash flows of each individual contract are discounted at the prevailing interpolated swap rate as of the appropriate measurement date.</w:t>
      </w:r>
    </w:p>
    <w:p>
      <w:pPr>
        <w:spacing w:after="0" w:line="5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guarantee that participant transactions will be executed at contract value. The investment portfolio of a Synthetic GIC when coupled with a wrapper contract attempts to replicate the investment characteristics of traditional GICs.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117" w:lineRule="exact"/>
        <w:rPr>
          <w:sz w:val="20"/>
          <w:szCs w:val="20"/>
          <w:color w:val="auto"/>
        </w:rPr>
      </w:pPr>
    </w:p>
    <w:p>
      <w:pPr>
        <w:ind w:left="220" w:right="240" w:hanging="212"/>
        <w:spacing w:after="0" w:line="276" w:lineRule="auto"/>
        <w:tabs>
          <w:tab w:leader="none" w:pos="22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64" w:lineRule="exact"/>
        <w:rPr>
          <w:rFonts w:ascii="Arial" w:cs="Arial" w:eastAsia="Arial" w:hAnsi="Arial"/>
          <w:sz w:val="17"/>
          <w:szCs w:val="17"/>
          <w:b w:val="1"/>
          <w:bCs w:val="1"/>
          <w:color w:val="auto"/>
        </w:rPr>
      </w:pPr>
    </w:p>
    <w:p>
      <w:pPr>
        <w:ind w:left="220" w:right="120" w:hanging="212"/>
        <w:spacing w:after="0" w:line="286" w:lineRule="auto"/>
        <w:tabs>
          <w:tab w:leader="none" w:pos="22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a market approach discounting methodology that incorporates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current market level rates for contract level wrap fees and the wrap fee being charged for the Synthetic GIC. This difference is calculated as a dollar value and discounted by the prevailing interpolated swap rate as of the appropriate measurement date.</w:t>
      </w:r>
    </w:p>
    <w:p>
      <w:pPr>
        <w:spacing w:after="0" w:line="5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crediting interest rates for the traditional GICs are agreed to in advance with the issuer. The crediting interest rates for Synthetic GICs are calculated on a quarterly basis using the contract value, and the value, yield and duration of the underlying securities, but cannot be less than zero.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80"/>
        <w:spacing w:after="0" w:line="277" w:lineRule="auto"/>
        <w:rPr>
          <w:sz w:val="20"/>
          <w:szCs w:val="20"/>
          <w:color w:val="auto"/>
        </w:rPr>
      </w:pPr>
      <w:r>
        <w:rPr>
          <w:rFonts w:ascii="Arial" w:cs="Arial" w:eastAsia="Arial" w:hAnsi="Arial"/>
          <w:sz w:val="18"/>
          <w:szCs w:val="18"/>
          <w:color w:val="auto"/>
        </w:rPr>
        <w:t>During 2009, the stable value fund’s average yield based on actual earnings was 2.98% and its average yield based on the interest rate credited to participants was 3.07%.</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participating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Contract issuers are generally not allowed to terminate GICs or Synthetic GICs and settle at an amount different from contract value unless there is a breach of contract which is not corrected within the time permitted by the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FASB-issued authoritative guidance associated with fair value measurements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within the fair value hierarchy, a summary of investments measured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7"/>
          </w:tcPr>
          <w:p>
            <w:pPr>
              <w:jc w:val="right"/>
              <w:ind w:right="332"/>
              <w:spacing w:after="0"/>
              <w:rPr>
                <w:sz w:val="20"/>
                <w:szCs w:val="20"/>
                <w:color w:val="auto"/>
              </w:rPr>
            </w:pPr>
            <w:r>
              <w:rPr>
                <w:rFonts w:ascii="Arial" w:cs="Arial" w:eastAsia="Arial" w:hAnsi="Arial"/>
                <w:sz w:val="14"/>
                <w:szCs w:val="14"/>
                <w:b w:val="1"/>
                <w:bCs w:val="1"/>
                <w:color w:val="auto"/>
              </w:rPr>
              <w:t>Fair Value Measurements at December 31, 2009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Quoted</w:t>
            </w:r>
          </w:p>
        </w:tc>
        <w:tc>
          <w:tcPr>
            <w:tcW w:w="100" w:type="dxa"/>
            <w:vAlign w:val="bottom"/>
          </w:tcPr>
          <w:p>
            <w:pPr>
              <w:spacing w:after="0"/>
              <w:rPr>
                <w:sz w:val="10"/>
                <w:szCs w:val="10"/>
                <w:color w:val="auto"/>
              </w:rPr>
            </w:pPr>
          </w:p>
        </w:tc>
        <w:tc>
          <w:tcPr>
            <w:tcW w:w="164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16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Active</w:t>
            </w:r>
          </w:p>
        </w:tc>
        <w:tc>
          <w:tcPr>
            <w:tcW w:w="100" w:type="dxa"/>
            <w:vAlign w:val="bottom"/>
          </w:tcPr>
          <w:p>
            <w:pPr>
              <w:spacing w:after="0"/>
              <w:rPr>
                <w:sz w:val="12"/>
                <w:szCs w:val="12"/>
                <w:color w:val="auto"/>
              </w:rPr>
            </w:pPr>
          </w:p>
        </w:tc>
        <w:tc>
          <w:tcPr>
            <w:tcW w:w="16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vMerge w:val="restart"/>
          </w:tcPr>
          <w:p>
            <w:pPr>
              <w:jc w:val="right"/>
              <w:ind w:right="16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16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6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Master Trust Investments: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Common/collective trust funds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 fund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4,823,872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4,823,872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Small cap investment fund</w:t>
            </w:r>
          </w:p>
        </w:tc>
        <w:tc>
          <w:tcPr>
            <w:tcW w:w="100" w:type="dxa"/>
            <w:vAlign w:val="bottom"/>
          </w:tcPr>
          <w:p>
            <w:pPr>
              <w:spacing w:after="0"/>
              <w:rPr>
                <w:sz w:val="18"/>
                <w:szCs w:val="18"/>
                <w:color w:val="auto"/>
              </w:rPr>
            </w:pPr>
          </w:p>
        </w:tc>
        <w:tc>
          <w:tcPr>
            <w:tcW w:w="2280" w:type="dxa"/>
            <w:vAlign w:val="bottom"/>
            <w:gridSpan w:val="2"/>
          </w:tcPr>
          <w:p>
            <w:pPr>
              <w:jc w:val="right"/>
              <w:ind w:right="1240"/>
              <w:spacing w:after="0"/>
              <w:rPr>
                <w:sz w:val="20"/>
                <w:szCs w:val="20"/>
                <w:color w:val="auto"/>
              </w:rPr>
            </w:pPr>
            <w:r>
              <w:rPr>
                <w:rFonts w:ascii="Arial" w:cs="Arial" w:eastAsia="Arial" w:hAnsi="Arial"/>
                <w:sz w:val="18"/>
                <w:szCs w:val="18"/>
                <w:color w:val="auto"/>
              </w:rPr>
              <w:t>47,635,305</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47,635,305</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Large cap investment fund</w:t>
            </w: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65,474,846</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65,474,846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S&amp;P 500 investment fund</w:t>
            </w:r>
          </w:p>
        </w:tc>
        <w:tc>
          <w:tcPr>
            <w:tcW w:w="100" w:type="dxa"/>
            <w:vAlign w:val="bottom"/>
          </w:tcPr>
          <w:p>
            <w:pPr>
              <w:spacing w:after="0"/>
              <w:rPr>
                <w:sz w:val="18"/>
                <w:szCs w:val="18"/>
                <w:color w:val="auto"/>
              </w:rPr>
            </w:pPr>
          </w:p>
        </w:tc>
        <w:tc>
          <w:tcPr>
            <w:tcW w:w="2280" w:type="dxa"/>
            <w:vAlign w:val="bottom"/>
            <w:gridSpan w:val="2"/>
          </w:tcPr>
          <w:p>
            <w:pPr>
              <w:jc w:val="right"/>
              <w:ind w:right="1240"/>
              <w:spacing w:after="0"/>
              <w:rPr>
                <w:sz w:val="20"/>
                <w:szCs w:val="20"/>
                <w:color w:val="auto"/>
              </w:rPr>
            </w:pPr>
            <w:r>
              <w:rPr>
                <w:rFonts w:ascii="Arial" w:cs="Arial" w:eastAsia="Arial" w:hAnsi="Arial"/>
                <w:sz w:val="18"/>
                <w:szCs w:val="18"/>
                <w:color w:val="auto"/>
              </w:rPr>
              <w:t>181,572,139</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181,572,139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Bond market investment fund</w:t>
            </w: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54,012,817</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54,012,817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International investment fund</w:t>
            </w:r>
          </w:p>
        </w:tc>
        <w:tc>
          <w:tcPr>
            <w:tcW w:w="100" w:type="dxa"/>
            <w:vAlign w:val="bottom"/>
          </w:tcPr>
          <w:p>
            <w:pPr>
              <w:spacing w:after="0"/>
              <w:rPr>
                <w:sz w:val="18"/>
                <w:szCs w:val="18"/>
                <w:color w:val="auto"/>
              </w:rPr>
            </w:pPr>
          </w:p>
        </w:tc>
        <w:tc>
          <w:tcPr>
            <w:tcW w:w="2280" w:type="dxa"/>
            <w:vAlign w:val="bottom"/>
            <w:gridSpan w:val="2"/>
          </w:tcPr>
          <w:p>
            <w:pPr>
              <w:jc w:val="right"/>
              <w:ind w:right="1240"/>
              <w:spacing w:after="0"/>
              <w:rPr>
                <w:sz w:val="20"/>
                <w:szCs w:val="20"/>
                <w:color w:val="auto"/>
              </w:rPr>
            </w:pPr>
            <w:r>
              <w:rPr>
                <w:rFonts w:ascii="Arial" w:cs="Arial" w:eastAsia="Arial" w:hAnsi="Arial"/>
                <w:sz w:val="18"/>
                <w:szCs w:val="18"/>
                <w:color w:val="auto"/>
              </w:rPr>
              <w:t>87,176,367</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87,176,367</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Target Date Retirement Funds</w:t>
            </w: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364,327,841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364,327,841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800"/>
              <w:spacing w:after="0"/>
              <w:rPr>
                <w:sz w:val="20"/>
                <w:szCs w:val="20"/>
                <w:color w:val="auto"/>
              </w:rPr>
            </w:pPr>
            <w:r>
              <w:rPr>
                <w:rFonts w:ascii="Arial" w:cs="Arial" w:eastAsia="Arial" w:hAnsi="Arial"/>
                <w:sz w:val="18"/>
                <w:szCs w:val="18"/>
                <w:color w:val="auto"/>
              </w:rPr>
              <w:t>Total common/collective trust funds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805,023,187</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805,023,187</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Stable value fund</w:t>
            </w: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326,037,431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326,037,431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Corporate stocks</w:t>
            </w:r>
          </w:p>
        </w:tc>
        <w:tc>
          <w:tcPr>
            <w:tcW w:w="100" w:type="dxa"/>
            <w:vAlign w:val="bottom"/>
          </w:tcPr>
          <w:p>
            <w:pPr>
              <w:spacing w:after="0"/>
              <w:rPr>
                <w:sz w:val="18"/>
                <w:szCs w:val="18"/>
                <w:color w:val="auto"/>
              </w:rPr>
            </w:pPr>
          </w:p>
        </w:tc>
        <w:tc>
          <w:tcPr>
            <w:tcW w:w="2280" w:type="dxa"/>
            <w:vAlign w:val="bottom"/>
            <w:gridSpan w:val="2"/>
          </w:tcPr>
          <w:p>
            <w:pPr>
              <w:jc w:val="right"/>
              <w:ind w:right="1240"/>
              <w:spacing w:after="0"/>
              <w:rPr>
                <w:sz w:val="20"/>
                <w:szCs w:val="20"/>
                <w:color w:val="auto"/>
              </w:rPr>
            </w:pPr>
            <w:r>
              <w:rPr>
                <w:rFonts w:ascii="Arial" w:cs="Arial" w:eastAsia="Arial" w:hAnsi="Arial"/>
                <w:sz w:val="18"/>
                <w:szCs w:val="18"/>
                <w:color w:val="auto"/>
              </w:rPr>
              <w:t>10,959,252</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10,959,252</w:t>
            </w:r>
          </w:p>
        </w:tc>
        <w:tc>
          <w:tcPr>
            <w:tcW w:w="1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Inc. common stock</w:t>
            </w: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103,671,704</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103,671,704</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2280" w:type="dxa"/>
            <w:vAlign w:val="bottom"/>
            <w:gridSpan w:val="2"/>
          </w:tcPr>
          <w:p>
            <w:pPr>
              <w:jc w:val="right"/>
              <w:ind w:right="1240"/>
              <w:spacing w:after="0"/>
              <w:rPr>
                <w:sz w:val="20"/>
                <w:szCs w:val="20"/>
                <w:color w:val="auto"/>
              </w:rPr>
            </w:pPr>
            <w:r>
              <w:rPr>
                <w:rFonts w:ascii="Arial" w:cs="Arial" w:eastAsia="Arial" w:hAnsi="Arial"/>
                <w:sz w:val="18"/>
                <w:szCs w:val="18"/>
                <w:color w:val="auto"/>
              </w:rPr>
              <w:t>16,405,708</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16,405,708</w:t>
            </w:r>
          </w:p>
        </w:tc>
        <w:tc>
          <w:tcPr>
            <w:tcW w:w="1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Publicly-traded partnership interests and other</w:t>
            </w: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290,033</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290,033</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Total Master Trust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1,262,387,315</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131,326,697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1,131,060,618</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Non-Master Trust Investments: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600"/>
              <w:spacing w:after="0"/>
              <w:rPr>
                <w:sz w:val="20"/>
                <w:szCs w:val="20"/>
                <w:color w:val="auto"/>
              </w:rPr>
            </w:pPr>
            <w:r>
              <w:rPr>
                <w:rFonts w:ascii="Arial" w:cs="Arial" w:eastAsia="Arial" w:hAnsi="Arial"/>
                <w:sz w:val="18"/>
                <w:szCs w:val="18"/>
                <w:color w:val="auto"/>
              </w:rPr>
              <w:t>Participant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1240"/>
              <w:spacing w:after="0"/>
              <w:rPr>
                <w:sz w:val="20"/>
                <w:szCs w:val="20"/>
                <w:color w:val="auto"/>
              </w:rPr>
            </w:pPr>
            <w:r>
              <w:rPr>
                <w:rFonts w:ascii="Arial" w:cs="Arial" w:eastAsia="Arial" w:hAnsi="Arial"/>
                <w:sz w:val="18"/>
                <w:szCs w:val="18"/>
                <w:color w:val="auto"/>
              </w:rPr>
              <w:t>200,450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8"/>
          </w:tcPr>
          <w:p>
            <w:pPr>
              <w:jc w:val="right"/>
              <w:ind w:right="270"/>
              <w:spacing w:after="0"/>
              <w:rPr>
                <w:sz w:val="20"/>
                <w:szCs w:val="20"/>
                <w:color w:val="auto"/>
              </w:rPr>
            </w:pPr>
            <w:r>
              <w:rPr>
                <w:rFonts w:ascii="Arial" w:cs="Arial" w:eastAsia="Arial" w:hAnsi="Arial"/>
                <w:sz w:val="14"/>
                <w:szCs w:val="14"/>
                <w:b w:val="1"/>
                <w:bCs w:val="1"/>
                <w:color w:val="auto"/>
                <w:w w:val="99"/>
              </w:rPr>
              <w:t>Fair Value Measurements at December 31, 2008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Quoted</w:t>
            </w:r>
          </w:p>
        </w:tc>
        <w:tc>
          <w:tcPr>
            <w:tcW w:w="100" w:type="dxa"/>
            <w:vAlign w:val="bottom"/>
          </w:tcPr>
          <w:p>
            <w:pPr>
              <w:spacing w:after="0"/>
              <w:rPr>
                <w:sz w:val="10"/>
                <w:szCs w:val="10"/>
                <w:color w:val="auto"/>
              </w:rPr>
            </w:pPr>
          </w:p>
        </w:tc>
        <w:tc>
          <w:tcPr>
            <w:tcW w:w="92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580" w:type="dxa"/>
            <w:vAlign w:val="bottom"/>
          </w:tcPr>
          <w:p>
            <w:pPr>
              <w:spacing w:after="0"/>
              <w:rPr>
                <w:sz w:val="10"/>
                <w:szCs w:val="10"/>
                <w:color w:val="auto"/>
              </w:rPr>
            </w:pPr>
          </w:p>
        </w:tc>
        <w:tc>
          <w:tcPr>
            <w:tcW w:w="9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Observable</w:t>
            </w:r>
          </w:p>
        </w:tc>
        <w:tc>
          <w:tcPr>
            <w:tcW w:w="58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9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2)</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Master Trust Investments: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Common/collective trust funds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220"/>
              <w:spacing w:after="0"/>
              <w:rPr>
                <w:sz w:val="20"/>
                <w:szCs w:val="20"/>
                <w:color w:val="auto"/>
              </w:rPr>
            </w:pPr>
            <w:r>
              <w:rPr>
                <w:rFonts w:ascii="Arial" w:cs="Arial" w:eastAsia="Arial" w:hAnsi="Arial"/>
                <w:sz w:val="18"/>
                <w:szCs w:val="18"/>
                <w:color w:val="auto"/>
              </w:rPr>
              <w:t>949,051,449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949,051,449</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stocks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6,542,197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6,542,197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Waste Management, Inc. common stock</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right"/>
              <w:ind w:right="1220"/>
              <w:spacing w:after="0"/>
              <w:rPr>
                <w:sz w:val="20"/>
                <w:szCs w:val="20"/>
                <w:color w:val="auto"/>
              </w:rPr>
            </w:pPr>
            <w:r>
              <w:rPr>
                <w:rFonts w:ascii="Arial" w:cs="Arial" w:eastAsia="Arial" w:hAnsi="Arial"/>
                <w:sz w:val="18"/>
                <w:szCs w:val="18"/>
                <w:color w:val="auto"/>
              </w:rPr>
              <w:t>104,384,770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104,384,770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12,159,625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12,159,625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Publicly-traded partnership interests and other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115,515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115,515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Master Trust Investments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2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88"/>
              </w:rPr>
              <w:t>1,072,253,556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123,202,107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949,051,449</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200"/>
              <w:spacing w:after="0"/>
              <w:rPr>
                <w:sz w:val="20"/>
                <w:szCs w:val="20"/>
                <w:color w:val="auto"/>
              </w:rPr>
            </w:pPr>
            <w:r>
              <w:rPr>
                <w:rFonts w:ascii="Arial" w:cs="Arial" w:eastAsia="Arial" w:hAnsi="Arial"/>
                <w:sz w:val="18"/>
                <w:szCs w:val="18"/>
                <w:color w:val="auto"/>
              </w:rPr>
              <w:t>Non-Master Trust Investments:</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Participant loans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150,601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150,601</w:t>
            </w:r>
          </w:p>
        </w:tc>
        <w:tc>
          <w:tcPr>
            <w:tcW w:w="0" w:type="dxa"/>
            <w:vAlign w:val="bottom"/>
          </w:tcPr>
          <w:p>
            <w:pPr>
              <w:spacing w:after="0"/>
              <w:rPr>
                <w:sz w:val="1"/>
                <w:szCs w:val="1"/>
                <w:color w:val="auto"/>
              </w:rPr>
            </w:pPr>
          </w:p>
        </w:tc>
      </w:tr>
      <w:tr>
        <w:trPr>
          <w:trHeight w:val="20"/>
        </w:trPr>
        <w:tc>
          <w:tcPr>
            <w:tcW w:w="4920" w:type="dxa"/>
            <w:vAlign w:val="bottom"/>
            <w:gridSpan w:val="3"/>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80" w:type="dxa"/>
            <w:vAlign w:val="bottom"/>
            <w:gridSpan w:val="9"/>
          </w:tcPr>
          <w:p>
            <w:pPr>
              <w:spacing w:after="0"/>
              <w:rPr>
                <w:sz w:val="20"/>
                <w:szCs w:val="20"/>
                <w:color w:val="auto"/>
              </w:rPr>
            </w:pPr>
            <w:r>
              <w:rPr>
                <w:rFonts w:ascii="Arial" w:cs="Arial" w:eastAsia="Arial" w:hAnsi="Arial"/>
                <w:sz w:val="18"/>
                <w:szCs w:val="18"/>
                <w:color w:val="auto"/>
              </w:rPr>
              <w:t>The following is a reconciliation for assets for which Level 3 inputs were used in determining fair value:</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 participant loans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Issuances, repayments and settlements, net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 participant loans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200,450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Income Taxes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has received a determination letter from the Internal Revenue Service (the “IRS”) dated November 30, 2001,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qualification. The Plan Sponsor has indicated that it will take the necessary steps, if any, to bring the Plan’s operations into compliance with the Code.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On January 11, 2010, Waste Management filed an application for a renewed favorable determination letter.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2009 and 2008: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$ 6,263,112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$ 3,934,655</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840" w:type="dxa"/>
            <w:vAlign w:val="bottom"/>
          </w:tcPr>
          <w:p>
            <w:pPr>
              <w:jc w:val="right"/>
              <w:spacing w:after="0"/>
              <w:rPr>
                <w:sz w:val="20"/>
                <w:szCs w:val="20"/>
                <w:color w:val="auto"/>
              </w:rPr>
            </w:pPr>
            <w:r>
              <w:rPr>
                <w:rFonts w:ascii="Arial" w:cs="Arial" w:eastAsia="Arial" w:hAnsi="Arial"/>
                <w:sz w:val="18"/>
                <w:szCs w:val="18"/>
                <w:color w:val="auto"/>
              </w:rPr>
              <w:t>8,050</w:t>
            </w:r>
          </w:p>
        </w:tc>
        <w:tc>
          <w:tcPr>
            <w:tcW w:w="6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(6,282)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$ 6,271,162</w:t>
            </w:r>
          </w:p>
        </w:tc>
        <w:tc>
          <w:tcPr>
            <w:tcW w:w="6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$ 3,928,373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$ 2,328,457</w:t>
            </w: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 at December 31, 2008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6,282</w:t>
            </w: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 at December 31, 2009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8,050</w:t>
            </w:r>
          </w:p>
        </w:tc>
        <w:tc>
          <w:tcPr>
            <w:tcW w:w="80" w:type="dxa"/>
            <w:vAlign w:val="bottom"/>
            <w:shd w:val="clear" w:color="auto" w:fill="CCEEFF"/>
          </w:tcPr>
          <w:p>
            <w:pPr>
              <w:spacing w:after="0"/>
              <w:rPr>
                <w:sz w:val="18"/>
                <w:szCs w:val="18"/>
                <w:color w:val="auto"/>
              </w:rPr>
            </w:pP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$ 2,342,789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Plan Termination</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Company has the right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Bond Fund Performance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the common/collective trust fund investment options available to participants of the Plan is a bond market fund. During 2007, there was a significant decline in the market value of the bond market fund, including a negative divergence of the bond market fund from its established performance benchmark. The Plan’s Investment and Administrative Committees retained independent advisors to investigate whether the investments held by the managers of the bond market fund during 2007 were consistent with the risk profile and governing agreements for this investment option and, if appropriate, to assist in evaluating available remedies.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November 2009, the Plan received a proposed notice of settlement of a class action lawsuit that had been brought against State Street Bank and Trust Company and its affiliate, State Street Global Advisors, Inc., pertaining to assets under management of these entities that were invested in certain fixed income asset classes during the third quarter of 2007. The scope of the proposed class settlement included the bond market fund available to Plan participants. Upon a comprehensive review of the underlying facts, an evaluation of available alternatives and a verification of the methodology utilized in the proposed settlement, the Administrative and Investment Committees for the Plan determined it was prudent for the Plan to participate in the class settlement. The class settlement received final approval by the federal court for the Southern District of New York on February 19, 2010. As a result of that settlement, the Master Trust for the Plan received a payment of $4,973,459 in May 2010.</w:t>
      </w:r>
    </w:p>
    <w:p>
      <w:pPr>
        <w:spacing w:after="0" w:line="70"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On February 4, 2010, the Securities and Exchange Commission announced that it had entered into a settlement agreement with State Street Bank and Trust Company to resolve its investigation into losses incurred by, and disclosures made with respect to, certain active fixed income strategies managed by State Street Global Advisors. Under the terms of the SEC agreement, the Master Trust for the Plan received an additional payment of $869,391 in March 2010.</w:t>
      </w:r>
    </w:p>
    <w:p>
      <w:pPr>
        <w:spacing w:after="0" w:line="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Each of these payments will be allocated for the benefit of participants that were invested in affected investment options within the Plan and the Non-Union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investments of the Plan are managed by State Street. State Street is the trustee of the Plan and, therefore, these transactions qualify as party-in-interest transactions. The stable value fund is managed by Galliard, a subsidiary of Wells Fargo Bank, N.A., custodian for the fund.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80" w:type="dxa"/>
            <w:vAlign w:val="bottom"/>
            <w:gridSpan w:val="2"/>
          </w:tcPr>
          <w:p>
            <w:pPr>
              <w:jc w:val="center"/>
              <w:ind w:right="130"/>
              <w:spacing w:after="0"/>
              <w:rPr>
                <w:sz w:val="20"/>
                <w:szCs w:val="20"/>
                <w:color w:val="auto"/>
              </w:rPr>
            </w:pPr>
            <w:r>
              <w:rPr>
                <w:rFonts w:ascii="Arial" w:cs="Arial" w:eastAsia="Arial" w:hAnsi="Arial"/>
                <w:sz w:val="18"/>
                <w:szCs w:val="18"/>
                <w:color w:val="auto"/>
                <w:w w:val="88"/>
              </w:rPr>
              <w:t>Waste Management Retirement Savings Plan</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gridSpan w:val="2"/>
          </w:tcPr>
          <w:p>
            <w:pPr>
              <w:jc w:val="center"/>
              <w:ind w:right="150"/>
              <w:spacing w:after="0"/>
              <w:rPr>
                <w:sz w:val="20"/>
                <w:szCs w:val="20"/>
                <w:color w:val="auto"/>
              </w:rPr>
            </w:pPr>
            <w:r>
              <w:rPr>
                <w:rFonts w:ascii="Arial" w:cs="Arial" w:eastAsia="Arial" w:hAnsi="Arial"/>
                <w:sz w:val="18"/>
                <w:szCs w:val="18"/>
                <w:color w:val="auto"/>
                <w:w w:val="92"/>
              </w:rPr>
              <w:t>For Bargaining Unit Employees</w:t>
            </w: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gridSpan w:val="2"/>
          </w:tcPr>
          <w:p>
            <w:pPr>
              <w:jc w:val="center"/>
              <w:ind w:right="130"/>
              <w:spacing w:after="0"/>
              <w:rPr>
                <w:sz w:val="20"/>
                <w:szCs w:val="20"/>
                <w:color w:val="auto"/>
              </w:rPr>
            </w:pPr>
            <w:r>
              <w:rPr>
                <w:rFonts w:ascii="Arial" w:cs="Arial" w:eastAsia="Arial" w:hAnsi="Arial"/>
                <w:sz w:val="18"/>
                <w:szCs w:val="18"/>
                <w:color w:val="auto"/>
                <w:w w:val="91"/>
              </w:rPr>
              <w:t>Schedule H, Line 4(i) — Schedule of Assets (Held At End of Year)</w:t>
            </w: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ind w:left="1700"/>
              <w:spacing w:after="0"/>
              <w:rPr>
                <w:sz w:val="20"/>
                <w:szCs w:val="20"/>
                <w:color w:val="auto"/>
              </w:rPr>
            </w:pPr>
            <w:r>
              <w:rPr>
                <w:rFonts w:ascii="Arial" w:cs="Arial" w:eastAsia="Arial" w:hAnsi="Arial"/>
                <w:sz w:val="18"/>
                <w:szCs w:val="18"/>
                <w:color w:val="auto"/>
              </w:rPr>
              <w:t>EIN: 36-2660763</w:t>
            </w:r>
          </w:p>
        </w:tc>
        <w:tc>
          <w:tcPr>
            <w:tcW w:w="2820" w:type="dxa"/>
            <w:vAlign w:val="bottom"/>
          </w:tcPr>
          <w:p>
            <w:pPr>
              <w:ind w:left="200"/>
              <w:spacing w:after="0"/>
              <w:rPr>
                <w:sz w:val="20"/>
                <w:szCs w:val="20"/>
                <w:color w:val="auto"/>
              </w:rPr>
            </w:pPr>
            <w:r>
              <w:rPr>
                <w:rFonts w:ascii="Arial" w:cs="Arial" w:eastAsia="Arial" w:hAnsi="Arial"/>
                <w:sz w:val="18"/>
                <w:szCs w:val="18"/>
                <w:color w:val="auto"/>
              </w:rPr>
              <w:t>Plan: 007</w:t>
            </w: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gridSpan w:val="2"/>
          </w:tcPr>
          <w:p>
            <w:pPr>
              <w:jc w:val="center"/>
              <w:ind w:right="150"/>
              <w:spacing w:after="0"/>
              <w:rPr>
                <w:sz w:val="20"/>
                <w:szCs w:val="20"/>
                <w:color w:val="auto"/>
              </w:rPr>
            </w:pPr>
            <w:r>
              <w:rPr>
                <w:rFonts w:ascii="Arial" w:cs="Arial" w:eastAsia="Arial" w:hAnsi="Arial"/>
                <w:sz w:val="18"/>
                <w:szCs w:val="18"/>
                <w:color w:val="auto"/>
                <w:w w:val="89"/>
              </w:rPr>
              <w:t>December 31, 2009</w:t>
            </w: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65"/>
        </w:trPr>
        <w:tc>
          <w:tcPr>
            <w:tcW w:w="27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Identity of Issue</w:t>
            </w:r>
          </w:p>
        </w:tc>
        <w:tc>
          <w:tcPr>
            <w:tcW w:w="100" w:type="dxa"/>
            <w:vAlign w:val="bottom"/>
          </w:tcPr>
          <w:p>
            <w:pPr>
              <w:spacing w:after="0"/>
              <w:rPr>
                <w:sz w:val="24"/>
                <w:szCs w:val="24"/>
                <w:color w:val="auto"/>
              </w:rPr>
            </w:pPr>
          </w:p>
        </w:tc>
        <w:tc>
          <w:tcPr>
            <w:tcW w:w="5980" w:type="dxa"/>
            <w:vAlign w:val="bottom"/>
            <w:tcBorders>
              <w:bottom w:val="single" w:sz="8" w:color="auto"/>
            </w:tcBorders>
            <w:gridSpan w:val="2"/>
          </w:tcPr>
          <w:p>
            <w:pPr>
              <w:ind w:left="2200"/>
              <w:spacing w:after="0"/>
              <w:rPr>
                <w:sz w:val="20"/>
                <w:szCs w:val="20"/>
                <w:color w:val="auto"/>
              </w:rPr>
            </w:pPr>
            <w:r>
              <w:rPr>
                <w:rFonts w:ascii="Arial" w:cs="Arial" w:eastAsia="Arial" w:hAnsi="Arial"/>
                <w:sz w:val="14"/>
                <w:szCs w:val="14"/>
                <w:b w:val="1"/>
                <w:bCs w:val="1"/>
                <w:color w:val="auto"/>
              </w:rPr>
              <w:t>Description of Investment</w:t>
            </w:r>
          </w:p>
        </w:tc>
        <w:tc>
          <w:tcPr>
            <w:tcW w:w="120" w:type="dxa"/>
            <w:vAlign w:val="bottom"/>
          </w:tcPr>
          <w:p>
            <w:pPr>
              <w:spacing w:after="0"/>
              <w:rPr>
                <w:sz w:val="24"/>
                <w:szCs w:val="24"/>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Current Value</w:t>
            </w:r>
          </w:p>
        </w:tc>
      </w:tr>
      <w:tr>
        <w:trPr>
          <w:trHeight w:val="224"/>
        </w:trPr>
        <w:tc>
          <w:tcPr>
            <w:tcW w:w="2740" w:type="dxa"/>
            <w:vAlign w:val="bottom"/>
            <w:gridSpan w:val="3"/>
          </w:tcPr>
          <w:p>
            <w:pPr>
              <w:spacing w:after="0"/>
              <w:rPr>
                <w:sz w:val="20"/>
                <w:szCs w:val="20"/>
                <w:color w:val="auto"/>
              </w:rPr>
            </w:pPr>
            <w:r>
              <w:rPr>
                <w:rFonts w:ascii="Arial" w:cs="Arial" w:eastAsia="Arial" w:hAnsi="Arial"/>
                <w:sz w:val="18"/>
                <w:szCs w:val="18"/>
                <w:color w:val="auto"/>
              </w:rPr>
              <w:t>*Participant Loans</w:t>
            </w:r>
          </w:p>
        </w:tc>
        <w:tc>
          <w:tcPr>
            <w:tcW w:w="10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Various maturity dates with interest rates ranging from 4.25% to 9.25%</w:t>
            </w:r>
          </w:p>
        </w:tc>
        <w:tc>
          <w:tcPr>
            <w:tcW w:w="120" w:type="dxa"/>
            <w:vAlign w:val="bottom"/>
          </w:tcPr>
          <w:p>
            <w:pPr>
              <w:spacing w:after="0"/>
              <w:rPr>
                <w:sz w:val="19"/>
                <w:szCs w:val="19"/>
                <w:color w:val="auto"/>
              </w:rPr>
            </w:pPr>
          </w:p>
        </w:tc>
        <w:tc>
          <w:tcPr>
            <w:tcW w:w="2480" w:type="dxa"/>
            <w:vAlign w:val="bottom"/>
          </w:tcPr>
          <w:p>
            <w:pPr>
              <w:jc w:val="right"/>
              <w:ind w:right="819"/>
              <w:spacing w:after="0"/>
              <w:rPr>
                <w:sz w:val="20"/>
                <w:szCs w:val="20"/>
                <w:color w:val="auto"/>
              </w:rPr>
            </w:pPr>
            <w:r>
              <w:rPr>
                <w:rFonts w:ascii="Arial" w:cs="Arial" w:eastAsia="Arial" w:hAnsi="Arial"/>
                <w:sz w:val="18"/>
                <w:szCs w:val="18"/>
                <w:color w:val="auto"/>
              </w:rPr>
              <w:t>$200,450</w:t>
            </w:r>
          </w:p>
        </w:tc>
      </w:tr>
      <w:tr>
        <w:trPr>
          <w:trHeight w:val="283"/>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60" w:type="dxa"/>
            <w:vAlign w:val="bottom"/>
            <w:gridSpan w:val="2"/>
          </w:tcPr>
          <w:p>
            <w:pPr>
              <w:jc w:val="center"/>
              <w:ind w:left="2590"/>
              <w:spacing w:after="0"/>
              <w:rPr>
                <w:sz w:val="20"/>
                <w:szCs w:val="20"/>
                <w:color w:val="auto"/>
              </w:rPr>
            </w:pPr>
            <w:r>
              <w:rPr>
                <w:rFonts w:ascii="Arial" w:cs="Arial" w:eastAsia="Arial" w:hAnsi="Arial"/>
                <w:sz w:val="18"/>
                <w:szCs w:val="18"/>
                <w:color w:val="auto"/>
                <w:w w:val="89"/>
              </w:rPr>
              <w:t>14</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RETIREMENT</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SAVINGS PLAN FOR BARGAINING</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UNIT EMPLOYEES</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24, 2010</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Krista DelSota</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Krista DelSota</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Compensation, Benefits and</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Human Resources Information Management</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18"/>
        </w:trPr>
        <w:tc>
          <w:tcPr>
            <w:tcW w:w="3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c>
          <w:tcPr>
            <w:tcW w:w="1680" w:type="dxa"/>
            <w:vAlign w:val="bottom"/>
          </w:tcPr>
          <w:p>
            <w:pPr>
              <w:spacing w:after="0"/>
              <w:rPr>
                <w:sz w:val="24"/>
                <w:szCs w:val="24"/>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Employee Benefit Plans</w:t>
            </w:r>
          </w:p>
        </w:tc>
        <w:tc>
          <w:tcPr>
            <w:tcW w:w="1680" w:type="dxa"/>
            <w:vAlign w:val="bottom"/>
          </w:tcPr>
          <w:p>
            <w:pPr>
              <w:spacing w:after="0"/>
              <w:rPr>
                <w:sz w:val="20"/>
                <w:szCs w:val="20"/>
                <w:color w:val="auto"/>
              </w:rPr>
            </w:pPr>
          </w:p>
        </w:tc>
      </w:tr>
      <w:tr>
        <w:trPr>
          <w:trHeight w:val="405"/>
        </w:trPr>
        <w:tc>
          <w:tcPr>
            <w:tcW w:w="3400" w:type="dxa"/>
            <w:vAlign w:val="bottom"/>
          </w:tcPr>
          <w:p>
            <w:pPr>
              <w:spacing w:after="0"/>
              <w:rPr>
                <w:sz w:val="24"/>
                <w:szCs w:val="24"/>
                <w:color w:val="auto"/>
              </w:rPr>
            </w:pPr>
          </w:p>
        </w:tc>
        <w:tc>
          <w:tcPr>
            <w:tcW w:w="6340" w:type="dxa"/>
            <w:vAlign w:val="bottom"/>
            <w:gridSpan w:val="2"/>
          </w:tcPr>
          <w:p>
            <w:pPr>
              <w:ind w:left="2220"/>
              <w:spacing w:after="0"/>
              <w:rPr>
                <w:sz w:val="20"/>
                <w:szCs w:val="20"/>
                <w:color w:val="auto"/>
              </w:rPr>
            </w:pPr>
            <w:r>
              <w:rPr>
                <w:rFonts w:ascii="Arial" w:cs="Arial" w:eastAsia="Arial" w:hAnsi="Arial"/>
                <w:sz w:val="18"/>
                <w:szCs w:val="18"/>
                <w:color w:val="auto"/>
              </w:rPr>
              <w:t>15</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940" w:type="dxa"/>
            <w:vAlign w:val="bottom"/>
          </w:tcPr>
          <w:p>
            <w:pPr>
              <w:ind w:left="21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940" w:type="dxa"/>
            <w:vAlign w:val="bottom"/>
            <w:vMerge w:val="restart"/>
          </w:tcPr>
          <w:p>
            <w:pPr>
              <w:ind w:left="3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64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3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-8890</wp:posOffset>
            </wp:positionV>
            <wp:extent cx="68091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ind w:left="100"/>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8"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ectPr>
          <w:pgSz w:w="11900" w:h="16838" w:orient="portrait"/>
          <w:cols w:equalWidth="0" w:num="1">
            <w:col w:w="10179"/>
          </w:cols>
          <w:pgMar w:left="280" w:top="959"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333-153363) pertaining to the Waste Management Retirement Savings Plan for Bargaining Unit Employees of our report dated June 24, 2010, with respect to the financial statements and schedule of the Waste Management Retirement Savings Plan for Bargaining Unit Employees included in this Annual Report (Form 11-K) for the year ended December 31, 2009.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2010</w:t>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333-153363) pertaining to the Waste Management Retirement Savings Plan for Bargaining Unit Employees of our report dated June 24, 2009, with respect to the financial statements and schedule of the Waste Management Retirement Savings Plan for Bargaining Unit Employees included in this Annual Report (Form 11-K) for the year ended December 31, 2008.</w:t>
      </w:r>
    </w:p>
    <w:p>
      <w:pPr>
        <w:spacing w:after="0" w:line="3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2019-12-10T07:35:02Z</dcterms:created>
  <dcterms:modified xsi:type="dcterms:W3CDTF">2019-12-10T07:35:02Z</dcterms:modified>
</cp:coreProperties>
</file>