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w:t>
      </w:r>
    </w:p>
    <w:p>
      <w:pPr>
        <w:jc w:val="center"/>
        <w:ind w:right="-19"/>
        <w:spacing w:after="0"/>
        <w:rPr>
          <w:sz w:val="20"/>
          <w:szCs w:val="20"/>
          <w:color w:val="auto"/>
        </w:rPr>
      </w:pPr>
      <w:r>
        <w:rPr>
          <w:rFonts w:ascii="Arial" w:cs="Arial" w:eastAsia="Arial" w:hAnsi="Arial"/>
          <w:sz w:val="20"/>
          <w:szCs w:val="20"/>
          <w:b w:val="1"/>
          <w:bCs w:val="1"/>
          <w:color w:val="auto"/>
        </w:rPr>
        <w:t>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2)*</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(CUSIP Number)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80" w:hanging="531"/>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6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63" w:lineRule="exact"/>
        <w:rPr>
          <w:rFonts w:ascii="Arial" w:cs="Arial" w:eastAsia="Arial" w:hAnsi="Arial"/>
          <w:sz w:val="18"/>
          <w:szCs w:val="18"/>
          <w:color w:val="auto"/>
        </w:rPr>
      </w:pPr>
    </w:p>
    <w:p>
      <w:pPr>
        <w:ind w:left="980" w:hanging="531"/>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CUSIP No. 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4"/>
          <w:szCs w:val="24"/>
          <w:color w:val="auto"/>
        </w:rPr>
      </w:pPr>
    </w:p>
    <w:p>
      <w:pPr>
        <w:ind w:left="980" w:right="8120" w:hanging="607"/>
        <w:spacing w:after="0" w:line="50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13" w:lineRule="exact"/>
        <w:rPr>
          <w:rFonts w:ascii="Arial" w:cs="Arial" w:eastAsia="Arial" w:hAnsi="Arial"/>
          <w:sz w:val="16"/>
          <w:szCs w:val="16"/>
          <w:color w:val="auto"/>
        </w:rPr>
      </w:pPr>
    </w:p>
    <w:p>
      <w:pPr>
        <w:ind w:left="980" w:hanging="607"/>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80" w:lineRule="exact"/>
        <w:rPr>
          <w:rFonts w:ascii="Arial" w:cs="Arial" w:eastAsia="Arial" w:hAnsi="Arial"/>
          <w:sz w:val="20"/>
          <w:szCs w:val="20"/>
          <w:color w:val="auto"/>
        </w:rPr>
      </w:pPr>
    </w:p>
    <w:p>
      <w:pPr>
        <w:ind w:left="2140" w:hanging="116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148" w:lineRule="exact"/>
        <w:rPr>
          <w:rFonts w:ascii="Arial" w:cs="Arial" w:eastAsia="Arial" w:hAnsi="Arial"/>
          <w:sz w:val="20"/>
          <w:szCs w:val="20"/>
          <w:color w:val="auto"/>
        </w:rPr>
      </w:pPr>
    </w:p>
    <w:p>
      <w:pPr>
        <w:ind w:left="2140" w:hanging="116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x</w:t>
      </w:r>
    </w:p>
    <w:p>
      <w:pPr>
        <w:spacing w:after="0" w:line="80" w:lineRule="exact"/>
        <w:rPr>
          <w:rFonts w:ascii="Arial" w:cs="Arial" w:eastAsia="Arial" w:hAnsi="Arial"/>
          <w:sz w:val="20"/>
          <w:szCs w:val="20"/>
          <w:color w:val="auto"/>
        </w:rPr>
      </w:pPr>
    </w:p>
    <w:p>
      <w:pPr>
        <w:ind w:left="980" w:hanging="607"/>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34" w:lineRule="exact"/>
        <w:rPr>
          <w:rFonts w:ascii="Arial" w:cs="Arial" w:eastAsia="Arial" w:hAnsi="Arial"/>
          <w:sz w:val="20"/>
          <w:szCs w:val="20"/>
          <w:color w:val="auto"/>
        </w:rPr>
      </w:pPr>
    </w:p>
    <w:p>
      <w:pPr>
        <w:ind w:left="980" w:hanging="607"/>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-168910</wp:posOffset>
            </wp:positionV>
            <wp:extent cx="6689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-391795</wp:posOffset>
            </wp:positionV>
            <wp:extent cx="589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153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-1035050</wp:posOffset>
            </wp:positionV>
            <wp:extent cx="6689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209" w:lineRule="exact"/>
        <w:rPr>
          <w:sz w:val="24"/>
          <w:szCs w:val="24"/>
          <w:color w:val="auto"/>
        </w:rPr>
      </w:pPr>
    </w:p>
    <w:p>
      <w:pPr>
        <w:ind w:left="980"/>
        <w:spacing w:after="0"/>
        <w:rPr>
          <w:sz w:val="20"/>
          <w:szCs w:val="20"/>
          <w:color w:val="auto"/>
        </w:rPr>
      </w:pPr>
      <w:r>
        <w:rPr>
          <w:rFonts w:ascii="Arial" w:cs="Arial" w:eastAsia="Arial" w:hAnsi="Arial"/>
          <w:sz w:val="20"/>
          <w:szCs w:val="20"/>
          <w:color w:val="auto"/>
        </w:rPr>
        <w:t>State of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36195</wp:posOffset>
            </wp:positionV>
            <wp:extent cx="6689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60"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Number of</w:t>
            </w:r>
          </w:p>
        </w:tc>
        <w:tc>
          <w:tcPr>
            <w:tcW w:w="1080" w:type="dxa"/>
            <w:vAlign w:val="bottom"/>
          </w:tcPr>
          <w:p>
            <w:pPr>
              <w:jc w:val="right"/>
              <w:ind w:right="381"/>
              <w:spacing w:after="0"/>
              <w:rPr>
                <w:sz w:val="20"/>
                <w:szCs w:val="20"/>
                <w:color w:val="auto"/>
              </w:rPr>
            </w:pPr>
            <w:r>
              <w:rPr>
                <w:rFonts w:ascii="Arial" w:cs="Arial" w:eastAsia="Arial" w:hAnsi="Arial"/>
                <w:sz w:val="20"/>
                <w:szCs w:val="20"/>
                <w:color w:val="auto"/>
              </w:rPr>
              <w:t>5.</w:t>
            </w:r>
          </w:p>
        </w:tc>
        <w:tc>
          <w:tcPr>
            <w:tcW w:w="8800" w:type="dxa"/>
            <w:vAlign w:val="bottom"/>
          </w:tcPr>
          <w:p>
            <w:pPr>
              <w:ind w:left="80"/>
              <w:spacing w:after="0"/>
              <w:rPr>
                <w:sz w:val="20"/>
                <w:szCs w:val="20"/>
                <w:color w:val="auto"/>
              </w:rPr>
            </w:pPr>
            <w:r>
              <w:rPr>
                <w:rFonts w:ascii="Arial" w:cs="Arial" w:eastAsia="Arial" w:hAnsi="Arial"/>
                <w:sz w:val="20"/>
                <w:szCs w:val="20"/>
                <w:color w:val="auto"/>
              </w:rPr>
              <w:t>Sole Voting Power 11,260,907</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71"/>
        </w:trPr>
        <w:tc>
          <w:tcPr>
            <w:tcW w:w="1440" w:type="dxa"/>
            <w:vAlign w:val="bottom"/>
            <w:vMerge w:val="restart"/>
          </w:tcPr>
          <w:p>
            <w:pPr>
              <w:spacing w:after="0"/>
              <w:rPr>
                <w:sz w:val="20"/>
                <w:szCs w:val="20"/>
                <w:color w:val="auto"/>
              </w:rPr>
            </w:pPr>
            <w:r>
              <w:rPr>
                <w:rFonts w:ascii="Arial" w:cs="Arial" w:eastAsia="Arial" w:hAnsi="Arial"/>
                <w:sz w:val="20"/>
                <w:szCs w:val="20"/>
                <w:color w:val="auto"/>
              </w:rPr>
              <w:t>Shares</w:t>
            </w:r>
          </w:p>
        </w:tc>
        <w:tc>
          <w:tcPr>
            <w:tcW w:w="1080" w:type="dxa"/>
            <w:vAlign w:val="bottom"/>
            <w:vMerge w:val="restart"/>
          </w:tcPr>
          <w:p>
            <w:pPr>
              <w:jc w:val="right"/>
              <w:ind w:right="381"/>
              <w:spacing w:after="0"/>
              <w:rPr>
                <w:sz w:val="20"/>
                <w:szCs w:val="20"/>
                <w:color w:val="auto"/>
              </w:rPr>
            </w:pPr>
            <w:r>
              <w:rPr>
                <w:rFonts w:ascii="Arial" w:cs="Arial" w:eastAsia="Arial" w:hAnsi="Arial"/>
                <w:sz w:val="20"/>
                <w:szCs w:val="20"/>
                <w:color w:val="auto"/>
              </w:rPr>
              <w:t>6.</w:t>
            </w:r>
          </w:p>
        </w:tc>
        <w:tc>
          <w:tcPr>
            <w:tcW w:w="8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800" w:type="dxa"/>
            <w:vAlign w:val="bottom"/>
            <w:vMerge w:val="restart"/>
          </w:tcPr>
          <w:p>
            <w:pPr>
              <w:ind w:left="8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08"/>
        </w:trPr>
        <w:tc>
          <w:tcPr>
            <w:tcW w:w="1440" w:type="dxa"/>
            <w:vAlign w:val="bottom"/>
            <w:vMerge w:val="restart"/>
          </w:tcPr>
          <w:p>
            <w:pPr>
              <w:spacing w:after="0"/>
              <w:rPr>
                <w:sz w:val="20"/>
                <w:szCs w:val="20"/>
                <w:color w:val="auto"/>
              </w:rPr>
            </w:pPr>
            <w:r>
              <w:rPr>
                <w:rFonts w:ascii="Arial" w:cs="Arial" w:eastAsia="Arial" w:hAnsi="Arial"/>
                <w:sz w:val="20"/>
                <w:szCs w:val="20"/>
                <w:color w:val="auto"/>
              </w:rPr>
              <w:t>Beneficially</w:t>
            </w:r>
          </w:p>
        </w:tc>
        <w:tc>
          <w:tcPr>
            <w:tcW w:w="1080" w:type="dxa"/>
            <w:vAlign w:val="bottom"/>
            <w:vMerge w:val="continue"/>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8800" w:type="dxa"/>
            <w:vAlign w:val="bottom"/>
            <w:vMerge w:val="restart"/>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9"/>
        </w:trPr>
        <w:tc>
          <w:tcPr>
            <w:tcW w:w="1440" w:type="dxa"/>
            <w:vAlign w:val="bottom"/>
            <w:vMerge w:val="restart"/>
          </w:tcPr>
          <w:p>
            <w:pPr>
              <w:spacing w:after="0"/>
              <w:rPr>
                <w:sz w:val="20"/>
                <w:szCs w:val="20"/>
                <w:color w:val="auto"/>
              </w:rPr>
            </w:pPr>
            <w:r>
              <w:rPr>
                <w:rFonts w:ascii="Arial" w:cs="Arial" w:eastAsia="Arial" w:hAnsi="Arial"/>
                <w:sz w:val="20"/>
                <w:szCs w:val="20"/>
                <w:color w:val="auto"/>
              </w:rPr>
              <w:t>Owned by</w:t>
            </w:r>
          </w:p>
        </w:tc>
        <w:tc>
          <w:tcPr>
            <w:tcW w:w="1080" w:type="dxa"/>
            <w:vAlign w:val="bottom"/>
          </w:tcPr>
          <w:p>
            <w:pPr>
              <w:spacing w:after="0"/>
              <w:rPr>
                <w:sz w:val="11"/>
                <w:szCs w:val="11"/>
                <w:color w:val="auto"/>
              </w:rPr>
            </w:pPr>
          </w:p>
        </w:tc>
        <w:tc>
          <w:tcPr>
            <w:tcW w:w="8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1440" w:type="dxa"/>
            <w:vAlign w:val="bottom"/>
            <w:vMerge w:val="continue"/>
          </w:tcPr>
          <w:p>
            <w:pPr>
              <w:spacing w:after="0"/>
              <w:rPr>
                <w:sz w:val="3"/>
                <w:szCs w:val="3"/>
                <w:color w:val="auto"/>
              </w:rPr>
            </w:pPr>
          </w:p>
        </w:tc>
        <w:tc>
          <w:tcPr>
            <w:tcW w:w="1080" w:type="dxa"/>
            <w:vAlign w:val="bottom"/>
            <w:vMerge w:val="restart"/>
          </w:tcPr>
          <w:p>
            <w:pPr>
              <w:jc w:val="right"/>
              <w:ind w:right="381"/>
              <w:spacing w:after="0"/>
              <w:rPr>
                <w:sz w:val="20"/>
                <w:szCs w:val="20"/>
                <w:color w:val="auto"/>
              </w:rPr>
            </w:pPr>
            <w:r>
              <w:rPr>
                <w:rFonts w:ascii="Arial" w:cs="Arial" w:eastAsia="Arial" w:hAnsi="Arial"/>
                <w:sz w:val="20"/>
                <w:szCs w:val="20"/>
                <w:color w:val="auto"/>
              </w:rPr>
              <w:t>7.</w:t>
            </w:r>
          </w:p>
        </w:tc>
        <w:tc>
          <w:tcPr>
            <w:tcW w:w="8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14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8800" w:type="dxa"/>
            <w:vAlign w:val="bottom"/>
            <w:vMerge w:val="restart"/>
          </w:tcPr>
          <w:p>
            <w:pPr>
              <w:ind w:left="8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3"/>
        </w:trPr>
        <w:tc>
          <w:tcPr>
            <w:tcW w:w="1440" w:type="dxa"/>
            <w:vAlign w:val="bottom"/>
          </w:tcPr>
          <w:p>
            <w:pPr>
              <w:spacing w:after="0" w:line="203" w:lineRule="exact"/>
              <w:rPr>
                <w:sz w:val="20"/>
                <w:szCs w:val="20"/>
                <w:color w:val="auto"/>
              </w:rPr>
            </w:pPr>
            <w:r>
              <w:rPr>
                <w:rFonts w:ascii="Arial" w:cs="Arial" w:eastAsia="Arial" w:hAnsi="Arial"/>
                <w:sz w:val="20"/>
                <w:szCs w:val="20"/>
                <w:color w:val="auto"/>
              </w:rPr>
              <w:t>Each</w:t>
            </w:r>
          </w:p>
        </w:tc>
        <w:tc>
          <w:tcPr>
            <w:tcW w:w="1080" w:type="dxa"/>
            <w:vAlign w:val="bottom"/>
            <w:vMerge w:val="continue"/>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Arial" w:cs="Arial" w:eastAsia="Arial" w:hAnsi="Arial"/>
                <w:sz w:val="20"/>
                <w:szCs w:val="20"/>
                <w:color w:val="auto"/>
              </w:rPr>
              <w:t>Reporting</w:t>
            </w:r>
          </w:p>
        </w:tc>
        <w:tc>
          <w:tcPr>
            <w:tcW w:w="1080" w:type="dxa"/>
            <w:vAlign w:val="bottom"/>
          </w:tcPr>
          <w:p>
            <w:pPr>
              <w:spacing w:after="0"/>
              <w:rPr>
                <w:sz w:val="22"/>
                <w:szCs w:val="22"/>
                <w:color w:val="auto"/>
              </w:rPr>
            </w:pPr>
          </w:p>
        </w:tc>
        <w:tc>
          <w:tcPr>
            <w:tcW w:w="8800" w:type="dxa"/>
            <w:vAlign w:val="bottom"/>
          </w:tcPr>
          <w:p>
            <w:pPr>
              <w:ind w:left="80"/>
              <w:spacing w:after="0"/>
              <w:rPr>
                <w:sz w:val="20"/>
                <w:szCs w:val="20"/>
                <w:color w:val="auto"/>
              </w:rPr>
            </w:pPr>
            <w:r>
              <w:rPr>
                <w:rFonts w:ascii="Arial" w:cs="Arial" w:eastAsia="Arial" w:hAnsi="Arial"/>
                <w:sz w:val="20"/>
                <w:szCs w:val="20"/>
                <w:color w:val="auto"/>
              </w:rPr>
              <w:t>11,260,907</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30"/>
        </w:trPr>
        <w:tc>
          <w:tcPr>
            <w:tcW w:w="1440" w:type="dxa"/>
            <w:vAlign w:val="bottom"/>
            <w:vMerge w:val="restart"/>
          </w:tcPr>
          <w:p>
            <w:pPr>
              <w:spacing w:after="0"/>
              <w:rPr>
                <w:sz w:val="20"/>
                <w:szCs w:val="20"/>
                <w:color w:val="auto"/>
              </w:rPr>
            </w:pPr>
            <w:r>
              <w:rPr>
                <w:rFonts w:ascii="Arial" w:cs="Arial" w:eastAsia="Arial" w:hAnsi="Arial"/>
                <w:sz w:val="20"/>
                <w:szCs w:val="20"/>
                <w:color w:val="auto"/>
              </w:rPr>
              <w:t>Person</w:t>
            </w:r>
          </w:p>
        </w:tc>
        <w:tc>
          <w:tcPr>
            <w:tcW w:w="1080" w:type="dxa"/>
            <w:vAlign w:val="bottom"/>
            <w:vMerge w:val="restart"/>
          </w:tcPr>
          <w:p>
            <w:pPr>
              <w:jc w:val="right"/>
              <w:ind w:right="381"/>
              <w:spacing w:after="0"/>
              <w:rPr>
                <w:sz w:val="20"/>
                <w:szCs w:val="20"/>
                <w:color w:val="auto"/>
              </w:rPr>
            </w:pPr>
            <w:r>
              <w:rPr>
                <w:rFonts w:ascii="Arial" w:cs="Arial" w:eastAsia="Arial" w:hAnsi="Arial"/>
                <w:sz w:val="20"/>
                <w:szCs w:val="20"/>
                <w:color w:val="auto"/>
              </w:rPr>
              <w:t>8.</w:t>
            </w: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800" w:type="dxa"/>
            <w:vAlign w:val="bottom"/>
          </w:tcPr>
          <w:p>
            <w:pPr>
              <w:ind w:left="80"/>
              <w:spacing w:after="0" w:line="209" w:lineRule="exact"/>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With</w:t>
            </w:r>
          </w:p>
        </w:tc>
        <w:tc>
          <w:tcPr>
            <w:tcW w:w="1080" w:type="dxa"/>
            <w:vAlign w:val="bottom"/>
          </w:tcPr>
          <w:p>
            <w:pPr>
              <w:spacing w:after="0"/>
              <w:rPr>
                <w:sz w:val="19"/>
                <w:szCs w:val="19"/>
                <w:color w:val="auto"/>
              </w:rPr>
            </w:pPr>
          </w:p>
        </w:tc>
        <w:tc>
          <w:tcPr>
            <w:tcW w:w="8800" w:type="dxa"/>
            <w:vAlign w:val="bottom"/>
            <w:vMerge w:val="restart"/>
          </w:tcPr>
          <w:p>
            <w:pPr>
              <w:ind w:left="8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8"/>
        </w:trPr>
        <w:tc>
          <w:tcPr>
            <w:tcW w:w="1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23495</wp:posOffset>
            </wp:positionV>
            <wp:extent cx="6689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54" w:lineRule="exact"/>
        <w:rPr>
          <w:sz w:val="24"/>
          <w:szCs w:val="24"/>
          <w:color w:val="auto"/>
        </w:rPr>
      </w:pPr>
    </w:p>
    <w:p>
      <w:pPr>
        <w:ind w:left="980" w:right="5160" w:hanging="607"/>
        <w:spacing w:after="0" w:line="260"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11,260,907</w:t>
      </w: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11430</wp:posOffset>
            </wp:positionV>
            <wp:extent cx="6689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35" w:lineRule="exact"/>
        <w:rPr>
          <w:sz w:val="24"/>
          <w:szCs w:val="24"/>
          <w:color w:val="auto"/>
        </w:rPr>
      </w:pPr>
    </w:p>
    <w:p>
      <w:pPr>
        <w:ind w:left="980" w:hanging="657"/>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10" w:lineRule="exact"/>
        <w:rPr>
          <w:rFonts w:ascii="Arial" w:cs="Arial" w:eastAsia="Arial" w:hAnsi="Arial"/>
          <w:sz w:val="20"/>
          <w:szCs w:val="20"/>
          <w:color w:val="auto"/>
        </w:rPr>
      </w:pPr>
    </w:p>
    <w:p>
      <w:pPr>
        <w:ind w:left="980" w:right="6280" w:hanging="653"/>
        <w:spacing w:after="0" w:line="260" w:lineRule="auto"/>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Percent of Class Represented by Amount in Row (9) 2.4%</w:t>
      </w:r>
      <w:r>
        <w:rPr>
          <w:rFonts w:ascii="Arial" w:cs="Arial" w:eastAsia="Arial" w:hAnsi="Arial"/>
          <w:sz w:val="12"/>
          <w:szCs w:val="12"/>
          <w:color w:val="auto"/>
        </w:rPr>
        <w:t>(2)</w:t>
      </w:r>
    </w:p>
    <w:p>
      <w:pPr>
        <w:spacing w:after="0" w:line="55" w:lineRule="exact"/>
        <w:rPr>
          <w:rFonts w:ascii="Arial" w:cs="Arial" w:eastAsia="Arial" w:hAnsi="Arial"/>
          <w:sz w:val="20"/>
          <w:szCs w:val="20"/>
          <w:color w:val="auto"/>
        </w:rPr>
      </w:pPr>
    </w:p>
    <w:p>
      <w:pPr>
        <w:ind w:left="980" w:hanging="657"/>
        <w:spacing w:after="0"/>
        <w:tabs>
          <w:tab w:leader="none" w:pos="9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-168910</wp:posOffset>
            </wp:positionV>
            <wp:extent cx="6689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-520700</wp:posOffset>
            </wp:positionV>
            <wp:extent cx="66890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ectPr>
          <w:pgSz w:w="11900" w:h="16894" w:orient="portrait"/>
          <w:cols w:equalWidth="0" w:num="1">
            <w:col w:w="11420"/>
          </w:cols>
          <w:pgMar w:left="240" w:top="441" w:right="239" w:bottom="0" w:gutter="0" w:footer="0" w:header="0"/>
        </w:sectPr>
      </w:pPr>
    </w:p>
    <w:bookmarkStart w:id="1" w:name="page2"/>
    <w:bookmarkEnd w:id="1"/>
    <w:p>
      <w:pPr>
        <w:ind w:left="972"/>
        <w:spacing w:after="0"/>
        <w:rPr>
          <w:sz w:val="20"/>
          <w:szCs w:val="20"/>
          <w:color w:val="auto"/>
        </w:rPr>
      </w:pPr>
      <w:r>
        <w:rPr>
          <w:rFonts w:ascii="Arial" w:cs="Arial" w:eastAsia="Arial" w:hAnsi="Arial"/>
          <w:sz w:val="20"/>
          <w:szCs w:val="20"/>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36195</wp:posOffset>
            </wp:positionV>
            <wp:extent cx="66890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250825</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 w:right="60" w:firstLine="8"/>
        <w:spacing w:after="0" w:line="247" w:lineRule="auto"/>
        <w:tabs>
          <w:tab w:leader="none" w:pos="170" w:val="left"/>
        </w:tabs>
        <w:numPr>
          <w:ilvl w:val="0"/>
          <w:numId w:val="5"/>
        </w:numPr>
        <w:rPr>
          <w:rFonts w:ascii="Arial" w:cs="Arial" w:eastAsia="Arial" w:hAnsi="Arial"/>
          <w:sz w:val="13"/>
          <w:szCs w:val="13"/>
          <w:color w:val="auto"/>
        </w:rPr>
      </w:pPr>
      <w:r>
        <w:rPr>
          <w:rFonts w:ascii="Arial" w:cs="Arial" w:eastAsia="Arial" w:hAnsi="Arial"/>
          <w:sz w:val="20"/>
          <w:szCs w:val="20"/>
          <w:color w:val="auto"/>
        </w:rPr>
        <w:t>All shares of the Common Stock of Waste Management, Inc. (the “Issuer”) held by Cascade Investment, L.L.C. (“Cascade”) may be deemed to be beneficially owned by William H. Gates III as the sole member of Cascade.</w:t>
      </w:r>
    </w:p>
    <w:p>
      <w:pPr>
        <w:spacing w:after="0" w:line="1" w:lineRule="exact"/>
        <w:rPr>
          <w:rFonts w:ascii="Arial" w:cs="Arial" w:eastAsia="Arial" w:hAnsi="Arial"/>
          <w:sz w:val="13"/>
          <w:szCs w:val="13"/>
          <w:color w:val="auto"/>
        </w:rPr>
      </w:pPr>
    </w:p>
    <w:p>
      <w:pPr>
        <w:ind w:left="-8" w:firstLine="8"/>
        <w:spacing w:after="0" w:line="244" w:lineRule="auto"/>
        <w:tabs>
          <w:tab w:leader="none" w:pos="170" w:val="left"/>
        </w:tabs>
        <w:numPr>
          <w:ilvl w:val="0"/>
          <w:numId w:val="5"/>
        </w:numPr>
        <w:rPr>
          <w:rFonts w:ascii="Arial" w:cs="Arial" w:eastAsia="Arial" w:hAnsi="Arial"/>
          <w:sz w:val="13"/>
          <w:szCs w:val="13"/>
          <w:color w:val="auto"/>
        </w:rPr>
      </w:pPr>
      <w:r>
        <w:rPr>
          <w:rFonts w:ascii="Arial" w:cs="Arial" w:eastAsia="Arial" w:hAnsi="Arial"/>
          <w:sz w:val="20"/>
          <w:szCs w:val="20"/>
          <w:color w:val="auto"/>
        </w:rPr>
        <w:t>Based on 463,899,149 shares of the Issuer’s Common Stock outstanding as of October 23, 2012 as reported in the Issuer’s Form 10-Q for the quarter ended September 30, 2012 filed on October 31, 2012.</w:t>
      </w:r>
    </w:p>
    <w:p>
      <w:pPr>
        <w:spacing w:after="0" w:line="18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2"/>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0"/>
          <w:szCs w:val="20"/>
          <w:color w:val="auto"/>
        </w:rPr>
      </w:pPr>
    </w:p>
    <w:p>
      <w:pPr>
        <w:ind w:left="972" w:hanging="607"/>
        <w:spacing w:after="0"/>
        <w:tabs>
          <w:tab w:leader="none" w:pos="972"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9" w:lineRule="exact"/>
        <w:rPr>
          <w:rFonts w:ascii="Arial" w:cs="Arial" w:eastAsia="Arial" w:hAnsi="Arial"/>
          <w:sz w:val="20"/>
          <w:szCs w:val="20"/>
          <w:color w:val="auto"/>
        </w:rPr>
      </w:pPr>
    </w:p>
    <w:p>
      <w:pPr>
        <w:ind w:left="972"/>
        <w:spacing w:after="0"/>
        <w:rPr>
          <w:rFonts w:ascii="Arial" w:cs="Arial" w:eastAsia="Arial" w:hAnsi="Arial"/>
          <w:sz w:val="20"/>
          <w:szCs w:val="20"/>
          <w:color w:val="auto"/>
        </w:rPr>
      </w:pPr>
      <w:r>
        <w:rPr>
          <w:rFonts w:ascii="Arial" w:cs="Arial" w:eastAsia="Arial" w:hAnsi="Arial"/>
          <w:sz w:val="20"/>
          <w:szCs w:val="20"/>
          <w:color w:val="auto"/>
        </w:rPr>
        <w:t>Bill &amp; Melinda Gates Foundation Trust</w:t>
      </w:r>
    </w:p>
    <w:p>
      <w:pPr>
        <w:spacing w:after="0" w:line="94" w:lineRule="exact"/>
        <w:rPr>
          <w:rFonts w:ascii="Arial" w:cs="Arial" w:eastAsia="Arial" w:hAnsi="Arial"/>
          <w:sz w:val="20"/>
          <w:szCs w:val="20"/>
          <w:color w:val="auto"/>
        </w:rPr>
      </w:pPr>
    </w:p>
    <w:p>
      <w:pPr>
        <w:ind w:left="972" w:hanging="607"/>
        <w:spacing w:after="0"/>
        <w:tabs>
          <w:tab w:leader="none" w:pos="972"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80" w:lineRule="exact"/>
        <w:rPr>
          <w:rFonts w:ascii="Arial" w:cs="Arial" w:eastAsia="Arial" w:hAnsi="Arial"/>
          <w:sz w:val="20"/>
          <w:szCs w:val="20"/>
          <w:color w:val="auto"/>
        </w:rPr>
      </w:pPr>
    </w:p>
    <w:p>
      <w:pPr>
        <w:ind w:left="2132" w:hanging="1163"/>
        <w:spacing w:after="0"/>
        <w:tabs>
          <w:tab w:leader="none" w:pos="2132" w:val="left"/>
        </w:tabs>
        <w:numPr>
          <w:ilvl w:val="1"/>
          <w:numId w:val="6"/>
        </w:numPr>
        <w:rPr>
          <w:rFonts w:ascii="Arial" w:cs="Arial" w:eastAsia="Arial" w:hAnsi="Arial"/>
          <w:sz w:val="20"/>
          <w:szCs w:val="20"/>
          <w:color w:val="auto"/>
        </w:rPr>
      </w:pPr>
      <w:r>
        <w:rPr>
          <w:rFonts w:ascii="Arial" w:cs="Arial" w:eastAsia="Arial" w:hAnsi="Arial"/>
          <w:sz w:val="20"/>
          <w:szCs w:val="20"/>
          <w:color w:val="auto"/>
        </w:rPr>
        <w:t>o</w:t>
      </w:r>
    </w:p>
    <w:p>
      <w:pPr>
        <w:spacing w:after="0" w:line="80" w:lineRule="exact"/>
        <w:rPr>
          <w:rFonts w:ascii="Arial" w:cs="Arial" w:eastAsia="Arial" w:hAnsi="Arial"/>
          <w:sz w:val="20"/>
          <w:szCs w:val="20"/>
          <w:color w:val="auto"/>
        </w:rPr>
      </w:pPr>
    </w:p>
    <w:p>
      <w:pPr>
        <w:ind w:left="2132" w:hanging="1163"/>
        <w:spacing w:after="0"/>
        <w:tabs>
          <w:tab w:leader="none" w:pos="2132" w:val="left"/>
        </w:tabs>
        <w:numPr>
          <w:ilvl w:val="1"/>
          <w:numId w:val="6"/>
        </w:numPr>
        <w:rPr>
          <w:rFonts w:ascii="Arial" w:cs="Arial" w:eastAsia="Arial" w:hAnsi="Arial"/>
          <w:sz w:val="20"/>
          <w:szCs w:val="20"/>
          <w:color w:val="auto"/>
        </w:rPr>
      </w:pPr>
      <w:r>
        <w:rPr>
          <w:rFonts w:ascii="Arial" w:cs="Arial" w:eastAsia="Arial" w:hAnsi="Arial"/>
          <w:sz w:val="20"/>
          <w:szCs w:val="20"/>
          <w:color w:val="auto"/>
        </w:rPr>
        <w:t>x</w:t>
      </w:r>
    </w:p>
    <w:p>
      <w:pPr>
        <w:spacing w:after="0" w:line="80" w:lineRule="exact"/>
        <w:rPr>
          <w:rFonts w:ascii="Arial" w:cs="Arial" w:eastAsia="Arial" w:hAnsi="Arial"/>
          <w:sz w:val="20"/>
          <w:szCs w:val="20"/>
          <w:color w:val="auto"/>
        </w:rPr>
      </w:pPr>
    </w:p>
    <w:p>
      <w:pPr>
        <w:ind w:left="972" w:hanging="607"/>
        <w:spacing w:after="0"/>
        <w:tabs>
          <w:tab w:leader="none" w:pos="972"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34" w:lineRule="exact"/>
        <w:rPr>
          <w:rFonts w:ascii="Arial" w:cs="Arial" w:eastAsia="Arial" w:hAnsi="Arial"/>
          <w:sz w:val="20"/>
          <w:szCs w:val="20"/>
          <w:color w:val="auto"/>
        </w:rPr>
      </w:pPr>
    </w:p>
    <w:p>
      <w:pPr>
        <w:ind w:left="972" w:right="7520" w:hanging="607"/>
        <w:spacing w:after="0" w:line="422" w:lineRule="auto"/>
        <w:tabs>
          <w:tab w:leader="none" w:pos="972" w:val="left"/>
        </w:tabs>
        <w:numPr>
          <w:ilvl w:val="0"/>
          <w:numId w:val="6"/>
        </w:numPr>
        <w:rPr>
          <w:rFonts w:ascii="Arial" w:cs="Arial" w:eastAsia="Arial" w:hAnsi="Arial"/>
          <w:sz w:val="19"/>
          <w:szCs w:val="19"/>
          <w:color w:val="auto"/>
        </w:rPr>
      </w:pPr>
      <w:r>
        <w:rPr>
          <w:rFonts w:ascii="Arial" w:cs="Arial" w:eastAsia="Arial" w:hAnsi="Arial"/>
          <w:sz w:val="19"/>
          <w:szCs w:val="19"/>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-13335</wp:posOffset>
            </wp:positionV>
            <wp:extent cx="6689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-511175</wp:posOffset>
            </wp:positionV>
            <wp:extent cx="66890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-734060</wp:posOffset>
            </wp:positionV>
            <wp:extent cx="5891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9153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-1334135</wp:posOffset>
            </wp:positionV>
            <wp:extent cx="6689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ectPr>
          <w:pgSz w:w="11900" w:h="16838" w:orient="portrait"/>
          <w:cols w:equalWidth="0" w:num="1">
            <w:col w:w="11372"/>
          </w:cols>
          <w:pgMar w:left="248" w:top="352" w:right="279" w:bottom="0" w:gutter="0" w:footer="0" w:header="0"/>
        </w:sectPr>
      </w:pPr>
    </w:p>
    <w:p>
      <w:pPr>
        <w:spacing w:after="0" w:line="1" w:lineRule="exact"/>
        <w:rPr>
          <w:sz w:val="20"/>
          <w:szCs w:val="20"/>
          <w:color w:val="auto"/>
        </w:rPr>
      </w:pPr>
    </w:p>
    <w:tbl>
      <w:tblPr>
        <w:tblLayout w:type="fixed"/>
        <w:tblInd w:w="92"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Number of</w:t>
            </w:r>
          </w:p>
        </w:tc>
        <w:tc>
          <w:tcPr>
            <w:tcW w:w="60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Shares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Beneficially</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15"/>
        </w:trPr>
        <w:tc>
          <w:tcPr>
            <w:tcW w:w="1440" w:type="dxa"/>
            <w:vAlign w:val="bottom"/>
            <w:vMerge w:val="restart"/>
          </w:tcPr>
          <w:p>
            <w:pPr>
              <w:spacing w:after="0"/>
              <w:rPr>
                <w:sz w:val="20"/>
                <w:szCs w:val="20"/>
                <w:color w:val="auto"/>
              </w:rPr>
            </w:pPr>
            <w:r>
              <w:rPr>
                <w:rFonts w:ascii="Arial" w:cs="Arial" w:eastAsia="Arial" w:hAnsi="Arial"/>
                <w:sz w:val="20"/>
                <w:szCs w:val="20"/>
                <w:color w:val="auto"/>
              </w:rPr>
              <w:t>Owned by</w:t>
            </w: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4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Each</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Reporting</w:t>
            </w: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Person</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20"/>
                <w:szCs w:val="20"/>
                <w:color w:val="auto"/>
              </w:rPr>
              <w:t>With</w:t>
            </w:r>
          </w:p>
        </w:tc>
        <w:tc>
          <w:tcPr>
            <w:tcW w:w="60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Sole Voting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26035</wp:posOffset>
            </wp:positionV>
            <wp:extent cx="5591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Shared Voting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26035</wp:posOffset>
            </wp:positionV>
            <wp:extent cx="5591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Sole Dispositive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26035</wp:posOffset>
            </wp:positionV>
            <wp:extent cx="5591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26035</wp:posOffset>
            </wp:positionV>
            <wp:extent cx="66890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132" w:space="560"/>
            <w:col w:w="8680"/>
          </w:cols>
          <w:pgMar w:left="248" w:top="352" w:right="279" w:bottom="0" w:gutter="0" w:footer="0" w:header="0"/>
          <w:type w:val="continuous"/>
        </w:sectPr>
      </w:pPr>
    </w:p>
    <w:p>
      <w:pPr>
        <w:ind w:left="972" w:right="5120" w:hanging="607"/>
        <w:spacing w:after="0" w:line="260" w:lineRule="auto"/>
        <w:tabs>
          <w:tab w:leader="none" w:pos="972" w:val="left"/>
        </w:tabs>
        <w:numPr>
          <w:ilvl w:val="0"/>
          <w:numId w:val="7"/>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18,633,672</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11430</wp:posOffset>
            </wp:positionV>
            <wp:extent cx="66890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35" w:lineRule="exact"/>
        <w:rPr>
          <w:sz w:val="20"/>
          <w:szCs w:val="20"/>
          <w:color w:val="auto"/>
        </w:rPr>
      </w:pPr>
    </w:p>
    <w:p>
      <w:pPr>
        <w:ind w:left="972" w:hanging="657"/>
        <w:spacing w:after="0"/>
        <w:tabs>
          <w:tab w:leader="none" w:pos="972" w:val="left"/>
        </w:tabs>
        <w:numPr>
          <w:ilvl w:val="2"/>
          <w:numId w:val="8"/>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10" w:lineRule="exact"/>
        <w:rPr>
          <w:rFonts w:ascii="Arial" w:cs="Arial" w:eastAsia="Arial" w:hAnsi="Arial"/>
          <w:sz w:val="20"/>
          <w:szCs w:val="20"/>
          <w:color w:val="auto"/>
        </w:rPr>
      </w:pPr>
    </w:p>
    <w:p>
      <w:pPr>
        <w:ind w:left="972" w:hanging="653"/>
        <w:spacing w:after="0"/>
        <w:tabs>
          <w:tab w:leader="none" w:pos="972" w:val="left"/>
        </w:tabs>
        <w:numPr>
          <w:ilvl w:val="2"/>
          <w:numId w:val="8"/>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972"/>
        <w:spacing w:after="0"/>
        <w:rPr>
          <w:rFonts w:ascii="Arial" w:cs="Arial" w:eastAsia="Arial" w:hAnsi="Arial"/>
          <w:sz w:val="20"/>
          <w:szCs w:val="20"/>
          <w:color w:val="auto"/>
        </w:rPr>
      </w:pPr>
      <w:r>
        <w:rPr>
          <w:rFonts w:ascii="Arial" w:cs="Arial" w:eastAsia="Arial" w:hAnsi="Arial"/>
          <w:sz w:val="20"/>
          <w:szCs w:val="20"/>
          <w:color w:val="auto"/>
        </w:rPr>
        <w:t>4.0%</w:t>
      </w:r>
      <w:r>
        <w:rPr>
          <w:rFonts w:ascii="Arial" w:cs="Arial" w:eastAsia="Arial" w:hAnsi="Arial"/>
          <w:sz w:val="12"/>
          <w:szCs w:val="12"/>
          <w:color w:val="auto"/>
        </w:rPr>
        <w:t>(2)</w:t>
      </w:r>
    </w:p>
    <w:p>
      <w:pPr>
        <w:spacing w:after="0" w:line="78" w:lineRule="exact"/>
        <w:rPr>
          <w:rFonts w:ascii="Arial" w:cs="Arial" w:eastAsia="Arial" w:hAnsi="Arial"/>
          <w:sz w:val="20"/>
          <w:szCs w:val="20"/>
          <w:color w:val="auto"/>
        </w:rPr>
      </w:pPr>
    </w:p>
    <w:p>
      <w:pPr>
        <w:ind w:left="972" w:hanging="657"/>
        <w:spacing w:after="0"/>
        <w:tabs>
          <w:tab w:leader="none" w:pos="972" w:val="left"/>
        </w:tabs>
        <w:numPr>
          <w:ilvl w:val="2"/>
          <w:numId w:val="8"/>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972"/>
        <w:spacing w:after="0"/>
        <w:rPr>
          <w:rFonts w:ascii="Arial" w:cs="Arial" w:eastAsia="Arial" w:hAnsi="Arial"/>
          <w:sz w:val="20"/>
          <w:szCs w:val="20"/>
          <w:color w:val="auto"/>
        </w:rPr>
      </w:pPr>
      <w:r>
        <w:rPr>
          <w:rFonts w:ascii="Arial" w:cs="Arial" w:eastAsia="Arial" w:hAnsi="Arial"/>
          <w:sz w:val="20"/>
          <w:szCs w:val="20"/>
          <w:color w:val="auto"/>
        </w:rPr>
        <w:t>OO</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8" w:right="60" w:firstLine="8"/>
        <w:spacing w:after="0" w:line="213" w:lineRule="auto"/>
        <w:tabs>
          <w:tab w:leader="none" w:pos="272" w:val="left"/>
        </w:tabs>
        <w:numPr>
          <w:ilvl w:val="0"/>
          <w:numId w:val="9"/>
        </w:numPr>
        <w:rPr>
          <w:rFonts w:ascii="Arial" w:cs="Arial" w:eastAsia="Arial" w:hAnsi="Arial"/>
          <w:sz w:val="33"/>
          <w:szCs w:val="33"/>
          <w:color w:val="auto"/>
          <w:vertAlign w:val="superscript"/>
        </w:rPr>
      </w:pPr>
      <w:r>
        <w:rPr>
          <w:rFonts w:ascii="Arial" w:cs="Arial" w:eastAsia="Arial" w:hAnsi="Arial"/>
          <w:sz w:val="18"/>
          <w:szCs w:val="18"/>
          <w:color w:val="auto"/>
        </w:rPr>
        <w:t>For purposes of Rule 13d-3 under the Securities Exchange Act of 1934, as amended, all shares of the Common Stock of Waste Management, Inc. (the “Issuer”) beneficially owned by Bill &amp; Melinda Gates Foundation Trust (the “Trust”) may be deemed to be beneficially owned by William H. Gates III and Melinda French Gates, as Co-Trustees of the Trust.</w:t>
      </w:r>
    </w:p>
    <w:p>
      <w:pPr>
        <w:ind w:left="-8" w:right="140" w:firstLine="58"/>
        <w:spacing w:after="0" w:line="189" w:lineRule="auto"/>
        <w:tabs>
          <w:tab w:leader="none" w:pos="322" w:val="left"/>
        </w:tabs>
        <w:numPr>
          <w:ilvl w:val="1"/>
          <w:numId w:val="9"/>
        </w:numPr>
        <w:rPr>
          <w:rFonts w:ascii="Arial" w:cs="Arial" w:eastAsia="Arial" w:hAnsi="Arial"/>
          <w:sz w:val="33"/>
          <w:szCs w:val="33"/>
          <w:color w:val="auto"/>
          <w:vertAlign w:val="superscript"/>
        </w:rPr>
      </w:pPr>
      <w:r>
        <w:rPr>
          <w:rFonts w:ascii="Arial" w:cs="Arial" w:eastAsia="Arial" w:hAnsi="Arial"/>
          <w:sz w:val="18"/>
          <w:szCs w:val="18"/>
          <w:color w:val="auto"/>
        </w:rPr>
        <w:t>Based on 463,899,149 shares of the Issuer’s Common Stock outstanding as of October 23, 2012 as reported in the Issuer’s Form 10-Q for the quarter ended September 30, 2012 filed on October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-1055370</wp:posOffset>
            </wp:positionV>
            <wp:extent cx="6689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-1552575</wp:posOffset>
            </wp:positionV>
            <wp:extent cx="6689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-1904365</wp:posOffset>
            </wp:positionV>
            <wp:extent cx="6689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-806450</wp:posOffset>
            </wp:positionV>
            <wp:extent cx="1466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3"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2"/>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0"/>
          <w:szCs w:val="20"/>
          <w:color w:val="auto"/>
        </w:rPr>
      </w:pPr>
    </w:p>
    <w:p>
      <w:pPr>
        <w:ind w:left="972" w:right="8080" w:hanging="607"/>
        <w:spacing w:after="0" w:line="446"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 William H. Gates III</w:t>
      </w:r>
    </w:p>
    <w:p>
      <w:pPr>
        <w:spacing w:after="0" w:line="14" w:lineRule="exact"/>
        <w:rPr>
          <w:rFonts w:ascii="Arial" w:cs="Arial" w:eastAsia="Arial" w:hAnsi="Arial"/>
          <w:sz w:val="18"/>
          <w:szCs w:val="18"/>
          <w:color w:val="auto"/>
        </w:rPr>
      </w:pPr>
    </w:p>
    <w:p>
      <w:pPr>
        <w:ind w:left="972" w:hanging="607"/>
        <w:spacing w:after="0"/>
        <w:tabs>
          <w:tab w:leader="none" w:pos="972"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80" w:lineRule="exact"/>
        <w:rPr>
          <w:rFonts w:ascii="Arial" w:cs="Arial" w:eastAsia="Arial" w:hAnsi="Arial"/>
          <w:sz w:val="20"/>
          <w:szCs w:val="20"/>
          <w:color w:val="auto"/>
        </w:rPr>
      </w:pPr>
    </w:p>
    <w:p>
      <w:pPr>
        <w:ind w:left="2192" w:hanging="1223"/>
        <w:spacing w:after="0"/>
        <w:tabs>
          <w:tab w:leader="none" w:pos="2192" w:val="left"/>
        </w:tabs>
        <w:numPr>
          <w:ilvl w:val="1"/>
          <w:numId w:val="10"/>
        </w:numPr>
        <w:rPr>
          <w:rFonts w:ascii="Arial" w:cs="Arial" w:eastAsia="Arial" w:hAnsi="Arial"/>
          <w:sz w:val="20"/>
          <w:szCs w:val="20"/>
          <w:color w:val="auto"/>
        </w:rPr>
      </w:pPr>
      <w:r>
        <w:rPr>
          <w:rFonts w:ascii="Arial" w:cs="Arial" w:eastAsia="Arial" w:hAnsi="Arial"/>
          <w:sz w:val="20"/>
          <w:szCs w:val="20"/>
          <w:color w:val="auto"/>
        </w:rPr>
        <w:t>o</w:t>
      </w:r>
    </w:p>
    <w:p>
      <w:pPr>
        <w:spacing w:after="0" w:line="80" w:lineRule="exact"/>
        <w:rPr>
          <w:rFonts w:ascii="Arial" w:cs="Arial" w:eastAsia="Arial" w:hAnsi="Arial"/>
          <w:sz w:val="20"/>
          <w:szCs w:val="20"/>
          <w:color w:val="auto"/>
        </w:rPr>
      </w:pPr>
    </w:p>
    <w:p>
      <w:pPr>
        <w:ind w:left="2192" w:hanging="1223"/>
        <w:spacing w:after="0"/>
        <w:tabs>
          <w:tab w:leader="none" w:pos="2192" w:val="left"/>
        </w:tabs>
        <w:numPr>
          <w:ilvl w:val="1"/>
          <w:numId w:val="10"/>
        </w:numPr>
        <w:rPr>
          <w:rFonts w:ascii="Arial" w:cs="Arial" w:eastAsia="Arial" w:hAnsi="Arial"/>
          <w:sz w:val="20"/>
          <w:szCs w:val="20"/>
          <w:color w:val="auto"/>
        </w:rPr>
      </w:pPr>
      <w:r>
        <w:rPr>
          <w:rFonts w:ascii="Arial" w:cs="Arial" w:eastAsia="Arial" w:hAnsi="Arial"/>
          <w:sz w:val="20"/>
          <w:szCs w:val="20"/>
          <w:color w:val="auto"/>
        </w:rPr>
        <w:t>x</w:t>
      </w:r>
    </w:p>
    <w:p>
      <w:pPr>
        <w:spacing w:after="0" w:line="80" w:lineRule="exact"/>
        <w:rPr>
          <w:rFonts w:ascii="Arial" w:cs="Arial" w:eastAsia="Arial" w:hAnsi="Arial"/>
          <w:sz w:val="20"/>
          <w:szCs w:val="20"/>
          <w:color w:val="auto"/>
        </w:rPr>
      </w:pPr>
    </w:p>
    <w:p>
      <w:pPr>
        <w:ind w:left="972" w:hanging="607"/>
        <w:spacing w:after="0"/>
        <w:tabs>
          <w:tab w:leader="none" w:pos="972"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34" w:lineRule="exact"/>
        <w:rPr>
          <w:rFonts w:ascii="Arial" w:cs="Arial" w:eastAsia="Arial" w:hAnsi="Arial"/>
          <w:sz w:val="20"/>
          <w:szCs w:val="20"/>
          <w:color w:val="auto"/>
        </w:rPr>
      </w:pPr>
    </w:p>
    <w:p>
      <w:pPr>
        <w:ind w:left="972" w:hanging="607"/>
        <w:spacing w:after="0"/>
        <w:tabs>
          <w:tab w:leader="none" w:pos="972" w:val="left"/>
        </w:tabs>
        <w:numPr>
          <w:ilvl w:val="0"/>
          <w:numId w:val="10"/>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-168910</wp:posOffset>
            </wp:positionV>
            <wp:extent cx="66890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-391795</wp:posOffset>
            </wp:positionV>
            <wp:extent cx="5857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-992505</wp:posOffset>
            </wp:positionV>
            <wp:extent cx="66890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ectPr>
          <w:pgSz w:w="11900" w:h="16838" w:orient="portrait"/>
          <w:cols w:equalWidth="0" w:num="1">
            <w:col w:w="11372"/>
          </w:cols>
          <w:pgMar w:left="248" w:top="352" w:right="279" w:bottom="0" w:gutter="0" w:footer="0" w:header="0"/>
          <w:type w:val="continuous"/>
        </w:sectPr>
      </w:pPr>
    </w:p>
    <w:bookmarkStart w:id="2" w:name="page3"/>
    <w:bookmarkEnd w:id="2"/>
    <w:p>
      <w:pPr>
        <w:ind w:left="972"/>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50800</wp:posOffset>
            </wp:positionV>
            <wp:extent cx="66890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ectPr>
          <w:pgSz w:w="11900" w:h="16838" w:orient="portrait"/>
          <w:cols w:equalWidth="0" w:num="1">
            <w:col w:w="11372"/>
          </w:cols>
          <w:pgMar w:left="248" w:top="352" w:right="279" w:bottom="0" w:gutter="0" w:footer="0" w:header="0"/>
        </w:sectPr>
      </w:pPr>
    </w:p>
    <w:p>
      <w:pPr>
        <w:spacing w:after="0" w:line="103" w:lineRule="exact"/>
        <w:rPr>
          <w:sz w:val="20"/>
          <w:szCs w:val="20"/>
          <w:color w:val="auto"/>
        </w:rPr>
      </w:pPr>
    </w:p>
    <w:tbl>
      <w:tblPr>
        <w:tblLayout w:type="fixed"/>
        <w:tblInd w:w="92"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Number of</w:t>
            </w:r>
          </w:p>
        </w:tc>
        <w:tc>
          <w:tcPr>
            <w:tcW w:w="62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Shares</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Beneficially</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15"/>
        </w:trPr>
        <w:tc>
          <w:tcPr>
            <w:tcW w:w="1460" w:type="dxa"/>
            <w:vAlign w:val="bottom"/>
            <w:vMerge w:val="restart"/>
          </w:tcPr>
          <w:p>
            <w:pPr>
              <w:spacing w:after="0"/>
              <w:rPr>
                <w:sz w:val="20"/>
                <w:szCs w:val="20"/>
                <w:color w:val="auto"/>
              </w:rPr>
            </w:pPr>
            <w:r>
              <w:rPr>
                <w:rFonts w:ascii="Arial" w:cs="Arial" w:eastAsia="Arial" w:hAnsi="Arial"/>
                <w:sz w:val="20"/>
                <w:szCs w:val="20"/>
                <w:color w:val="auto"/>
              </w:rPr>
              <w:t>Owned by</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4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Each</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Reporting</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Person</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20"/>
                <w:szCs w:val="20"/>
                <w:color w:val="auto"/>
              </w:rPr>
              <w:t>With</w:t>
            </w:r>
          </w:p>
        </w:tc>
        <w:tc>
          <w:tcPr>
            <w:tcW w:w="62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Sole Voting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11,260,907</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26035</wp:posOffset>
            </wp:positionV>
            <wp:extent cx="5539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Shared Voting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26035</wp:posOffset>
            </wp:positionV>
            <wp:extent cx="5539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Sole Dispositive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11,260,907</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26035</wp:posOffset>
            </wp:positionV>
            <wp:extent cx="5539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26035</wp:posOffset>
            </wp:positionV>
            <wp:extent cx="66890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172" w:space="600"/>
            <w:col w:w="8600"/>
          </w:cols>
          <w:pgMar w:left="248" w:top="352" w:right="279" w:bottom="0" w:gutter="0" w:footer="0" w:header="0"/>
          <w:type w:val="continuous"/>
        </w:sectPr>
      </w:pPr>
    </w:p>
    <w:p>
      <w:pPr>
        <w:ind w:left="972" w:right="5120" w:hanging="607"/>
        <w:spacing w:after="0" w:line="260" w:lineRule="auto"/>
        <w:tabs>
          <w:tab w:leader="none" w:pos="972" w:val="left"/>
        </w:tabs>
        <w:numPr>
          <w:ilvl w:val="0"/>
          <w:numId w:val="11"/>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29,894,579</w:t>
      </w: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11430</wp:posOffset>
            </wp:positionV>
            <wp:extent cx="66890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35" w:lineRule="exact"/>
        <w:rPr>
          <w:sz w:val="20"/>
          <w:szCs w:val="20"/>
          <w:color w:val="auto"/>
        </w:rPr>
      </w:pPr>
    </w:p>
    <w:p>
      <w:pPr>
        <w:ind w:left="972" w:hanging="657"/>
        <w:spacing w:after="0"/>
        <w:tabs>
          <w:tab w:leader="none" w:pos="972" w:val="left"/>
        </w:tabs>
        <w:numPr>
          <w:ilvl w:val="1"/>
          <w:numId w:val="12"/>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10" w:lineRule="exact"/>
        <w:rPr>
          <w:rFonts w:ascii="Arial" w:cs="Arial" w:eastAsia="Arial" w:hAnsi="Arial"/>
          <w:sz w:val="20"/>
          <w:szCs w:val="20"/>
          <w:color w:val="auto"/>
        </w:rPr>
      </w:pPr>
    </w:p>
    <w:p>
      <w:pPr>
        <w:ind w:left="972" w:hanging="653"/>
        <w:spacing w:after="0"/>
        <w:tabs>
          <w:tab w:leader="none" w:pos="972" w:val="left"/>
        </w:tabs>
        <w:numPr>
          <w:ilvl w:val="1"/>
          <w:numId w:val="12"/>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972"/>
        <w:spacing w:after="0"/>
        <w:rPr>
          <w:rFonts w:ascii="Arial" w:cs="Arial" w:eastAsia="Arial" w:hAnsi="Arial"/>
          <w:sz w:val="20"/>
          <w:szCs w:val="20"/>
          <w:color w:val="auto"/>
        </w:rPr>
      </w:pPr>
      <w:r>
        <w:rPr>
          <w:rFonts w:ascii="Arial" w:cs="Arial" w:eastAsia="Arial" w:hAnsi="Arial"/>
          <w:sz w:val="20"/>
          <w:szCs w:val="20"/>
          <w:color w:val="auto"/>
        </w:rPr>
        <w:t>6.4%</w:t>
      </w:r>
      <w:r>
        <w:rPr>
          <w:rFonts w:ascii="Arial" w:cs="Arial" w:eastAsia="Arial" w:hAnsi="Arial"/>
          <w:sz w:val="12"/>
          <w:szCs w:val="12"/>
          <w:color w:val="auto"/>
        </w:rPr>
        <w:t>(3)</w:t>
      </w:r>
    </w:p>
    <w:p>
      <w:pPr>
        <w:spacing w:after="0" w:line="78" w:lineRule="exact"/>
        <w:rPr>
          <w:rFonts w:ascii="Arial" w:cs="Arial" w:eastAsia="Arial" w:hAnsi="Arial"/>
          <w:sz w:val="20"/>
          <w:szCs w:val="20"/>
          <w:color w:val="auto"/>
        </w:rPr>
      </w:pPr>
    </w:p>
    <w:p>
      <w:pPr>
        <w:ind w:left="972" w:hanging="657"/>
        <w:spacing w:after="0"/>
        <w:tabs>
          <w:tab w:leader="none" w:pos="972" w:val="left"/>
        </w:tabs>
        <w:numPr>
          <w:ilvl w:val="1"/>
          <w:numId w:val="12"/>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972"/>
        <w:spacing w:after="0"/>
        <w:rPr>
          <w:rFonts w:ascii="Arial" w:cs="Arial" w:eastAsia="Arial" w:hAnsi="Arial"/>
          <w:sz w:val="20"/>
          <w:szCs w:val="20"/>
          <w:color w:val="auto"/>
        </w:rPr>
      </w:pPr>
      <w:r>
        <w:rPr>
          <w:rFonts w:ascii="Arial" w:cs="Arial" w:eastAsia="Arial" w:hAnsi="Arial"/>
          <w:sz w:val="20"/>
          <w:szCs w:val="20"/>
          <w:color w:val="auto"/>
        </w:rPr>
        <w:t>IN</w:t>
      </w:r>
    </w:p>
    <w:p>
      <w:pPr>
        <w:spacing w:after="0" w:line="200" w:lineRule="exact"/>
        <w:rPr>
          <w:rFonts w:ascii="Arial" w:cs="Arial" w:eastAsia="Arial" w:hAnsi="Arial"/>
          <w:sz w:val="20"/>
          <w:szCs w:val="20"/>
          <w:color w:val="auto"/>
        </w:rPr>
      </w:pPr>
    </w:p>
    <w:p>
      <w:pPr>
        <w:spacing w:after="0" w:line="337" w:lineRule="exact"/>
        <w:rPr>
          <w:rFonts w:ascii="Arial" w:cs="Arial" w:eastAsia="Arial" w:hAnsi="Arial"/>
          <w:sz w:val="20"/>
          <w:szCs w:val="20"/>
          <w:color w:val="auto"/>
        </w:rPr>
      </w:pPr>
    </w:p>
    <w:p>
      <w:pPr>
        <w:ind w:left="-8" w:right="60" w:firstLine="8"/>
        <w:spacing w:after="0" w:line="247" w:lineRule="auto"/>
        <w:tabs>
          <w:tab w:leader="none" w:pos="170" w:val="left"/>
        </w:tabs>
        <w:numPr>
          <w:ilvl w:val="0"/>
          <w:numId w:val="13"/>
        </w:numPr>
        <w:rPr>
          <w:rFonts w:ascii="Arial" w:cs="Arial" w:eastAsia="Arial" w:hAnsi="Arial"/>
          <w:sz w:val="13"/>
          <w:szCs w:val="13"/>
          <w:color w:val="auto"/>
        </w:rPr>
      </w:pPr>
      <w:r>
        <w:rPr>
          <w:rFonts w:ascii="Arial" w:cs="Arial" w:eastAsia="Arial" w:hAnsi="Arial"/>
          <w:sz w:val="20"/>
          <w:szCs w:val="20"/>
          <w:color w:val="auto"/>
        </w:rPr>
        <w:t>All shares of the Common Stock of Waste Management, Inc. (the “Issuer”) held by Cascade Investment, L.L.C. (“Cascade”) may be deemed to be beneficially owned by William H. Gates III as the sole member of Cascade.</w:t>
      </w:r>
    </w:p>
    <w:p>
      <w:pPr>
        <w:spacing w:after="0" w:line="1" w:lineRule="exact"/>
        <w:rPr>
          <w:rFonts w:ascii="Arial" w:cs="Arial" w:eastAsia="Arial" w:hAnsi="Arial"/>
          <w:sz w:val="13"/>
          <w:szCs w:val="13"/>
          <w:color w:val="auto"/>
        </w:rPr>
      </w:pPr>
    </w:p>
    <w:p>
      <w:pPr>
        <w:ind w:left="-8" w:right="160" w:firstLine="8"/>
        <w:spacing w:after="0" w:line="266" w:lineRule="auto"/>
        <w:tabs>
          <w:tab w:leader="none" w:pos="170" w:val="left"/>
        </w:tabs>
        <w:numPr>
          <w:ilvl w:val="0"/>
          <w:numId w:val="13"/>
        </w:numPr>
        <w:rPr>
          <w:rFonts w:ascii="Arial" w:cs="Arial" w:eastAsia="Arial" w:hAnsi="Arial"/>
          <w:sz w:val="11"/>
          <w:szCs w:val="11"/>
          <w:color w:val="auto"/>
        </w:rPr>
      </w:pPr>
      <w:r>
        <w:rPr>
          <w:rFonts w:ascii="Arial" w:cs="Arial" w:eastAsia="Arial" w:hAnsi="Arial"/>
          <w:sz w:val="18"/>
          <w:szCs w:val="18"/>
          <w:color w:val="auto"/>
        </w:rPr>
        <w:t>Bill &amp; Melinda Gates Foundation Trust (the “Trust”) beneficially owns 18,633,672 shares of the Issuer’s Common Stock.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ind w:left="-8" w:firstLine="8"/>
        <w:spacing w:after="0" w:line="244" w:lineRule="auto"/>
        <w:tabs>
          <w:tab w:leader="none" w:pos="170" w:val="left"/>
        </w:tabs>
        <w:numPr>
          <w:ilvl w:val="0"/>
          <w:numId w:val="13"/>
        </w:numPr>
        <w:rPr>
          <w:rFonts w:ascii="Arial" w:cs="Arial" w:eastAsia="Arial" w:hAnsi="Arial"/>
          <w:sz w:val="13"/>
          <w:szCs w:val="13"/>
          <w:color w:val="auto"/>
        </w:rPr>
      </w:pPr>
      <w:r>
        <w:rPr>
          <w:rFonts w:ascii="Arial" w:cs="Arial" w:eastAsia="Arial" w:hAnsi="Arial"/>
          <w:sz w:val="20"/>
          <w:szCs w:val="20"/>
          <w:color w:val="auto"/>
        </w:rPr>
        <w:t>Based on 463,899,149 shares of the Issuer’s Common Stock outstanding as of October 23, 2012 as reported in the Issuer’s Form 10-Q for the quarter ended September 30, 2012 filed on October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-1350645</wp:posOffset>
            </wp:positionV>
            <wp:extent cx="6689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-1702435</wp:posOffset>
            </wp:positionV>
            <wp:extent cx="66890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-2053590</wp:posOffset>
            </wp:positionV>
            <wp:extent cx="66890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-1101725</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2"/>
        <w:spacing w:after="0"/>
        <w:rPr>
          <w:sz w:val="20"/>
          <w:szCs w:val="20"/>
          <w:color w:val="auto"/>
        </w:rPr>
      </w:pPr>
      <w:r>
        <w:rPr>
          <w:rFonts w:ascii="Arial" w:cs="Arial" w:eastAsia="Arial" w:hAnsi="Arial"/>
          <w:sz w:val="20"/>
          <w:szCs w:val="20"/>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0"/>
          <w:szCs w:val="20"/>
          <w:color w:val="auto"/>
        </w:rPr>
      </w:pPr>
    </w:p>
    <w:p>
      <w:pPr>
        <w:ind w:left="972" w:right="8080" w:hanging="607"/>
        <w:spacing w:after="0" w:line="352" w:lineRule="auto"/>
        <w:tabs>
          <w:tab w:leader="none" w:pos="9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14" w:lineRule="exact"/>
        <w:rPr>
          <w:rFonts w:ascii="Arial" w:cs="Arial" w:eastAsia="Arial" w:hAnsi="Arial"/>
          <w:sz w:val="16"/>
          <w:szCs w:val="16"/>
          <w:color w:val="auto"/>
        </w:rPr>
      </w:pPr>
    </w:p>
    <w:p>
      <w:pPr>
        <w:ind w:left="972" w:hanging="607"/>
        <w:spacing w:after="0"/>
        <w:tabs>
          <w:tab w:leader="none" w:pos="972"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80" w:lineRule="exact"/>
        <w:rPr>
          <w:rFonts w:ascii="Arial" w:cs="Arial" w:eastAsia="Arial" w:hAnsi="Arial"/>
          <w:sz w:val="20"/>
          <w:szCs w:val="20"/>
          <w:color w:val="auto"/>
        </w:rPr>
      </w:pPr>
    </w:p>
    <w:p>
      <w:pPr>
        <w:ind w:left="2132" w:hanging="1163"/>
        <w:spacing w:after="0"/>
        <w:tabs>
          <w:tab w:leader="none" w:pos="2132" w:val="left"/>
        </w:tabs>
        <w:numPr>
          <w:ilvl w:val="1"/>
          <w:numId w:val="14"/>
        </w:numPr>
        <w:rPr>
          <w:rFonts w:ascii="Arial" w:cs="Arial" w:eastAsia="Arial" w:hAnsi="Arial"/>
          <w:sz w:val="20"/>
          <w:szCs w:val="20"/>
          <w:color w:val="auto"/>
        </w:rPr>
      </w:pPr>
      <w:r>
        <w:rPr>
          <w:rFonts w:ascii="Arial" w:cs="Arial" w:eastAsia="Arial" w:hAnsi="Arial"/>
          <w:sz w:val="20"/>
          <w:szCs w:val="20"/>
          <w:color w:val="auto"/>
        </w:rPr>
        <w:t>o</w:t>
      </w:r>
    </w:p>
    <w:p>
      <w:pPr>
        <w:spacing w:after="0" w:line="80" w:lineRule="exact"/>
        <w:rPr>
          <w:rFonts w:ascii="Arial" w:cs="Arial" w:eastAsia="Arial" w:hAnsi="Arial"/>
          <w:sz w:val="20"/>
          <w:szCs w:val="20"/>
          <w:color w:val="auto"/>
        </w:rPr>
      </w:pPr>
    </w:p>
    <w:p>
      <w:pPr>
        <w:ind w:left="2132" w:hanging="1163"/>
        <w:spacing w:after="0"/>
        <w:tabs>
          <w:tab w:leader="none" w:pos="2132" w:val="left"/>
        </w:tabs>
        <w:numPr>
          <w:ilvl w:val="1"/>
          <w:numId w:val="14"/>
        </w:numPr>
        <w:rPr>
          <w:rFonts w:ascii="Arial" w:cs="Arial" w:eastAsia="Arial" w:hAnsi="Arial"/>
          <w:sz w:val="20"/>
          <w:szCs w:val="20"/>
          <w:color w:val="auto"/>
        </w:rPr>
      </w:pPr>
      <w:r>
        <w:rPr>
          <w:rFonts w:ascii="Arial" w:cs="Arial" w:eastAsia="Arial" w:hAnsi="Arial"/>
          <w:sz w:val="20"/>
          <w:szCs w:val="20"/>
          <w:color w:val="auto"/>
        </w:rPr>
        <w:t>x</w:t>
      </w:r>
    </w:p>
    <w:p>
      <w:pPr>
        <w:spacing w:after="0" w:line="80" w:lineRule="exact"/>
        <w:rPr>
          <w:rFonts w:ascii="Arial" w:cs="Arial" w:eastAsia="Arial" w:hAnsi="Arial"/>
          <w:sz w:val="20"/>
          <w:szCs w:val="20"/>
          <w:color w:val="auto"/>
        </w:rPr>
      </w:pPr>
    </w:p>
    <w:p>
      <w:pPr>
        <w:ind w:left="972" w:hanging="607"/>
        <w:spacing w:after="0"/>
        <w:tabs>
          <w:tab w:leader="none" w:pos="972"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34" w:lineRule="exact"/>
        <w:rPr>
          <w:rFonts w:ascii="Arial" w:cs="Arial" w:eastAsia="Arial" w:hAnsi="Arial"/>
          <w:sz w:val="20"/>
          <w:szCs w:val="20"/>
          <w:color w:val="auto"/>
        </w:rPr>
      </w:pPr>
    </w:p>
    <w:p>
      <w:pPr>
        <w:ind w:left="972" w:right="7520" w:hanging="607"/>
        <w:spacing w:after="0" w:line="313" w:lineRule="auto"/>
        <w:tabs>
          <w:tab w:leader="none" w:pos="9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-13970</wp:posOffset>
            </wp:positionV>
            <wp:extent cx="66890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-365760</wp:posOffset>
            </wp:positionV>
            <wp:extent cx="6689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1355090</wp:posOffset>
            </wp:positionH>
            <wp:positionV relativeFrom="paragraph">
              <wp:posOffset>-588645</wp:posOffset>
            </wp:positionV>
            <wp:extent cx="5891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9153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-1189355</wp:posOffset>
            </wp:positionV>
            <wp:extent cx="66890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ectPr>
          <w:pgSz w:w="11900" w:h="16838" w:orient="portrait"/>
          <w:cols w:equalWidth="0" w:num="1">
            <w:col w:w="11372"/>
          </w:cols>
          <w:pgMar w:left="248" w:top="352" w:right="279" w:bottom="0" w:gutter="0" w:footer="0" w:header="0"/>
          <w:type w:val="continuous"/>
        </w:sectPr>
      </w:pPr>
    </w:p>
    <w:tbl>
      <w:tblPr>
        <w:tblLayout w:type="fixed"/>
        <w:tblInd w:w="92"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Number of</w:t>
            </w:r>
          </w:p>
        </w:tc>
        <w:tc>
          <w:tcPr>
            <w:tcW w:w="60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Shares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Beneficially</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15"/>
        </w:trPr>
        <w:tc>
          <w:tcPr>
            <w:tcW w:w="1440" w:type="dxa"/>
            <w:vAlign w:val="bottom"/>
            <w:vMerge w:val="restart"/>
          </w:tcPr>
          <w:p>
            <w:pPr>
              <w:spacing w:after="0"/>
              <w:rPr>
                <w:sz w:val="20"/>
                <w:szCs w:val="20"/>
                <w:color w:val="auto"/>
              </w:rPr>
            </w:pPr>
            <w:r>
              <w:rPr>
                <w:rFonts w:ascii="Arial" w:cs="Arial" w:eastAsia="Arial" w:hAnsi="Arial"/>
                <w:sz w:val="20"/>
                <w:szCs w:val="20"/>
                <w:color w:val="auto"/>
              </w:rPr>
              <w:t>Owned by</w:t>
            </w: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4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Each</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Reporting</w:t>
            </w: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20"/>
                <w:szCs w:val="20"/>
                <w:color w:val="auto"/>
              </w:rPr>
              <w:t>Person</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20"/>
                <w:szCs w:val="20"/>
                <w:color w:val="auto"/>
              </w:rPr>
              <w:t>With</w:t>
            </w:r>
          </w:p>
        </w:tc>
        <w:tc>
          <w:tcPr>
            <w:tcW w:w="60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Sole Voting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26035</wp:posOffset>
            </wp:positionV>
            <wp:extent cx="5591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Shared Voting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26035</wp:posOffset>
            </wp:positionV>
            <wp:extent cx="5591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Sole Dispositive Power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26035</wp:posOffset>
            </wp:positionV>
            <wp:extent cx="5591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18,633,672</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26035</wp:posOffset>
            </wp:positionV>
            <wp:extent cx="66890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132" w:space="560"/>
            <w:col w:w="8680"/>
          </w:cols>
          <w:pgMar w:left="248" w:top="352" w:right="279" w:bottom="0" w:gutter="0" w:footer="0" w:header="0"/>
          <w:type w:val="continuous"/>
        </w:sectPr>
      </w:pPr>
    </w:p>
    <w:p>
      <w:pPr>
        <w:ind w:left="972" w:right="5120" w:hanging="607"/>
        <w:spacing w:after="0" w:line="260" w:lineRule="auto"/>
        <w:tabs>
          <w:tab w:leader="none" w:pos="972" w:val="left"/>
        </w:tabs>
        <w:numPr>
          <w:ilvl w:val="0"/>
          <w:numId w:val="1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18,633,672</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11430</wp:posOffset>
            </wp:positionV>
            <wp:extent cx="66890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35" w:lineRule="exact"/>
        <w:rPr>
          <w:sz w:val="20"/>
          <w:szCs w:val="20"/>
          <w:color w:val="auto"/>
        </w:rPr>
      </w:pPr>
    </w:p>
    <w:p>
      <w:pPr>
        <w:ind w:left="972" w:hanging="657"/>
        <w:spacing w:after="0"/>
        <w:tabs>
          <w:tab w:leader="none" w:pos="972" w:val="left"/>
        </w:tabs>
        <w:numPr>
          <w:ilvl w:val="1"/>
          <w:numId w:val="16"/>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o</w:t>
      </w:r>
    </w:p>
    <w:p>
      <w:pPr>
        <w:spacing w:after="0" w:line="310" w:lineRule="exact"/>
        <w:rPr>
          <w:rFonts w:ascii="Arial" w:cs="Arial" w:eastAsia="Arial" w:hAnsi="Arial"/>
          <w:sz w:val="20"/>
          <w:szCs w:val="20"/>
          <w:color w:val="auto"/>
        </w:rPr>
      </w:pPr>
    </w:p>
    <w:p>
      <w:pPr>
        <w:ind w:left="972" w:hanging="653"/>
        <w:spacing w:after="0"/>
        <w:tabs>
          <w:tab w:leader="none" w:pos="972" w:val="left"/>
        </w:tabs>
        <w:numPr>
          <w:ilvl w:val="1"/>
          <w:numId w:val="16"/>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5" w:lineRule="exact"/>
        <w:rPr>
          <w:rFonts w:ascii="Arial" w:cs="Arial" w:eastAsia="Arial" w:hAnsi="Arial"/>
          <w:sz w:val="20"/>
          <w:szCs w:val="20"/>
          <w:color w:val="auto"/>
        </w:rPr>
      </w:pPr>
    </w:p>
    <w:p>
      <w:pPr>
        <w:ind w:left="972"/>
        <w:spacing w:after="0"/>
        <w:rPr>
          <w:rFonts w:ascii="Arial" w:cs="Arial" w:eastAsia="Arial" w:hAnsi="Arial"/>
          <w:sz w:val="20"/>
          <w:szCs w:val="20"/>
          <w:color w:val="auto"/>
        </w:rPr>
      </w:pPr>
      <w:r>
        <w:rPr>
          <w:rFonts w:ascii="Arial" w:cs="Arial" w:eastAsia="Arial" w:hAnsi="Arial"/>
          <w:sz w:val="20"/>
          <w:szCs w:val="20"/>
          <w:color w:val="auto"/>
        </w:rPr>
        <w:t>4.0%</w:t>
      </w:r>
      <w:r>
        <w:rPr>
          <w:rFonts w:ascii="Arial" w:cs="Arial" w:eastAsia="Arial" w:hAnsi="Arial"/>
          <w:sz w:val="12"/>
          <w:szCs w:val="12"/>
          <w:color w:val="auto"/>
        </w:rPr>
        <w:t>(2)</w:t>
      </w:r>
    </w:p>
    <w:p>
      <w:pPr>
        <w:spacing w:after="0" w:line="78" w:lineRule="exact"/>
        <w:rPr>
          <w:rFonts w:ascii="Arial" w:cs="Arial" w:eastAsia="Arial" w:hAnsi="Arial"/>
          <w:sz w:val="20"/>
          <w:szCs w:val="20"/>
          <w:color w:val="auto"/>
        </w:rPr>
      </w:pPr>
    </w:p>
    <w:p>
      <w:pPr>
        <w:ind w:left="972" w:hanging="657"/>
        <w:spacing w:after="0"/>
        <w:tabs>
          <w:tab w:leader="none" w:pos="972" w:val="left"/>
        </w:tabs>
        <w:numPr>
          <w:ilvl w:val="1"/>
          <w:numId w:val="16"/>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15" w:lineRule="exact"/>
        <w:rPr>
          <w:rFonts w:ascii="Arial" w:cs="Arial" w:eastAsia="Arial" w:hAnsi="Arial"/>
          <w:sz w:val="20"/>
          <w:szCs w:val="20"/>
          <w:color w:val="auto"/>
        </w:rPr>
      </w:pPr>
    </w:p>
    <w:p>
      <w:pPr>
        <w:ind w:left="972"/>
        <w:spacing w:after="0"/>
        <w:rPr>
          <w:rFonts w:ascii="Arial" w:cs="Arial" w:eastAsia="Arial" w:hAnsi="Arial"/>
          <w:sz w:val="20"/>
          <w:szCs w:val="20"/>
          <w:color w:val="auto"/>
        </w:rPr>
      </w:pPr>
      <w:r>
        <w:rPr>
          <w:rFonts w:ascii="Arial" w:cs="Arial" w:eastAsia="Arial" w:hAnsi="Arial"/>
          <w:sz w:val="20"/>
          <w:szCs w:val="20"/>
          <w:color w:val="auto"/>
        </w:rPr>
        <w:t>IN</w:t>
      </w:r>
    </w:p>
    <w:p>
      <w:pPr>
        <w:spacing w:after="0" w:line="200" w:lineRule="exact"/>
        <w:rPr>
          <w:rFonts w:ascii="Arial" w:cs="Arial" w:eastAsia="Arial" w:hAnsi="Arial"/>
          <w:sz w:val="20"/>
          <w:szCs w:val="20"/>
          <w:color w:val="auto"/>
        </w:rPr>
      </w:pPr>
    </w:p>
    <w:p>
      <w:pPr>
        <w:spacing w:after="0" w:line="337" w:lineRule="exact"/>
        <w:rPr>
          <w:rFonts w:ascii="Arial" w:cs="Arial" w:eastAsia="Arial" w:hAnsi="Arial"/>
          <w:sz w:val="20"/>
          <w:szCs w:val="20"/>
          <w:color w:val="auto"/>
        </w:rPr>
      </w:pPr>
    </w:p>
    <w:p>
      <w:pPr>
        <w:ind w:left="-8" w:firstLine="8"/>
        <w:spacing w:after="0" w:line="316" w:lineRule="auto"/>
        <w:tabs>
          <w:tab w:leader="none" w:pos="170" w:val="left"/>
        </w:tabs>
        <w:numPr>
          <w:ilvl w:val="0"/>
          <w:numId w:val="17"/>
        </w:numPr>
        <w:rPr>
          <w:rFonts w:ascii="Arial" w:cs="Arial" w:eastAsia="Arial" w:hAnsi="Arial"/>
          <w:sz w:val="11"/>
          <w:szCs w:val="11"/>
          <w:color w:val="auto"/>
        </w:rPr>
      </w:pPr>
      <w:r>
        <w:rPr>
          <w:rFonts w:ascii="Arial" w:cs="Arial" w:eastAsia="Arial" w:hAnsi="Arial"/>
          <w:sz w:val="18"/>
          <w:szCs w:val="18"/>
          <w:color w:val="auto"/>
        </w:rPr>
        <w:t>Bill &amp; Melinda Gates Foundation Trust (the “Trust”) beneficially owns 18,633,672 shares of Common Stock of Waste Management, Inc. (the “Issuer”). For purposes of Rule 13d-3 under the Securities Exchange Act of 1934, as amended, all shares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-660400</wp:posOffset>
            </wp:positionV>
            <wp:extent cx="66890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-1012190</wp:posOffset>
            </wp:positionV>
            <wp:extent cx="66890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557530</wp:posOffset>
            </wp:positionH>
            <wp:positionV relativeFrom="paragraph">
              <wp:posOffset>-1363980</wp:posOffset>
            </wp:positionV>
            <wp:extent cx="66890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-412115</wp:posOffset>
            </wp:positionV>
            <wp:extent cx="1466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72"/>
          </w:cols>
          <w:pgMar w:left="248" w:top="352" w:right="279" w:bottom="0" w:gutter="0" w:footer="0" w:header="0"/>
          <w:type w:val="continuous"/>
        </w:sectPr>
      </w:pPr>
    </w:p>
    <w:bookmarkStart w:id="3" w:name="page4"/>
    <w:bookmarkEnd w:id="3"/>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beneficially owned by the Trust may be deemed to be beneficially owned by William H. Gates III and Melinda French Gates, as Co-Trustees of the Trust.</w:t>
      </w:r>
    </w:p>
    <w:p>
      <w:pPr>
        <w:spacing w:after="0" w:line="1" w:lineRule="exact"/>
        <w:rPr>
          <w:sz w:val="20"/>
          <w:szCs w:val="20"/>
          <w:color w:val="auto"/>
        </w:rPr>
      </w:pPr>
    </w:p>
    <w:p>
      <w:pPr>
        <w:ind w:firstLine="8"/>
        <w:spacing w:after="0" w:line="244" w:lineRule="auto"/>
        <w:tabs>
          <w:tab w:leader="none" w:pos="178" w:val="left"/>
        </w:tabs>
        <w:numPr>
          <w:ilvl w:val="0"/>
          <w:numId w:val="18"/>
        </w:numPr>
        <w:rPr>
          <w:rFonts w:ascii="Arial" w:cs="Arial" w:eastAsia="Arial" w:hAnsi="Arial"/>
          <w:sz w:val="13"/>
          <w:szCs w:val="13"/>
          <w:color w:val="auto"/>
        </w:rPr>
      </w:pPr>
      <w:r>
        <w:rPr>
          <w:rFonts w:ascii="Arial" w:cs="Arial" w:eastAsia="Arial" w:hAnsi="Arial"/>
          <w:sz w:val="20"/>
          <w:szCs w:val="20"/>
          <w:color w:val="auto"/>
        </w:rPr>
        <w:t>Based on 463,899,149 shares of the Issuer’s Common Stock outstanding as of October 23, 2012 as reported in the Issuer’s Form 10-Q for the quarter ended September 30, 2012 filed on October 31, 2012.</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1.</w:t>
      </w:r>
    </w:p>
    <w:p>
      <w:pPr>
        <w:spacing w:after="0" w:line="87" w:lineRule="exact"/>
        <w:rPr>
          <w:sz w:val="20"/>
          <w:szCs w:val="20"/>
          <w:color w:val="auto"/>
        </w:rPr>
      </w:pPr>
    </w:p>
    <w:p>
      <w:pPr>
        <w:ind w:left="1480" w:hanging="608"/>
        <w:spacing w:after="0"/>
        <w:tabs>
          <w:tab w:leader="none" w:pos="14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15" w:lineRule="exact"/>
        <w:rPr>
          <w:rFonts w:ascii="Arial" w:cs="Arial" w:eastAsia="Arial" w:hAnsi="Arial"/>
          <w:sz w:val="20"/>
          <w:szCs w:val="20"/>
          <w:color w:val="auto"/>
        </w:rPr>
      </w:pPr>
    </w:p>
    <w:p>
      <w:pPr>
        <w:ind w:left="1480"/>
        <w:spacing w:after="0"/>
        <w:rPr>
          <w:rFonts w:ascii="Arial" w:cs="Arial" w:eastAsia="Arial" w:hAnsi="Arial"/>
          <w:sz w:val="20"/>
          <w:szCs w:val="20"/>
          <w:color w:val="auto"/>
        </w:rPr>
      </w:pPr>
      <w:r>
        <w:rPr>
          <w:rFonts w:ascii="Arial" w:cs="Arial" w:eastAsia="Arial" w:hAnsi="Arial"/>
          <w:sz w:val="20"/>
          <w:szCs w:val="20"/>
          <w:color w:val="auto"/>
        </w:rPr>
        <w:t>Waste Management, Inc. (the “Issuer”)</w:t>
      </w:r>
    </w:p>
    <w:p>
      <w:pPr>
        <w:spacing w:after="0" w:line="78" w:lineRule="exact"/>
        <w:rPr>
          <w:rFonts w:ascii="Arial" w:cs="Arial" w:eastAsia="Arial" w:hAnsi="Arial"/>
          <w:sz w:val="20"/>
          <w:szCs w:val="20"/>
          <w:color w:val="auto"/>
        </w:rPr>
      </w:pPr>
    </w:p>
    <w:p>
      <w:pPr>
        <w:ind w:left="1480" w:hanging="608"/>
        <w:spacing w:after="0"/>
        <w:tabs>
          <w:tab w:leader="none" w:pos="148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15" w:lineRule="exact"/>
        <w:rPr>
          <w:rFonts w:ascii="Arial" w:cs="Arial" w:eastAsia="Arial" w:hAnsi="Arial"/>
          <w:sz w:val="20"/>
          <w:szCs w:val="20"/>
          <w:color w:val="auto"/>
        </w:rPr>
      </w:pPr>
    </w:p>
    <w:p>
      <w:pPr>
        <w:ind w:left="1480"/>
        <w:spacing w:after="0"/>
        <w:rPr>
          <w:rFonts w:ascii="Arial" w:cs="Arial" w:eastAsia="Arial" w:hAnsi="Arial"/>
          <w:sz w:val="20"/>
          <w:szCs w:val="20"/>
          <w:color w:val="auto"/>
        </w:rPr>
      </w:pPr>
      <w:r>
        <w:rPr>
          <w:rFonts w:ascii="Arial" w:cs="Arial" w:eastAsia="Arial" w:hAnsi="Arial"/>
          <w:sz w:val="20"/>
          <w:szCs w:val="20"/>
          <w:color w:val="auto"/>
        </w:rPr>
        <w:t>1001 Fannin Street, Suite 4000,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26035</wp:posOffset>
            </wp:positionV>
            <wp:extent cx="63544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-325120</wp:posOffset>
            </wp:positionV>
            <wp:extent cx="63544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Item 2.</w:t>
      </w:r>
    </w:p>
    <w:p>
      <w:pPr>
        <w:spacing w:after="0" w:line="87" w:lineRule="exact"/>
        <w:rPr>
          <w:sz w:val="20"/>
          <w:szCs w:val="20"/>
          <w:color w:val="auto"/>
        </w:rPr>
      </w:pPr>
    </w:p>
    <w:p>
      <w:pPr>
        <w:ind w:left="1480" w:hanging="608"/>
        <w:spacing w:after="0"/>
        <w:tabs>
          <w:tab w:leader="none" w:pos="14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Name of Person Filing</w:t>
      </w:r>
    </w:p>
    <w:p>
      <w:pPr>
        <w:spacing w:after="0" w:line="15" w:lineRule="exact"/>
        <w:rPr>
          <w:rFonts w:ascii="Arial" w:cs="Arial" w:eastAsia="Arial" w:hAnsi="Arial"/>
          <w:sz w:val="20"/>
          <w:szCs w:val="20"/>
          <w:color w:val="auto"/>
        </w:rPr>
      </w:pPr>
    </w:p>
    <w:p>
      <w:pPr>
        <w:ind w:left="1480" w:right="200"/>
        <w:spacing w:after="0" w:line="244" w:lineRule="auto"/>
        <w:rPr>
          <w:rFonts w:ascii="Arial" w:cs="Arial" w:eastAsia="Arial" w:hAnsi="Arial"/>
          <w:sz w:val="20"/>
          <w:szCs w:val="20"/>
          <w:color w:val="auto"/>
        </w:rPr>
      </w:pPr>
      <w:r>
        <w:rPr>
          <w:rFonts w:ascii="Arial" w:cs="Arial" w:eastAsia="Arial" w:hAnsi="Arial"/>
          <w:sz w:val="20"/>
          <w:szCs w:val="20"/>
          <w:color w:val="auto"/>
        </w:rPr>
        <w:t>Cascade Investment, L.L.C. (“Cascade”), Bill &amp; Melinda Gates Foundation Trust (the “Trust”), Melinda French Gates and William H. Gates III (together, “Reporting Persons”)</w:t>
      </w:r>
      <w:r>
        <w:rPr>
          <w:rFonts w:ascii="Arial" w:cs="Arial" w:eastAsia="Arial" w:hAnsi="Arial"/>
          <w:sz w:val="12"/>
          <w:szCs w:val="12"/>
          <w:color w:val="auto"/>
        </w:rPr>
        <w:t>(1)</w:t>
      </w:r>
    </w:p>
    <w:p>
      <w:pPr>
        <w:spacing w:after="0" w:line="70" w:lineRule="exact"/>
        <w:rPr>
          <w:rFonts w:ascii="Arial" w:cs="Arial" w:eastAsia="Arial" w:hAnsi="Arial"/>
          <w:sz w:val="20"/>
          <w:szCs w:val="20"/>
          <w:color w:val="auto"/>
        </w:rPr>
      </w:pPr>
    </w:p>
    <w:p>
      <w:pPr>
        <w:ind w:left="1480" w:right="4920" w:hanging="608"/>
        <w:spacing w:after="0" w:line="320"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Cascade – 2365 Carillon Point, Kirkland, Washington 98033 The Trust – 500 Fifth Avenue N, Seattle, Washington 98119 Mr. Gates – One Microsoft Way, Redmond, Washington 98052 Mrs. Gates – 500 Fifth Avenue N, Seattle, Washington 98119</w:t>
      </w:r>
    </w:p>
    <w:p>
      <w:pPr>
        <w:spacing w:after="0" w:line="15" w:lineRule="exact"/>
        <w:rPr>
          <w:rFonts w:ascii="Arial" w:cs="Arial" w:eastAsia="Arial" w:hAnsi="Arial"/>
          <w:sz w:val="16"/>
          <w:szCs w:val="16"/>
          <w:color w:val="auto"/>
        </w:rPr>
      </w:pPr>
    </w:p>
    <w:p>
      <w:pPr>
        <w:ind w:left="1480" w:hanging="608"/>
        <w:spacing w:after="0"/>
        <w:tabs>
          <w:tab w:leader="none" w:pos="14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15" w:lineRule="exact"/>
        <w:rPr>
          <w:rFonts w:ascii="Arial" w:cs="Arial" w:eastAsia="Arial" w:hAnsi="Arial"/>
          <w:sz w:val="20"/>
          <w:szCs w:val="20"/>
          <w:color w:val="auto"/>
        </w:rPr>
      </w:pPr>
    </w:p>
    <w:p>
      <w:pPr>
        <w:ind w:left="1480" w:right="2640"/>
        <w:spacing w:after="0" w:line="299" w:lineRule="auto"/>
        <w:rPr>
          <w:rFonts w:ascii="Arial" w:cs="Arial" w:eastAsia="Arial" w:hAnsi="Arial"/>
          <w:sz w:val="20"/>
          <w:szCs w:val="20"/>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ind w:left="1480"/>
        <w:spacing w:after="0"/>
        <w:rPr>
          <w:rFonts w:ascii="Arial" w:cs="Arial" w:eastAsia="Arial" w:hAnsi="Arial"/>
          <w:sz w:val="20"/>
          <w:szCs w:val="20"/>
          <w:color w:val="auto"/>
        </w:rPr>
      </w:pPr>
      <w:r>
        <w:rPr>
          <w:rFonts w:ascii="Arial" w:cs="Arial" w:eastAsia="Arial" w:hAnsi="Arial"/>
          <w:sz w:val="20"/>
          <w:szCs w:val="20"/>
          <w:color w:val="auto"/>
        </w:rPr>
        <w:t>Mr. and Mrs. Gates are citizens of the United States of America.</w:t>
      </w:r>
    </w:p>
    <w:p>
      <w:pPr>
        <w:spacing w:after="0" w:line="78" w:lineRule="exact"/>
        <w:rPr>
          <w:rFonts w:ascii="Arial" w:cs="Arial" w:eastAsia="Arial" w:hAnsi="Arial"/>
          <w:sz w:val="20"/>
          <w:szCs w:val="20"/>
          <w:color w:val="auto"/>
        </w:rPr>
      </w:pPr>
    </w:p>
    <w:p>
      <w:pPr>
        <w:ind w:left="1480" w:right="7340" w:hanging="608"/>
        <w:spacing w:after="0" w:line="352"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Title of Class of Securities Common Stock, $0.01 par value</w:t>
      </w:r>
    </w:p>
    <w:p>
      <w:pPr>
        <w:spacing w:after="0" w:line="14" w:lineRule="exact"/>
        <w:rPr>
          <w:rFonts w:ascii="Arial" w:cs="Arial" w:eastAsia="Arial" w:hAnsi="Arial"/>
          <w:sz w:val="16"/>
          <w:szCs w:val="16"/>
          <w:color w:val="auto"/>
        </w:rPr>
      </w:pPr>
    </w:p>
    <w:p>
      <w:pPr>
        <w:ind w:left="1480" w:right="8640" w:hanging="608"/>
        <w:spacing w:after="0" w:line="316"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CUSIP Number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-17780</wp:posOffset>
            </wp:positionV>
            <wp:extent cx="63544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-368935</wp:posOffset>
            </wp:positionV>
            <wp:extent cx="63544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-720725</wp:posOffset>
            </wp:positionV>
            <wp:extent cx="63544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-1363980</wp:posOffset>
            </wp:positionV>
            <wp:extent cx="63544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-2152650</wp:posOffset>
            </wp:positionV>
            <wp:extent cx="63544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4445" cy="8890"/>
                    </a:xfrm>
                    <a:prstGeom prst="rect">
                      <a:avLst/>
                    </a:prstGeom>
                    <a:noFill/>
                  </pic:spPr>
                </pic:pic>
              </a:graphicData>
            </a:graphic>
          </wp:anchor>
        </w:drawing>
      </w:r>
    </w:p>
    <w:p>
      <w:pPr>
        <w:ind w:left="40"/>
        <w:spacing w:after="0"/>
        <w:tabs>
          <w:tab w:leader="none" w:pos="14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04" w:lineRule="exact"/>
        <w:rPr>
          <w:sz w:val="20"/>
          <w:szCs w:val="20"/>
          <w:color w:val="auto"/>
        </w:rPr>
      </w:pPr>
    </w:p>
    <w:p>
      <w:pPr>
        <w:ind w:left="1480" w:hanging="447"/>
        <w:spacing w:after="0"/>
        <w:tabs>
          <w:tab w:leader="none" w:pos="14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67" w:lineRule="exact"/>
        <w:rPr>
          <w:rFonts w:ascii="Arial" w:cs="Arial" w:eastAsia="Arial" w:hAnsi="Arial"/>
          <w:sz w:val="20"/>
          <w:szCs w:val="20"/>
          <w:color w:val="auto"/>
        </w:rPr>
      </w:pPr>
    </w:p>
    <w:p>
      <w:pPr>
        <w:ind w:left="1480"/>
        <w:spacing w:after="0"/>
        <w:rPr>
          <w:rFonts w:ascii="Arial" w:cs="Arial" w:eastAsia="Arial" w:hAnsi="Arial"/>
          <w:sz w:val="20"/>
          <w:szCs w:val="20"/>
          <w:color w:val="auto"/>
        </w:rPr>
      </w:pPr>
      <w:r>
        <w:rPr>
          <w:rFonts w:ascii="Arial" w:cs="Arial" w:eastAsia="Arial" w:hAnsi="Arial"/>
          <w:sz w:val="20"/>
          <w:szCs w:val="20"/>
          <w:color w:val="auto"/>
        </w:rPr>
        <w:t>See the responses to Item 9 on the attached cover pages.</w:t>
      </w:r>
    </w:p>
    <w:p>
      <w:pPr>
        <w:spacing w:after="0" w:line="94" w:lineRule="exact"/>
        <w:rPr>
          <w:rFonts w:ascii="Arial" w:cs="Arial" w:eastAsia="Arial" w:hAnsi="Arial"/>
          <w:sz w:val="20"/>
          <w:szCs w:val="20"/>
          <w:color w:val="auto"/>
        </w:rPr>
      </w:pPr>
    </w:p>
    <w:p>
      <w:pPr>
        <w:ind w:left="1480" w:hanging="453"/>
        <w:spacing w:after="0"/>
        <w:tabs>
          <w:tab w:leader="none" w:pos="14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67" w:lineRule="exact"/>
        <w:rPr>
          <w:rFonts w:ascii="Arial" w:cs="Arial" w:eastAsia="Arial" w:hAnsi="Arial"/>
          <w:sz w:val="20"/>
          <w:szCs w:val="20"/>
          <w:color w:val="auto"/>
        </w:rPr>
      </w:pPr>
    </w:p>
    <w:p>
      <w:pPr>
        <w:ind w:left="1480"/>
        <w:spacing w:after="0"/>
        <w:rPr>
          <w:rFonts w:ascii="Arial" w:cs="Arial" w:eastAsia="Arial" w:hAnsi="Arial"/>
          <w:sz w:val="20"/>
          <w:szCs w:val="20"/>
          <w:color w:val="auto"/>
        </w:rPr>
      </w:pPr>
      <w:r>
        <w:rPr>
          <w:rFonts w:ascii="Arial" w:cs="Arial" w:eastAsia="Arial" w:hAnsi="Arial"/>
          <w:sz w:val="20"/>
          <w:szCs w:val="20"/>
          <w:color w:val="auto"/>
        </w:rPr>
        <w:t>See the responses to Item 11 on the attached cover pages.</w:t>
      </w:r>
    </w:p>
    <w:p>
      <w:pPr>
        <w:spacing w:after="0" w:line="94" w:lineRule="exact"/>
        <w:rPr>
          <w:rFonts w:ascii="Arial" w:cs="Arial" w:eastAsia="Arial" w:hAnsi="Arial"/>
          <w:sz w:val="20"/>
          <w:szCs w:val="20"/>
          <w:color w:val="auto"/>
        </w:rPr>
      </w:pPr>
    </w:p>
    <w:p>
      <w:pPr>
        <w:ind w:left="1480" w:hanging="447"/>
        <w:spacing w:after="0"/>
        <w:tabs>
          <w:tab w:leader="none" w:pos="14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94" w:lineRule="exact"/>
        <w:rPr>
          <w:rFonts w:ascii="Arial" w:cs="Arial" w:eastAsia="Arial" w:hAnsi="Arial"/>
          <w:sz w:val="20"/>
          <w:szCs w:val="20"/>
          <w:color w:val="auto"/>
        </w:rPr>
      </w:pPr>
    </w:p>
    <w:p>
      <w:pPr>
        <w:ind w:left="2000" w:hanging="418"/>
        <w:spacing w:after="0"/>
        <w:tabs>
          <w:tab w:leader="none" w:pos="2000" w:val="left"/>
        </w:tabs>
        <w:numPr>
          <w:ilvl w:val="2"/>
          <w:numId w:val="21"/>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67" w:lineRule="exact"/>
        <w:rPr>
          <w:rFonts w:ascii="Arial" w:cs="Arial" w:eastAsia="Arial" w:hAnsi="Arial"/>
          <w:sz w:val="20"/>
          <w:szCs w:val="20"/>
          <w:color w:val="auto"/>
        </w:rPr>
      </w:pPr>
    </w:p>
    <w:p>
      <w:pPr>
        <w:ind w:left="2000"/>
        <w:spacing w:after="0"/>
        <w:rPr>
          <w:rFonts w:ascii="Arial" w:cs="Arial" w:eastAsia="Arial" w:hAnsi="Arial"/>
          <w:sz w:val="20"/>
          <w:szCs w:val="20"/>
          <w:color w:val="auto"/>
        </w:rPr>
      </w:pPr>
      <w:r>
        <w:rPr>
          <w:rFonts w:ascii="Arial" w:cs="Arial" w:eastAsia="Arial" w:hAnsi="Arial"/>
          <w:sz w:val="20"/>
          <w:szCs w:val="20"/>
          <w:color w:val="auto"/>
        </w:rPr>
        <w:t>See the responses to Item 5 on the attached cover pages.</w:t>
      </w:r>
    </w:p>
    <w:p>
      <w:pPr>
        <w:spacing w:after="0" w:line="377" w:lineRule="exact"/>
        <w:rPr>
          <w:rFonts w:ascii="Arial" w:cs="Arial" w:eastAsia="Arial" w:hAnsi="Arial"/>
          <w:sz w:val="20"/>
          <w:szCs w:val="20"/>
          <w:color w:val="auto"/>
        </w:rPr>
      </w:pPr>
    </w:p>
    <w:p>
      <w:pPr>
        <w:ind w:right="220" w:firstLine="8"/>
        <w:spacing w:after="0" w:line="260" w:lineRule="auto"/>
        <w:tabs>
          <w:tab w:leader="none" w:pos="178" w:val="left"/>
        </w:tabs>
        <w:numPr>
          <w:ilvl w:val="0"/>
          <w:numId w:val="22"/>
        </w:numPr>
        <w:rPr>
          <w:rFonts w:ascii="Arial" w:cs="Arial" w:eastAsia="Arial" w:hAnsi="Arial"/>
          <w:sz w:val="13"/>
          <w:szCs w:val="13"/>
          <w:color w:val="auto"/>
        </w:rPr>
      </w:pPr>
      <w:r>
        <w:rPr>
          <w:rFonts w:ascii="Arial" w:cs="Arial" w:eastAsia="Arial" w:hAnsi="Arial"/>
          <w:sz w:val="20"/>
          <w:szCs w:val="20"/>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-519430</wp:posOffset>
            </wp:positionV>
            <wp:extent cx="6020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2043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-913765</wp:posOffset>
            </wp:positionV>
            <wp:extent cx="63544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-1119505</wp:posOffset>
            </wp:positionV>
            <wp:extent cx="63544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-1514475</wp:posOffset>
            </wp:positionV>
            <wp:extent cx="63544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14662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0" w:hanging="445"/>
        <w:spacing w:after="0"/>
        <w:tabs>
          <w:tab w:leader="none" w:pos="20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67" w:lineRule="exact"/>
        <w:rPr>
          <w:rFonts w:ascii="Arial" w:cs="Arial" w:eastAsia="Arial" w:hAnsi="Arial"/>
          <w:sz w:val="20"/>
          <w:szCs w:val="20"/>
          <w:color w:val="auto"/>
        </w:rPr>
      </w:pPr>
    </w:p>
    <w:p>
      <w:pPr>
        <w:ind w:left="2000"/>
        <w:spacing w:after="0"/>
        <w:rPr>
          <w:rFonts w:ascii="Arial" w:cs="Arial" w:eastAsia="Arial" w:hAnsi="Arial"/>
          <w:sz w:val="20"/>
          <w:szCs w:val="20"/>
          <w:color w:val="auto"/>
        </w:rPr>
      </w:pPr>
      <w:r>
        <w:rPr>
          <w:rFonts w:ascii="Arial" w:cs="Arial" w:eastAsia="Arial" w:hAnsi="Arial"/>
          <w:sz w:val="20"/>
          <w:szCs w:val="20"/>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27305</wp:posOffset>
            </wp:positionV>
            <wp:extent cx="6020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20435" cy="8890"/>
                    </a:xfrm>
                    <a:prstGeom prst="rect">
                      <a:avLst/>
                    </a:prstGeom>
                    <a:noFill/>
                  </pic:spPr>
                </pic:pic>
              </a:graphicData>
            </a:graphic>
          </wp:anchor>
        </w:drawing>
      </w:r>
    </w:p>
    <w:p>
      <w:pPr>
        <w:spacing w:after="0" w:line="47" w:lineRule="exact"/>
        <w:rPr>
          <w:sz w:val="20"/>
          <w:szCs w:val="20"/>
          <w:color w:val="auto"/>
        </w:rPr>
      </w:pPr>
    </w:p>
    <w:p>
      <w:pPr>
        <w:ind w:left="2000" w:right="4920" w:hanging="472"/>
        <w:spacing w:after="0" w:line="336" w:lineRule="auto"/>
        <w:tabs>
          <w:tab w:leader="none" w:pos="2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the responses to Item 7 on the attached cover pages.</w:t>
      </w:r>
    </w:p>
    <w:p>
      <w:pPr>
        <w:spacing w:after="0" w:line="14" w:lineRule="exact"/>
        <w:rPr>
          <w:rFonts w:ascii="Arial" w:cs="Arial" w:eastAsia="Arial" w:hAnsi="Arial"/>
          <w:sz w:val="18"/>
          <w:szCs w:val="18"/>
          <w:color w:val="auto"/>
        </w:rPr>
      </w:pPr>
    </w:p>
    <w:p>
      <w:pPr>
        <w:ind w:left="2000" w:right="4920" w:hanging="467"/>
        <w:spacing w:after="0" w:line="474" w:lineRule="auto"/>
        <w:tabs>
          <w:tab w:leader="none" w:pos="2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-98425</wp:posOffset>
            </wp:positionV>
            <wp:extent cx="6020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20435" cy="889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-475615</wp:posOffset>
            </wp:positionV>
            <wp:extent cx="6020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20435" cy="8890"/>
                    </a:xfrm>
                    <a:prstGeom prst="rect">
                      <a:avLst/>
                    </a:prstGeom>
                    <a:noFill/>
                  </pic:spPr>
                </pic:pic>
              </a:graphicData>
            </a:graphic>
          </wp:anchor>
        </w:drawing>
      </w:r>
    </w:p>
    <w:p>
      <w:pPr>
        <w:spacing w:after="0" w:line="260"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5 Percent or Less of a Class</w:t>
      </w:r>
    </w:p>
    <w:p>
      <w:pPr>
        <w:spacing w:after="0" w:line="127"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5 percent of the class of securities, check the following o.</w:t>
      </w:r>
    </w:p>
    <w:p>
      <w:pPr>
        <w:sectPr>
          <w:pgSz w:w="11900" w:h="16933" w:orient="portrait"/>
          <w:cols w:equalWidth="0" w:num="1">
            <w:col w:w="11380"/>
          </w:cols>
          <w:pgMar w:left="240" w:top="122" w:right="279" w:bottom="0" w:gutter="0" w:footer="0" w:header="0"/>
        </w:sectPr>
      </w:pPr>
    </w:p>
    <w:bookmarkStart w:id="4" w:name="page5"/>
    <w:bookmarkEnd w:id="4"/>
    <w:p>
      <w:pPr>
        <w:ind w:left="40"/>
        <w:spacing w:after="0"/>
        <w:tabs>
          <w:tab w:leader="none" w:pos="12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20"/>
          <w:szCs w:val="20"/>
          <w:color w:val="auto"/>
        </w:rPr>
        <w:t>Not Applicable.</w:t>
      </w:r>
    </w:p>
    <w:p>
      <w:pPr>
        <w:spacing w:after="0" w:line="115" w:lineRule="exact"/>
        <w:rPr>
          <w:sz w:val="20"/>
          <w:szCs w:val="20"/>
          <w:color w:val="auto"/>
        </w:rPr>
      </w:pPr>
    </w:p>
    <w:p>
      <w:pPr>
        <w:ind w:left="1220" w:right="660" w:hanging="1173"/>
        <w:spacing w:after="0" w:line="267" w:lineRule="auto"/>
        <w:tabs>
          <w:tab w:leader="none" w:pos="12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 or Control Person</w:t>
      </w:r>
    </w:p>
    <w:p>
      <w:pPr>
        <w:spacing w:after="0" w:line="75" w:lineRule="exact"/>
        <w:rPr>
          <w:sz w:val="20"/>
          <w:szCs w:val="20"/>
          <w:color w:val="auto"/>
        </w:rPr>
      </w:pPr>
    </w:p>
    <w:p>
      <w:pPr>
        <w:ind w:left="940"/>
        <w:spacing w:after="0"/>
        <w:rPr>
          <w:sz w:val="20"/>
          <w:szCs w:val="20"/>
          <w:color w:val="auto"/>
        </w:rPr>
      </w:pPr>
      <w:r>
        <w:rPr>
          <w:rFonts w:ascii="Arial" w:cs="Arial" w:eastAsia="Arial" w:hAnsi="Arial"/>
          <w:sz w:val="20"/>
          <w:szCs w:val="20"/>
          <w:color w:val="auto"/>
        </w:rPr>
        <w:t>Not Applicable.</w:t>
      </w:r>
    </w:p>
    <w:p>
      <w:pPr>
        <w:spacing w:after="0" w:line="115"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20"/>
          <w:szCs w:val="20"/>
          <w:color w:val="auto"/>
        </w:rPr>
        <w:t>Not Applicable.</w:t>
      </w:r>
    </w:p>
    <w:p>
      <w:pPr>
        <w:spacing w:after="0" w:line="115"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20"/>
          <w:szCs w:val="20"/>
          <w:color w:val="auto"/>
        </w:rPr>
        <w:t>Not Applicable.</w:t>
      </w:r>
    </w:p>
    <w:p>
      <w:pPr>
        <w:spacing w:after="0" w:line="115" w:lineRule="exact"/>
        <w:rPr>
          <w:sz w:val="20"/>
          <w:szCs w:val="20"/>
          <w:color w:val="auto"/>
        </w:rPr>
      </w:pPr>
    </w:p>
    <w:p>
      <w:pPr>
        <w:ind w:left="40"/>
        <w:spacing w:after="0"/>
        <w:tabs>
          <w:tab w:leader="none" w:pos="12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127" w:lineRule="exact"/>
        <w:rPr>
          <w:sz w:val="20"/>
          <w:szCs w:val="20"/>
          <w:color w:val="auto"/>
        </w:rPr>
      </w:pPr>
    </w:p>
    <w:p>
      <w:pPr>
        <w:ind w:left="940" w:right="24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ind w:left="60"/>
              <w:spacing w:after="0"/>
              <w:rPr>
                <w:sz w:val="20"/>
                <w:szCs w:val="20"/>
                <w:color w:val="auto"/>
              </w:rPr>
            </w:pPr>
            <w:r>
              <w:rPr>
                <w:rFonts w:ascii="Arial" w:cs="Arial" w:eastAsia="Arial" w:hAnsi="Arial"/>
                <w:sz w:val="20"/>
                <w:szCs w:val="20"/>
                <w:color w:val="auto"/>
              </w:rPr>
              <w:t>Date: February 14, 2013</w:t>
            </w:r>
          </w:p>
        </w:tc>
        <w:tc>
          <w:tcPr>
            <w:tcW w:w="8260" w:type="dxa"/>
            <w:vAlign w:val="bottom"/>
            <w:gridSpan w:val="5"/>
          </w:tcPr>
          <w:p>
            <w:pPr>
              <w:ind w:left="3400"/>
              <w:spacing w:after="0"/>
              <w:rPr>
                <w:sz w:val="20"/>
                <w:szCs w:val="20"/>
                <w:color w:val="auto"/>
              </w:rPr>
            </w:pPr>
            <w:r>
              <w:rPr>
                <w:rFonts w:ascii="Arial" w:cs="Arial" w:eastAsia="Arial" w:hAnsi="Arial"/>
                <w:sz w:val="20"/>
                <w:szCs w:val="20"/>
                <w:color w:val="auto"/>
              </w:rPr>
              <w:t>CASCADE INVESTMENT, L.L.C.</w:t>
            </w:r>
            <w:r>
              <w:rPr>
                <w:rFonts w:ascii="Arial" w:cs="Arial" w:eastAsia="Arial" w:hAnsi="Arial"/>
                <w:sz w:val="12"/>
                <w:szCs w:val="12"/>
                <w:color w:val="auto"/>
              </w:rPr>
              <w:t>(1)</w:t>
            </w:r>
          </w:p>
        </w:tc>
        <w:tc>
          <w:tcPr>
            <w:tcW w:w="840" w:type="dxa"/>
            <w:vAlign w:val="bottom"/>
          </w:tcPr>
          <w:p>
            <w:pPr>
              <w:spacing w:after="0"/>
              <w:rPr>
                <w:sz w:val="19"/>
                <w:szCs w:val="19"/>
                <w:color w:val="auto"/>
              </w:rPr>
            </w:pPr>
          </w:p>
        </w:tc>
      </w:tr>
      <w:tr>
        <w:trPr>
          <w:trHeight w:val="246"/>
        </w:trPr>
        <w:tc>
          <w:tcPr>
            <w:tcW w:w="2320" w:type="dxa"/>
            <w:vAlign w:val="bottom"/>
          </w:tcPr>
          <w:p>
            <w:pPr>
              <w:spacing w:after="0"/>
              <w:rPr>
                <w:sz w:val="21"/>
                <w:szCs w:val="21"/>
                <w:color w:val="auto"/>
              </w:rPr>
            </w:pPr>
          </w:p>
        </w:tc>
        <w:tc>
          <w:tcPr>
            <w:tcW w:w="3780" w:type="dxa"/>
            <w:vAlign w:val="bottom"/>
          </w:tcPr>
          <w:p>
            <w:pPr>
              <w:ind w:left="340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spacing w:after="0"/>
              <w:rPr>
                <w:sz w:val="21"/>
                <w:szCs w:val="21"/>
                <w:color w:val="auto"/>
              </w:rPr>
            </w:pPr>
          </w:p>
        </w:tc>
      </w:tr>
      <w:tr>
        <w:trPr>
          <w:trHeight w:val="206"/>
        </w:trPr>
        <w:tc>
          <w:tcPr>
            <w:tcW w:w="23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line="207" w:lineRule="exact"/>
              <w:rPr>
                <w:sz w:val="20"/>
                <w:szCs w:val="20"/>
                <w:color w:val="auto"/>
              </w:rPr>
            </w:pPr>
            <w:r>
              <w:rPr>
                <w:rFonts w:ascii="Arial" w:cs="Arial" w:eastAsia="Arial" w:hAnsi="Arial"/>
                <w:sz w:val="20"/>
                <w:szCs w:val="20"/>
                <w:color w:val="auto"/>
              </w:rPr>
              <w:t>Name:</w:t>
            </w:r>
          </w:p>
        </w:tc>
        <w:tc>
          <w:tcPr>
            <w:tcW w:w="3840" w:type="dxa"/>
            <w:vAlign w:val="bottom"/>
          </w:tcPr>
          <w:p>
            <w:pPr>
              <w:ind w:left="80"/>
              <w:spacing w:after="0" w:line="207" w:lineRule="exact"/>
              <w:rPr>
                <w:sz w:val="20"/>
                <w:szCs w:val="20"/>
                <w:color w:val="auto"/>
              </w:rPr>
            </w:pPr>
            <w:r>
              <w:rPr>
                <w:rFonts w:ascii="Arial" w:cs="Arial" w:eastAsia="Arial" w:hAnsi="Arial"/>
                <w:sz w:val="20"/>
                <w:szCs w:val="20"/>
                <w:color w:val="auto"/>
              </w:rPr>
              <w:t>Alan Heuberger</w:t>
            </w:r>
            <w:r>
              <w:rPr>
                <w:rFonts w:ascii="Arial" w:cs="Arial" w:eastAsia="Arial" w:hAnsi="Arial"/>
                <w:sz w:val="12"/>
                <w:szCs w:val="12"/>
                <w:color w:val="auto"/>
              </w:rPr>
              <w:t>(2)</w:t>
            </w:r>
          </w:p>
        </w:tc>
        <w:tc>
          <w:tcPr>
            <w:tcW w:w="840" w:type="dxa"/>
            <w:vAlign w:val="bottom"/>
          </w:tcPr>
          <w:p>
            <w:pPr>
              <w:spacing w:after="0"/>
              <w:rPr>
                <w:sz w:val="17"/>
                <w:szCs w:val="17"/>
                <w:color w:val="auto"/>
              </w:rPr>
            </w:pPr>
          </w:p>
        </w:tc>
      </w:tr>
      <w:tr>
        <w:trPr>
          <w:trHeight w:val="230"/>
        </w:trPr>
        <w:tc>
          <w:tcPr>
            <w:tcW w:w="2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640" w:type="dxa"/>
            <w:vAlign w:val="bottom"/>
            <w:gridSpan w:val="3"/>
          </w:tcPr>
          <w:p>
            <w:pPr>
              <w:ind w:left="20"/>
              <w:spacing w:after="0"/>
              <w:rPr>
                <w:sz w:val="20"/>
                <w:szCs w:val="20"/>
                <w:color w:val="auto"/>
              </w:rPr>
            </w:pPr>
            <w:r>
              <w:rPr>
                <w:rFonts w:ascii="Arial" w:cs="Arial" w:eastAsia="Arial" w:hAnsi="Arial"/>
                <w:sz w:val="20"/>
                <w:szCs w:val="20"/>
                <w:color w:val="auto"/>
              </w:rPr>
              <w:t>Title:</w:t>
            </w:r>
          </w:p>
        </w:tc>
        <w:tc>
          <w:tcPr>
            <w:tcW w:w="3840" w:type="dxa"/>
            <w:vAlign w:val="bottom"/>
          </w:tcPr>
          <w:p>
            <w:pPr>
              <w:ind w:left="80"/>
              <w:spacing w:after="0"/>
              <w:rPr>
                <w:sz w:val="20"/>
                <w:szCs w:val="20"/>
                <w:color w:val="auto"/>
              </w:rPr>
            </w:pPr>
            <w:r>
              <w:rPr>
                <w:rFonts w:ascii="Arial" w:cs="Arial" w:eastAsia="Arial" w:hAnsi="Arial"/>
                <w:sz w:val="20"/>
                <w:szCs w:val="20"/>
                <w:color w:val="auto"/>
              </w:rPr>
              <w:t>Attorney-in-fact for Michael Larson,</w:t>
            </w:r>
          </w:p>
        </w:tc>
        <w:tc>
          <w:tcPr>
            <w:tcW w:w="840" w:type="dxa"/>
            <w:vAlign w:val="bottom"/>
          </w:tcPr>
          <w:p>
            <w:pPr>
              <w:spacing w:after="0"/>
              <w:rPr>
                <w:sz w:val="19"/>
                <w:szCs w:val="19"/>
                <w:color w:val="auto"/>
              </w:rPr>
            </w:pPr>
          </w:p>
        </w:tc>
      </w:tr>
      <w:tr>
        <w:trPr>
          <w:trHeight w:val="250"/>
        </w:trPr>
        <w:tc>
          <w:tcPr>
            <w:tcW w:w="2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20"/>
                <w:szCs w:val="20"/>
                <w:color w:val="auto"/>
              </w:rPr>
              <w:t>Business Manager</w:t>
            </w:r>
          </w:p>
        </w:tc>
        <w:tc>
          <w:tcPr>
            <w:tcW w:w="840" w:type="dxa"/>
            <w:vAlign w:val="bottom"/>
          </w:tcPr>
          <w:p>
            <w:pPr>
              <w:spacing w:after="0"/>
              <w:rPr>
                <w:sz w:val="21"/>
                <w:szCs w:val="21"/>
                <w:color w:val="auto"/>
              </w:rPr>
            </w:pPr>
          </w:p>
        </w:tc>
      </w:tr>
      <w:tr>
        <w:trPr>
          <w:trHeight w:val="438"/>
        </w:trPr>
        <w:tc>
          <w:tcPr>
            <w:tcW w:w="2320" w:type="dxa"/>
            <w:vAlign w:val="bottom"/>
          </w:tcPr>
          <w:p>
            <w:pPr>
              <w:spacing w:after="0"/>
              <w:rPr>
                <w:sz w:val="24"/>
                <w:szCs w:val="24"/>
                <w:color w:val="auto"/>
              </w:rPr>
            </w:pPr>
          </w:p>
        </w:tc>
        <w:tc>
          <w:tcPr>
            <w:tcW w:w="8260" w:type="dxa"/>
            <w:vAlign w:val="bottom"/>
            <w:gridSpan w:val="5"/>
          </w:tcPr>
          <w:p>
            <w:pPr>
              <w:ind w:left="3400"/>
              <w:spacing w:after="0"/>
              <w:rPr>
                <w:sz w:val="20"/>
                <w:szCs w:val="20"/>
                <w:color w:val="auto"/>
              </w:rPr>
            </w:pPr>
            <w:r>
              <w:rPr>
                <w:rFonts w:ascii="Arial" w:cs="Arial" w:eastAsia="Arial" w:hAnsi="Arial"/>
                <w:sz w:val="20"/>
                <w:szCs w:val="20"/>
                <w:color w:val="auto"/>
              </w:rPr>
              <w:t>BILL &amp; MELINDA GATES FOUNDATION TRUST</w:t>
            </w:r>
            <w:r>
              <w:rPr>
                <w:rFonts w:ascii="Arial" w:cs="Arial" w:eastAsia="Arial" w:hAnsi="Arial"/>
                <w:sz w:val="12"/>
                <w:szCs w:val="12"/>
                <w:color w:val="auto"/>
              </w:rPr>
              <w:t>(1)</w:t>
            </w:r>
          </w:p>
        </w:tc>
        <w:tc>
          <w:tcPr>
            <w:tcW w:w="840" w:type="dxa"/>
            <w:vAlign w:val="bottom"/>
          </w:tcPr>
          <w:p>
            <w:pPr>
              <w:spacing w:after="0"/>
              <w:rPr>
                <w:sz w:val="24"/>
                <w:szCs w:val="24"/>
                <w:color w:val="auto"/>
              </w:rPr>
            </w:pPr>
          </w:p>
        </w:tc>
      </w:tr>
      <w:tr>
        <w:trPr>
          <w:trHeight w:val="246"/>
        </w:trPr>
        <w:tc>
          <w:tcPr>
            <w:tcW w:w="2320" w:type="dxa"/>
            <w:vAlign w:val="bottom"/>
          </w:tcPr>
          <w:p>
            <w:pPr>
              <w:spacing w:after="0"/>
              <w:rPr>
                <w:sz w:val="21"/>
                <w:szCs w:val="21"/>
                <w:color w:val="auto"/>
              </w:rPr>
            </w:pPr>
          </w:p>
        </w:tc>
        <w:tc>
          <w:tcPr>
            <w:tcW w:w="3780" w:type="dxa"/>
            <w:vAlign w:val="bottom"/>
          </w:tcPr>
          <w:p>
            <w:pPr>
              <w:ind w:left="340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spacing w:after="0"/>
              <w:rPr>
                <w:sz w:val="21"/>
                <w:szCs w:val="21"/>
                <w:color w:val="auto"/>
              </w:rPr>
            </w:pPr>
          </w:p>
        </w:tc>
      </w:tr>
      <w:tr>
        <w:trPr>
          <w:trHeight w:val="206"/>
        </w:trPr>
        <w:tc>
          <w:tcPr>
            <w:tcW w:w="23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line="207" w:lineRule="exact"/>
              <w:rPr>
                <w:sz w:val="20"/>
                <w:szCs w:val="20"/>
                <w:color w:val="auto"/>
              </w:rPr>
            </w:pPr>
            <w:r>
              <w:rPr>
                <w:rFonts w:ascii="Arial" w:cs="Arial" w:eastAsia="Arial" w:hAnsi="Arial"/>
                <w:sz w:val="20"/>
                <w:szCs w:val="20"/>
                <w:color w:val="auto"/>
              </w:rPr>
              <w:t>Name:</w:t>
            </w:r>
          </w:p>
        </w:tc>
        <w:tc>
          <w:tcPr>
            <w:tcW w:w="3840" w:type="dxa"/>
            <w:vAlign w:val="bottom"/>
          </w:tcPr>
          <w:p>
            <w:pPr>
              <w:ind w:left="80"/>
              <w:spacing w:after="0" w:line="207" w:lineRule="exact"/>
              <w:rPr>
                <w:sz w:val="20"/>
                <w:szCs w:val="20"/>
                <w:color w:val="auto"/>
              </w:rPr>
            </w:pPr>
            <w:r>
              <w:rPr>
                <w:rFonts w:ascii="Arial" w:cs="Arial" w:eastAsia="Arial" w:hAnsi="Arial"/>
                <w:sz w:val="20"/>
                <w:szCs w:val="20"/>
                <w:color w:val="auto"/>
              </w:rPr>
              <w:t xml:space="preserve">Alan Heuberger </w:t>
            </w:r>
            <w:r>
              <w:rPr>
                <w:rFonts w:ascii="Arial" w:cs="Arial" w:eastAsia="Arial" w:hAnsi="Arial"/>
                <w:sz w:val="12"/>
                <w:szCs w:val="12"/>
                <w:color w:val="auto"/>
              </w:rPr>
              <w:t>(3)</w:t>
            </w:r>
          </w:p>
        </w:tc>
        <w:tc>
          <w:tcPr>
            <w:tcW w:w="840" w:type="dxa"/>
            <w:vAlign w:val="bottom"/>
          </w:tcPr>
          <w:p>
            <w:pPr>
              <w:spacing w:after="0"/>
              <w:rPr>
                <w:sz w:val="17"/>
                <w:szCs w:val="17"/>
                <w:color w:val="auto"/>
              </w:rPr>
            </w:pPr>
          </w:p>
        </w:tc>
      </w:tr>
      <w:tr>
        <w:trPr>
          <w:trHeight w:val="230"/>
        </w:trPr>
        <w:tc>
          <w:tcPr>
            <w:tcW w:w="2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640" w:type="dxa"/>
            <w:vAlign w:val="bottom"/>
            <w:gridSpan w:val="3"/>
          </w:tcPr>
          <w:p>
            <w:pPr>
              <w:ind w:left="20"/>
              <w:spacing w:after="0"/>
              <w:rPr>
                <w:sz w:val="20"/>
                <w:szCs w:val="20"/>
                <w:color w:val="auto"/>
              </w:rPr>
            </w:pPr>
            <w:r>
              <w:rPr>
                <w:rFonts w:ascii="Arial" w:cs="Arial" w:eastAsia="Arial" w:hAnsi="Arial"/>
                <w:sz w:val="20"/>
                <w:szCs w:val="20"/>
                <w:color w:val="auto"/>
              </w:rPr>
              <w:t>Title:</w:t>
            </w:r>
          </w:p>
        </w:tc>
        <w:tc>
          <w:tcPr>
            <w:tcW w:w="3840" w:type="dxa"/>
            <w:vAlign w:val="bottom"/>
          </w:tcPr>
          <w:p>
            <w:pPr>
              <w:ind w:left="80"/>
              <w:spacing w:after="0"/>
              <w:rPr>
                <w:sz w:val="20"/>
                <w:szCs w:val="20"/>
                <w:color w:val="auto"/>
              </w:rPr>
            </w:pPr>
            <w:r>
              <w:rPr>
                <w:rFonts w:ascii="Arial" w:cs="Arial" w:eastAsia="Arial" w:hAnsi="Arial"/>
                <w:sz w:val="20"/>
                <w:szCs w:val="20"/>
                <w:color w:val="auto"/>
              </w:rPr>
              <w:t>Attorney-in-fact for each of the Co-</w:t>
            </w:r>
          </w:p>
        </w:tc>
        <w:tc>
          <w:tcPr>
            <w:tcW w:w="840" w:type="dxa"/>
            <w:vAlign w:val="bottom"/>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20"/>
                <w:szCs w:val="20"/>
                <w:color w:val="auto"/>
              </w:rPr>
              <w:t>Trustees, William H. Gates III and</w:t>
            </w:r>
          </w:p>
        </w:tc>
        <w:tc>
          <w:tcPr>
            <w:tcW w:w="840" w:type="dxa"/>
            <w:vAlign w:val="bottom"/>
          </w:tcPr>
          <w:p>
            <w:pPr>
              <w:spacing w:after="0"/>
              <w:rPr>
                <w:sz w:val="19"/>
                <w:szCs w:val="19"/>
                <w:color w:val="auto"/>
              </w:rPr>
            </w:pPr>
          </w:p>
        </w:tc>
      </w:tr>
      <w:tr>
        <w:trPr>
          <w:trHeight w:val="250"/>
        </w:trPr>
        <w:tc>
          <w:tcPr>
            <w:tcW w:w="2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20"/>
                <w:szCs w:val="20"/>
                <w:color w:val="auto"/>
              </w:rPr>
              <w:t>Melinda French Gates</w:t>
            </w:r>
          </w:p>
        </w:tc>
        <w:tc>
          <w:tcPr>
            <w:tcW w:w="840" w:type="dxa"/>
            <w:vAlign w:val="bottom"/>
          </w:tcPr>
          <w:p>
            <w:pPr>
              <w:spacing w:after="0"/>
              <w:rPr>
                <w:sz w:val="21"/>
                <w:szCs w:val="21"/>
                <w:color w:val="auto"/>
              </w:rPr>
            </w:pPr>
          </w:p>
        </w:tc>
      </w:tr>
      <w:tr>
        <w:trPr>
          <w:trHeight w:val="438"/>
        </w:trPr>
        <w:tc>
          <w:tcPr>
            <w:tcW w:w="2320" w:type="dxa"/>
            <w:vAlign w:val="bottom"/>
          </w:tcPr>
          <w:p>
            <w:pPr>
              <w:spacing w:after="0"/>
              <w:rPr>
                <w:sz w:val="24"/>
                <w:szCs w:val="24"/>
                <w:color w:val="auto"/>
              </w:rPr>
            </w:pPr>
          </w:p>
        </w:tc>
        <w:tc>
          <w:tcPr>
            <w:tcW w:w="8260" w:type="dxa"/>
            <w:vAlign w:val="bottom"/>
            <w:gridSpan w:val="5"/>
          </w:tcPr>
          <w:p>
            <w:pPr>
              <w:ind w:left="3400"/>
              <w:spacing w:after="0"/>
              <w:rPr>
                <w:sz w:val="20"/>
                <w:szCs w:val="20"/>
                <w:color w:val="auto"/>
              </w:rPr>
            </w:pPr>
            <w:r>
              <w:rPr>
                <w:rFonts w:ascii="Arial" w:cs="Arial" w:eastAsia="Arial" w:hAnsi="Arial"/>
                <w:sz w:val="20"/>
                <w:szCs w:val="20"/>
                <w:color w:val="auto"/>
              </w:rPr>
              <w:t>WILLIAM H. GATES III</w:t>
            </w:r>
            <w:r>
              <w:rPr>
                <w:rFonts w:ascii="Arial" w:cs="Arial" w:eastAsia="Arial" w:hAnsi="Arial"/>
                <w:sz w:val="12"/>
                <w:szCs w:val="12"/>
                <w:color w:val="auto"/>
              </w:rPr>
              <w:t>(1)</w:t>
            </w:r>
          </w:p>
        </w:tc>
        <w:tc>
          <w:tcPr>
            <w:tcW w:w="840" w:type="dxa"/>
            <w:vAlign w:val="bottom"/>
          </w:tcPr>
          <w:p>
            <w:pPr>
              <w:spacing w:after="0"/>
              <w:rPr>
                <w:sz w:val="24"/>
                <w:szCs w:val="24"/>
                <w:color w:val="auto"/>
              </w:rPr>
            </w:pPr>
          </w:p>
        </w:tc>
      </w:tr>
      <w:tr>
        <w:trPr>
          <w:trHeight w:val="246"/>
        </w:trPr>
        <w:tc>
          <w:tcPr>
            <w:tcW w:w="2320" w:type="dxa"/>
            <w:vAlign w:val="bottom"/>
          </w:tcPr>
          <w:p>
            <w:pPr>
              <w:spacing w:after="0"/>
              <w:rPr>
                <w:sz w:val="21"/>
                <w:szCs w:val="21"/>
                <w:color w:val="auto"/>
              </w:rPr>
            </w:pPr>
          </w:p>
        </w:tc>
        <w:tc>
          <w:tcPr>
            <w:tcW w:w="3780" w:type="dxa"/>
            <w:vAlign w:val="bottom"/>
          </w:tcPr>
          <w:p>
            <w:pPr>
              <w:ind w:left="340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spacing w:after="0"/>
              <w:rPr>
                <w:sz w:val="21"/>
                <w:szCs w:val="21"/>
                <w:color w:val="auto"/>
              </w:rPr>
            </w:pPr>
          </w:p>
        </w:tc>
      </w:tr>
      <w:tr>
        <w:trPr>
          <w:trHeight w:val="206"/>
        </w:trPr>
        <w:tc>
          <w:tcPr>
            <w:tcW w:w="23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line="207" w:lineRule="exact"/>
              <w:rPr>
                <w:sz w:val="20"/>
                <w:szCs w:val="20"/>
                <w:color w:val="auto"/>
              </w:rPr>
            </w:pPr>
            <w:r>
              <w:rPr>
                <w:rFonts w:ascii="Arial" w:cs="Arial" w:eastAsia="Arial" w:hAnsi="Arial"/>
                <w:sz w:val="20"/>
                <w:szCs w:val="20"/>
                <w:color w:val="auto"/>
              </w:rPr>
              <w:t>Name:</w:t>
            </w:r>
          </w:p>
        </w:tc>
        <w:tc>
          <w:tcPr>
            <w:tcW w:w="3840" w:type="dxa"/>
            <w:vAlign w:val="bottom"/>
          </w:tcPr>
          <w:p>
            <w:pPr>
              <w:ind w:left="80"/>
              <w:spacing w:after="0" w:line="207" w:lineRule="exact"/>
              <w:rPr>
                <w:sz w:val="20"/>
                <w:szCs w:val="20"/>
                <w:color w:val="auto"/>
              </w:rPr>
            </w:pPr>
            <w:r>
              <w:rPr>
                <w:rFonts w:ascii="Arial" w:cs="Arial" w:eastAsia="Arial" w:hAnsi="Arial"/>
                <w:sz w:val="20"/>
                <w:szCs w:val="20"/>
                <w:color w:val="auto"/>
              </w:rPr>
              <w:t>Alan Heuberger</w:t>
            </w:r>
            <w:r>
              <w:rPr>
                <w:rFonts w:ascii="Arial" w:cs="Arial" w:eastAsia="Arial" w:hAnsi="Arial"/>
                <w:sz w:val="12"/>
                <w:szCs w:val="12"/>
                <w:color w:val="auto"/>
              </w:rPr>
              <w:t>(3)(4)</w:t>
            </w:r>
          </w:p>
        </w:tc>
        <w:tc>
          <w:tcPr>
            <w:tcW w:w="84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640" w:type="dxa"/>
            <w:vAlign w:val="bottom"/>
            <w:gridSpan w:val="3"/>
          </w:tcPr>
          <w:p>
            <w:pPr>
              <w:ind w:left="20"/>
              <w:spacing w:after="0"/>
              <w:rPr>
                <w:sz w:val="20"/>
                <w:szCs w:val="20"/>
                <w:color w:val="auto"/>
              </w:rPr>
            </w:pPr>
            <w:r>
              <w:rPr>
                <w:rFonts w:ascii="Arial" w:cs="Arial" w:eastAsia="Arial" w:hAnsi="Arial"/>
                <w:sz w:val="20"/>
                <w:szCs w:val="20"/>
                <w:color w:val="auto"/>
              </w:rPr>
              <w:t>Title:</w:t>
            </w:r>
          </w:p>
        </w:tc>
        <w:tc>
          <w:tcPr>
            <w:tcW w:w="3840" w:type="dxa"/>
            <w:vAlign w:val="bottom"/>
          </w:tcPr>
          <w:p>
            <w:pPr>
              <w:ind w:left="80"/>
              <w:spacing w:after="0"/>
              <w:rPr>
                <w:sz w:val="20"/>
                <w:szCs w:val="20"/>
                <w:color w:val="auto"/>
              </w:rPr>
            </w:pPr>
            <w:r>
              <w:rPr>
                <w:rFonts w:ascii="Arial" w:cs="Arial" w:eastAsia="Arial" w:hAnsi="Arial"/>
                <w:sz w:val="20"/>
                <w:szCs w:val="20"/>
                <w:color w:val="auto"/>
              </w:rPr>
              <w:t>Attorney-in-fact</w:t>
            </w:r>
          </w:p>
        </w:tc>
        <w:tc>
          <w:tcPr>
            <w:tcW w:w="840" w:type="dxa"/>
            <w:vAlign w:val="bottom"/>
          </w:tcPr>
          <w:p>
            <w:pPr>
              <w:spacing w:after="0"/>
              <w:rPr>
                <w:sz w:val="21"/>
                <w:szCs w:val="21"/>
                <w:color w:val="auto"/>
              </w:rPr>
            </w:pPr>
          </w:p>
        </w:tc>
      </w:tr>
      <w:tr>
        <w:trPr>
          <w:trHeight w:val="438"/>
        </w:trPr>
        <w:tc>
          <w:tcPr>
            <w:tcW w:w="2320" w:type="dxa"/>
            <w:vAlign w:val="bottom"/>
          </w:tcPr>
          <w:p>
            <w:pPr>
              <w:spacing w:after="0"/>
              <w:rPr>
                <w:sz w:val="24"/>
                <w:szCs w:val="24"/>
                <w:color w:val="auto"/>
              </w:rPr>
            </w:pPr>
          </w:p>
        </w:tc>
        <w:tc>
          <w:tcPr>
            <w:tcW w:w="8260" w:type="dxa"/>
            <w:vAlign w:val="bottom"/>
            <w:gridSpan w:val="5"/>
          </w:tcPr>
          <w:p>
            <w:pPr>
              <w:ind w:left="3400"/>
              <w:spacing w:after="0"/>
              <w:rPr>
                <w:sz w:val="20"/>
                <w:szCs w:val="20"/>
                <w:color w:val="auto"/>
              </w:rPr>
            </w:pPr>
            <w:r>
              <w:rPr>
                <w:rFonts w:ascii="Arial" w:cs="Arial" w:eastAsia="Arial" w:hAnsi="Arial"/>
                <w:sz w:val="20"/>
                <w:szCs w:val="20"/>
                <w:color w:val="auto"/>
              </w:rPr>
              <w:t>MELINDA FRENCH GATES</w:t>
            </w:r>
            <w:r>
              <w:rPr>
                <w:rFonts w:ascii="Arial" w:cs="Arial" w:eastAsia="Arial" w:hAnsi="Arial"/>
                <w:sz w:val="12"/>
                <w:szCs w:val="12"/>
                <w:color w:val="auto"/>
              </w:rPr>
              <w:t>(1)</w:t>
            </w:r>
          </w:p>
        </w:tc>
        <w:tc>
          <w:tcPr>
            <w:tcW w:w="840" w:type="dxa"/>
            <w:vAlign w:val="bottom"/>
          </w:tcPr>
          <w:p>
            <w:pPr>
              <w:spacing w:after="0"/>
              <w:rPr>
                <w:sz w:val="24"/>
                <w:szCs w:val="24"/>
                <w:color w:val="auto"/>
              </w:rPr>
            </w:pPr>
          </w:p>
        </w:tc>
      </w:tr>
      <w:tr>
        <w:trPr>
          <w:trHeight w:val="246"/>
        </w:trPr>
        <w:tc>
          <w:tcPr>
            <w:tcW w:w="2320" w:type="dxa"/>
            <w:vAlign w:val="bottom"/>
          </w:tcPr>
          <w:p>
            <w:pPr>
              <w:spacing w:after="0"/>
              <w:rPr>
                <w:sz w:val="21"/>
                <w:szCs w:val="21"/>
                <w:color w:val="auto"/>
              </w:rPr>
            </w:pPr>
          </w:p>
        </w:tc>
        <w:tc>
          <w:tcPr>
            <w:tcW w:w="3780" w:type="dxa"/>
            <w:vAlign w:val="bottom"/>
          </w:tcPr>
          <w:p>
            <w:pPr>
              <w:ind w:left="340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tcPr>
          <w:p>
            <w:pPr>
              <w:ind w:left="70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spacing w:after="0"/>
              <w:rPr>
                <w:sz w:val="21"/>
                <w:szCs w:val="21"/>
                <w:color w:val="auto"/>
              </w:rPr>
            </w:pPr>
          </w:p>
        </w:tc>
      </w:tr>
      <w:tr>
        <w:trPr>
          <w:trHeight w:val="206"/>
        </w:trPr>
        <w:tc>
          <w:tcPr>
            <w:tcW w:w="23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line="207" w:lineRule="exact"/>
              <w:rPr>
                <w:sz w:val="20"/>
                <w:szCs w:val="20"/>
                <w:color w:val="auto"/>
              </w:rPr>
            </w:pPr>
            <w:r>
              <w:rPr>
                <w:rFonts w:ascii="Arial" w:cs="Arial" w:eastAsia="Arial" w:hAnsi="Arial"/>
                <w:sz w:val="20"/>
                <w:szCs w:val="20"/>
                <w:color w:val="auto"/>
              </w:rPr>
              <w:t>Name:</w:t>
            </w:r>
          </w:p>
        </w:tc>
        <w:tc>
          <w:tcPr>
            <w:tcW w:w="3840" w:type="dxa"/>
            <w:vAlign w:val="bottom"/>
          </w:tcPr>
          <w:p>
            <w:pPr>
              <w:ind w:left="80"/>
              <w:spacing w:after="0" w:line="207" w:lineRule="exact"/>
              <w:rPr>
                <w:sz w:val="20"/>
                <w:szCs w:val="20"/>
                <w:color w:val="auto"/>
              </w:rPr>
            </w:pPr>
            <w:r>
              <w:rPr>
                <w:rFonts w:ascii="Arial" w:cs="Arial" w:eastAsia="Arial" w:hAnsi="Arial"/>
                <w:sz w:val="20"/>
                <w:szCs w:val="20"/>
                <w:color w:val="auto"/>
              </w:rPr>
              <w:t xml:space="preserve">Alan Heuberger </w:t>
            </w:r>
            <w:r>
              <w:rPr>
                <w:rFonts w:ascii="Arial" w:cs="Arial" w:eastAsia="Arial" w:hAnsi="Arial"/>
                <w:sz w:val="12"/>
                <w:szCs w:val="12"/>
                <w:color w:val="auto"/>
              </w:rPr>
              <w:t>(3)</w:t>
            </w:r>
          </w:p>
        </w:tc>
        <w:tc>
          <w:tcPr>
            <w:tcW w:w="84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640" w:type="dxa"/>
            <w:vAlign w:val="bottom"/>
            <w:gridSpan w:val="3"/>
          </w:tcPr>
          <w:p>
            <w:pPr>
              <w:ind w:left="20"/>
              <w:spacing w:after="0"/>
              <w:rPr>
                <w:sz w:val="20"/>
                <w:szCs w:val="20"/>
                <w:color w:val="auto"/>
              </w:rPr>
            </w:pPr>
            <w:r>
              <w:rPr>
                <w:rFonts w:ascii="Arial" w:cs="Arial" w:eastAsia="Arial" w:hAnsi="Arial"/>
                <w:sz w:val="20"/>
                <w:szCs w:val="20"/>
                <w:color w:val="auto"/>
              </w:rPr>
              <w:t>Title:</w:t>
            </w:r>
          </w:p>
        </w:tc>
        <w:tc>
          <w:tcPr>
            <w:tcW w:w="3840" w:type="dxa"/>
            <w:vAlign w:val="bottom"/>
          </w:tcPr>
          <w:p>
            <w:pPr>
              <w:ind w:left="80"/>
              <w:spacing w:after="0"/>
              <w:rPr>
                <w:sz w:val="20"/>
                <w:szCs w:val="20"/>
                <w:color w:val="auto"/>
              </w:rPr>
            </w:pPr>
            <w:r>
              <w:rPr>
                <w:rFonts w:ascii="Arial" w:cs="Arial" w:eastAsia="Arial" w:hAnsi="Arial"/>
                <w:sz w:val="20"/>
                <w:szCs w:val="20"/>
                <w:color w:val="auto"/>
              </w:rPr>
              <w:t>Attorney-in-fact</w:t>
            </w:r>
          </w:p>
        </w:tc>
        <w:tc>
          <w:tcPr>
            <w:tcW w:w="840" w:type="dxa"/>
            <w:vAlign w:val="bottom"/>
          </w:tcPr>
          <w:p>
            <w:pPr>
              <w:spacing w:after="0"/>
              <w:rPr>
                <w:sz w:val="21"/>
                <w:szCs w:val="21"/>
                <w:color w:val="auto"/>
              </w:rPr>
            </w:pPr>
          </w:p>
        </w:tc>
      </w:tr>
      <w:tr>
        <w:trPr>
          <w:trHeight w:val="442"/>
        </w:trPr>
        <w:tc>
          <w:tcPr>
            <w:tcW w:w="2320" w:type="dxa"/>
            <w:vAlign w:val="bottom"/>
          </w:tcPr>
          <w:p>
            <w:pPr>
              <w:spacing w:after="0"/>
              <w:rPr>
                <w:sz w:val="24"/>
                <w:szCs w:val="24"/>
                <w:color w:val="auto"/>
              </w:rPr>
            </w:pPr>
          </w:p>
        </w:tc>
        <w:tc>
          <w:tcPr>
            <w:tcW w:w="3780" w:type="dxa"/>
            <w:vAlign w:val="bottom"/>
          </w:tcPr>
          <w:p>
            <w:pPr>
              <w:ind w:left="340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/s/Alan Heuberger</w:t>
            </w:r>
          </w:p>
        </w:tc>
        <w:tc>
          <w:tcPr>
            <w:tcW w:w="840" w:type="dxa"/>
            <w:vAlign w:val="bottom"/>
          </w:tcPr>
          <w:p>
            <w:pPr>
              <w:spacing w:after="0"/>
              <w:rPr>
                <w:sz w:val="24"/>
                <w:szCs w:val="24"/>
                <w:color w:val="auto"/>
              </w:rPr>
            </w:pPr>
          </w:p>
        </w:tc>
      </w:tr>
      <w:tr>
        <w:trPr>
          <w:trHeight w:val="224"/>
        </w:trPr>
        <w:tc>
          <w:tcPr>
            <w:tcW w:w="2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40" w:type="dxa"/>
            <w:vAlign w:val="bottom"/>
            <w:gridSpan w:val="2"/>
          </w:tcPr>
          <w:p>
            <w:pPr>
              <w:ind w:left="180"/>
              <w:spacing w:after="0"/>
              <w:rPr>
                <w:sz w:val="20"/>
                <w:szCs w:val="20"/>
                <w:color w:val="auto"/>
              </w:rPr>
            </w:pPr>
            <w:r>
              <w:rPr>
                <w:rFonts w:ascii="Arial" w:cs="Arial" w:eastAsia="Arial" w:hAnsi="Arial"/>
                <w:sz w:val="18"/>
                <w:szCs w:val="18"/>
                <w:color w:val="auto"/>
              </w:rPr>
              <w:t>Alan Heuberger</w:t>
            </w:r>
          </w:p>
        </w:tc>
        <w:tc>
          <w:tcPr>
            <w:tcW w:w="840" w:type="dxa"/>
            <w:vAlign w:val="bottom"/>
          </w:tcPr>
          <w:p>
            <w:pPr>
              <w:spacing w:after="0"/>
              <w:rPr>
                <w:sz w:val="19"/>
                <w:szCs w:val="19"/>
                <w:color w:val="auto"/>
              </w:rPr>
            </w:pPr>
          </w:p>
        </w:tc>
      </w:tr>
      <w:tr>
        <w:trPr>
          <w:trHeight w:val="134"/>
        </w:trPr>
        <w:tc>
          <w:tcPr>
            <w:tcW w:w="232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310" w:lineRule="exact"/>
        <w:rPr>
          <w:sz w:val="20"/>
          <w:szCs w:val="20"/>
          <w:color w:val="auto"/>
        </w:rPr>
      </w:pPr>
    </w:p>
    <w:p>
      <w:pPr>
        <w:jc w:val="both"/>
        <w:ind w:right="40"/>
        <w:spacing w:after="0" w:line="234"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This Amendment No. 2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284" w:lineRule="exact"/>
        <w:rPr>
          <w:sz w:val="20"/>
          <w:szCs w:val="20"/>
          <w:color w:val="auto"/>
        </w:rPr>
      </w:pPr>
    </w:p>
    <w:p>
      <w:pPr>
        <w:ind w:right="60"/>
        <w:spacing w:after="0" w:line="234" w:lineRule="auto"/>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Duly authorized under Special Limited Power of Attorney appointing Alan Heuberger attorney-in-fact, dated August 12, 2008, by and on behalf of Michael Larson, filed as Exhibit 99.1 to Amendment No. 1 to Cascade’s Schedule 13D with respect to Otter Tail Corporation on April 15, 2009, SEC File No. 005-06638 and incorporated by reference herein.</w:t>
      </w:r>
    </w:p>
    <w:p>
      <w:pPr>
        <w:spacing w:after="0" w:line="284" w:lineRule="exact"/>
        <w:rPr>
          <w:sz w:val="20"/>
          <w:szCs w:val="20"/>
          <w:color w:val="auto"/>
        </w:rPr>
      </w:pPr>
    </w:p>
    <w:p>
      <w:pPr>
        <w:ind w:right="60"/>
        <w:spacing w:after="0" w:line="234" w:lineRule="auto"/>
        <w:rPr>
          <w:sz w:val="20"/>
          <w:szCs w:val="20"/>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05-60431 and incorporated by reference herein.</w:t>
      </w:r>
    </w:p>
    <w:p>
      <w:pPr>
        <w:spacing w:after="0" w:line="284" w:lineRule="exact"/>
        <w:rPr>
          <w:sz w:val="20"/>
          <w:szCs w:val="20"/>
          <w:color w:val="auto"/>
        </w:rPr>
      </w:pPr>
    </w:p>
    <w:p>
      <w:pPr>
        <w:ind w:right="40" w:firstLine="36"/>
        <w:spacing w:after="0" w:line="234" w:lineRule="auto"/>
        <w:rPr>
          <w:sz w:val="20"/>
          <w:szCs w:val="20"/>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ectPr>
          <w:pgSz w:w="11900" w:h="16838" w:orient="portrait"/>
          <w:cols w:equalWidth="0" w:num="1">
            <w:col w:w="11420"/>
          </w:cols>
          <w:pgMar w:left="240" w:top="238"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110490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abstractNum>
  <w:abstractNum w:abstractNumId="2">
    <w:nsid w:val="109CF92E"/>
    <w:multiLevelType w:val="hybridMultilevel"/>
    <w:lvl w:ilvl="0">
      <w:lvlJc w:val="left"/>
      <w:lvlText w:val="%1."/>
      <w:numFmt w:val="decimal"/>
      <w:start w:val="9"/>
    </w:lvl>
  </w:abstractNum>
  <w:abstractNum w:abstractNumId="3">
    <w:nsid w:val="DED7263"/>
    <w:multiLevelType w:val="hybridMultilevel"/>
    <w:lvl w:ilvl="0">
      <w:lvlJc w:val="left"/>
      <w:lvlText w:val="%1."/>
      <w:numFmt w:val="decimal"/>
      <w:start w:val="10"/>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lvl w:ilvl="1">
      <w:lvlJc w:val="left"/>
      <w:lvlText w:val="(%2)"/>
      <w:numFmt w:val="lowerLetter"/>
      <w:start w:val="1"/>
    </w:lvl>
  </w:abstractNum>
  <w:abstractNum w:abstractNumId="6">
    <w:nsid w:val="41A7C4C9"/>
    <w:multiLevelType w:val="hybridMultilevel"/>
    <w:lvl w:ilvl="0">
      <w:lvlJc w:val="left"/>
      <w:lvlText w:val="%1."/>
      <w:numFmt w:val="decimal"/>
      <w:start w:val="9"/>
    </w:lvl>
  </w:abstractNum>
  <w:abstractNum w:abstractNumId="7">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4E6AFB66"/>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9">
    <w:nsid w:val="25E45D32"/>
    <w:multiLevelType w:val="hybridMultilevel"/>
    <w:lvl w:ilvl="0">
      <w:lvlJc w:val="left"/>
      <w:lvlText w:val="%1."/>
      <w:numFmt w:val="decimal"/>
      <w:start w:val="1"/>
    </w:lvl>
    <w:lvl w:ilvl="1">
      <w:lvlJc w:val="left"/>
      <w:lvlText w:val="(%2)"/>
      <w:numFmt w:val="lowerLetter"/>
      <w:start w:val="1"/>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
    </w:lvl>
    <w:lvl w:ilvl="1">
      <w:lvlJc w:val="left"/>
      <w:lvlText w:val="%2."/>
      <w:numFmt w:val="decimal"/>
      <w:start w:val="10"/>
    </w:lvl>
  </w:abstractNum>
  <w:abstractNum w:abstractNumId="12">
    <w:nsid w:val="3F2DBA31"/>
    <w:multiLevelType w:val="hybridMultilevel"/>
    <w:lvl w:ilvl="0">
      <w:lvlJc w:val="left"/>
      <w:lvlText w:val="(%1)"/>
      <w:numFmt w:val="decimal"/>
      <w:start w:val="1"/>
    </w:lvl>
    <w:lvl w:ilvl="1">
      <w:lvlJc w:val="left"/>
      <w:lvlText w:val="%2"/>
      <w:numFmt w:val="decimal"/>
      <w:start w:val="1"/>
    </w:lvl>
  </w:abstractNum>
  <w:abstractNum w:abstractNumId="13">
    <w:nsid w:val="7C83E458"/>
    <w:multiLevelType w:val="hybridMultilevel"/>
    <w:lvl w:ilvl="0">
      <w:lvlJc w:val="left"/>
      <w:lvlText w:val="%1."/>
      <w:numFmt w:val="decimal"/>
      <w:start w:val="1"/>
    </w:lvl>
    <w:lvl w:ilvl="1">
      <w:lvlJc w:val="left"/>
      <w:lvlText w:val="(%2)"/>
      <w:numFmt w:val="lowerLetter"/>
      <w:start w:val="1"/>
    </w:lvl>
  </w:abstractNum>
  <w:abstractNum w:abstractNumId="14">
    <w:nsid w:val="257130A3"/>
    <w:multiLevelType w:val="hybridMultilevel"/>
    <w:lvl w:ilvl="0">
      <w:lvlJc w:val="left"/>
      <w:lvlText w:val="%1."/>
      <w:numFmt w:val="decimal"/>
      <w:start w:val="9"/>
    </w:lvl>
  </w:abstractNum>
  <w:abstractNum w:abstractNumId="15">
    <w:nsid w:val="62BBD95A"/>
    <w:multiLevelType w:val="hybridMultilevel"/>
    <w:lvl w:ilvl="0">
      <w:lvlJc w:val="left"/>
      <w:lvlText w:val="%1"/>
      <w:numFmt w:val="decimal"/>
      <w:start w:val="1"/>
    </w:lvl>
    <w:lvl w:ilvl="1">
      <w:lvlJc w:val="left"/>
      <w:lvlText w:val="%2."/>
      <w:numFmt w:val="decimal"/>
      <w:start w:val="10"/>
    </w:lvl>
  </w:abstractNum>
  <w:abstractNum w:abstractNumId="16">
    <w:nsid w:val="436C6125"/>
    <w:multiLevelType w:val="hybridMultilevel"/>
    <w:lvl w:ilvl="0">
      <w:lvlJc w:val="left"/>
      <w:lvlText w:val="(%1)"/>
      <w:numFmt w:val="decimal"/>
      <w:start w:val="1"/>
    </w:lvl>
    <w:lvl w:ilvl="1">
      <w:lvlJc w:val="left"/>
      <w:lvlText w:val="%2"/>
      <w:numFmt w:val="decimal"/>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6763845E"/>
    <w:multiLevelType w:val="hybridMultilevel"/>
    <w:lvl w:ilvl="0">
      <w:lvlJc w:val="left"/>
      <w:lvlText w:val="(%1)"/>
      <w:numFmt w:val="lowerRoman"/>
      <w:start w:val="2"/>
    </w:lvl>
  </w:abstractNum>
  <w:abstractNum w:abstractNumId="23">
    <w:nsid w:val="75A2A8D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2019-12-06T02:08:06Z</dcterms:created>
  <dcterms:modified xsi:type="dcterms:W3CDTF">2019-12-06T02:08:06Z</dcterms:modified>
</cp:coreProperties>
</file>