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8,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513"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513"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51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 in Item 8.01 of this Current Report on Form 8-K under the heading “Issuance and Sale of Notes” is incorporated into this Item 1.01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On February 8, 2023, Waste Management, Inc. (the “Company”) commenced and priced an underwritten public offering of $750,000,000 aggregate principal amount of its 4.625% Senior Notes due 2030 and $500,000,000 aggregate principal amount of its 4.625% Senior Notes due 2033 (collectively, the “Notes”) under the Company’s Registration Statement on Form S-3 (No. 333-264493). The Notes, which will be fully and unconditionally guaranteed by the Company’s wholly-owned subsidiary Waste Management Holdings, Inc. (“WM Holdings”), will be sold pursuant to an underwriting agreement (the “Underwriting Agreement”) entered into on February 8, 2023 among the Company, WM Holdings and J.P. Morgan Securities LLC, Mizuho Securities USA LLC, SMBC Nikko Securities America, Inc. and Wells Fargo Securities, LLC, as representatives of the several underwriters named therein.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or one of their respective affiliates are lenders under the Company’s $3.5 billion revolving credit facility and $1.0 billion, two-year, U.S. term credit agreement. Also, because certain of the underwriters or their respective affiliates serve as dealers under the Company’s commercial paper program, they may receive a portion of the net proceeds of the offering of the Notes as customary dealer fees. Certain of the underwriters or one of their respective affiliates have, from time to time, performed, and may in the future perform, various financial advisory, investment banking, commercial services and brokerage services for the Company, for which they have received or will receive customary fees and expense reimbursements.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Underwriting Agreement is being filed as Exhibit 1.1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Notes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Closing of the issuance and sale of the Notes is expected to occur on February 15, 2023, subject to satisfaction of customary closing conditions. The Notes will be issued under an indenture dated as of September 10, 1997, between the Company and The Bank of New York Mellon Trust Company, N.A. (the current successor to Texas Commerce Bank National Association), as trustee (the “Indenture”). The terms of the Notes and the guarantees by WM Holdings will be set forth with respect to each series of Notes in an officers’ certificate (each, an “Officers’ Certificate”) of the Company delivered pursuant to the Indenture on the closing date and guarantee agreements (each, a “Guarantee Agreement”) by WM Holdings delivered on the closing date.</w:t>
      </w:r>
    </w:p>
    <w:p>
      <w:pPr>
        <w:spacing w:after="0" w:line="200" w:lineRule="exact"/>
        <w:rPr>
          <w:sz w:val="20"/>
          <w:szCs w:val="20"/>
          <w:color w:val="auto"/>
        </w:rPr>
      </w:pPr>
    </w:p>
    <w:p>
      <w:pPr>
        <w:spacing w:after="0" w:line="20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Copies of the Indenture and the forms of the Officers’ Certificates and the Guarantee Agreements are being filed as Exhibits 4.1, 4.2, 4.3, 4.6 and 4.7, respectively, to this Current Report on Form 8-K and are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8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Underwriting Agreement dated February 8, 2023 by and among the Company, WM Holdings and J.P. Morgan Securities LLC, Mizuho</w:t>
            </w:r>
          </w:p>
        </w:tc>
      </w:tr>
      <w:tr>
        <w:trPr>
          <w:trHeight w:val="196"/>
        </w:trPr>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Securities USA LLC, SMBC Nikko Securities America, Inc. and Wells Fargo Securities, LLC, as representatives of the several</w:t>
            </w:r>
          </w:p>
        </w:tc>
      </w:tr>
      <w:tr>
        <w:trPr>
          <w:trHeight w:val="196"/>
        </w:trPr>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underwriters named therein.</w:t>
            </w:r>
          </w:p>
        </w:tc>
      </w:tr>
      <w:tr>
        <w:trPr>
          <w:trHeight w:val="479"/>
        </w:trPr>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0000EE"/>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900" w:type="dxa"/>
            <w:vAlign w:val="bottom"/>
          </w:tcPr>
          <w:p>
            <w:pPr>
              <w:spacing w:after="0"/>
              <w:rPr>
                <w:sz w:val="17"/>
                <w:szCs w:val="17"/>
                <w:color w:val="auto"/>
              </w:rPr>
            </w:pPr>
          </w:p>
        </w:tc>
        <w:tc>
          <w:tcPr>
            <w:tcW w:w="101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Indenture dated September 10, 1997 by and between the Company and The Bank of New York Mellon Trust Company, N.A. (the current</w:t>
              </w:r>
            </w:hyperlink>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1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successor to Texas Commerce Bank National Association), as trustee, relating to senior debt securities of the Company (incorporated by</w:t>
              </w:r>
            </w:hyperlink>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100" w:type="dxa"/>
            <w:vAlign w:val="bottom"/>
            <w:gridSpan w:val="6"/>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reference to Exhibit 4.1 to Current Report on Form 8-K filed September 24, 1997).</w:t>
              </w:r>
            </w:hyperlink>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900" w:type="dxa"/>
            <w:vAlign w:val="bottom"/>
          </w:tcPr>
          <w:p>
            <w:pPr>
              <w:spacing w:after="0"/>
              <w:rPr>
                <w:sz w:val="17"/>
                <w:szCs w:val="17"/>
                <w:color w:val="auto"/>
              </w:rPr>
            </w:pPr>
          </w:p>
        </w:tc>
        <w:tc>
          <w:tcPr>
            <w:tcW w:w="10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4.625% Senior</w:t>
            </w: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due 2030.</w:t>
            </w:r>
          </w:p>
        </w:tc>
        <w:tc>
          <w:tcPr>
            <w:tcW w:w="8920" w:type="dxa"/>
            <w:vAlign w:val="bottom"/>
            <w:gridSpan w:val="5"/>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900" w:type="dxa"/>
            <w:vAlign w:val="bottom"/>
          </w:tcPr>
          <w:p>
            <w:pPr>
              <w:spacing w:after="0"/>
              <w:rPr>
                <w:sz w:val="17"/>
                <w:szCs w:val="17"/>
                <w:color w:val="auto"/>
              </w:rPr>
            </w:pPr>
          </w:p>
        </w:tc>
        <w:tc>
          <w:tcPr>
            <w:tcW w:w="10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4.625% Senior</w:t>
            </w: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due 2033.</w:t>
            </w:r>
          </w:p>
        </w:tc>
        <w:tc>
          <w:tcPr>
            <w:tcW w:w="8920" w:type="dxa"/>
            <w:vAlign w:val="bottom"/>
            <w:gridSpan w:val="5"/>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900" w:type="dxa"/>
            <w:vAlign w:val="bottom"/>
          </w:tcPr>
          <w:p>
            <w:pPr>
              <w:spacing w:after="0"/>
              <w:rPr>
                <w:sz w:val="17"/>
                <w:szCs w:val="17"/>
                <w:color w:val="auto"/>
              </w:rPr>
            </w:pPr>
          </w:p>
        </w:tc>
        <w:tc>
          <w:tcPr>
            <w:tcW w:w="5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4.625% Senior Note due 2030 (included in Exhibit 4.2 above).</w:t>
            </w:r>
          </w:p>
        </w:tc>
        <w:tc>
          <w:tcPr>
            <w:tcW w:w="4960" w:type="dxa"/>
            <w:vAlign w:val="bottom"/>
            <w:gridSpan w:val="3"/>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p>
        </w:tc>
        <w:tc>
          <w:tcPr>
            <w:tcW w:w="900" w:type="dxa"/>
            <w:vAlign w:val="bottom"/>
          </w:tcPr>
          <w:p>
            <w:pPr>
              <w:spacing w:after="0"/>
              <w:rPr>
                <w:sz w:val="17"/>
                <w:szCs w:val="17"/>
                <w:color w:val="auto"/>
              </w:rPr>
            </w:pPr>
          </w:p>
        </w:tc>
        <w:tc>
          <w:tcPr>
            <w:tcW w:w="5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4.625% Senior Note due 2033 (included in Exhibit 4.3 above).</w:t>
            </w:r>
          </w:p>
        </w:tc>
        <w:tc>
          <w:tcPr>
            <w:tcW w:w="4960" w:type="dxa"/>
            <w:vAlign w:val="bottom"/>
            <w:gridSpan w:val="3"/>
          </w:tcPr>
          <w:p>
            <w:pPr>
              <w:spacing w:after="0"/>
              <w:rPr>
                <w:sz w:val="17"/>
                <w:szCs w:val="17"/>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p>
        </w:tc>
        <w:tc>
          <w:tcPr>
            <w:tcW w:w="90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 of Guarantee Agreement by WM Holdings in favor of the holders of the Company’s 4.625% Senior Notes due 2030.</w:t>
            </w:r>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6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p>
        </w:tc>
        <w:tc>
          <w:tcPr>
            <w:tcW w:w="90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 of Guarantee Agreement by WM Holdings in favor of the holders of the Company’s 4.625% Senior Notes due 2033.</w:t>
            </w:r>
          </w:p>
        </w:tc>
      </w:tr>
      <w:tr>
        <w:trPr>
          <w:trHeight w:val="196"/>
        </w:trPr>
        <w:tc>
          <w:tcPr>
            <w:tcW w:w="24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900" w:type="dxa"/>
            <w:vAlign w:val="bottom"/>
          </w:tcPr>
          <w:p>
            <w:pPr>
              <w:spacing w:after="0"/>
              <w:rPr>
                <w:sz w:val="17"/>
                <w:szCs w:val="17"/>
                <w:color w:val="auto"/>
              </w:rPr>
            </w:pPr>
          </w:p>
        </w:tc>
        <w:tc>
          <w:tcPr>
            <w:tcW w:w="88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Opinion of Baker Botts L.L.P.</w:t>
            </w:r>
          </w:p>
        </w:tc>
        <w:tc>
          <w:tcPr>
            <w:tcW w:w="1280" w:type="dxa"/>
            <w:vAlign w:val="bottom"/>
          </w:tcPr>
          <w:p>
            <w:pPr>
              <w:spacing w:after="0"/>
              <w:rPr>
                <w:sz w:val="17"/>
                <w:szCs w:val="17"/>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r>
      <w:tr>
        <w:trPr>
          <w:trHeight w:val="2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64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2023</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Charles C. Boettcher</w:t>
            </w:r>
          </w:p>
        </w:tc>
      </w:tr>
      <w:tr>
        <w:trPr>
          <w:trHeight w:val="191"/>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3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aste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$750,000,000 4.625% Senior Notes due 2030</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$500,000,000 4.625% Senior Notes due 2033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Representatives named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Mizuho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SMBC Nikko Securities America,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Waste Management,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sell to the several underwriters named in Schedule II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$750,000,000 aggregate principal amount of 4.625% Senior Notes due 2030 (the “</w:t>
      </w:r>
      <w:r>
        <w:rPr>
          <w:rFonts w:ascii="Times New Roman" w:cs="Times New Roman" w:eastAsia="Times New Roman" w:hAnsi="Times New Roman"/>
          <w:sz w:val="18"/>
          <w:szCs w:val="18"/>
          <w:u w:val="single" w:color="auto"/>
          <w:color w:val="auto"/>
        </w:rPr>
        <w:t>2030 Notes</w:t>
      </w:r>
      <w:r>
        <w:rPr>
          <w:rFonts w:ascii="Times New Roman" w:cs="Times New Roman" w:eastAsia="Times New Roman" w:hAnsi="Times New Roman"/>
          <w:sz w:val="18"/>
          <w:szCs w:val="18"/>
          <w:color w:val="auto"/>
        </w:rPr>
        <w:t>”) and $500,000,000 aggregate principal amount of 4.625% Senior Notes due 2033 (the “</w:t>
      </w:r>
      <w:r>
        <w:rPr>
          <w:rFonts w:ascii="Times New Roman" w:cs="Times New Roman" w:eastAsia="Times New Roman" w:hAnsi="Times New Roman"/>
          <w:sz w:val="18"/>
          <w:szCs w:val="18"/>
          <w:u w:val="single" w:color="auto"/>
          <w:color w:val="auto"/>
        </w:rPr>
        <w:t>2033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together with the 2030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September 10, 1997, between the Company and The Bank of New York Mellon Trust Company, N.A. (as the current successor to the initial trustee, Texas Commerce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to be guaranteed on a senior unsecured basis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by Waste Management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pursuant to guarantees (the “</w:t>
      </w:r>
      <w:r>
        <w:rPr>
          <w:rFonts w:ascii="Times New Roman" w:cs="Times New Roman" w:eastAsia="Times New Roman" w:hAnsi="Times New Roman"/>
          <w:sz w:val="18"/>
          <w:szCs w:val="18"/>
          <w:u w:val="single" w:color="auto"/>
          <w:color w:val="auto"/>
        </w:rPr>
        <w:t>Guarantee Agreements</w:t>
      </w:r>
      <w:r>
        <w:rPr>
          <w:rFonts w:ascii="Times New Roman" w:cs="Times New Roman" w:eastAsia="Times New Roman" w:hAnsi="Times New Roman"/>
          <w:sz w:val="18"/>
          <w:szCs w:val="18"/>
          <w:color w:val="auto"/>
        </w:rPr>
        <w:t>”) in favor of the holders of the Notes to be dated as of the Closing Date (as defined in Section 3 hereof). The Notes and the Guarantees are sometimes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At or prior to the Time of Sale, the Company had prepared the following information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the Preliminary Prospectus and each “free-writing prospectus” (as defined pursuant to Rule 405 under the Act) listed on Annex A hereto.</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Each of the Company and Holdings represents and warrants to, and agrees with, each Underwriter as set forth below in this Section 1.</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The Company meets the requirements for use of Form S-3 under the Act and has prepared and filed with the Commission a registration statement (File Number 333-264493) on Form S-3, including a related base prospectus, for registration under the Act of the offering and sale of the Securities. The Registration Statement is an “automatic shelf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194"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representations or warranties as to (i) that part of the Registration Statement which shall constitute the Statement of Eligibility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18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(d)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other than (i) any document not constituting a prospectus pursuant to Section 2(a)(10)(a) of the Act or Rule 134 under the Act,</w:t>
      </w:r>
    </w:p>
    <w:p>
      <w:pPr>
        <w:spacing w:after="0" w:line="3" w:lineRule="exact"/>
        <w:rPr>
          <w:sz w:val="20"/>
          <w:szCs w:val="20"/>
          <w:color w:val="auto"/>
        </w:rPr>
      </w:pPr>
    </w:p>
    <w:p>
      <w:pPr>
        <w:jc w:val="both"/>
        <w:ind w:left="4" w:hanging="4"/>
        <w:spacing w:after="0" w:line="251" w:lineRule="auto"/>
        <w:tabs>
          <w:tab w:leader="none" w:pos="2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Preliminary Prospectus, (iii) the Final Prospectus, (iv) the documents listed on Annex A hereto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The Guarantee Agreements have been duly authorized and, when executed and delivered by Holdings against payment for the Notes in accordance with the terms thereof, will have been validly executed and delivered, and will constitute valid and binding agreements of Holdings, enforceable against Holdings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Guarantees conform to the description thereof in the Registration Statement, the Time of Sale Information and the Final Prospectus.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              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             Each of the Company’s “significant subsidiaries” (as such term is defined in Regulation S-X under the Exchange Act)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is included in the list of subsidiaries on Exhibit 21.1 of the Annual Report on Form 10-K for the year ended December 31, 2022,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8"/>
          <w:szCs w:val="18"/>
          <w:color w:val="auto"/>
        </w:rPr>
        <w:t>(m)            This Agreement has been duly and validly authorized, executed and delivered by the Company and Holdings.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             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the Representatives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             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             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(q)             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              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             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              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             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             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            The consolidated historical financial statements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(x)     </w:t>
      </w:r>
      <w:r>
        <w:rPr>
          <w:rFonts w:ascii="Times New Roman" w:cs="Times New Roman" w:eastAsia="Times New Roman" w:hAnsi="Times New Roman"/>
          <w:sz w:val="5"/>
          <w:szCs w:val="5"/>
          <w:color w:val="auto"/>
        </w:rPr>
        <w:t> </w:t>
      </w:r>
      <w:r>
        <w:rPr>
          <w:rFonts w:ascii="Times New Roman" w:cs="Times New Roman" w:eastAsia="Times New Roman" w:hAnsi="Times New Roman"/>
          <w:sz w:val="17"/>
          <w:szCs w:val="17"/>
          <w:color w:val="auto"/>
        </w:rPr>
        <w:t>        Ernst &amp; Young LLP, who have audited certain financial statements of the Company and its consolidated subsidiaries and delivered their report with respect to the audited consolidated financial statements included in the Registration Statement, the Time of Sale Information and the Final Prospectus, are an independent registered public accounting firm with respect to the Company within the applicable rules and regulations adopted by the Commission and the Public Company Accounting Oversight Board (United States) and as required by the Act.</w:t>
      </w:r>
    </w:p>
    <w:p>
      <w:pPr>
        <w:spacing w:after="0" w:line="1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             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(z)             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(aa)           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 directors are in full force and effect; (iii) the Company and its Subsidiaries are in compliance with the terms of such policies and instruments;</w:t>
      </w:r>
    </w:p>
    <w:p>
      <w:pPr>
        <w:spacing w:after="0" w:line="3" w:lineRule="exact"/>
        <w:rPr>
          <w:sz w:val="20"/>
          <w:szCs w:val="20"/>
          <w:color w:val="auto"/>
        </w:rPr>
      </w:pPr>
    </w:p>
    <w:p>
      <w:pPr>
        <w:jc w:val="both"/>
        <w:ind w:left="4" w:hanging="4"/>
        <w:spacing w:after="0" w:line="251" w:lineRule="auto"/>
        <w:tabs>
          <w:tab w:leader="none" w:pos="3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194"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(bb)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183"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(cc)           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187"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(dd)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w:t>
      </w:r>
    </w:p>
    <w:p>
      <w:pPr>
        <w:spacing w:after="0" w:line="3" w:lineRule="exact"/>
        <w:rPr>
          <w:sz w:val="20"/>
          <w:szCs w:val="20"/>
          <w:color w:val="auto"/>
        </w:rPr>
      </w:pPr>
    </w:p>
    <w:p>
      <w:pPr>
        <w:ind w:left="4" w:right="20" w:hanging="4"/>
        <w:spacing w:after="0" w:line="26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w:t>
      </w: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(ee)           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(ff)             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(gg)           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(hh)           Except as would not have a Material Adverse Effect, each of the Company and its subsidiaries has fulfilled its obligations, if any, under the minimum funding standards of Section 302 of the United States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(ii)             No holders of securities of the Company or Holdings have rights to the registration of such securities under the Registration Statement.</w:t>
      </w:r>
    </w:p>
    <w:p>
      <w:pPr>
        <w:spacing w:after="0" w:line="16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(jj)             The principal executive officer and principal financial officer of the Company have made all certifications required by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83"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(kk)           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 covered by the Company’s Annual Report on Form 10-K for the year ended December 31, 2022; (ii) have been evaluated for effectiveness as of the end of the period covered by the Company’s Annual Report on Form 10-K for the year ended December 31, 2022 pursuant to Rule 13a-15 of the Exchange Act; and (iii) are effective to ensure that the Company is able to collect, process and disclose the information required to be disclosed in reports filed with the Commission within required time periods.</w:t>
      </w:r>
    </w:p>
    <w:p>
      <w:pPr>
        <w:spacing w:after="0" w:line="189"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(ll)             Based on the evaluation of its disclosure controls and procedures as of the end of the period covered by the Company’s Annual Report on Form 10-K for the year ended December 31, 2022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w:t>
      </w:r>
    </w:p>
    <w:p>
      <w:pPr>
        <w:spacing w:after="0" w:line="3" w:lineRule="exact"/>
        <w:rPr>
          <w:sz w:val="20"/>
          <w:szCs w:val="20"/>
          <w:color w:val="auto"/>
        </w:rPr>
      </w:pPr>
    </w:p>
    <w:p>
      <w:pPr>
        <w:ind w:left="4" w:right="20" w:hanging="4"/>
        <w:spacing w:after="0" w:line="260" w:lineRule="auto"/>
        <w:tabs>
          <w:tab w:leader="none" w:pos="2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controls of the Company.</w:t>
      </w:r>
    </w:p>
    <w:p>
      <w:pPr>
        <w:spacing w:after="0" w:line="181"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(mm)         The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(nn)           Since December 31, 2022, there have been no significant changes in internal controls or in other factors that could significantly affect the Company’s internal controls over financial reporting.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(oo)           Other than Holdings, no subsidiary of the Company has guaranteed any outstanding senior indebtedness of the Company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guarantees made in the ordinary course of business.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(pp)           The Company is not an ineligible issuer and is a well-known seasoned issuer, in each case as defined under the Act, in each case at the times specified in the Act in connection with the offering of the Securities.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(qq)           None of the Company, any of its subsidiaries or, to the knowledge of the Company, any director, officer, agent, employee or affiliate of the Company or any of its subsidiaries is aware of or has taken any action, directly or indirectly, that would result in a violation by such persons or entities of the Foreign Corrupt Practices Act of 1977, as amended, and the rules and regulations thereunder, any applicable law or regulation implementing the OECD Convention on Combating Bribery of Foreign Public Officials in International Business Transactions, the Bribery Act 2010 of the United Kingdom or any other applicable anti-bribery or anti-corruption law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without limitation, making or taking an act in furtherance of an offer, payment, promise to pay or authorization of the payment of any money, or other property, gift, promise to give, or authorization of the giving of anything of value to any foreign or domestic government official or employee, foreign political party or official thereof or candidate for foreign political office, in contravention of the Anti-Corruption Laws. The Company,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(rr)             None of the Company, any of its subsidiaries or, to the knowledge of the Company, any director, officer, agent, employee or affiliate of the Company or any of its subsidiaries is currently subject to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the so-called Donetsk People’s Republic and the so-called Luhansk People’s Republic of Ukraine, the Crimea region of Ukraine, the non-government controlled areas of the Kherson and the Zaporizhzhia regions of Ukraine, Russia, Cuba, Iran, North Korea and Syria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that, at the time of such funding, is the subject or target of Sanctions, or (ii) to fund any activities of or business in any Sanctioned Country.</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(ss)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17"/>
          <w:szCs w:val="17"/>
          <w:color w:val="auto"/>
        </w:rPr>
        <w:t>(tt)             Except as would not, individually or in the aggregate, reasonably be expected to result in a Material Adverse Effect,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are reasonably believed by the Company to be adequate for, and operate and perform as required in connection with, the operation of the business of the Company and its subsidiaries as currently conducted. The Company and its subsidiaries have implemented, and continue to monitor and develop, commercially reasonable controls, policies, procedures, and safeguards to prevent, detect, and address the risk of unauthorized use, misuse, intrusion and similar events involving the IT Systems and data (including all personal, personally identifiable, sensitive, confidential or regulated data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used in connection with their businesses. To the knowledge of the Company, there have been no breaches or unauthorized uses of or accesses to the IT Systems or Personal Data, and no such incidents are under internal investigation, that individually or in the aggregate, have, or would reasonably be expected to result in, a Material Adverse Effect.</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Purchase and Sale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(i) 99.458% of the principal amount of the 2030 Notes and (ii) 99.176% of the principal amount of the 2033 Notes, plus, in each case, accrued interest, if any, from February 15, 2023 to the Closing Date, the principal amount of the Notes set forth opposite such Underwriter’s name in Schedule II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Delivery and Payment</w:t>
      </w:r>
      <w:r>
        <w:rPr>
          <w:rFonts w:ascii="Times New Roman" w:cs="Times New Roman" w:eastAsia="Times New Roman" w:hAnsi="Times New Roman"/>
          <w:sz w:val="18"/>
          <w:szCs w:val="18"/>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Agreements</w:t>
      </w:r>
      <w:r>
        <w:rPr>
          <w:rFonts w:ascii="Times New Roman" w:cs="Times New Roman" w:eastAsia="Times New Roman" w:hAnsi="Times New Roman"/>
          <w:sz w:val="18"/>
          <w:szCs w:val="18"/>
          <w:color w:val="auto"/>
        </w:rPr>
        <w:t>. The Company agrees with the several Underwriters that: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(b)             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192" w:lineRule="exact"/>
        <w:rPr>
          <w:sz w:val="20"/>
          <w:szCs w:val="20"/>
          <w:color w:val="auto"/>
        </w:rPr>
      </w:pPr>
    </w:p>
    <w:p>
      <w:pPr>
        <w:jc w:val="both"/>
        <w:ind w:left="4" w:firstLine="648"/>
        <w:spacing w:after="0" w:line="267" w:lineRule="auto"/>
        <w:rPr>
          <w:sz w:val="20"/>
          <w:szCs w:val="20"/>
          <w:color w:val="auto"/>
        </w:rPr>
      </w:pPr>
      <w:r>
        <w:rPr>
          <w:rFonts w:ascii="Times New Roman" w:cs="Times New Roman" w:eastAsia="Times New Roman" w:hAnsi="Times New Roman"/>
          <w:sz w:val="17"/>
          <w:szCs w:val="17"/>
          <w:color w:val="auto"/>
        </w:rPr>
        <w:t>(c)             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w:t>
      </w:r>
    </w:p>
    <w:p>
      <w:pPr>
        <w:spacing w:after="0" w:line="5" w:lineRule="exact"/>
        <w:rPr>
          <w:sz w:val="20"/>
          <w:szCs w:val="20"/>
          <w:color w:val="auto"/>
        </w:rPr>
      </w:pPr>
    </w:p>
    <w:p>
      <w:pPr>
        <w:jc w:val="both"/>
        <w:ind w:left="4" w:hanging="4"/>
        <w:spacing w:after="0" w:line="255"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186"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(d)             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8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(h)             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Closing Date.</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(j)              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(k)             The Company will, pursuant to reasonable procedures developed in good faith, retain copies of each Issuer Free Writing Prospectus that is not filed with the Commission in accordance with Rule 433 under the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Act, (ii) any Issuer Free Writing Prospectus listed on Annex A or prepared pursuant to Section 1(d) or Section 5(b) above (including any electronic road show), or (iii) any free writing prospectus prepared by such Underwriter and approved by the Company in advance in writing. Notwithstanding the foregoing, the Underwriters may use a term sheet substantially in the form of Schedule I hereto without the consent of the Company.</w:t>
      </w:r>
    </w:p>
    <w:p>
      <w:pPr>
        <w:spacing w:after="0" w:line="19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It is not subject to any pending proceeding under Section 8A of the Act with respect to the offering of the Securities (and will promptly notify the Company if any such proceeding against it is initiated during the Prospectus Delivery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(b)             The Company shall have requested and caused Baker Botts L.L.P., counsel for the Company and Holdings, to have furnished to the Representatives their opinion, dated the Closing Date and addressed to the Representatives, to the effect that:</w:t>
      </w:r>
    </w:p>
    <w:p>
      <w:pPr>
        <w:spacing w:after="0" w:line="162" w:lineRule="exact"/>
        <w:rPr>
          <w:sz w:val="20"/>
          <w:szCs w:val="20"/>
          <w:color w:val="auto"/>
        </w:rPr>
      </w:pPr>
    </w:p>
    <w:p>
      <w:pPr>
        <w:jc w:val="both"/>
        <w:ind w:left="640" w:firstLine="713"/>
        <w:spacing w:after="0" w:line="261" w:lineRule="auto"/>
        <w:rPr>
          <w:sz w:val="20"/>
          <w:szCs w:val="20"/>
          <w:color w:val="auto"/>
        </w:rPr>
      </w:pPr>
      <w:r>
        <w:rPr>
          <w:rFonts w:ascii="Times New Roman" w:cs="Times New Roman" w:eastAsia="Times New Roman" w:hAnsi="Times New Roman"/>
          <w:sz w:val="18"/>
          <w:szCs w:val="18"/>
          <w:color w:val="auto"/>
        </w:rPr>
        <w:t>(i)           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(ii)          this Agreement has been duly authorized, executed and delivered by the Company and Holdings;</w:t>
      </w:r>
    </w:p>
    <w:p>
      <w:pPr>
        <w:spacing w:after="0" w:line="225" w:lineRule="exact"/>
        <w:rPr>
          <w:sz w:val="20"/>
          <w:szCs w:val="20"/>
          <w:color w:val="auto"/>
        </w:rPr>
      </w:pPr>
    </w:p>
    <w:p>
      <w:pPr>
        <w:jc w:val="both"/>
        <w:ind w:left="640" w:firstLine="713"/>
        <w:spacing w:after="0" w:line="256" w:lineRule="auto"/>
        <w:rPr>
          <w:sz w:val="20"/>
          <w:szCs w:val="20"/>
          <w:color w:val="auto"/>
        </w:rPr>
      </w:pPr>
      <w:r>
        <w:rPr>
          <w:rFonts w:ascii="Times New Roman" w:cs="Times New Roman" w:eastAsia="Times New Roman" w:hAnsi="Times New Roman"/>
          <w:sz w:val="18"/>
          <w:szCs w:val="18"/>
          <w:color w:val="auto"/>
        </w:rPr>
        <w:t>(iii)         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87" w:lineRule="exact"/>
        <w:rPr>
          <w:sz w:val="20"/>
          <w:szCs w:val="20"/>
          <w:color w:val="auto"/>
        </w:rPr>
      </w:pPr>
    </w:p>
    <w:p>
      <w:pPr>
        <w:jc w:val="both"/>
        <w:ind w:left="640" w:firstLine="713"/>
        <w:spacing w:after="0" w:line="254" w:lineRule="auto"/>
        <w:rPr>
          <w:sz w:val="20"/>
          <w:szCs w:val="20"/>
          <w:color w:val="auto"/>
        </w:rPr>
      </w:pPr>
      <w:r>
        <w:rPr>
          <w:rFonts w:ascii="Times New Roman" w:cs="Times New Roman" w:eastAsia="Times New Roman" w:hAnsi="Times New Roman"/>
          <w:sz w:val="18"/>
          <w:szCs w:val="18"/>
          <w:color w:val="auto"/>
        </w:rPr>
        <w:t>(iv)         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192" w:lineRule="exact"/>
        <w:rPr>
          <w:sz w:val="20"/>
          <w:szCs w:val="20"/>
          <w:color w:val="auto"/>
        </w:rPr>
      </w:pPr>
    </w:p>
    <w:p>
      <w:pPr>
        <w:jc w:val="both"/>
        <w:ind w:left="640" w:firstLine="713"/>
        <w:spacing w:after="0" w:line="254" w:lineRule="auto"/>
        <w:rPr>
          <w:sz w:val="20"/>
          <w:szCs w:val="20"/>
          <w:color w:val="auto"/>
        </w:rPr>
      </w:pPr>
      <w:r>
        <w:rPr>
          <w:rFonts w:ascii="Times New Roman" w:cs="Times New Roman" w:eastAsia="Times New Roman" w:hAnsi="Times New Roman"/>
          <w:sz w:val="18"/>
          <w:szCs w:val="18"/>
          <w:color w:val="auto"/>
        </w:rPr>
        <w:t>(v)          the Guarantee Agreements have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Agreements constitute valid and binding agreements of Holdings, enforceable against Holdings in accordance with their respective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ind w:left="90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225" w:lineRule="exact"/>
        <w:rPr>
          <w:sz w:val="20"/>
          <w:szCs w:val="20"/>
          <w:color w:val="auto"/>
        </w:rPr>
      </w:pPr>
    </w:p>
    <w:p>
      <w:pPr>
        <w:jc w:val="both"/>
        <w:ind w:left="180" w:right="20" w:firstLine="713"/>
        <w:spacing w:after="0" w:line="282" w:lineRule="auto"/>
        <w:rPr>
          <w:sz w:val="20"/>
          <w:szCs w:val="20"/>
          <w:color w:val="auto"/>
        </w:rPr>
      </w:pPr>
      <w:r>
        <w:rPr>
          <w:rFonts w:ascii="Times New Roman" w:cs="Times New Roman" w:eastAsia="Times New Roman" w:hAnsi="Times New Roman"/>
          <w:sz w:val="18"/>
          <w:szCs w:val="18"/>
          <w:color w:val="auto"/>
        </w:rPr>
        <w:t>(vii)        the Securities and the Indenture conform as to legal matters in all material respects to the descriptions thereof contained in the Registration Statement, the Time of Sale Information and the Final Prospectus;</w:t>
      </w:r>
    </w:p>
    <w:p>
      <w:pPr>
        <w:spacing w:after="0" w:line="162" w:lineRule="exact"/>
        <w:rPr>
          <w:sz w:val="20"/>
          <w:szCs w:val="20"/>
          <w:color w:val="auto"/>
        </w:rPr>
      </w:pPr>
    </w:p>
    <w:p>
      <w:pPr>
        <w:jc w:val="both"/>
        <w:ind w:left="180" w:firstLine="713"/>
        <w:spacing w:after="0" w:line="261" w:lineRule="auto"/>
        <w:rPr>
          <w:sz w:val="20"/>
          <w:szCs w:val="20"/>
          <w:color w:val="auto"/>
        </w:rPr>
      </w:pPr>
      <w:r>
        <w:rPr>
          <w:rFonts w:ascii="Times New Roman" w:cs="Times New Roman" w:eastAsia="Times New Roman" w:hAnsi="Times New Roman"/>
          <w:sz w:val="18"/>
          <w:szCs w:val="18"/>
          <w:color w:val="auto"/>
        </w:rPr>
        <w:t>(viii)       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80" w:lineRule="exact"/>
        <w:rPr>
          <w:sz w:val="20"/>
          <w:szCs w:val="20"/>
          <w:color w:val="auto"/>
        </w:rPr>
      </w:pPr>
    </w:p>
    <w:p>
      <w:pPr>
        <w:jc w:val="both"/>
        <w:ind w:left="180" w:firstLine="713"/>
        <w:spacing w:after="0" w:line="261" w:lineRule="auto"/>
        <w:rPr>
          <w:sz w:val="20"/>
          <w:szCs w:val="20"/>
          <w:color w:val="auto"/>
        </w:rPr>
      </w:pPr>
      <w:r>
        <w:rPr>
          <w:rFonts w:ascii="Times New Roman" w:cs="Times New Roman" w:eastAsia="Times New Roman" w:hAnsi="Times New Roman"/>
          <w:sz w:val="18"/>
          <w:szCs w:val="18"/>
          <w:color w:val="auto"/>
        </w:rPr>
        <w:t>(ix)          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180" w:lineRule="exact"/>
        <w:rPr>
          <w:sz w:val="20"/>
          <w:szCs w:val="20"/>
          <w:color w:val="auto"/>
        </w:rPr>
      </w:pPr>
    </w:p>
    <w:p>
      <w:pPr>
        <w:jc w:val="both"/>
        <w:ind w:left="180" w:firstLine="713"/>
        <w:spacing w:after="0" w:line="258" w:lineRule="auto"/>
        <w:rPr>
          <w:sz w:val="20"/>
          <w:szCs w:val="20"/>
          <w:color w:val="auto"/>
        </w:rPr>
      </w:pPr>
      <w:r>
        <w:rPr>
          <w:rFonts w:ascii="Times New Roman" w:cs="Times New Roman" w:eastAsia="Times New Roman" w:hAnsi="Times New Roman"/>
          <w:sz w:val="18"/>
          <w:szCs w:val="18"/>
          <w:color w:val="auto"/>
        </w:rPr>
        <w:t>(x)           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the express terms of any agreement set forth on Annex B hereto (the “</w:t>
      </w:r>
      <w:r>
        <w:rPr>
          <w:rFonts w:ascii="Times New Roman" w:cs="Times New Roman" w:eastAsia="Times New Roman" w:hAnsi="Times New Roman"/>
          <w:sz w:val="18"/>
          <w:szCs w:val="18"/>
          <w:u w:val="single" w:color="auto"/>
          <w:color w:val="auto"/>
        </w:rPr>
        <w:t>Reviewed Agreements</w:t>
      </w:r>
      <w:r>
        <w:rPr>
          <w:rFonts w:ascii="Times New Roman" w:cs="Times New Roman" w:eastAsia="Times New Roman" w:hAnsi="Times New Roman"/>
          <w:sz w:val="18"/>
          <w:szCs w:val="18"/>
          <w:color w:val="auto"/>
        </w:rPr>
        <w:t>”), or any existing applicable laws, rule or regulation (excluding any state securities or state or federal anti-fraud law, rule or regulation);</w:t>
      </w:r>
    </w:p>
    <w:p>
      <w:pPr>
        <w:spacing w:after="0" w:line="183" w:lineRule="exact"/>
        <w:rPr>
          <w:sz w:val="20"/>
          <w:szCs w:val="20"/>
          <w:color w:val="auto"/>
        </w:rPr>
      </w:pPr>
    </w:p>
    <w:p>
      <w:pPr>
        <w:jc w:val="both"/>
        <w:ind w:left="180" w:firstLine="713"/>
        <w:spacing w:after="0" w:line="261" w:lineRule="auto"/>
        <w:rPr>
          <w:sz w:val="20"/>
          <w:szCs w:val="20"/>
          <w:color w:val="auto"/>
        </w:rPr>
      </w:pPr>
      <w:r>
        <w:rPr>
          <w:rFonts w:ascii="Times New Roman" w:cs="Times New Roman" w:eastAsia="Times New Roman" w:hAnsi="Times New Roman"/>
          <w:sz w:val="18"/>
          <w:szCs w:val="18"/>
          <w:color w:val="auto"/>
        </w:rPr>
        <w:t>(xi)          the statements set forth in the Preliminary Prospectus and the Final Prospectus under the heading “Certain U.S. Federal Tax Considerations for Non-U.S. Holders,” insofar as such statements purport to constitute a summary of matters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ind w:left="640" w:firstLine="713"/>
        <w:spacing w:after="0" w:line="282" w:lineRule="auto"/>
        <w:rPr>
          <w:sz w:val="20"/>
          <w:szCs w:val="20"/>
          <w:color w:val="auto"/>
        </w:rPr>
      </w:pPr>
      <w:r>
        <w:rPr>
          <w:rFonts w:ascii="Times New Roman" w:cs="Times New Roman" w:eastAsia="Times New Roman" w:hAnsi="Times New Roman"/>
          <w:sz w:val="18"/>
          <w:szCs w:val="18"/>
          <w:color w:val="auto"/>
        </w:rPr>
        <w:t>(xii)         neither the Company nor Holdings is an “investment company” or an entity “controlled” by an “investment company,” as such terms are defined in the 1940 Act.</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Closing Date, appear on their face to be appropriately responsive in all material respects to the requirements of the Act and the rules and regulations of the Commission thereunder; and (b) nothing came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it being understood that in each case such counsel has not been asked to, and does not, express any belief with respect to (x) the financial statements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rendering such opinions, such counsel may (A) state that the opinions are limited in all respects to matters of the contract law of the State of New York, the General Corporation Law of the State of Delaware and applicable federal laws of the United States, each as in effect on the Closing Date,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7"/>
          <w:szCs w:val="17"/>
          <w:color w:val="auto"/>
        </w:rPr>
        <w:t>(c)             Courtney A. Tippy, General Counsel – Securities &amp; Governance, Corporate Secretary of the Company, shall have furnished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her opinion, dated the Closing Date and addressed to the Representatives, to the effect that:</w:t>
      </w:r>
    </w:p>
    <w:p>
      <w:pPr>
        <w:spacing w:after="0" w:line="207" w:lineRule="exact"/>
        <w:rPr>
          <w:sz w:val="20"/>
          <w:szCs w:val="20"/>
          <w:color w:val="auto"/>
        </w:rPr>
      </w:pPr>
    </w:p>
    <w:p>
      <w:pPr>
        <w:jc w:val="both"/>
        <w:ind w:left="640" w:firstLine="713"/>
        <w:spacing w:after="0" w:line="254" w:lineRule="auto"/>
        <w:rPr>
          <w:sz w:val="20"/>
          <w:szCs w:val="20"/>
          <w:color w:val="auto"/>
        </w:rPr>
      </w:pPr>
      <w:r>
        <w:rPr>
          <w:rFonts w:ascii="Times New Roman" w:cs="Times New Roman" w:eastAsia="Times New Roman" w:hAnsi="Times New Roman"/>
          <w:sz w:val="18"/>
          <w:szCs w:val="18"/>
          <w:color w:val="auto"/>
        </w:rPr>
        <w:t>(i)           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192" w:lineRule="exact"/>
        <w:rPr>
          <w:sz w:val="20"/>
          <w:szCs w:val="20"/>
          <w:color w:val="auto"/>
        </w:rPr>
      </w:pPr>
    </w:p>
    <w:p>
      <w:pPr>
        <w:jc w:val="both"/>
        <w:ind w:left="640" w:firstLine="713"/>
        <w:spacing w:after="0" w:line="256" w:lineRule="auto"/>
        <w:rPr>
          <w:sz w:val="20"/>
          <w:szCs w:val="20"/>
          <w:color w:val="auto"/>
        </w:rPr>
      </w:pPr>
      <w:r>
        <w:rPr>
          <w:rFonts w:ascii="Times New Roman" w:cs="Times New Roman" w:eastAsia="Times New Roman" w:hAnsi="Times New Roman"/>
          <w:sz w:val="18"/>
          <w:szCs w:val="18"/>
          <w:color w:val="auto"/>
        </w:rPr>
        <w:t>(ii)          the documents incorporated by reference in the Registration Statement, the Time of Sale Information and the Final Prospectus (other than the financial statements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187" w:lineRule="exact"/>
        <w:rPr>
          <w:sz w:val="20"/>
          <w:szCs w:val="20"/>
          <w:color w:val="auto"/>
        </w:rPr>
      </w:pPr>
    </w:p>
    <w:p>
      <w:pPr>
        <w:jc w:val="both"/>
        <w:ind w:left="640" w:firstLine="713"/>
        <w:spacing w:after="0" w:line="281" w:lineRule="auto"/>
        <w:rPr>
          <w:sz w:val="20"/>
          <w:szCs w:val="20"/>
          <w:color w:val="auto"/>
        </w:rPr>
      </w:pPr>
      <w:r>
        <w:rPr>
          <w:rFonts w:ascii="Times New Roman" w:cs="Times New Roman" w:eastAsia="Times New Roman" w:hAnsi="Times New Roman"/>
          <w:sz w:val="17"/>
          <w:szCs w:val="17"/>
          <w:color w:val="auto"/>
        </w:rPr>
        <w:t>(iii)         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64" w:lineRule="exact"/>
        <w:rPr>
          <w:sz w:val="20"/>
          <w:szCs w:val="20"/>
          <w:color w:val="auto"/>
        </w:rPr>
      </w:pPr>
    </w:p>
    <w:p>
      <w:pPr>
        <w:jc w:val="both"/>
        <w:ind w:left="640" w:firstLine="713"/>
        <w:spacing w:after="0" w:line="258" w:lineRule="auto"/>
        <w:rPr>
          <w:sz w:val="20"/>
          <w:szCs w:val="20"/>
          <w:color w:val="auto"/>
        </w:rPr>
      </w:pPr>
      <w:r>
        <w:rPr>
          <w:rFonts w:ascii="Times New Roman" w:cs="Times New Roman" w:eastAsia="Times New Roman" w:hAnsi="Times New Roman"/>
          <w:sz w:val="18"/>
          <w:szCs w:val="18"/>
          <w:color w:val="auto"/>
        </w:rPr>
        <w:t>(iv)         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jc w:val="both"/>
        <w:ind w:left="640" w:firstLine="713"/>
        <w:spacing w:after="0" w:line="282" w:lineRule="auto"/>
        <w:rPr>
          <w:sz w:val="20"/>
          <w:szCs w:val="20"/>
          <w:color w:val="auto"/>
        </w:rPr>
      </w:pPr>
      <w:r>
        <w:rPr>
          <w:rFonts w:ascii="Times New Roman" w:cs="Times New Roman" w:eastAsia="Times New Roman" w:hAnsi="Times New Roman"/>
          <w:sz w:val="18"/>
          <w:szCs w:val="18"/>
          <w:color w:val="auto"/>
        </w:rPr>
        <w:t>(v)          such counsel does not know of any holders of securities of the Company or Holdings that have rights to the registration of such securities under the Registration Statement; and</w:t>
      </w:r>
    </w:p>
    <w:p>
      <w:pPr>
        <w:spacing w:after="0" w:line="162" w:lineRule="exact"/>
        <w:rPr>
          <w:sz w:val="20"/>
          <w:szCs w:val="20"/>
          <w:color w:val="auto"/>
        </w:rPr>
      </w:pPr>
    </w:p>
    <w:p>
      <w:pPr>
        <w:jc w:val="both"/>
        <w:ind w:left="640" w:firstLine="713"/>
        <w:spacing w:after="0" w:line="254" w:lineRule="auto"/>
        <w:rPr>
          <w:sz w:val="20"/>
          <w:szCs w:val="20"/>
          <w:color w:val="auto"/>
        </w:rPr>
      </w:pPr>
      <w:r>
        <w:rPr>
          <w:rFonts w:ascii="Times New Roman" w:cs="Times New Roman" w:eastAsia="Times New Roman" w:hAnsi="Times New Roman"/>
          <w:sz w:val="18"/>
          <w:szCs w:val="18"/>
          <w:color w:val="auto"/>
        </w:rPr>
        <w:t>(vi)         the execution and delivery of this Agreement, the Notes, the Guarantee Agreements and the execution and performance of the Indenture (the “</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the consummation of the transactions contemplated in the Operative Agreements and compliance with the terms of the Operative Agreements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183" w:lineRule="exact"/>
        <w:rPr>
          <w:sz w:val="20"/>
          <w:szCs w:val="20"/>
          <w:color w:val="auto"/>
        </w:rPr>
      </w:pPr>
    </w:p>
    <w:p>
      <w:pPr>
        <w:jc w:val="both"/>
        <w:ind w:left="640" w:right="20" w:firstLine="713"/>
        <w:spacing w:after="0" w:line="282" w:lineRule="auto"/>
        <w:rPr>
          <w:sz w:val="20"/>
          <w:szCs w:val="20"/>
          <w:color w:val="auto"/>
        </w:rPr>
      </w:pPr>
      <w:r>
        <w:rPr>
          <w:rFonts w:ascii="Times New Roman" w:cs="Times New Roman" w:eastAsia="Times New Roman" w:hAnsi="Times New Roman"/>
          <w:sz w:val="18"/>
          <w:szCs w:val="18"/>
          <w:color w:val="auto"/>
        </w:rPr>
        <w:t>(i)           in the case of Holdings, the representations and warranties of Holdings in this Agreement are true and correct on and as of the Closing Date with the same effect as if made on the Closing Date;</w:t>
      </w:r>
    </w:p>
    <w:p>
      <w:pPr>
        <w:spacing w:after="0" w:line="162" w:lineRule="exact"/>
        <w:rPr>
          <w:sz w:val="20"/>
          <w:szCs w:val="20"/>
          <w:color w:val="auto"/>
        </w:rPr>
      </w:pPr>
    </w:p>
    <w:p>
      <w:pPr>
        <w:jc w:val="both"/>
        <w:ind w:left="640" w:firstLine="713"/>
        <w:spacing w:after="0" w:line="266" w:lineRule="auto"/>
        <w:rPr>
          <w:sz w:val="20"/>
          <w:szCs w:val="20"/>
          <w:color w:val="auto"/>
        </w:rPr>
      </w:pPr>
      <w:r>
        <w:rPr>
          <w:rFonts w:ascii="Times New Roman" w:cs="Times New Roman" w:eastAsia="Times New Roman" w:hAnsi="Times New Roman"/>
          <w:sz w:val="18"/>
          <w:szCs w:val="18"/>
          <w:color w:val="auto"/>
        </w:rPr>
        <w:t>(ii)          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left="640" w:right="20" w:firstLine="713"/>
        <w:spacing w:after="0" w:line="282" w:lineRule="auto"/>
        <w:rPr>
          <w:sz w:val="20"/>
          <w:szCs w:val="20"/>
          <w:color w:val="auto"/>
        </w:rPr>
      </w:pPr>
      <w:r>
        <w:rPr>
          <w:rFonts w:ascii="Times New Roman" w:cs="Times New Roman" w:eastAsia="Times New Roman" w:hAnsi="Times New Roman"/>
          <w:sz w:val="18"/>
          <w:szCs w:val="18"/>
          <w:color w:val="auto"/>
        </w:rPr>
        <w:t>(iii)         no stop order suspending the effectiveness of the Registration Statement has been issued and no proceedings for that purpose have been instituted or, to the Company’s knowledge, threatened; and</w:t>
      </w:r>
    </w:p>
    <w:p>
      <w:pPr>
        <w:spacing w:after="0" w:line="162" w:lineRule="exact"/>
        <w:rPr>
          <w:sz w:val="20"/>
          <w:szCs w:val="20"/>
          <w:color w:val="auto"/>
        </w:rPr>
      </w:pPr>
    </w:p>
    <w:p>
      <w:pPr>
        <w:jc w:val="both"/>
        <w:ind w:left="640" w:firstLine="713"/>
        <w:spacing w:after="0" w:line="258" w:lineRule="auto"/>
        <w:rPr>
          <w:sz w:val="20"/>
          <w:szCs w:val="20"/>
          <w:color w:val="auto"/>
        </w:rPr>
      </w:pPr>
      <w:r>
        <w:rPr>
          <w:rFonts w:ascii="Times New Roman" w:cs="Times New Roman" w:eastAsia="Times New Roman" w:hAnsi="Times New Roman"/>
          <w:sz w:val="18"/>
          <w:szCs w:val="18"/>
          <w:color w:val="auto"/>
        </w:rPr>
        <w:t>(iv)         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83" w:lineRule="exact"/>
        <w:rPr>
          <w:sz w:val="20"/>
          <w:szCs w:val="20"/>
          <w:color w:val="auto"/>
        </w:rPr>
      </w:pPr>
    </w:p>
    <w:p>
      <w:pPr>
        <w:jc w:val="both"/>
        <w:ind w:left="640" w:firstLine="713"/>
        <w:spacing w:after="0" w:line="266" w:lineRule="auto"/>
        <w:rPr>
          <w:sz w:val="20"/>
          <w:szCs w:val="20"/>
          <w:color w:val="auto"/>
        </w:rPr>
      </w:pPr>
      <w:r>
        <w:rPr>
          <w:rFonts w:ascii="Times New Roman" w:cs="Times New Roman" w:eastAsia="Times New Roman" w:hAnsi="Times New Roman"/>
          <w:sz w:val="18"/>
          <w:szCs w:val="18"/>
          <w:color w:val="auto"/>
        </w:rPr>
        <w:t>(i)           in their opinion the audited financial statements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176" w:lineRule="exact"/>
        <w:rPr>
          <w:sz w:val="20"/>
          <w:szCs w:val="20"/>
          <w:color w:val="auto"/>
        </w:rPr>
      </w:pPr>
    </w:p>
    <w:p>
      <w:pPr>
        <w:jc w:val="both"/>
        <w:ind w:left="640" w:firstLine="713"/>
        <w:spacing w:after="0" w:line="266" w:lineRule="auto"/>
        <w:rPr>
          <w:sz w:val="20"/>
          <w:szCs w:val="20"/>
          <w:color w:val="auto"/>
        </w:rPr>
      </w:pPr>
      <w:r>
        <w:rPr>
          <w:rFonts w:ascii="Times New Roman" w:cs="Times New Roman" w:eastAsia="Times New Roman" w:hAnsi="Times New Roman"/>
          <w:sz w:val="18"/>
          <w:szCs w:val="18"/>
          <w:color w:val="auto"/>
        </w:rPr>
        <w:t>(ii)          the information included or incorporated by reference in the Registration Statement, the Time of Sale Information and Final Prospectus in response to Regulation S-K, Item 301 (Selected Financial Data) is in conformity with the applicable disclosure requirements of Regulation S-K;</w:t>
      </w:r>
    </w:p>
    <w:p>
      <w:pPr>
        <w:spacing w:after="0" w:line="176" w:lineRule="exact"/>
        <w:rPr>
          <w:sz w:val="20"/>
          <w:szCs w:val="20"/>
          <w:color w:val="auto"/>
        </w:rPr>
      </w:pPr>
    </w:p>
    <w:p>
      <w:pPr>
        <w:jc w:val="both"/>
        <w:ind w:left="640" w:firstLine="713"/>
        <w:spacing w:after="0" w:line="254" w:lineRule="auto"/>
        <w:rPr>
          <w:sz w:val="20"/>
          <w:szCs w:val="20"/>
          <w:color w:val="auto"/>
        </w:rPr>
      </w:pPr>
      <w:r>
        <w:rPr>
          <w:rFonts w:ascii="Times New Roman" w:cs="Times New Roman" w:eastAsia="Times New Roman" w:hAnsi="Times New Roman"/>
          <w:sz w:val="18"/>
          <w:szCs w:val="18"/>
          <w:color w:val="auto"/>
        </w:rPr>
        <w:t>(iii)         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the information included or incorporated by reference in the Company’s Annual Report on Form 10-K for the year ended December 31, 2022,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left="1300" w:firstLine="713"/>
        <w:spacing w:after="0" w:line="256" w:lineRule="auto"/>
        <w:rPr>
          <w:sz w:val="20"/>
          <w:szCs w:val="20"/>
          <w:color w:val="auto"/>
        </w:rPr>
      </w:pPr>
      <w:r>
        <w:rPr>
          <w:rFonts w:ascii="Times New Roman" w:cs="Times New Roman" w:eastAsia="Times New Roman" w:hAnsi="Times New Roman"/>
          <w:sz w:val="18"/>
          <w:szCs w:val="18"/>
          <w:color w:val="auto"/>
        </w:rPr>
        <w:t>(iv)         they have inquired of certain officials of the Company who have responsibility for financial and accounting matters as to whether: (A) at February 7, 2023 there was any change in the capital stock, increase in long-term indebtedness or any decreases in consolidated net current assets or in total equity of the Company as compared with the amounts shown on the December 31, 2022 audited consolidated balance sheet incorporated by reference in the Registration Statement; or (B) for the period from January 1, 2023 to February 7, 2023 there were any decreases, as compared with the corresponding period in the preceding year, in consolidated operating revenues or in the total or per-share amounts of net consolidated income attributable to the Company.</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(g)             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(h)             Subsequent to the Time of Sale, there shall not have been any decrease in the rating of any of the Company’s debt securities by any “nationally recognized statistical rating organization” (as defined in Section 3(a)(62) under the Exchange Act) or any notice given of any intended or potential decrease in any such rating or of a possible change in any such rating that does not indicate the direction of the possible change.</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Prior to the Closing Date, the Company and Holdings shall have furnished to the Representatives such further information, certificates and documents as the Representatives may reasonably request.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confirmed in writing.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Baker Botts L.L.P., counsel for the Company and Holdings, at 910 Louisiana Street, Houston, Texas 77002, on the Closing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Indemnification and Contribution</w:t>
      </w:r>
      <w:r>
        <w:rPr>
          <w:rFonts w:ascii="Times New Roman" w:cs="Times New Roman" w:eastAsia="Times New Roman" w:hAnsi="Times New Roman"/>
          <w:sz w:val="18"/>
          <w:szCs w:val="18"/>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Times New Roman" w:cs="Times New Roman" w:eastAsia="Times New Roman" w:hAnsi="Times New Roman"/>
          <w:sz w:val="18"/>
          <w:szCs w:val="18"/>
          <w:u w:val="single" w:color="auto"/>
          <w:color w:val="auto"/>
        </w:rPr>
        <w:t>Foregoing Indemnity</w:t>
      </w:r>
      <w:r>
        <w:rPr>
          <w:rFonts w:ascii="Times New Roman" w:cs="Times New Roman" w:eastAsia="Times New Roman" w:hAnsi="Times New Roman"/>
          <w:sz w:val="18"/>
          <w:szCs w:val="18"/>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 (Conflicts of Interest).”</w:t>
      </w:r>
    </w:p>
    <w:p>
      <w:pPr>
        <w:spacing w:after="0" w:line="19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w:t>
      </w:r>
    </w:p>
    <w:p>
      <w:pPr>
        <w:spacing w:after="0" w:line="1" w:lineRule="exact"/>
        <w:rPr>
          <w:sz w:val="20"/>
          <w:szCs w:val="20"/>
          <w:color w:val="auto"/>
        </w:rPr>
      </w:pPr>
    </w:p>
    <w:p>
      <w:pPr>
        <w:jc w:val="both"/>
        <w:ind w:firstLine="8"/>
        <w:spacing w:after="0" w:line="251"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w:t>
      </w:r>
    </w:p>
    <w:p>
      <w:pPr>
        <w:spacing w:after="0" w:line="3" w:lineRule="exact"/>
        <w:rPr>
          <w:sz w:val="20"/>
          <w:szCs w:val="20"/>
          <w:color w:val="auto"/>
        </w:rPr>
      </w:pPr>
    </w:p>
    <w:p>
      <w:pPr>
        <w:jc w:val="both"/>
        <w:ind w:firstLine="8"/>
        <w:spacing w:after="0" w:line="253"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communications hereunder will be in writing and effective only on receipt, and, if sent to the Representatives, will be mailed, delivered or telefaxed to: (i) J.P. Morgan Securities LLC, 383 Madison Avenue, New York, New York 10179, Attention: Investment Grade Syndicate Desk (fax: (212) 834-6081); (ii) Mizuho Securities USA LLC, 1271 Avenue of the Americas, New York, New York 10020, Attention: Debt Capital Markets;</w:t>
      </w:r>
    </w:p>
    <w:p>
      <w:pPr>
        <w:spacing w:after="0" w:line="1" w:lineRule="exact"/>
        <w:rPr>
          <w:sz w:val="20"/>
          <w:szCs w:val="20"/>
          <w:color w:val="auto"/>
        </w:rPr>
      </w:pPr>
    </w:p>
    <w:p>
      <w:pPr>
        <w:jc w:val="both"/>
        <w:ind w:firstLine="8"/>
        <w:spacing w:after="0" w:line="253"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SMBC Nikko Securities America, Inc., 277 Park Avenue, New York, New York 10172, Attention: Debt Capital Markets – Transaction Management, e-mail: prospectus@smbcnikko-si.com; or (iv) Wells Fargo Securities, LLC, 550 South Tryon Street, 5th Floor, Charlotte, North Carolina 28202, Attention: Transaction Management, e-mail: tmgcapitalmarkets@wellsfargo.com; or, if sent to the Company or Holdings, will be mailed or delivered to Waste Management, Inc., 800 Capitol Street, Suite 3000, Houston, Texas 77002, Attn: Treasurer, Email: GCLegal@wm.com.</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Section 16, the following definitions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(A) the Federal Deposit Insurance Act and the regulations promulgated thereunder and (B) Title II of the Dodd-Frank Wall Street Reform and Consumer Protection Act and the regulations promulgated thereunder.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 The words “execution,” “signed,” “signature,” and words of like import in this Agreement or in any instruments, agreements, certificates, legal opinions, negative assurance letters or other documents entered into or delivered pursuant to or in connection with this Agreement or the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shall mean the Investment Company Act of 1940,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prospectus referred to in Section 1(a) above contained in the Registration Statement at the Effective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shall mean the prospectus supplement relating to the Securities that was first filed with the Commission pursuant to Rule 424(b) after the Time of Sale, together with the Base Prospectus.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shall mean the preliminary prospectus supplement relating to the Securities dated February 8, 2023 that was filed with the Commission pursuant to Rule 424(b) prior to the Time of Sale, together with the Base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above.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shall mean 4:30 P.M. New York City time on February 8, 2023, the time when sales of the Securities were first made.</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shall mean the Trust Indenture Act of 1939, as amended, and the rules and regulations of the Commission promulgated thereunder.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David L. Reed</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David L. Reed</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right="4619"/>
        <w:spacing w:after="0" w:line="286" w:lineRule="auto"/>
        <w:rPr>
          <w:sz w:val="20"/>
          <w:szCs w:val="20"/>
          <w:color w:val="auto"/>
        </w:rPr>
      </w:pPr>
      <w:r>
        <w:rPr>
          <w:rFonts w:ascii="Times New Roman" w:cs="Times New Roman" w:eastAsia="Times New Roman" w:hAnsi="Times New Roman"/>
          <w:sz w:val="18"/>
          <w:szCs w:val="18"/>
          <w:b w:val="1"/>
          <w:bCs w:val="1"/>
          <w:color w:val="auto"/>
        </w:rPr>
        <w:t>The foregoing Agreement is hereby confirmed and accepted as of the date first set forth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MORGAN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918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MIZUHO SECURITIES USA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Santaniello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918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Joseph Santaniello</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SMBC NIKKO SECURITIES AMERICA,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Bolger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918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John Bolger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WELLS FARGO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918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right="4619"/>
        <w:spacing w:after="0" w:line="282" w:lineRule="auto"/>
        <w:rPr>
          <w:sz w:val="20"/>
          <w:szCs w:val="20"/>
          <w:color w:val="auto"/>
        </w:rPr>
      </w:pPr>
      <w:r>
        <w:rPr>
          <w:rFonts w:ascii="Times New Roman" w:cs="Times New Roman" w:eastAsia="Times New Roman" w:hAnsi="Times New Roman"/>
          <w:sz w:val="18"/>
          <w:szCs w:val="18"/>
          <w:color w:val="auto"/>
        </w:rPr>
        <w:t>For themselves and the other several Underwriters, if any, named in Schedule II to the foregoing Agreement.</w:t>
      </w:r>
    </w:p>
    <w:p>
      <w:pPr>
        <w:spacing w:after="0" w:line="160"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360" w:type="dxa"/>
            <w:vAlign w:val="bottom"/>
          </w:tcPr>
          <w:p>
            <w:pPr>
              <w:jc w:val="center"/>
              <w:ind w:right="477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414"/>
        </w:trPr>
        <w:tc>
          <w:tcPr>
            <w:tcW w:w="3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February 8, 2023 relating to the</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February 8, 2023</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Prospectus dated April 26, 2022</w:t>
            </w:r>
          </w:p>
        </w:tc>
      </w:tr>
      <w:tr>
        <w:trPr>
          <w:trHeight w:val="234"/>
        </w:trPr>
        <w:tc>
          <w:tcPr>
            <w:tcW w:w="3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Statement No. 333-264493</w:t>
            </w:r>
          </w:p>
        </w:tc>
      </w:tr>
      <w:tr>
        <w:trPr>
          <w:trHeight w:val="432"/>
        </w:trPr>
        <w:tc>
          <w:tcPr>
            <w:tcW w:w="3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jc w:val="center"/>
              <w:ind w:right="479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410"/>
        </w:trPr>
        <w:tc>
          <w:tcPr>
            <w:tcW w:w="3320" w:type="dxa"/>
            <w:vAlign w:val="bottom"/>
          </w:tcPr>
          <w:p>
            <w:pPr>
              <w:spacing w:after="0"/>
              <w:rPr>
                <w:sz w:val="24"/>
                <w:szCs w:val="24"/>
                <w:color w:val="auto"/>
              </w:rPr>
            </w:pPr>
          </w:p>
        </w:tc>
        <w:tc>
          <w:tcPr>
            <w:tcW w:w="7920" w:type="dxa"/>
            <w:vAlign w:val="bottom"/>
            <w:gridSpan w:val="2"/>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$750,000,000 4.625% Senior Notes due 2030</w:t>
            </w:r>
          </w:p>
        </w:tc>
      </w:tr>
      <w:tr>
        <w:trPr>
          <w:trHeight w:val="238"/>
        </w:trPr>
        <w:tc>
          <w:tcPr>
            <w:tcW w:w="3320" w:type="dxa"/>
            <w:vAlign w:val="bottom"/>
          </w:tcPr>
          <w:p>
            <w:pPr>
              <w:spacing w:after="0"/>
              <w:rPr>
                <w:sz w:val="20"/>
                <w:szCs w:val="20"/>
                <w:color w:val="auto"/>
              </w:rPr>
            </w:pPr>
          </w:p>
        </w:tc>
        <w:tc>
          <w:tcPr>
            <w:tcW w:w="7920" w:type="dxa"/>
            <w:vAlign w:val="bottom"/>
            <w:gridSpan w:val="2"/>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$500,000,000 4.625% Senior Notes due 2033</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[Omitted in exhibit format]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February 8, 2023</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T+5; February 15, 2023</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$750,000,000</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February 15, 2030</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February 15, 2033</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4.625%</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4.625%</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3.500% due January 31, 2030</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4.125% due November 15, 2032</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98-15+ / 3.749%</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103-28+ / 3.647%</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+90 basis points</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 basis points</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4.649%</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4.647%</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99.858% of face amount</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99.826% of face amount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(before expenses):</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$1,241,815,000</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Semi-annually on February 15 and August 15, commencing on August 15, 2023</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Semi-annually on February 15 and August 15, commencing on August 15, 2023</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2030 Notes: Prior to December 15, 2029 (two months prior to the maturity date), the 2030</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Notes are redeemable at the option of the issuer, in whole or in part, at any time and from</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time to time, at a redemption price equal to the greater of: (1) (a) the sum of the present</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redemption date (assuming the 2030 Notes matured on December 15, 2029) on a semi-</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 months) at the Treasury</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Rate plus 15 basis points, less (b) interest accrued to the redemption date, and (2) 100% of</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principal amount of the 2030 Notes to be redeemed, plus, in either case, accrued and</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unpaid interest thereon to the 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On or after December 15, 2029 (two months prior to the maturity date), the 2030 Notes are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 2030 Notes to be</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2033 Notes: Prior to November 15, 2032 (three months prior to the maturity date), the 2033</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Notes are redeemable at the option of the issuer, in whole or in part, at any time and from</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time to time, at a redemption price equal to the greater of: (1) (a) the sum of the present</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redemption date (assuming the 2033 Notes matured on November 15, 2032) on a semi-</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 months) at the Treasury</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Rate plus 15 basis points, less (b) interest accrued to the redemption date, and (2) 100% of</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principal amount of the 2033 Notes to be redeemed, plus, in either case, accrued and</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unpaid interest thereon to the 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On or after November 15, 2032 (three months prior to the maturity date), the 2033 Notes are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 2033 Notes to be</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2030 Notes: 94106L BT5 / US94106LBT52</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2033 Notes: 94106L BU2 / US94106LBU26</w:t>
            </w:r>
          </w:p>
        </w:tc>
      </w:tr>
      <w:tr>
        <w:trPr>
          <w:trHeight w:val="498"/>
        </w:trPr>
        <w:tc>
          <w:tcPr>
            <w:tcW w:w="3060" w:type="dxa"/>
            <w:vAlign w:val="bottom"/>
          </w:tcPr>
          <w:p>
            <w:pPr>
              <w:spacing w:after="0"/>
              <w:rPr>
                <w:sz w:val="24"/>
                <w:szCs w:val="24"/>
                <w:color w:val="auto"/>
              </w:rPr>
            </w:pPr>
          </w:p>
        </w:tc>
        <w:tc>
          <w:tcPr>
            <w:tcW w:w="818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Schedule I-2</w:t>
            </w:r>
          </w:p>
        </w:tc>
      </w:tr>
      <w:tr>
        <w:trPr>
          <w:trHeight w:val="447"/>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00" w:lineRule="exact"/>
        <w:rPr>
          <w:sz w:val="20"/>
          <w:szCs w:val="20"/>
          <w:color w:val="auto"/>
        </w:rPr>
      </w:pPr>
    </w:p>
    <w:p>
      <w:pPr>
        <w:sectPr>
          <w:pgSz w:w="11900" w:h="16838" w:orient="portrait"/>
          <w:cols w:equalWidth="0" w:num="2">
            <w:col w:w="3780" w:space="720"/>
            <w:col w:w="6740"/>
          </w:cols>
          <w:pgMar w:left="320" w:top="931" w:right="33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Williams Shank &amp; Co., LLC</w:t>
      </w:r>
    </w:p>
    <w:p>
      <w:pPr>
        <w:spacing w:after="0" w:line="200" w:lineRule="exact"/>
        <w:rPr>
          <w:sz w:val="20"/>
          <w:szCs w:val="20"/>
          <w:color w:val="auto"/>
        </w:rPr>
      </w:pPr>
    </w:p>
    <w:p>
      <w:pPr>
        <w:sectPr>
          <w:pgSz w:w="11900" w:h="16838" w:orient="portrait"/>
          <w:cols w:equalWidth="0" w:num="2">
            <w:col w:w="3780" w:space="720"/>
            <w:col w:w="6740"/>
          </w:cols>
          <w:pgMar w:left="320" w:top="93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jc w:val="both"/>
        <w:ind w:firstLine="8"/>
        <w:spacing w:after="0" w:line="258" w:lineRule="auto"/>
        <w:tabs>
          <w:tab w:leader="none" w:pos="2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delivery of the notes will be made against payment therefor on or about February 15, 2023,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two business days will be required, by virtue of the fact that the notes initially will settle in T+5, to specify an alternate settlement cycle at the time of any such trade to prevent failed settlement and should consult their own advisers.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term sheet supplements the information provided in the preliminary prospectus supplement dated February 8, 2023.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J.P. Morgan Securities LLC at 1-212-834-4533; (2) Mizuho Securities USA LLC at 1-866-271-7403; (3) SMBC Nikko Securities America, Inc. at 1-888-868-6856; or (4) Wells Fargo Securities, LLC at 1-800-645-3751.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Representatives</w:t>
            </w: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Principal Amount of 2030</w:t>
            </w:r>
          </w:p>
        </w:tc>
        <w:tc>
          <w:tcPr>
            <w:tcW w:w="180" w:type="dxa"/>
            <w:vAlign w:val="bottom"/>
          </w:tcPr>
          <w:p>
            <w:pPr>
              <w:spacing w:after="0"/>
              <w:rPr>
                <w:sz w:val="24"/>
                <w:szCs w:val="24"/>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Principal Amount of 2033</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Notes</w:t>
            </w:r>
          </w:p>
        </w:tc>
      </w:tr>
      <w:tr>
        <w:trPr>
          <w:trHeight w:val="238"/>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to be Purchased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 be Purchased</w:t>
            </w:r>
          </w:p>
        </w:tc>
      </w:tr>
      <w:tr>
        <w:trPr>
          <w:trHeight w:val="209"/>
        </w:trPr>
        <w:tc>
          <w:tcPr>
            <w:tcW w:w="39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97,500,000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65,000,000</w:t>
            </w: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97,500,000</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65,000,000</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97,500,000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65,000,000</w:t>
            </w: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52,500,000</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52,500,000</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52,500,000</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MFR Securities, Inc.</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2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4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7,500,000</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09"/>
        </w:trPr>
        <w:tc>
          <w:tcPr>
            <w:tcW w:w="3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FREE WRITING PROSPECTUSES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Pricing Term Sheet, substantially in the form of Schedule I attached to this Agreement.</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REVIEWED AGREEMENTS</w:t>
      </w:r>
    </w:p>
    <w:p>
      <w:pPr>
        <w:spacing w:after="0" w:line="229" w:lineRule="exact"/>
        <w:rPr>
          <w:sz w:val="20"/>
          <w:szCs w:val="20"/>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for Senior Debt Securities dated September 10, 1997, among Waste Management, Inc. (formerly known as USA Services Inc.) and The Bank of New York Mellon Trust Company, N.A. (the current successor to Texas Commerce Bank National Association), as Trustee</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5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Officers’ Certificates delivered pursuant to Section 301 of the Indenture dated September 10, 1997 by and between Waste Management, Inc. and The Bank of New York Mellon Trust Company, N.A., as Trustee, which established the terms and form of Waste Management, Inc.’s: (i) 7.00% Senior Notes due 2028, (ii) 7.375% Senior Notes due 2029, (iii) 7.75% Senior Notes due 2032, (iv) 6.125% Senior Notes due 2039, (v) 3.50% Senior Notes due 2024, (vi) 3.125% Senior Notes due 2025, (vii) 3.90% Senior Notes due 2035, (viii) 4.10% Senior Notes due 2045, (ix) 2.40% Senior Notes due 2023, (x) 3.15% Senior Notes due 2027, (xi) 4.15% Senior Notes due 2049, (xii) 0.75% Senior Notes due 2025, (xiii) 1.15% Senior Notes due 2028, (xiv) 1.50% Senior Notes due 2031, (xv) 2.50% Senior Notes due 2050, (xvi) 2.00% Senior Notes due 2029, (xvii) 2.95% Senior Notes due 2041 and (xviii) 4.15% Senior Notes due 2032</w:t>
      </w:r>
    </w:p>
    <w:p>
      <w:pPr>
        <w:spacing w:after="0" w:line="188"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Guarantee Agreement by Waste Management Holdings, Inc. in favor of The Bank of New York Mellon Trust Company, N.A., as Trustee for the holders of Waste Management, Inc.’s: (i) 7.00% Senior Notes due 2028, (ii) 7.375% Senior Notes due 2029, (iii) 7.75% Senior Notes due 2032,</w:t>
      </w:r>
    </w:p>
    <w:p>
      <w:pPr>
        <w:ind w:left="840" w:hanging="319"/>
        <w:spacing w:after="0"/>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 Senior Notes due 2039, (v) 3.50% Senior Notes due 2024, (vi) 3.125% Senior Notes due 2025, (vii) 3.90% Senior Notes due 2035,</w:t>
      </w:r>
    </w:p>
    <w:p>
      <w:pPr>
        <w:spacing w:after="0" w:line="9" w:lineRule="exact"/>
        <w:rPr>
          <w:rFonts w:ascii="Times New Roman" w:cs="Times New Roman" w:eastAsia="Times New Roman" w:hAnsi="Times New Roman"/>
          <w:sz w:val="18"/>
          <w:szCs w:val="18"/>
          <w:color w:val="auto"/>
        </w:rPr>
      </w:pPr>
    </w:p>
    <w:p>
      <w:pPr>
        <w:ind w:left="940" w:hanging="419"/>
        <w:spacing w:after="0"/>
        <w:tabs>
          <w:tab w:leader="none" w:pos="9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 Senior Notes due 2045, (ix) 2.40% Senior Notes due 2023, (x) 3.15% Senior Notes due 2027, (xi) 4.15% Senior Notes due 2049,</w:t>
      </w:r>
    </w:p>
    <w:p>
      <w:pPr>
        <w:spacing w:after="0" w:line="9"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0.75% Senior Notes due 2025, (xiii) 1.15% Senior Notes due 2028, (xiv) 1.50% Senior Notes due 2031, (xv) 2.50% Senior Notes due 2050,</w:t>
      </w:r>
    </w:p>
    <w:p>
      <w:pPr>
        <w:spacing w:after="0" w:line="9" w:lineRule="exact"/>
        <w:rPr>
          <w:rFonts w:ascii="Times New Roman" w:cs="Times New Roman" w:eastAsia="Times New Roman" w:hAnsi="Times New Roman"/>
          <w:sz w:val="18"/>
          <w:szCs w:val="18"/>
          <w:color w:val="auto"/>
        </w:rPr>
      </w:pPr>
    </w:p>
    <w:p>
      <w:pPr>
        <w:ind w:left="920" w:hanging="399"/>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Senior Notes due 2029, (xvii) 2.95% Senior Notes due 2041 and (xviii) 4.15% Senior Notes due 2032</w:t>
      </w:r>
    </w:p>
    <w:p>
      <w:pPr>
        <w:spacing w:after="0" w:line="206"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Billion Sixth Amended and Restated Revolving Credit Agreement dated as of May 27, 2022 by and among Waste Management, Inc., Waste Management of Canada Corporation, WM Quebec Inc. and Waste Management Holdings, Inc., certain banks party thereto, and Bank of America, N.A., as Administrative Agent, which agreement is filed as Exhibit 10.1 to Waste Management, Inc.’s Form 8-K dated May 27, 2022 and filed on June 2, 2022</w:t>
      </w:r>
    </w:p>
    <w:p>
      <w:pPr>
        <w:spacing w:after="0" w:line="179"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Term Loan Credit Agreement dated as of May 27, 2022 by and among Waste Management, Inc., Waste Management Holdings, Inc., certain banks party thereto, and Bank of America, N.A., as Administrative Agent, which agreement is filed as Exhibit 10.2 to Waste Management, Inc.’s Form 8-K dated May 27, 2022 and filed on June 2, 2022</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Dealer Agreement, as executed with each of Mizuho Securities USA LLC (dated August 22, 2016), BofA Securities, Inc. (dated August 22, 2016), J.P. Morgan Securities LLC (dated August 22, 2016), MUFG Securities Americas Inc. (dated September 17, 2018), Wells Fargo Securities, LLC (dated September 17, 2018), RBC Capital Markets, LLC (dated January 12, 2023) and Siebert Williams Shank &amp; Co., LLC (dated January 12, 2023), as Dealer, each of which agreement is substantially in the form filed as Exhibit 10.11 to Waste Management, Inc.’s Annual Report on Form 10-K for the year ended December 31, 2016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left="512" w:hanging="512"/>
        <w:spacing w:after="0" w:line="266" w:lineRule="auto"/>
        <w:tabs>
          <w:tab w:leader="none" w:pos="5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Issuing and Paying Agent Agreement between Waste Management, Inc. and U.S. Bank Trust Company, National Association dated October 28, 2022, which agreement is filed as Exhibit 10.11 to Waste Management, Inc.’s Annual Report on Form 10-K for the year ended December 31, 2022</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15, 2023</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February 15, 2023 (the “Order”) for the authentication and delivery by the Trustee of $750,000,000 aggregate principal amount of 4.625% Senior Notes due 2030 (the “Notes”).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            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and the Sole Director of Waste Management Holdings, Inc. on February 1, 2023,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3"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“4.625% Senior Notes due 2030”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February 15, 2030.</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February 15, 2023 at the fixed rate of 4.625% per annum; the Interest Payment Dates on which such interest shall be payable shall be February 15 and August 15 of each year, commencing August 15, 2023, until maturity, unless such date falls on a day that is not a Business Day, in which case, such payment shall be made on the next day that is a Business Day. The Regular Record Date for the determination of Holders to whom interest is payable shall be February 1 or August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652" w:hanging="65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5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December 15, 2029.</w:t>
      </w:r>
    </w:p>
    <w:p>
      <w:pPr>
        <w:spacing w:after="0" w:line="225" w:lineRule="exact"/>
        <w:rPr>
          <w:sz w:val="20"/>
          <w:szCs w:val="20"/>
          <w:color w:val="auto"/>
        </w:rPr>
      </w:pPr>
    </w:p>
    <w:p>
      <w:pPr>
        <w:ind w:left="652" w:hanging="65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February 15,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0" w:name="page51"/>
    <w:bookmarkEnd w:id="50"/>
    <w:p>
      <w:pPr>
        <w:ind w:left="652" w:hanging="65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w:t>
      </w:r>
    </w:p>
    <w:p>
      <w:pPr>
        <w:spacing w:after="0" w:line="211" w:lineRule="exact"/>
        <w:rPr>
          <w:sz w:val="20"/>
          <w:szCs w:val="20"/>
          <w:color w:val="auto"/>
        </w:rPr>
      </w:pPr>
    </w:p>
    <w:p>
      <w:pPr>
        <w:sectPr>
          <w:pgSz w:w="11900" w:h="16838" w:orient="portrait"/>
          <w:cols w:equalWidth="0" w:num="2">
            <w:col w:w="9240" w:space="720"/>
            <w:col w:w="1280"/>
          </w:cols>
          <w:pgMar w:left="320" w:top="904"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right"/>
        <w:spacing w:after="0" w:line="266" w:lineRule="auto"/>
        <w:rPr>
          <w:sz w:val="20"/>
          <w:szCs w:val="20"/>
          <w:color w:val="auto"/>
        </w:rPr>
      </w:pPr>
      <w:r>
        <w:rPr>
          <w:rFonts w:ascii="Times New Roman" w:cs="Times New Roman" w:eastAsia="Times New Roman" w:hAnsi="Times New Roman"/>
          <w:sz w:val="18"/>
          <w:szCs w:val="18"/>
          <w:color w:val="auto"/>
        </w:rPr>
        <w:t>U.S. $               , which may be decreased by the Schedule of Exchanges of Definitive Security attached hereto</w:t>
      </w:r>
    </w:p>
    <w:p>
      <w:pPr>
        <w:spacing w:after="0" w:line="176" w:lineRule="exact"/>
        <w:rPr>
          <w:sz w:val="20"/>
          <w:szCs w:val="20"/>
          <w:color w:val="auto"/>
        </w:rPr>
      </w:pPr>
    </w:p>
    <w:p>
      <w:pPr>
        <w:sectPr>
          <w:pgSz w:w="11900" w:h="16838" w:orient="portrait"/>
          <w:cols w:equalWidth="0" w:num="2">
            <w:col w:w="7620" w:space="720"/>
            <w:col w:w="2900"/>
          </w:cols>
          <w:pgMar w:left="320" w:top="90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4.625% SENIOR NOTES DUE 2030</w:t>
      </w:r>
    </w:p>
    <w:p>
      <w:pPr>
        <w:spacing w:after="0" w:line="22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7"/>
          <w:szCs w:val="17"/>
          <w:color w:val="auto"/>
        </w:rPr>
        <w:t>CUSIP 94106L BT5</w:t>
      </w:r>
    </w:p>
    <w:p>
      <w:pPr>
        <w:sectPr>
          <w:pgSz w:w="11900" w:h="16838" w:orient="portrait"/>
          <w:cols w:equalWidth="0" w:num="1">
            <w:col w:w="11240"/>
          </w:cols>
          <w:pgMar w:left="320" w:top="904" w:right="339" w:bottom="1440" w:gutter="0" w:footer="0" w:header="0"/>
          <w:type w:val="continuous"/>
        </w:sectPr>
      </w:pP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spacing w:after="0" w:line="253" w:lineRule="auto"/>
        <w:rPr>
          <w:sz w:val="20"/>
          <w:szCs w:val="20"/>
          <w:color w:val="auto"/>
        </w:rPr>
      </w:pPr>
      <w:r>
        <w:rPr>
          <w:rFonts w:ascii="Times New Roman" w:cs="Times New Roman" w:eastAsia="Times New Roman" w:hAnsi="Times New Roman"/>
          <w:sz w:val="18"/>
          <w:szCs w:val="18"/>
          <w:color w:val="auto"/>
        </w:rPr>
        <w:t>             Million ($             ) U.S. dollars, or such lesser principal sum as is shown on the attached Schedule of Exchanges of Definitive Security, on February 15, 2030 in such coin or currency of the United States of America as at the time of payment shall be legal tender for the payment of public and private debts, and to pay interest at an annual rate of 4.625% payable on February 15 and August 15 of each year, to the person in whose name this Security is registered at the close of business on the record date for such interest, which shall be the preceding February 1 or August 1, respectively, payable commencing August 15, 2023, with interest accruing from February 15, 2023,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$750,000,000 in principal amount designated as the 4.625% Senior Notes due 2030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80" w:type="dxa"/>
            <w:vAlign w:val="bottom"/>
          </w:tcPr>
          <w:p>
            <w:pPr>
              <w:spacing w:after="0"/>
              <w:rPr>
                <w:sz w:val="20"/>
                <w:szCs w:val="20"/>
                <w:color w:val="auto"/>
              </w:rPr>
            </w:pP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80" w:type="dxa"/>
            <w:vAlign w:val="bottom"/>
          </w:tcPr>
          <w:p>
            <w:pPr>
              <w:spacing w:after="0"/>
              <w:rPr>
                <w:sz w:val="24"/>
                <w:szCs w:val="24"/>
                <w:color w:val="auto"/>
              </w:rPr>
            </w:pP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4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80" w:type="dxa"/>
            <w:vAlign w:val="bottom"/>
          </w:tcPr>
          <w:p>
            <w:pPr>
              <w:spacing w:after="0"/>
              <w:rPr>
                <w:sz w:val="24"/>
                <w:szCs w:val="24"/>
                <w:color w:val="auto"/>
              </w:rPr>
            </w:pP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80" w:type="dxa"/>
            <w:vAlign w:val="bottom"/>
          </w:tcPr>
          <w:p>
            <w:pPr>
              <w:spacing w:after="0"/>
              <w:rPr>
                <w:sz w:val="24"/>
                <w:szCs w:val="24"/>
                <w:color w:val="auto"/>
              </w:rPr>
            </w:pP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7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4.625% SENIOR NOTES DUE 2030</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4.625% Senior Notes due 2030 of the Company, in initial aggregate principal amount of $750,000,000 (the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4.625%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February 15 and August 15 of each year (each an “Interest Payment Date”), commencing August 15, 2023. Interest on the Securities will accrue from the most recent date to which interest has been paid or, if no interest has been paid on the Securities, from February 15, 2023.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4.625% per annum, in each case to the extent lawful.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 of the Sole Director of Waste Management Holdings, Inc. on February 1, 2023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207" w:lineRule="exact"/>
        <w:rPr>
          <w:sz w:val="20"/>
          <w:szCs w:val="20"/>
          <w:color w:val="auto"/>
        </w:rPr>
      </w:pPr>
    </w:p>
    <w:p>
      <w:pPr>
        <w:jc w:val="both"/>
        <w:ind w:left="660" w:hanging="4"/>
        <w:spacing w:after="0" w:line="266" w:lineRule="auto"/>
        <w:tabs>
          <w:tab w:leader="none" w:pos="9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December 15, 2029.</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February 15,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Amount of increase</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Principal</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r>
      <w:tr>
        <w:trPr>
          <w:trHeight w:val="252"/>
        </w:trPr>
        <w:tc>
          <w:tcPr>
            <w:tcW w:w="2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210"/>
        </w:trPr>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15, 2023</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February 15, 2023 (the “Order”) for the authentication and delivery by the Trustee of $500,000,000 aggregate principal amount of 4.625% Senior Notes due 2033 (the “Notes”).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            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and the Sole Director of Waste Management Holdings, Inc. on February 1, 2023,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“4.625% Senior Notes due 2033”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February 15, 2033.</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February 15, 2023 at the fixed rate of 4.625% per annum; the Interest Payment Dates on which such interest shall be payable shall be February 15 and August 15 of each year, commencing August 15, 2023, until maturity, unless such date falls on a day that is not a Business Day, in which case, such payment shall be made on the next day that is a Business Day. The Regular Record Date for the determination of Holders to whom interest is payable shall be February 1 or August 1, respectively, immediately preceding such date, as the case may be.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652" w:hanging="652"/>
        <w:spacing w:after="0" w:line="282"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5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November 15, 2032.</w:t>
      </w:r>
    </w:p>
    <w:p>
      <w:pPr>
        <w:spacing w:after="0" w:line="225" w:lineRule="exact"/>
        <w:rPr>
          <w:sz w:val="20"/>
          <w:szCs w:val="20"/>
          <w:color w:val="auto"/>
        </w:rPr>
      </w:pPr>
    </w:p>
    <w:p>
      <w:pPr>
        <w:ind w:left="652" w:hanging="652"/>
        <w:spacing w:after="0" w:line="282"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February 15,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9" w:name="page70"/>
    <w:bookmarkEnd w:id="69"/>
    <w:p>
      <w:pPr>
        <w:ind w:left="652" w:hanging="652"/>
        <w:spacing w:after="0" w:line="282" w:lineRule="auto"/>
        <w:tabs>
          <w:tab w:leader="none" w:pos="6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w:t>
      </w:r>
    </w:p>
    <w:p>
      <w:pPr>
        <w:spacing w:after="0" w:line="211" w:lineRule="exact"/>
        <w:rPr>
          <w:sz w:val="20"/>
          <w:szCs w:val="20"/>
          <w:color w:val="auto"/>
        </w:rPr>
      </w:pPr>
    </w:p>
    <w:p>
      <w:pPr>
        <w:sectPr>
          <w:pgSz w:w="11900" w:h="16838" w:orient="portrait"/>
          <w:cols w:equalWidth="0" w:num="2">
            <w:col w:w="9240" w:space="720"/>
            <w:col w:w="1280"/>
          </w:cols>
          <w:pgMar w:left="320" w:top="904"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right"/>
        <w:spacing w:after="0" w:line="266" w:lineRule="auto"/>
        <w:rPr>
          <w:sz w:val="20"/>
          <w:szCs w:val="20"/>
          <w:color w:val="auto"/>
        </w:rPr>
      </w:pPr>
      <w:r>
        <w:rPr>
          <w:rFonts w:ascii="Times New Roman" w:cs="Times New Roman" w:eastAsia="Times New Roman" w:hAnsi="Times New Roman"/>
          <w:sz w:val="18"/>
          <w:szCs w:val="18"/>
          <w:color w:val="auto"/>
        </w:rPr>
        <w:t>U.S. $               , which may be decreased by the Schedule of Exchanges of Definitive Security attached hereto</w:t>
      </w:r>
    </w:p>
    <w:p>
      <w:pPr>
        <w:spacing w:after="0" w:line="176" w:lineRule="exact"/>
        <w:rPr>
          <w:sz w:val="20"/>
          <w:szCs w:val="20"/>
          <w:color w:val="auto"/>
        </w:rPr>
      </w:pPr>
    </w:p>
    <w:p>
      <w:pPr>
        <w:sectPr>
          <w:pgSz w:w="11900" w:h="16838" w:orient="portrait"/>
          <w:cols w:equalWidth="0" w:num="2">
            <w:col w:w="7620" w:space="720"/>
            <w:col w:w="2900"/>
          </w:cols>
          <w:pgMar w:left="320" w:top="90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4.625% SENIOR NOTES DUE 2033</w:t>
      </w:r>
    </w:p>
    <w:p>
      <w:pPr>
        <w:spacing w:after="0" w:line="225"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7"/>
          <w:szCs w:val="17"/>
          <w:color w:val="auto"/>
        </w:rPr>
        <w:t>CUSIP 94106L BU2</w:t>
      </w:r>
    </w:p>
    <w:p>
      <w:pPr>
        <w:sectPr>
          <w:pgSz w:w="11900" w:h="16838" w:orient="portrait"/>
          <w:cols w:equalWidth="0" w:num="1">
            <w:col w:w="11240"/>
          </w:cols>
          <w:pgMar w:left="320" w:top="904" w:right="339" w:bottom="1440" w:gutter="0" w:footer="0" w:header="0"/>
          <w:type w:val="continuous"/>
        </w:sectPr>
      </w:pP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spacing w:after="0" w:line="253" w:lineRule="auto"/>
        <w:rPr>
          <w:sz w:val="20"/>
          <w:szCs w:val="20"/>
          <w:color w:val="auto"/>
        </w:rPr>
      </w:pPr>
      <w:r>
        <w:rPr>
          <w:rFonts w:ascii="Times New Roman" w:cs="Times New Roman" w:eastAsia="Times New Roman" w:hAnsi="Times New Roman"/>
          <w:sz w:val="18"/>
          <w:szCs w:val="18"/>
          <w:color w:val="auto"/>
        </w:rPr>
        <w:t>             Million ($             ) U.S. dollars, or such lesser principal sum as is shown on the attached Schedule of Exchanges of Definitive Security, on February 15, 2033 in such coin or currency of the United States of America as at the time of payment shall be legal tender for the payment of public and private debts, and to pay interest at an annual rate of 4.625% payable on February 15 and August 15 of each year, to the person in whose name this Security is registered at the close of business on the record date for such interest, which shall be the preceding February 1 or August 1, respectively, payable commencing August 15, 2023, with interest accruing from February 15, 2023,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2" w:name="page73"/>
    <w:bookmarkEnd w:id="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$500,000,000 in principal amount designated as the 4.625% Senior Notes due 2033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80" w:type="dxa"/>
            <w:vAlign w:val="bottom"/>
          </w:tcPr>
          <w:p>
            <w:pPr>
              <w:spacing w:after="0"/>
              <w:rPr>
                <w:sz w:val="20"/>
                <w:szCs w:val="20"/>
                <w:color w:val="auto"/>
              </w:rPr>
            </w:pP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80" w:type="dxa"/>
            <w:vAlign w:val="bottom"/>
          </w:tcPr>
          <w:p>
            <w:pPr>
              <w:spacing w:after="0"/>
              <w:rPr>
                <w:sz w:val="24"/>
                <w:szCs w:val="24"/>
                <w:color w:val="auto"/>
              </w:rPr>
            </w:pP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L. Reed</w:t>
            </w:r>
          </w:p>
        </w:tc>
      </w:tr>
      <w:tr>
        <w:trPr>
          <w:trHeight w:val="234"/>
        </w:trPr>
        <w:tc>
          <w:tcPr>
            <w:tcW w:w="4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80" w:type="dxa"/>
            <w:vAlign w:val="bottom"/>
          </w:tcPr>
          <w:p>
            <w:pPr>
              <w:spacing w:after="0"/>
              <w:rPr>
                <w:sz w:val="24"/>
                <w:szCs w:val="24"/>
                <w:color w:val="auto"/>
              </w:rPr>
            </w:pP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80" w:type="dxa"/>
            <w:vAlign w:val="bottom"/>
          </w:tcPr>
          <w:p>
            <w:pPr>
              <w:spacing w:after="0"/>
              <w:rPr>
                <w:sz w:val="24"/>
                <w:szCs w:val="24"/>
                <w:color w:val="auto"/>
              </w:rPr>
            </w:pPr>
          </w:p>
        </w:tc>
        <w:tc>
          <w:tcPr>
            <w:tcW w:w="6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7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4.625% SENIOR NOTES DUE 2033</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4.625% Senior Notes due 2033 of the Company, in initial aggregate principal amount of $500,000,000 (the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4.625%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interest semi-annually on February 15 and August 15 of each year (each an “Interest Payment Date”), commencing August 15, 2023. Interest on the Securities will accrue from the most recent date to which interest has been paid or, if no interest has been paid on the Securities, from February 15, 2023.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4.625% per annum, in each case to the extent lawful.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 of the Sole Director of Waste Management Holdings, Inc. on February 1, 2023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207" w:lineRule="exact"/>
        <w:rPr>
          <w:sz w:val="20"/>
          <w:szCs w:val="20"/>
          <w:color w:val="auto"/>
        </w:rPr>
      </w:pPr>
    </w:p>
    <w:p>
      <w:pPr>
        <w:jc w:val="both"/>
        <w:ind w:left="660" w:hanging="4"/>
        <w:spacing w:after="0" w:line="266" w:lineRule="auto"/>
        <w:tabs>
          <w:tab w:leader="none" w:pos="9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6" w:name="page77"/>
    <w:bookmarkEnd w:id="7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November 15, 2032.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February 15,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Book-Entry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of Trustee or</w:t>
            </w:r>
          </w:p>
        </w:tc>
      </w:tr>
      <w:tr>
        <w:trPr>
          <w:trHeight w:val="238"/>
        </w:trPr>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209"/>
        </w:trPr>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$750,000,000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4.625% Senior Notes due 2030</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85" w:name="page86"/>
    <w:bookmarkEnd w:id="8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February 15, 2023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4.625% Senior Notes due 2030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225" w:lineRule="exact"/>
        <w:rPr>
          <w:sz w:val="20"/>
          <w:szCs w:val="20"/>
          <w:color w:val="auto"/>
        </w:rPr>
      </w:pPr>
    </w:p>
    <w:p>
      <w:pPr>
        <w:ind w:left="340" w:right="20" w:firstLine="972"/>
        <w:spacing w:after="0" w:line="282"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62" w:lineRule="exact"/>
        <w:rPr>
          <w:sz w:val="20"/>
          <w:szCs w:val="20"/>
          <w:color w:val="auto"/>
        </w:rPr>
      </w:pPr>
    </w:p>
    <w:p>
      <w:pPr>
        <w:ind w:left="340" w:right="20" w:firstLine="972"/>
        <w:spacing w:after="0" w:line="282"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Sixth Amended and Restated Revolving Credit Agreement dated as of May 27, 2022 by and among the Issuer, Waste Management of Canada Corporation, WM Quebec Inc., the Guarantor (as guarantor), certain banks party thereto, and Bank of America, N.A., as administrative agent (or under any replacement or new principal credit facility of the Issuer), and the Term Loan Credit Agreement dated as of May 27, 2022 by and among the Issuer, the Guarantor (as guarantor), certain banks party thereto, and Bank of America, N.A., as administrative agent, of the guarantees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L. Reed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 Bennett</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(4.625%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4.7</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$500,000,000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4.625% Senior Notes due 2033</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0" w:name="page91"/>
    <w:bookmarkEnd w:id="9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 dated as of February 15, 2023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4.625% Senior Notes due 2033 (the “Debt Securities”) of Waste Management, Inc. (formerly known as USA Waste Services, Inc.), a Delaware corporation (the “Issuer”).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225" w:lineRule="exact"/>
        <w:rPr>
          <w:sz w:val="20"/>
          <w:szCs w:val="20"/>
          <w:color w:val="auto"/>
        </w:rPr>
      </w:pPr>
    </w:p>
    <w:p>
      <w:pPr>
        <w:ind w:left="340" w:right="20" w:firstLine="972"/>
        <w:spacing w:after="0" w:line="282"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62" w:lineRule="exact"/>
        <w:rPr>
          <w:sz w:val="20"/>
          <w:szCs w:val="20"/>
          <w:color w:val="auto"/>
        </w:rPr>
      </w:pPr>
    </w:p>
    <w:p>
      <w:pPr>
        <w:ind w:left="340" w:right="20" w:firstLine="972"/>
        <w:spacing w:after="0" w:line="282"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Sixth Amended and Restated Revolving Credit Agreement dated as of May 27, 2022 by and among the Issuer, Waste Management of Canada Corporation, WM Quebec Inc., the Guarantor (as guarantor), certain banks party thereto, and Bank of America, N.A., as administrative agent (or under any replacement or new principal credit facility of the Issuer), and the Term Loan Credit Agreement dated as of May 27, 2022 by and among the Issuer, the Guarantor (as guarantor), certain banks party thereto, and Bank of America, N.A., as administrative agent, of the guarantees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L. Reed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 Bennett</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(4.625%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4" w:name="page95"/>
    <w:bookmarkEnd w:id="94"/>
    <w:tbl>
      <w:tblPr>
        <w:tblLayout w:type="fixed"/>
        <w:tblInd w:w="5860" w:type="dxa"/>
        <w:tblCellMar>
          <w:top w:w="0" w:type="dxa"/>
          <w:left w:w="0" w:type="dxa"/>
          <w:bottom w:w="0" w:type="dxa"/>
          <w:right w:w="0" w:type="dxa"/>
        </w:tblCellMar>
      </w:tblPr>
      <w:tr>
        <w:trPr>
          <w:trHeight w:val="287"/>
        </w:trPr>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8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w w:val="95"/>
              </w:rPr>
              <w:t>Exhibit 5.1</w:t>
            </w:r>
          </w:p>
        </w:tc>
      </w:tr>
      <w:tr>
        <w:trPr>
          <w:trHeight w:val="4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910 LOUISIANA</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AUSTIN</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BRUSSELS</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77002-4995</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DALLAS</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1820" w:type="dxa"/>
            <w:vAlign w:val="bottom"/>
          </w:tcPr>
          <w:p>
            <w:pPr>
              <w:spacing w:after="0"/>
              <w:rPr>
                <w:sz w:val="18"/>
                <w:szCs w:val="18"/>
                <w:color w:val="auto"/>
              </w:rPr>
            </w:pP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DUBAI</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TEL +1 713.229.1234</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HOUSTON</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FAX +1 713.229.1522</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LONDON</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48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2014220"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4220" cy="25717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Waste Management, Inc., a Delaware corporation (the “Company”), and Waste Management Holdings, Inc., a Delaware corporation (“Holdings”), have engaged us to render the opinions expressed below in connection with the Company’s proposed issuance of $750,000,000 aggregate principal amount of its 4.625% Senior Notes due 2030 and $500,000,000 aggregate principal amount of its 4.625% Senior Notes due 2033 (collectively, the “Notes”) and the issuance of the related guarantees of the Notes by Holdings (the “Guarantees”), as contemplated by the Registration Statement on Form S-3 (Registration No. 333-264493)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Registration Statement has been filed with the Commission and became effective upon filing. The Company’s prospectus dated April 26, 2022 and prospectus supplement dated February 8, 2023 relating to the Notes (collectively, the “Prospectus”) have been filed with the Commission pursuant to Rule 424(b) under the Act.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and Holdings entered into an Underwriting Agreement (the “Underwriting Agreement”), dated February 8, 2023, with J.P. Morgan Securities LLC, Mizuho Securities USA LLC, SMBC Nikko Securities America, Inc. and Wells Fargo Securities, LLC,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8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8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- 2 -</w:t>
            </w:r>
          </w:p>
        </w:tc>
        <w:tc>
          <w:tcPr>
            <w:tcW w:w="340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8"/>
              </w:rPr>
              <w:t>February 13, 2023</w:t>
            </w:r>
          </w:p>
        </w:tc>
      </w:tr>
    </w:tbl>
    <w:p>
      <w:pPr>
        <w:spacing w:after="0" w:line="19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the Amended and Restated By-Laws of Holdings, each as amended to date; (iii) the Indenture; (iv) the form of Officers’ Certificates to be delivered pursuant to Section 301 of the Indenture; (v) the form of Guarantees to be entered into by Holdings in favor of the holders of the Notes concurrently with the issuance of the Notes under the Indenture (the “Guarantee Agreements”); (vi) the Underwriting Agreement;</w:t>
      </w:r>
    </w:p>
    <w:p>
      <w:pPr>
        <w:spacing w:after="0" w:line="3" w:lineRule="exact"/>
        <w:rPr>
          <w:sz w:val="20"/>
          <w:szCs w:val="20"/>
          <w:color w:val="auto"/>
        </w:rPr>
      </w:pPr>
    </w:p>
    <w:p>
      <w:pPr>
        <w:jc w:val="both"/>
        <w:ind w:firstLine="8"/>
        <w:spacing w:after="0" w:line="251" w:lineRule="auto"/>
        <w:tabs>
          <w:tab w:leader="none" w:pos="3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we have deemed necessary or advisable as a basis for the opinions hereinafter expressed. In giving the opinions set forth below, we have relied, with your consent and without independent investigation or verification, to the extent we deemed appropriate, upon certificates, statements or other representations of officers or other representatives of the Company and Holdings and of governmental and public officials with respect to the accuracy and completeness of the factual matters contained in or covered by such certificates, statements or representations. In making our examination, we have assumed, with your consent and without independent investigation or verification, the legal capacity and competency of all natural persons, that all signatures on documents examined by us are genuine, all documents submitted to us as originals are authentic and complete, all documents submitted to us as copies are true, correct and complete copies of the originals thereof and all information submitted to us was accurate and complete.</w:t>
      </w:r>
    </w:p>
    <w:p>
      <w:pPr>
        <w:spacing w:after="0" w:line="19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the basis of the foregoing, and subject to the assumptions, limitations and qualifications set forth herein, we are of the opinion that</w:t>
      </w:r>
    </w:p>
    <w:p>
      <w:pPr>
        <w:spacing w:after="0" w:line="27" w:lineRule="exact"/>
        <w:rPr>
          <w:sz w:val="20"/>
          <w:szCs w:val="20"/>
          <w:color w:val="auto"/>
        </w:rPr>
      </w:pPr>
    </w:p>
    <w:p>
      <w:pPr>
        <w:jc w:val="both"/>
        <w:ind w:firstLine="8"/>
        <w:spacing w:after="0" w:line="251" w:lineRule="auto"/>
        <w:tabs>
          <w:tab w:leader="none" w:pos="2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Guarantees will, when Holdings has duly authorized, executed and delivered the Guarantee Agreements and the Notes have been duly authorized,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8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8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- 3 -</w:t>
            </w:r>
          </w:p>
        </w:tc>
        <w:tc>
          <w:tcPr>
            <w:tcW w:w="340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8"/>
              </w:rPr>
              <w:t>February 13, 2023</w:t>
            </w:r>
          </w:p>
        </w:tc>
      </w:tr>
    </w:tbl>
    <w:p>
      <w:pPr>
        <w:spacing w:after="0" w:line="200" w:lineRule="exact"/>
        <w:rPr>
          <w:sz w:val="20"/>
          <w:szCs w:val="20"/>
          <w:color w:val="auto"/>
        </w:rPr>
      </w:pPr>
    </w:p>
    <w:p>
      <w:pPr>
        <w:spacing w:after="0" w:line="21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opinions set forth in this letter are limited in all respects to matters of the General Corporation Law of the State of Delaware and the contract law of the State of New York, each as currently in effect.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to be filed with the Commission on the date hereof and to the incorporation by reference of this opinion letter into the Registration Statement. We also consent to the reference to our Firm under the heading “Legal Matters” in the Prospectus. In giving this consent, we do not 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4"/>
    </w:lvl>
  </w:abstractNum>
  <w:abstractNum w:abstractNumId="2">
    <w:nsid w:val="431BD7B7"/>
    <w:multiLevelType w:val="hybridMultilevel"/>
    <w:lvl w:ilvl="0">
      <w:lvlJc w:val="left"/>
      <w:lvlText w:val="(%1)"/>
      <w:numFmt w:val="lowerRoman"/>
      <w:start w:val="2"/>
    </w:lvl>
  </w:abstractNum>
  <w:abstractNum w:abstractNumId="3">
    <w:nsid w:val="3F2DBA31"/>
    <w:multiLevelType w:val="hybridMultilevel"/>
    <w:lvl w:ilvl="0">
      <w:lvlJc w:val="left"/>
      <w:lvlText w:val="(%1)"/>
      <w:numFmt w:val="lowerRoman"/>
      <w:start w:val="4"/>
    </w:lvl>
  </w:abstractNum>
  <w:abstractNum w:abstractNumId="4">
    <w:nsid w:val="7C83E458"/>
    <w:multiLevelType w:val="hybridMultilevel"/>
    <w:lvl w:ilvl="0">
      <w:lvlJc w:val="left"/>
      <w:lvlText w:val="(%1)"/>
      <w:numFmt w:val="lowerRoman"/>
      <w:start w:val="4"/>
    </w:lvl>
  </w:abstractNum>
  <w:abstractNum w:abstractNumId="5">
    <w:nsid w:val="257130A3"/>
    <w:multiLevelType w:val="hybridMultilevel"/>
    <w:lvl w:ilvl="0">
      <w:lvlJc w:val="left"/>
      <w:lvlText w:val="(%1)"/>
      <w:numFmt w:val="lowerRoman"/>
      <w:start w:val="2"/>
    </w:lvl>
  </w:abstractNum>
  <w:abstractNum w:abstractNumId="6">
    <w:nsid w:val="62BBD95A"/>
    <w:multiLevelType w:val="hybridMultilevel"/>
    <w:lvl w:ilvl="0">
      <w:lvlJc w:val="left"/>
      <w:lvlText w:val="(%1)"/>
      <w:numFmt w:val="lowerRoman"/>
      <w:start w:val="6"/>
    </w:lvl>
  </w:abstractNum>
  <w:abstractNum w:abstractNumId="7">
    <w:nsid w:val="436C6125"/>
    <w:multiLevelType w:val="hybridMultilevel"/>
    <w:lvl w:ilvl="0">
      <w:lvlJc w:val="left"/>
      <w:lvlText w:val="(%1)"/>
      <w:numFmt w:val="lowerLetter"/>
      <w:start w:val="2"/>
    </w:lvl>
  </w:abstractNum>
  <w:abstractNum w:abstractNumId="8">
    <w:nsid w:val="628C895D"/>
    <w:multiLevelType w:val="hybridMultilevel"/>
    <w:lvl w:ilvl="0">
      <w:lvlJc w:val="left"/>
      <w:lvlText w:val="(%1)"/>
      <w:numFmt w:val="lowerRoman"/>
      <w:start w:val="4"/>
    </w:lvl>
  </w:abstractNum>
  <w:abstractNum w:abstractNumId="9">
    <w:nsid w:val="333AB105"/>
    <w:multiLevelType w:val="hybridMultilevel"/>
    <w:lvl w:ilvl="0">
      <w:lvlJc w:val="left"/>
      <w:lvlText w:val="(%1)"/>
      <w:numFmt w:val="lowerRoman"/>
      <w:start w:val="3"/>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lvl w:ilvl="1">
      <w:lvlJc w:val="left"/>
      <w:lvlText w:val="(%2)"/>
      <w:numFmt w:val="lowerRoman"/>
      <w:start w:val="4"/>
    </w:lvl>
  </w:abstractNum>
  <w:abstractNum w:abstractNumId="12">
    <w:nsid w:val="2D1D5AE9"/>
    <w:multiLevelType w:val="hybridMultilevel"/>
    <w:lvl w:ilvl="0">
      <w:lvlJc w:val="left"/>
      <w:lvlText w:val="%1"/>
      <w:numFmt w:val="decimal"/>
      <w:start w:val="1"/>
    </w:lvl>
    <w:lvl w:ilvl="1">
      <w:lvlJc w:val="left"/>
      <w:lvlText w:val="(%2)"/>
      <w:numFmt w:val="lowerRoman"/>
      <w:start w:val="8"/>
    </w:lvl>
  </w:abstractNum>
  <w:abstractNum w:abstractNumId="13">
    <w:nsid w:val="6763845E"/>
    <w:multiLevelType w:val="hybridMultilevel"/>
    <w:lvl w:ilvl="0">
      <w:lvlJc w:val="left"/>
      <w:lvlText w:val="%1"/>
      <w:numFmt w:val="decimal"/>
      <w:start w:val="1"/>
    </w:lvl>
    <w:lvl w:ilvl="1">
      <w:lvlJc w:val="left"/>
      <w:lvlText w:val="(%2)"/>
      <w:numFmt w:val="lowerRoman"/>
      <w:start w:val="12"/>
    </w:lvl>
  </w:abstractNum>
  <w:abstractNum w:abstractNumId="14">
    <w:nsid w:val="75A2A8D4"/>
    <w:multiLevelType w:val="hybridMultilevel"/>
    <w:lvl w:ilvl="0">
      <w:lvlJc w:val="left"/>
      <w:lvlText w:val="%1"/>
      <w:numFmt w:val="decimal"/>
      <w:start w:val="1"/>
    </w:lvl>
    <w:lvl w:ilvl="1">
      <w:lvlJc w:val="left"/>
      <w:lvlText w:val="(%2)"/>
      <w:numFmt w:val="lowerRoman"/>
      <w:start w:val="16"/>
    </w:lvl>
  </w:abstractNum>
  <w:abstractNum w:abstractNumId="15">
    <w:nsid w:val="8EDBDAB"/>
    <w:multiLevelType w:val="hybridMultilevel"/>
    <w:lvl w:ilvl="0">
      <w:lvlJc w:val="left"/>
      <w:lvlText w:val="%1."/>
      <w:numFmt w:val="decimal"/>
      <w:start w:val="4"/>
    </w:lvl>
    <w:lvl w:ilvl="1">
      <w:lvlJc w:val="left"/>
      <w:lvlText w:val="%2"/>
      <w:numFmt w:val="lowerRoman"/>
      <w:start w:val="1"/>
    </w:lvl>
  </w:abstractNum>
  <w:abstractNum w:abstractNumId="16">
    <w:nsid w:val="79838CB2"/>
    <w:multiLevelType w:val="hybridMultilevel"/>
    <w:lvl w:ilvl="0">
      <w:lvlJc w:val="left"/>
      <w:lvlText w:val="%1."/>
      <w:numFmt w:val="decimal"/>
      <w:start w:val="7"/>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9"/>
    </w:lvl>
    <w:lvl w:ilvl="1">
      <w:lvlJc w:val="left"/>
      <w:lvlText w:val="(%2)"/>
      <w:numFmt w:val="decimal"/>
      <w:start w:val="1"/>
    </w:lvl>
  </w:abstractNum>
  <w:abstractNum w:abstractNumId="19">
    <w:nsid w:val="189A769B"/>
    <w:multiLevelType w:val="hybridMultilevel"/>
    <w:lvl w:ilvl="0">
      <w:lvlJc w:val="left"/>
      <w:lvlText w:val="(%1)"/>
      <w:numFmt w:val="decimal"/>
      <w:start w:val="10"/>
    </w:lvl>
  </w:abstractNum>
  <w:abstractNum w:abstractNumId="20">
    <w:nsid w:val="54E49EB4"/>
    <w:multiLevelType w:val="hybridMultilevel"/>
    <w:lvl w:ilvl="0">
      <w:lvlJc w:val="left"/>
      <w:lvlText w:val="(%1)"/>
      <w:numFmt w:val="decimal"/>
      <w:start w:val="16"/>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upperLetter"/>
      <w:start w:val="2"/>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9"/>
    </w:lvl>
    <w:lvl w:ilvl="1">
      <w:lvlJc w:val="left"/>
      <w:lvlText w:val="(%2)"/>
      <w:numFmt w:val="decimal"/>
      <w:start w:val="1"/>
    </w:lvl>
  </w:abstractNum>
  <w:abstractNum w:abstractNumId="26">
    <w:nsid w:val="8138641"/>
    <w:multiLevelType w:val="hybridMultilevel"/>
    <w:lvl w:ilvl="0">
      <w:lvlJc w:val="left"/>
      <w:lvlText w:val="(%1)"/>
      <w:numFmt w:val="decimal"/>
      <w:start w:val="10"/>
    </w:lvl>
  </w:abstractNum>
  <w:abstractNum w:abstractNumId="27">
    <w:nsid w:val="1E7FF521"/>
    <w:multiLevelType w:val="hybridMultilevel"/>
    <w:lvl w:ilvl="0">
      <w:lvlJc w:val="left"/>
      <w:lvlText w:val="(%1)"/>
      <w:numFmt w:val="decimal"/>
      <w:start w:val="16"/>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upperLetter"/>
      <w:start w:val="2"/>
    </w:lvl>
  </w:abstractNum>
  <w:abstractNum w:abstractNumId="31">
    <w:nsid w:val="22221A70"/>
    <w:multiLevelType w:val="hybridMultilevel"/>
    <w:lvl w:ilvl="0">
      <w:lvlJc w:val="left"/>
      <w:lvlText w:val="(%1)"/>
      <w:numFmt w:val="lowerRoman"/>
      <w:start w:val="7"/>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4" Type="http://schemas.openxmlformats.org/officeDocument/2006/relationships/hyperlink" Target="https://www.sec.gov/Archives/edgar/data/823768/0000950129-97-003909-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2023-02-13T15:38:34Z</dcterms:created>
  <dcterms:modified xsi:type="dcterms:W3CDTF">2023-02-13T15:38:34Z</dcterms:modified>
</cp:coreProperties>
</file>