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Waste Management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94106L109</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94106L109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620,062</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154,082</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35,628,996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733,010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36,362,006</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Waste Management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1001 Fannin, Suite 4000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Texas 77002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94106L109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36,362,006</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620,062</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154,082</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35,628,996 (iv) shared power to dispose or to direct the disposition of: 733,010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468,412 shares or 0.11%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409,035 shares or 0.09% of the Common Stock outstanding of the Company as a result of its serving as investment manager of Australian investment offerings.</w:t>
      </w:r>
    </w:p>
    <w:sectPr>
      <w:pgSz w:w="11900" w:h="16838" w:orient="portrait"/>
      <w:cols w:equalWidth="0" w:num="1">
        <w:col w:w="11180"/>
      </w:cols>
      <w:pgMar w:left="240" w:top="6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2020-02-12T08:19:48Z</dcterms:created>
  <dcterms:modified xsi:type="dcterms:W3CDTF">2020-02-12T08:19:48Z</dcterms:modified>
</cp:coreProperties>
</file>