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27, 2006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0" w:gutter="0" w:footer="0" w:header="0"/>
        </w:sectPr>
      </w:pPr>
    </w:p>
    <w:p>
      <w:pPr>
        <w:spacing w:after="0" w:line="205"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0"/>
          <w:szCs w:val="20"/>
          <w:color w:val="auto"/>
        </w:rPr>
      </w:pPr>
    </w:p>
    <w:p>
      <w:pPr>
        <w:sectPr>
          <w:pgSz w:w="11900" w:h="16838" w:orient="portrait"/>
          <w:cols w:equalWidth="0" w:num="2">
            <w:col w:w="6460" w:space="720"/>
            <w:col w:w="4240"/>
          </w:cols>
          <w:pgMar w:left="240" w:top="122" w:right="239" w:bottom="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 EMPLOYEE STOCK PURCHASE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 titles of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Rick L Wittenbraker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32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5320" w:type="dxa"/>
            <w:vAlign w:val="bottom"/>
            <w:tcBorders>
              <w:right w:val="single" w:sz="8" w:color="auto"/>
            </w:tcBorders>
            <w:vMerge w:val="restart"/>
          </w:tcPr>
          <w:p>
            <w:pPr>
              <w:jc w:val="center"/>
              <w:ind w:right="22"/>
              <w:spacing w:after="0"/>
              <w:rPr>
                <w:sz w:val="20"/>
                <w:szCs w:val="20"/>
                <w:color w:val="auto"/>
              </w:rPr>
            </w:pPr>
            <w:r>
              <w:rPr>
                <w:rFonts w:ascii="Arial" w:cs="Arial" w:eastAsia="Arial" w:hAnsi="Arial"/>
                <w:sz w:val="14"/>
                <w:szCs w:val="14"/>
                <w:b w:val="1"/>
                <w:bCs w:val="1"/>
                <w:color w:val="auto"/>
                <w:w w:val="92"/>
              </w:rPr>
              <w:t>Title of securities</w:t>
            </w:r>
          </w:p>
        </w:tc>
        <w:tc>
          <w:tcPr>
            <w:tcW w:w="1360" w:type="dxa"/>
            <w:vAlign w:val="bottom"/>
            <w:tcBorders>
              <w:right w:val="single" w:sz="8" w:color="auto"/>
            </w:tcBorders>
            <w:vMerge w:val="restart"/>
          </w:tcPr>
          <w:p>
            <w:pPr>
              <w:jc w:val="right"/>
              <w:ind w:right="242"/>
              <w:spacing w:after="0"/>
              <w:rPr>
                <w:sz w:val="20"/>
                <w:szCs w:val="20"/>
                <w:color w:val="auto"/>
              </w:rPr>
            </w:pPr>
            <w:r>
              <w:rPr>
                <w:rFonts w:ascii="Arial" w:cs="Arial" w:eastAsia="Arial" w:hAnsi="Arial"/>
                <w:sz w:val="14"/>
                <w:szCs w:val="14"/>
                <w:b w:val="1"/>
                <w:bCs w:val="1"/>
                <w:color w:val="auto"/>
              </w:rPr>
              <w:t>Amount to be</w:t>
            </w:r>
          </w:p>
        </w:tc>
        <w:tc>
          <w:tcPr>
            <w:tcW w:w="1700" w:type="dxa"/>
            <w:vAlign w:val="bottom"/>
            <w:tcBorders>
              <w:right w:val="single" w:sz="8" w:color="auto"/>
            </w:tcBorders>
          </w:tcPr>
          <w:p>
            <w:pPr>
              <w:jc w:val="center"/>
              <w:ind w:right="47"/>
              <w:spacing w:after="0" w:line="100" w:lineRule="exact"/>
              <w:rPr>
                <w:sz w:val="20"/>
                <w:szCs w:val="20"/>
                <w:color w:val="auto"/>
              </w:rPr>
            </w:pPr>
            <w:r>
              <w:rPr>
                <w:rFonts w:ascii="Arial" w:cs="Arial" w:eastAsia="Arial" w:hAnsi="Arial"/>
                <w:sz w:val="11"/>
                <w:szCs w:val="11"/>
                <w:b w:val="1"/>
                <w:bCs w:val="1"/>
                <w:color w:val="auto"/>
              </w:rPr>
              <w:t>Proposed maximum</w:t>
            </w:r>
          </w:p>
        </w:tc>
        <w:tc>
          <w:tcPr>
            <w:tcW w:w="1720" w:type="dxa"/>
            <w:vAlign w:val="bottom"/>
            <w:tcBorders>
              <w:right w:val="single" w:sz="8" w:color="auto"/>
            </w:tcBorders>
          </w:tcPr>
          <w:p>
            <w:pPr>
              <w:jc w:val="center"/>
              <w:ind w:right="27"/>
              <w:spacing w:after="0" w:line="100" w:lineRule="exact"/>
              <w:rPr>
                <w:sz w:val="20"/>
                <w:szCs w:val="20"/>
                <w:color w:val="auto"/>
              </w:rPr>
            </w:pPr>
            <w:r>
              <w:rPr>
                <w:rFonts w:ascii="Arial" w:cs="Arial" w:eastAsia="Arial" w:hAnsi="Arial"/>
                <w:sz w:val="11"/>
                <w:szCs w:val="11"/>
                <w:b w:val="1"/>
                <w:bCs w:val="1"/>
                <w:color w:val="auto"/>
              </w:rPr>
              <w:t>Proposed maximum</w:t>
            </w:r>
          </w:p>
        </w:tc>
        <w:tc>
          <w:tcPr>
            <w:tcW w:w="13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Amount of</w:t>
            </w:r>
          </w:p>
        </w:tc>
        <w:tc>
          <w:tcPr>
            <w:tcW w:w="0" w:type="dxa"/>
            <w:vAlign w:val="bottom"/>
          </w:tcPr>
          <w:p>
            <w:pPr>
              <w:spacing w:after="0"/>
              <w:rPr>
                <w:sz w:val="1"/>
                <w:szCs w:val="1"/>
                <w:color w:val="auto"/>
              </w:rPr>
            </w:pPr>
          </w:p>
        </w:tc>
      </w:tr>
      <w:tr>
        <w:trPr>
          <w:trHeight w:val="149"/>
        </w:trPr>
        <w:tc>
          <w:tcPr>
            <w:tcW w:w="532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ind w:right="47"/>
              <w:spacing w:after="0" w:line="149" w:lineRule="exact"/>
              <w:rPr>
                <w:sz w:val="20"/>
                <w:szCs w:val="20"/>
                <w:color w:val="auto"/>
              </w:rPr>
            </w:pPr>
            <w:r>
              <w:rPr>
                <w:rFonts w:ascii="Arial" w:cs="Arial" w:eastAsia="Arial" w:hAnsi="Arial"/>
                <w:sz w:val="14"/>
                <w:szCs w:val="14"/>
                <w:b w:val="1"/>
                <w:bCs w:val="1"/>
                <w:color w:val="auto"/>
                <w:w w:val="92"/>
              </w:rPr>
              <w:t>offering price per</w:t>
            </w:r>
          </w:p>
        </w:tc>
        <w:tc>
          <w:tcPr>
            <w:tcW w:w="1720" w:type="dxa"/>
            <w:vAlign w:val="bottom"/>
            <w:tcBorders>
              <w:right w:val="single" w:sz="8" w:color="auto"/>
            </w:tcBorders>
          </w:tcPr>
          <w:p>
            <w:pPr>
              <w:jc w:val="center"/>
              <w:ind w:right="47"/>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71"/>
        </w:trPr>
        <w:tc>
          <w:tcPr>
            <w:tcW w:w="5320" w:type="dxa"/>
            <w:vAlign w:val="bottom"/>
            <w:tcBorders>
              <w:bottom w:val="single" w:sz="8" w:color="auto"/>
              <w:right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to be registered</w:t>
            </w:r>
          </w:p>
        </w:tc>
        <w:tc>
          <w:tcPr>
            <w:tcW w:w="1360" w:type="dxa"/>
            <w:vAlign w:val="bottom"/>
            <w:tcBorders>
              <w:bottom w:val="single" w:sz="8" w:color="auto"/>
              <w:right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Registered (1)</w:t>
            </w:r>
          </w:p>
        </w:tc>
        <w:tc>
          <w:tcPr>
            <w:tcW w:w="1700" w:type="dxa"/>
            <w:vAlign w:val="bottom"/>
            <w:tcBorders>
              <w:bottom w:val="single" w:sz="8" w:color="auto"/>
              <w:right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92"/>
              </w:rPr>
              <w:t>share (1)(2)</w:t>
            </w:r>
          </w:p>
        </w:tc>
        <w:tc>
          <w:tcPr>
            <w:tcW w:w="1720" w:type="dxa"/>
            <w:vAlign w:val="bottom"/>
            <w:tcBorders>
              <w:bottom w:val="single" w:sz="8" w:color="auto"/>
              <w:right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94"/>
              </w:rPr>
              <w:t>price (1)(3)</w:t>
            </w:r>
          </w:p>
        </w:tc>
        <w:tc>
          <w:tcPr>
            <w:tcW w:w="1320" w:type="dxa"/>
            <w:vAlign w:val="bottom"/>
            <w:tcBorders>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par value $0.01 per share</w:t>
            </w:r>
          </w:p>
        </w:tc>
        <w:tc>
          <w:tcPr>
            <w:tcW w:w="1360" w:type="dxa"/>
            <w:vAlign w:val="bottom"/>
            <w:tcBorders>
              <w:bottom w:val="single" w:sz="8" w:color="auto"/>
              <w:right w:val="single" w:sz="8" w:color="auto"/>
            </w:tcBorders>
          </w:tcPr>
          <w:p>
            <w:pPr>
              <w:jc w:val="right"/>
              <w:ind w:right="242"/>
              <w:spacing w:after="0"/>
              <w:rPr>
                <w:sz w:val="20"/>
                <w:szCs w:val="20"/>
                <w:color w:val="auto"/>
              </w:rPr>
            </w:pPr>
            <w:r>
              <w:rPr>
                <w:rFonts w:ascii="Arial" w:cs="Arial" w:eastAsia="Arial" w:hAnsi="Arial"/>
                <w:sz w:val="18"/>
                <w:szCs w:val="18"/>
                <w:color w:val="auto"/>
              </w:rPr>
              <w:t>2,500,000</w:t>
            </w:r>
          </w:p>
        </w:tc>
        <w:tc>
          <w:tcPr>
            <w:tcW w:w="1700" w:type="dxa"/>
            <w:vAlign w:val="bottom"/>
            <w:tcBorders>
              <w:bottom w:val="single" w:sz="8" w:color="auto"/>
              <w:right w:val="single" w:sz="8" w:color="auto"/>
            </w:tcBorders>
          </w:tcPr>
          <w:p>
            <w:pPr>
              <w:jc w:val="center"/>
              <w:ind w:right="47"/>
              <w:spacing w:after="0"/>
              <w:rPr>
                <w:sz w:val="20"/>
                <w:szCs w:val="20"/>
                <w:color w:val="auto"/>
              </w:rPr>
            </w:pPr>
            <w:r>
              <w:rPr>
                <w:rFonts w:ascii="Arial" w:cs="Arial" w:eastAsia="Arial" w:hAnsi="Arial"/>
                <w:sz w:val="18"/>
                <w:szCs w:val="18"/>
                <w:color w:val="auto"/>
                <w:w w:val="89"/>
              </w:rPr>
              <w:t>$34.315</w:t>
            </w:r>
          </w:p>
        </w:tc>
        <w:tc>
          <w:tcPr>
            <w:tcW w:w="1720" w:type="dxa"/>
            <w:vAlign w:val="bottom"/>
            <w:tcBorders>
              <w:bottom w:val="single" w:sz="8" w:color="auto"/>
              <w:right w:val="single" w:sz="8" w:color="auto"/>
            </w:tcBorders>
          </w:tcPr>
          <w:p>
            <w:pPr>
              <w:jc w:val="center"/>
              <w:ind w:right="27"/>
              <w:spacing w:after="0"/>
              <w:rPr>
                <w:sz w:val="20"/>
                <w:szCs w:val="20"/>
                <w:color w:val="auto"/>
              </w:rPr>
            </w:pPr>
            <w:r>
              <w:rPr>
                <w:rFonts w:ascii="Arial" w:cs="Arial" w:eastAsia="Arial" w:hAnsi="Arial"/>
                <w:sz w:val="18"/>
                <w:szCs w:val="18"/>
                <w:color w:val="auto"/>
                <w:w w:val="89"/>
              </w:rPr>
              <w:t>$85,787,500</w:t>
            </w:r>
          </w:p>
        </w:tc>
        <w:tc>
          <w:tcPr>
            <w:tcW w:w="1320" w:type="dxa"/>
            <w:vAlign w:val="bottom"/>
            <w:tcBorders>
              <w:bottom w:val="single" w:sz="8" w:color="auto"/>
            </w:tcBorders>
          </w:tcPr>
          <w:p>
            <w:pPr>
              <w:jc w:val="right"/>
              <w:ind w:right="247"/>
              <w:spacing w:after="0"/>
              <w:rPr>
                <w:sz w:val="20"/>
                <w:szCs w:val="20"/>
                <w:color w:val="auto"/>
              </w:rPr>
            </w:pPr>
            <w:r>
              <w:rPr>
                <w:rFonts w:ascii="Arial" w:cs="Arial" w:eastAsia="Arial" w:hAnsi="Arial"/>
                <w:sz w:val="18"/>
                <w:szCs w:val="18"/>
                <w:color w:val="auto"/>
              </w:rPr>
              <w:t>$9,179.26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right="120" w:hanging="452"/>
        <w:spacing w:after="0" w:line="27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Registrant previously filed a registration statement on Form S-8 to register the issuance of shares pursuant to the Waste Management, Inc. Employee Stock Purchase Plan (the “Plan”) on June 18, 2003, Registration No. 333-106223 (the “Old S-8”). The Old S-8 registered the issuance of up to 2,089,266 shares of the Company’s common stock, par value $0.01 per share (the “Common Stock”), under the Plan. There are currently 165,086 shares of Common Stock registered for issuance under the Old S-8 that have not been issued. The Section 10(a) prospectus relating to the 2,500,000 shares registered under this Registration Statement also relates to the Old S-8.</w:t>
      </w:r>
    </w:p>
    <w:p>
      <w:pPr>
        <w:spacing w:after="0" w:line="23" w:lineRule="exact"/>
        <w:rPr>
          <w:rFonts w:ascii="Arial" w:cs="Arial" w:eastAsia="Arial" w:hAnsi="Arial"/>
          <w:sz w:val="17"/>
          <w:szCs w:val="17"/>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the average of the high and low prices of the Common Stock as reported on the New York Stock Exchange on June 20, 2006.</w:t>
      </w:r>
    </w:p>
    <w:p>
      <w:pPr>
        <w:spacing w:after="0" w:line="88" w:lineRule="exact"/>
        <w:rPr>
          <w:rFonts w:ascii="Arial" w:cs="Arial" w:eastAsia="Arial" w:hAnsi="Arial"/>
          <w:sz w:val="17"/>
          <w:szCs w:val="17"/>
          <w:color w:val="auto"/>
        </w:rPr>
      </w:pPr>
    </w:p>
    <w:p>
      <w:pPr>
        <w:ind w:left="460" w:right="34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Computed in accordance with Rules 457(c) and (h) under the Securities Act of 1933, as amended, solely for the purpose of calculating the total registration fee. The aggregate offering price and amount of registration fee have been computed based on the average of the high and low prices of Common Stock as reported on the New York Stock Exchange on June 20,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534035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STATEMENT</w:t>
      </w:r>
    </w:p>
    <w:p>
      <w:pPr>
        <w:spacing w:after="0" w:line="121"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In accordance with the principles set forth under General Instruction E of Form S-8 under the Securities Act of 1933, as amended, the Registrant has filed this registration statement on Form S-8 to register the issuance of an additional 2,500,000 shares of Common Stock pursuant to the Waste Management, Inc. Employee Stock Purchase Plan (the “Plan”). The contents of the Registration Statement on Form S-8 (Registration No. 333-106223) filed by the Registrant with the Securities and Exchange Commission on June 18, 2003 are incorporated herein by reference.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this registration statement’s effectiveness, there will be 2,665,086 shares of Common Stock registered for issuance under the Plan.</w:t>
      </w:r>
    </w:p>
    <w:p>
      <w:pPr>
        <w:sectPr>
          <w:pgSz w:w="11900" w:h="16838" w:orient="portrait"/>
          <w:cols w:equalWidth="0" w:num="1">
            <w:col w:w="11420"/>
          </w:cols>
          <w:pgMar w:left="240" w:top="122" w:right="239" w:bottom="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Plan Information</w:t>
        </w:r>
      </w:hyperlink>
    </w:p>
    <w:p>
      <w:pPr>
        <w:ind w:right="3179" w:firstLine="311"/>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 Registrant Information and Employee Plan Annual Information</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Part II</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8. Exhibits</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SIGNATURES</w:t>
        </w:r>
      </w:hyperlink>
    </w:p>
    <w:p>
      <w:pPr>
        <w:spacing w:after="0" w:line="230" w:lineRule="auto"/>
        <w:rPr>
          <w:sz w:val="20"/>
          <w:szCs w:val="20"/>
          <w:color w:val="auto"/>
        </w:rPr>
      </w:pPr>
      <w:r>
        <w:rPr>
          <w:rFonts w:ascii="Arial" w:cs="Arial" w:eastAsia="Arial" w:hAnsi="Arial"/>
          <w:sz w:val="22"/>
          <w:szCs w:val="22"/>
          <w:u w:val="single" w:color="auto"/>
          <w:color w:val="0000EE"/>
        </w:rPr>
        <w:t>Employee Stock Purchase Plan</w:t>
      </w:r>
    </w:p>
    <w:p>
      <w:pPr>
        <w:spacing w:after="0" w:line="231" w:lineRule="auto"/>
        <w:rPr>
          <w:sz w:val="20"/>
          <w:szCs w:val="20"/>
          <w:color w:val="auto"/>
        </w:rPr>
      </w:pPr>
      <w:r>
        <w:rPr>
          <w:rFonts w:ascii="Arial" w:cs="Arial" w:eastAsia="Arial" w:hAnsi="Arial"/>
          <w:sz w:val="22"/>
          <w:szCs w:val="22"/>
          <w:u w:val="single" w:color="auto"/>
          <w:color w:val="0000EE"/>
        </w:rPr>
        <w:t>Opinion of John S. Tsai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Consent of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220" w:hanging="212"/>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of 1933, as amended, and the “Note” to Part I of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documents filed with the Securities and Exchange Commission (the “Commission”) by the Registrant are hereby incorporated by reference into this Registration Statement:</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2005.</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2006.</w:t>
      </w:r>
    </w:p>
    <w:p>
      <w:pPr>
        <w:spacing w:after="0" w:line="130" w:lineRule="exact"/>
        <w:rPr>
          <w:rFonts w:ascii="Arial" w:cs="Arial" w:eastAsia="Arial" w:hAnsi="Arial"/>
          <w:sz w:val="18"/>
          <w:szCs w:val="18"/>
          <w:color w:val="auto"/>
        </w:rPr>
      </w:pPr>
    </w:p>
    <w:p>
      <w:pPr>
        <w:ind w:left="660" w:right="22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73" w:lineRule="exact"/>
        <w:rPr>
          <w:sz w:val="20"/>
          <w:szCs w:val="20"/>
          <w:color w:val="auto"/>
        </w:rPr>
      </w:pPr>
    </w:p>
    <w:p>
      <w:pPr>
        <w:ind w:right="80" w:firstLine="215"/>
        <w:spacing w:after="0" w:line="312" w:lineRule="auto"/>
        <w:rPr>
          <w:sz w:val="20"/>
          <w:szCs w:val="20"/>
          <w:color w:val="auto"/>
        </w:rPr>
      </w:pPr>
      <w:r>
        <w:rPr>
          <w:rFonts w:ascii="Arial" w:cs="Arial" w:eastAsia="Arial" w:hAnsi="Arial"/>
          <w:sz w:val="16"/>
          <w:szCs w:val="16"/>
          <w:color w:val="auto"/>
        </w:rPr>
        <w:t>All documents subsequently filed by the Registrant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Certificate of Incorporation (the “Charter”) and the Bylaws of the Registrant provide in effect that the Registrant shall indemnify its directors, officers, employees and agents (as well as persons serving as a director, officer, employee or agent of any of the Registrant’s direct or indirect subsidiaries) to the extent permitted by the General Corporation Law of the State of Delaware (the “DGCL”). Sections 102 and 145 of the DGCL provide that a Delaware corporation has the power to indemnify its directors, officers, employees and agents in certain circumstances, as described below.</w:t>
      </w:r>
    </w:p>
    <w:p>
      <w:pPr>
        <w:spacing w:after="0" w:line="63"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In accordance with Section 102 of the DGCL, the Registrant’s Charter contains a provision that eliminates the personal liability of directors of the Registrant or its stockholders for monetary damages for breach of fiduciary duty as a director, except in cases where the director breached his or her duty of loyalty to the Registrant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w:t>
      </w:r>
    </w:p>
    <w:p>
      <w:pPr>
        <w:spacing w:after="0" w:line="46"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Pursuant to Subsection (a)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Registrant), against expenses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79"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Pursuant to Subsection (b)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or suit by or in the right of the Registrant to procure a judgment in its favor by reason of the fact that such person acted in any of the capacities set forth above, against expenses (including attorney’s fees), judgments, fines, penalties and amounts paid in settlement actually and reasonably incurred in connection with the investigation, preparation to defend or defense of such action or suit provided that such person acted in good faith and in a manner he or she reasonably believed to be in or not opposed to the best interest of the Registrant, except that no indemnification may be made in respect of any claim, issue or matter as to which such person shall have been adjudged to be liable to the Registrant unless and only to the extent that the Court of Chancery (or such other court in which such action or suit has been brought) shall determine that despite the adjudication of liability such person is fairly and reasonably entitled to indemnity for such expenses which the court shall deem proper.</w:t>
      </w:r>
    </w:p>
    <w:p>
      <w:pPr>
        <w:spacing w:after="0" w:line="74"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Registrant’s Bylaws further provide that, to the extent that a director, officer, employee or agent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Any person seeking indemnification as described above shall be deemed to have met the standard of conduct required for such indemnification unless the contrary shall be established. The indemnification provided by Section 145 of the DGCL shall not be exclusive of any other rights to which the party seeking indemnification may be entitled.</w:t>
      </w:r>
    </w:p>
    <w:p>
      <w:pPr>
        <w:spacing w:after="0" w:line="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Section 145 of the DGCL also provides that a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The Registrant has purchased certain liability insurance for its officers and directors.</w:t>
      </w:r>
    </w:p>
    <w:p>
      <w:pPr>
        <w:spacing w:after="0" w:line="79"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Registrant has entered into indemnification agreements with its directors and certain of its executive officers and certain of its executive officers’ employment agreements contain indemnification provisions. Such agreements and provisions generally provide that such persons will be indemnified and held harmless to the fullest extent of Delaware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4.1</w:t>
            </w:r>
          </w:p>
        </w:tc>
        <w:tc>
          <w:tcPr>
            <w:tcW w:w="11020" w:type="dxa"/>
            <w:vAlign w:val="bottom"/>
          </w:tcPr>
          <w:p>
            <w:pPr>
              <w:ind w:left="160"/>
              <w:spacing w:after="0"/>
              <w:rPr>
                <w:sz w:val="20"/>
                <w:szCs w:val="20"/>
                <w:color w:val="auto"/>
              </w:rPr>
            </w:pPr>
            <w:r>
              <w:rPr>
                <w:rFonts w:ascii="Arial" w:cs="Arial" w:eastAsia="Arial" w:hAnsi="Arial"/>
                <w:sz w:val="18"/>
                <w:szCs w:val="18"/>
                <w:color w:val="auto"/>
                <w:w w:val="96"/>
              </w:rPr>
              <w:t>-  Second Amended and Restated Certificate of Incorporation (Incorporated by reference to Exhibit 3.1 to the Registrant’s Quarterly Report on</w:t>
            </w:r>
          </w:p>
        </w:tc>
      </w:tr>
      <w:tr>
        <w:trPr>
          <w:trHeight w:val="230"/>
        </w:trPr>
        <w:tc>
          <w:tcPr>
            <w:tcW w:w="400" w:type="dxa"/>
            <w:vAlign w:val="bottom"/>
          </w:tcPr>
          <w:p>
            <w:pPr>
              <w:spacing w:after="0"/>
              <w:rPr>
                <w:sz w:val="20"/>
                <w:szCs w:val="20"/>
                <w:color w:val="auto"/>
              </w:rPr>
            </w:pPr>
          </w:p>
        </w:tc>
        <w:tc>
          <w:tcPr>
            <w:tcW w:w="11020" w:type="dxa"/>
            <w:vAlign w:val="bottom"/>
          </w:tcPr>
          <w:p>
            <w:pPr>
              <w:ind w:left="420"/>
              <w:spacing w:after="0"/>
              <w:rPr>
                <w:sz w:val="20"/>
                <w:szCs w:val="20"/>
                <w:color w:val="auto"/>
              </w:rPr>
            </w:pPr>
            <w:r>
              <w:rPr>
                <w:rFonts w:ascii="Arial" w:cs="Arial" w:eastAsia="Arial" w:hAnsi="Arial"/>
                <w:sz w:val="18"/>
                <w:szCs w:val="18"/>
                <w:color w:val="auto"/>
              </w:rPr>
              <w:t>Form 10-Q for the Quarter ended June 30, 2002).</w:t>
            </w:r>
          </w:p>
        </w:tc>
      </w:tr>
      <w:tr>
        <w:trPr>
          <w:trHeight w:val="432"/>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4.2</w:t>
            </w:r>
          </w:p>
        </w:tc>
        <w:tc>
          <w:tcPr>
            <w:tcW w:w="11020" w:type="dxa"/>
            <w:vAlign w:val="bottom"/>
          </w:tcPr>
          <w:p>
            <w:pPr>
              <w:ind w:left="160"/>
              <w:spacing w:after="0"/>
              <w:rPr>
                <w:sz w:val="20"/>
                <w:szCs w:val="20"/>
                <w:color w:val="auto"/>
              </w:rPr>
            </w:pPr>
            <w:r>
              <w:rPr>
                <w:rFonts w:ascii="Arial" w:cs="Arial" w:eastAsia="Arial" w:hAnsi="Arial"/>
                <w:sz w:val="18"/>
                <w:szCs w:val="18"/>
                <w:color w:val="auto"/>
                <w:w w:val="97"/>
              </w:rPr>
              <w:t>-  Bylaws (Incorporated by reference to Exhibit 3.2 to the Registrant’s Annual Report on Form 10-K for the year ended December 31, 2004).</w:t>
            </w:r>
          </w:p>
        </w:tc>
      </w:tr>
      <w:tr>
        <w:trPr>
          <w:trHeight w:val="432"/>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4.3</w:t>
            </w:r>
          </w:p>
        </w:tc>
        <w:tc>
          <w:tcPr>
            <w:tcW w:w="11020" w:type="dxa"/>
            <w:vAlign w:val="bottom"/>
          </w:tcPr>
          <w:p>
            <w:pPr>
              <w:ind w:left="160"/>
              <w:spacing w:after="0"/>
              <w:rPr>
                <w:sz w:val="20"/>
                <w:szCs w:val="20"/>
                <w:color w:val="auto"/>
              </w:rPr>
            </w:pPr>
            <w:r>
              <w:rPr>
                <w:rFonts w:ascii="Arial" w:cs="Arial" w:eastAsia="Arial" w:hAnsi="Arial"/>
                <w:sz w:val="18"/>
                <w:szCs w:val="18"/>
                <w:color w:val="auto"/>
              </w:rPr>
              <w:t>-  Waste Management, Inc. Employee Stock Purchase Plan.</w:t>
            </w:r>
          </w:p>
        </w:tc>
      </w:tr>
      <w:tr>
        <w:trPr>
          <w:trHeight w:val="432"/>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5.1</w:t>
            </w:r>
          </w:p>
        </w:tc>
        <w:tc>
          <w:tcPr>
            <w:tcW w:w="11020" w:type="dxa"/>
            <w:vAlign w:val="bottom"/>
          </w:tcPr>
          <w:p>
            <w:pPr>
              <w:ind w:left="160"/>
              <w:spacing w:after="0"/>
              <w:rPr>
                <w:sz w:val="20"/>
                <w:szCs w:val="20"/>
                <w:color w:val="auto"/>
              </w:rPr>
            </w:pPr>
            <w:r>
              <w:rPr>
                <w:rFonts w:ascii="Arial" w:cs="Arial" w:eastAsia="Arial" w:hAnsi="Arial"/>
                <w:sz w:val="18"/>
                <w:szCs w:val="18"/>
                <w:color w:val="auto"/>
              </w:rPr>
              <w:t>-  Opinion of John S. Tsai with respect to the legality of the securities.</w:t>
            </w:r>
          </w:p>
        </w:tc>
      </w:tr>
      <w:tr>
        <w:trPr>
          <w:trHeight w:val="405"/>
        </w:trPr>
        <w:tc>
          <w:tcPr>
            <w:tcW w:w="400" w:type="dxa"/>
            <w:vAlign w:val="bottom"/>
          </w:tcPr>
          <w:p>
            <w:pPr>
              <w:spacing w:after="0"/>
              <w:rPr>
                <w:sz w:val="24"/>
                <w:szCs w:val="24"/>
                <w:color w:val="auto"/>
              </w:rPr>
            </w:pPr>
          </w:p>
        </w:tc>
        <w:tc>
          <w:tcPr>
            <w:tcW w:w="11020" w:type="dxa"/>
            <w:vAlign w:val="bottom"/>
          </w:tcPr>
          <w:p>
            <w:pPr>
              <w:ind w:left="5180"/>
              <w:spacing w:after="0"/>
              <w:rPr>
                <w:sz w:val="20"/>
                <w:szCs w:val="20"/>
                <w:color w:val="auto"/>
              </w:rPr>
            </w:pPr>
            <w:r>
              <w:rPr>
                <w:rFonts w:ascii="Arial" w:cs="Arial" w:eastAsia="Arial" w:hAnsi="Arial"/>
                <w:sz w:val="18"/>
                <w:szCs w:val="18"/>
                <w:color w:val="auto"/>
              </w:rPr>
              <w:t>II-2</w:t>
            </w:r>
          </w:p>
        </w:tc>
      </w:tr>
      <w:tr>
        <w:trPr>
          <w:trHeight w:val="226"/>
        </w:trPr>
        <w:tc>
          <w:tcPr>
            <w:tcW w:w="400" w:type="dxa"/>
            <w:vAlign w:val="bottom"/>
            <w:tcBorders>
              <w:bottom w:val="single" w:sz="8" w:color="808080"/>
            </w:tcBorders>
          </w:tcPr>
          <w:p>
            <w:pPr>
              <w:spacing w:after="0"/>
              <w:rPr>
                <w:sz w:val="19"/>
                <w:szCs w:val="19"/>
                <w:color w:val="auto"/>
              </w:rPr>
            </w:pPr>
          </w:p>
        </w:tc>
        <w:tc>
          <w:tcPr>
            <w:tcW w:w="1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23.1</w:t>
            </w: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  Consent of Ernst &amp; Young LLP.</w:t>
            </w:r>
          </w:p>
        </w:tc>
      </w:tr>
      <w:tr>
        <w:trPr>
          <w:trHeight w:val="432"/>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23.2</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6100" w:type="dxa"/>
            <w:vAlign w:val="bottom"/>
          </w:tcPr>
          <w:p>
            <w:pPr>
              <w:ind w:left="100"/>
              <w:spacing w:after="0"/>
              <w:rPr>
                <w:sz w:val="20"/>
                <w:szCs w:val="20"/>
                <w:color w:val="auto"/>
              </w:rPr>
            </w:pPr>
            <w:r>
              <w:rPr>
                <w:rFonts w:ascii="Arial" w:cs="Arial" w:eastAsia="Arial" w:hAnsi="Arial"/>
                <w:sz w:val="18"/>
                <w:szCs w:val="18"/>
                <w:color w:val="auto"/>
              </w:rPr>
              <w:t>Consent of John S. Tsai (included in Exhibit 5.1).</w:t>
            </w:r>
          </w:p>
        </w:tc>
      </w:tr>
      <w:tr>
        <w:trPr>
          <w:trHeight w:val="432"/>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24.1</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6100" w:type="dxa"/>
            <w:vAlign w:val="bottom"/>
          </w:tcPr>
          <w:p>
            <w:pPr>
              <w:ind w:left="100"/>
              <w:spacing w:after="0"/>
              <w:rPr>
                <w:sz w:val="20"/>
                <w:szCs w:val="20"/>
                <w:color w:val="auto"/>
              </w:rPr>
            </w:pPr>
            <w:r>
              <w:rPr>
                <w:rFonts w:ascii="Arial" w:cs="Arial" w:eastAsia="Arial" w:hAnsi="Arial"/>
                <w:sz w:val="18"/>
                <w:szCs w:val="18"/>
                <w:color w:val="auto"/>
                <w:w w:val="90"/>
              </w:rPr>
              <w:t>Powers of Attorney (included on the signature page of this Registration Statement).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30" w:lineRule="exact"/>
        <w:rPr>
          <w:rFonts w:ascii="Arial" w:cs="Arial" w:eastAsia="Arial" w:hAnsi="Arial"/>
          <w:sz w:val="18"/>
          <w:szCs w:val="18"/>
          <w:color w:val="auto"/>
        </w:rPr>
      </w:pPr>
    </w:p>
    <w:p>
      <w:pPr>
        <w:ind w:left="1120" w:right="400" w:hanging="437"/>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which represent a fundamental change in the information set forth in the Registration Statement; and</w:t>
      </w:r>
    </w:p>
    <w:p>
      <w:pPr>
        <w:spacing w:after="0" w:line="75" w:lineRule="exact"/>
        <w:rPr>
          <w:rFonts w:ascii="Arial" w:cs="Arial" w:eastAsia="Arial" w:hAnsi="Arial"/>
          <w:sz w:val="18"/>
          <w:szCs w:val="18"/>
          <w:color w:val="auto"/>
        </w:rPr>
      </w:pPr>
    </w:p>
    <w:p>
      <w:pPr>
        <w:ind w:left="1120" w:right="520" w:hanging="437"/>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color w:val="auto"/>
        </w:rPr>
        <w:t>Provided, however, that the undertakings set forth in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73" w:lineRule="exact"/>
        <w:rPr>
          <w:sz w:val="20"/>
          <w:szCs w:val="20"/>
          <w:color w:val="auto"/>
        </w:rPr>
      </w:pPr>
    </w:p>
    <w:p>
      <w:pPr>
        <w:ind w:left="660" w:right="20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86" w:lineRule="exact"/>
        <w:rPr>
          <w:rFonts w:ascii="Arial" w:cs="Arial" w:eastAsia="Arial" w:hAnsi="Arial"/>
          <w:sz w:val="18"/>
          <w:szCs w:val="18"/>
          <w:color w:val="auto"/>
        </w:rPr>
      </w:pPr>
    </w:p>
    <w:p>
      <w:pPr>
        <w:ind w:left="660" w:right="160" w:hanging="43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that remain unsold at the termination of the offering.</w:t>
      </w:r>
    </w:p>
    <w:p>
      <w:pPr>
        <w:spacing w:after="0" w:line="62" w:lineRule="exact"/>
        <w:rPr>
          <w:rFonts w:ascii="Arial" w:cs="Arial" w:eastAsia="Arial" w:hAnsi="Arial"/>
          <w:sz w:val="18"/>
          <w:szCs w:val="18"/>
          <w:color w:val="auto"/>
        </w:rPr>
      </w:pPr>
    </w:p>
    <w:p>
      <w:pPr>
        <w:ind w:right="260" w:firstLine="233"/>
        <w:spacing w:after="0" w:line="259" w:lineRule="auto"/>
        <w:tabs>
          <w:tab w:leader="none" w:pos="47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firstLine="233"/>
        <w:spacing w:after="0" w:line="291" w:lineRule="auto"/>
        <w:tabs>
          <w:tab w:leader="none" w:pos="47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David P. Steiner, Robert G. Simpson and Rick L Wittenbraker,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this Registration Statement,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27th day of June, 2006.</w:t>
      </w:r>
    </w:p>
    <w:p>
      <w:pPr>
        <w:spacing w:after="0" w:line="177" w:lineRule="exact"/>
        <w:rPr>
          <w:sz w:val="20"/>
          <w:szCs w:val="20"/>
          <w:color w:val="auto"/>
        </w:rPr>
      </w:pPr>
    </w:p>
    <w:p>
      <w:pPr>
        <w:jc w:val="center"/>
        <w:ind w:left="38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14605</wp:posOffset>
            </wp:positionV>
            <wp:extent cx="31902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David P. Steiner</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Executive Officer</w:t>
      </w:r>
    </w:p>
    <w:p>
      <w:pPr>
        <w:spacing w:after="0" w:line="103"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on the 27th day of June,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940" w:type="dxa"/>
            <w:vAlign w:val="bottom"/>
          </w:tcPr>
          <w:p>
            <w:pPr>
              <w:spacing w:after="0"/>
              <w:rPr>
                <w:sz w:val="14"/>
                <w:szCs w:val="14"/>
                <w:color w:val="auto"/>
              </w:rPr>
            </w:pPr>
          </w:p>
        </w:tc>
      </w:tr>
      <w:tr>
        <w:trPr>
          <w:trHeight w:val="42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 Steiner</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94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David P. Steiner</w:t>
            </w:r>
          </w:p>
        </w:tc>
        <w:tc>
          <w:tcPr>
            <w:tcW w:w="34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94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 Simpson</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c>
          <w:tcPr>
            <w:tcW w:w="194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Robert G. Simpson</w:t>
            </w:r>
          </w:p>
        </w:tc>
        <w:tc>
          <w:tcPr>
            <w:tcW w:w="34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94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Robertson</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c>
          <w:tcPr>
            <w:tcW w:w="194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Greg A. Robertson</w:t>
            </w:r>
          </w:p>
        </w:tc>
        <w:tc>
          <w:tcPr>
            <w:tcW w:w="34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940" w:type="dxa"/>
            <w:vAlign w:val="bottom"/>
          </w:tcPr>
          <w:p>
            <w:pPr>
              <w:spacing w:after="0"/>
              <w:rPr>
                <w:sz w:val="19"/>
                <w:szCs w:val="19"/>
                <w:color w:val="auto"/>
              </w:rPr>
            </w:pPr>
          </w:p>
        </w:tc>
      </w:tr>
      <w:tr>
        <w:trPr>
          <w:trHeight w:val="404"/>
        </w:trPr>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tcPr>
          <w:p>
            <w:pPr>
              <w:ind w:left="660"/>
              <w:spacing w:after="0"/>
              <w:rPr>
                <w:sz w:val="20"/>
                <w:szCs w:val="20"/>
                <w:color w:val="auto"/>
              </w:rPr>
            </w:pPr>
            <w:r>
              <w:rPr>
                <w:rFonts w:ascii="Arial" w:cs="Arial" w:eastAsia="Arial" w:hAnsi="Arial"/>
                <w:sz w:val="18"/>
                <w:szCs w:val="18"/>
                <w:color w:val="auto"/>
              </w:rPr>
              <w:t>II-4</w:t>
            </w:r>
          </w:p>
        </w:tc>
        <w:tc>
          <w:tcPr>
            <w:tcW w:w="1940" w:type="dxa"/>
            <w:vAlign w:val="bottom"/>
          </w:tcPr>
          <w:p>
            <w:pPr>
              <w:spacing w:after="0"/>
              <w:rPr>
                <w:sz w:val="24"/>
                <w:szCs w:val="24"/>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940" w:type="dxa"/>
            <w:vAlign w:val="bottom"/>
          </w:tcPr>
          <w:p>
            <w:pPr>
              <w:spacing w:after="0"/>
              <w:rPr>
                <w:sz w:val="14"/>
                <w:szCs w:val="14"/>
                <w:color w:val="auto"/>
              </w:rPr>
            </w:pPr>
          </w:p>
        </w:tc>
      </w:tr>
      <w:tr>
        <w:trPr>
          <w:trHeight w:val="426"/>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Pastora San Juan Cafferty</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spacing w:after="0"/>
              <w:rPr>
                <w:sz w:val="24"/>
                <w:szCs w:val="24"/>
                <w:color w:val="auto"/>
              </w:rPr>
            </w:pP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Frank M. Clark, Jr.</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spacing w:after="0"/>
              <w:rPr>
                <w:sz w:val="24"/>
                <w:szCs w:val="24"/>
                <w:color w:val="auto"/>
              </w:rPr>
            </w:pP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I. Morgan</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spacing w:after="0"/>
              <w:rPr>
                <w:sz w:val="24"/>
                <w:szCs w:val="24"/>
                <w:color w:val="auto"/>
              </w:rPr>
            </w:pP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Thomas I. Morgan</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C. Pope</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spacing w:after="0"/>
              <w:rPr>
                <w:sz w:val="24"/>
                <w:szCs w:val="24"/>
                <w:color w:val="auto"/>
              </w:rPr>
            </w:pP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John C. Pope</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 Robert Reum</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spacing w:after="0"/>
              <w:rPr>
                <w:sz w:val="24"/>
                <w:szCs w:val="24"/>
                <w:color w:val="auto"/>
              </w:rPr>
            </w:pP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Steven G. Rothmeier</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H. Weidemeyer</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spacing w:after="0"/>
              <w:rPr>
                <w:sz w:val="24"/>
                <w:szCs w:val="24"/>
                <w:color w:val="auto"/>
              </w:rPr>
            </w:pP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tcPr>
          <w:p>
            <w:pPr>
              <w:ind w:left="660"/>
              <w:spacing w:after="0"/>
              <w:rPr>
                <w:sz w:val="20"/>
                <w:szCs w:val="20"/>
                <w:color w:val="auto"/>
              </w:rPr>
            </w:pPr>
            <w:r>
              <w:rPr>
                <w:rFonts w:ascii="Arial" w:cs="Arial" w:eastAsia="Arial" w:hAnsi="Arial"/>
                <w:sz w:val="18"/>
                <w:szCs w:val="18"/>
                <w:color w:val="auto"/>
              </w:rPr>
              <w:t>II-5</w:t>
            </w:r>
          </w:p>
        </w:tc>
        <w:tc>
          <w:tcPr>
            <w:tcW w:w="19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INDEX TO EXHIBITS</w:t>
            </w:r>
          </w:p>
        </w:tc>
        <w:tc>
          <w:tcPr>
            <w:tcW w:w="4320" w:type="dxa"/>
            <w:vAlign w:val="bottom"/>
          </w:tcPr>
          <w:p>
            <w:pPr>
              <w:spacing w:after="0"/>
              <w:rPr>
                <w:sz w:val="17"/>
                <w:szCs w:val="17"/>
                <w:color w:val="auto"/>
              </w:rPr>
            </w:pPr>
          </w:p>
        </w:tc>
      </w:tr>
      <w:tr>
        <w:trPr>
          <w:trHeight w:val="438"/>
        </w:trPr>
        <w:tc>
          <w:tcPr>
            <w:tcW w:w="440" w:type="dxa"/>
            <w:vAlign w:val="bottom"/>
          </w:tcPr>
          <w:p>
            <w:pPr>
              <w:spacing w:after="0"/>
              <w:rPr>
                <w:sz w:val="20"/>
                <w:szCs w:val="20"/>
                <w:color w:val="auto"/>
              </w:rPr>
            </w:pPr>
            <w:r>
              <w:rPr>
                <w:rFonts w:ascii="Arial" w:cs="Arial" w:eastAsia="Arial" w:hAnsi="Arial"/>
                <w:sz w:val="18"/>
                <w:szCs w:val="18"/>
                <w:color w:val="auto"/>
              </w:rPr>
              <w:t>4.1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w w:val="91"/>
              </w:rPr>
              <w:t>-  Second Amended and Restated Certificate of Incorporation (Incorporated by reference to Exhibit 3.1 to the Registrant’s Quarterly Report on</w:t>
            </w:r>
          </w:p>
        </w:tc>
      </w:tr>
      <w:tr>
        <w:trPr>
          <w:trHeight w:val="230"/>
        </w:trPr>
        <w:tc>
          <w:tcPr>
            <w:tcW w:w="440" w:type="dxa"/>
            <w:vAlign w:val="bottom"/>
          </w:tcPr>
          <w:p>
            <w:pPr>
              <w:spacing w:after="0"/>
              <w:rPr>
                <w:sz w:val="20"/>
                <w:szCs w:val="20"/>
                <w:color w:val="auto"/>
              </w:rPr>
            </w:pPr>
          </w:p>
        </w:tc>
        <w:tc>
          <w:tcPr>
            <w:tcW w:w="10500" w:type="dxa"/>
            <w:vAlign w:val="bottom"/>
            <w:gridSpan w:val="3"/>
          </w:tcPr>
          <w:p>
            <w:pPr>
              <w:ind w:left="380"/>
              <w:spacing w:after="0"/>
              <w:rPr>
                <w:sz w:val="20"/>
                <w:szCs w:val="20"/>
                <w:color w:val="auto"/>
              </w:rPr>
            </w:pPr>
            <w:r>
              <w:rPr>
                <w:rFonts w:ascii="Arial" w:cs="Arial" w:eastAsia="Arial" w:hAnsi="Arial"/>
                <w:sz w:val="18"/>
                <w:szCs w:val="18"/>
                <w:color w:val="auto"/>
              </w:rPr>
              <w:t>Form 10-Q for the Quarter ended June 30, 2002).</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4.2</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w w:val="93"/>
              </w:rPr>
              <w:t>-  Bylaws (Incorporated by reference to Exhibit 3.2 to the Registrant’s Annual Report on Form 10-K for the year ended December 31, 2004).</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4.3</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  Waste Management, Inc. Employee Stock Purchase Plan.</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5.1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  Opinion of John S. Tsai with respect to the legality of the securities.</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  Consent of Ernst &amp; Young LLP.</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23.2</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  Consent of John S. Tsai (included in Exhibit 5.1).</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24.1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  Powers of Attorney (included on the signature page of this Registration Statement).</w:t>
            </w:r>
          </w:p>
        </w:tc>
      </w:tr>
    </w:tbl>
    <w:p>
      <w:pPr>
        <w:sectPr>
          <w:pgSz w:w="11900" w:h="16838" w:orient="portrait"/>
          <w:cols w:equalWidth="0" w:num="1">
            <w:col w:w="10940"/>
          </w:cols>
          <w:pgMar w:left="240" w:top="419" w:right="7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8"/>
          <w:szCs w:val="18"/>
          <w:b w:val="1"/>
          <w:bCs w:val="1"/>
          <w:u w:val="single" w:color="auto"/>
          <w:color w:val="auto"/>
        </w:rPr>
        <w:t xml:space="preserve"> 4.3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Amended and Restated Effective May 5, 2006)</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Waste Management, Inc. Employee Stock Purchase Plan (the “Plan”) has been established for the benefit of its eligible employees. The terms of the Plan are set forth below.</w:t>
      </w:r>
    </w:p>
    <w:p>
      <w:pPr>
        <w:spacing w:after="0" w:line="58" w:lineRule="exact"/>
        <w:rPr>
          <w:sz w:val="20"/>
          <w:szCs w:val="20"/>
          <w:color w:val="auto"/>
        </w:rPr>
      </w:pPr>
    </w:p>
    <w:p>
      <w:pPr>
        <w:ind w:left="820" w:hanging="24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17" w:lineRule="exact"/>
        <w:rPr>
          <w:sz w:val="20"/>
          <w:szCs w:val="20"/>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17" w:lineRule="exact"/>
        <w:rPr>
          <w:rFonts w:ascii="Arial" w:cs="Arial" w:eastAsia="Arial" w:hAnsi="Arial"/>
          <w:sz w:val="18"/>
          <w:szCs w:val="18"/>
          <w:color w:val="auto"/>
        </w:rPr>
      </w:pPr>
    </w:p>
    <w:p>
      <w:pPr>
        <w:ind w:left="840" w:hanging="265"/>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the regulations issued thereunder.</w:t>
      </w:r>
    </w:p>
    <w:p>
      <w:pPr>
        <w:spacing w:after="0" w:line="117" w:lineRule="exact"/>
        <w:rPr>
          <w:rFonts w:ascii="Arial" w:cs="Arial" w:eastAsia="Arial" w:hAnsi="Arial"/>
          <w:sz w:val="18"/>
          <w:szCs w:val="18"/>
          <w:color w:val="auto"/>
        </w:rPr>
      </w:pPr>
    </w:p>
    <w:p>
      <w:pPr>
        <w:ind w:left="360" w:right="200" w:firstLine="215"/>
        <w:spacing w:after="0" w:line="277" w:lineRule="auto"/>
        <w:tabs>
          <w:tab w:leader="none" w:pos="83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“Committee” means the Administrative Committee of the Waste Management Employee Benefit Plans appointed by the Board to administer the Plan as described in Section 4 below.</w:t>
      </w:r>
    </w:p>
    <w:p>
      <w:pPr>
        <w:spacing w:after="0" w:line="62" w:lineRule="exact"/>
        <w:rPr>
          <w:rFonts w:ascii="Arial" w:cs="Arial" w:eastAsia="Arial" w:hAnsi="Arial"/>
          <w:sz w:val="18"/>
          <w:szCs w:val="18"/>
          <w:color w:val="auto"/>
        </w:rPr>
      </w:pPr>
    </w:p>
    <w:p>
      <w:pPr>
        <w:ind w:left="840" w:hanging="265"/>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Stock” means the common stock, $0.01 par value, of the Company.</w:t>
      </w:r>
    </w:p>
    <w:p>
      <w:pPr>
        <w:spacing w:after="0" w:line="117" w:lineRule="exact"/>
        <w:rPr>
          <w:rFonts w:ascii="Arial" w:cs="Arial" w:eastAsia="Arial" w:hAnsi="Arial"/>
          <w:sz w:val="18"/>
          <w:szCs w:val="18"/>
          <w:color w:val="auto"/>
        </w:rPr>
      </w:pPr>
    </w:p>
    <w:p>
      <w:pPr>
        <w:ind w:left="360" w:right="320" w:firstLine="215"/>
        <w:spacing w:after="0" w:line="277" w:lineRule="auto"/>
        <w:tabs>
          <w:tab w:leader="none" w:pos="83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“Company” means Waste Management, Inc., a Delaware corporation, or any successor corporation by merger, reorganization, consolidation or otherwise.</w:t>
      </w:r>
    </w:p>
    <w:p>
      <w:pPr>
        <w:spacing w:after="0" w:line="62" w:lineRule="exact"/>
        <w:rPr>
          <w:rFonts w:ascii="Arial" w:cs="Arial" w:eastAsia="Arial" w:hAnsi="Arial"/>
          <w:sz w:val="18"/>
          <w:szCs w:val="18"/>
          <w:color w:val="auto"/>
        </w:rPr>
      </w:pPr>
    </w:p>
    <w:p>
      <w:pPr>
        <w:jc w:val="both"/>
        <w:ind w:left="360" w:right="60" w:firstLine="215"/>
        <w:spacing w:after="0" w:line="259" w:lineRule="auto"/>
        <w:tabs>
          <w:tab w:leader="none" w:pos="81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“Continuous Employment” means the absence of any interruption or termination of service as an Eligible Employee with the Company 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78" w:lineRule="exact"/>
        <w:rPr>
          <w:rFonts w:ascii="Arial" w:cs="Arial" w:eastAsia="Arial" w:hAnsi="Arial"/>
          <w:sz w:val="18"/>
          <w:szCs w:val="18"/>
          <w:color w:val="auto"/>
        </w:rPr>
      </w:pPr>
    </w:p>
    <w:p>
      <w:pPr>
        <w:ind w:left="360" w:right="80" w:firstLine="215"/>
        <w:spacing w:after="0" w:line="25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“Eligible Compensation” means, with respect to each Participant for each pay period, the regular base earnings, commissions, overtime and, 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80" w:lineRule="exact"/>
        <w:rPr>
          <w:rFonts w:ascii="Arial" w:cs="Arial" w:eastAsia="Arial" w:hAnsi="Arial"/>
          <w:sz w:val="18"/>
          <w:szCs w:val="18"/>
          <w:color w:val="auto"/>
        </w:rPr>
      </w:pPr>
    </w:p>
    <w:p>
      <w:pPr>
        <w:ind w:left="360" w:right="60" w:firstLine="215"/>
        <w:spacing w:after="0" w:line="279"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“Eligible Employee” means an employee of the Company or one of its Participating Subsidiaries who is customarily employed for at least 20 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63" w:lineRule="exact"/>
        <w:rPr>
          <w:rFonts w:ascii="Arial" w:cs="Arial" w:eastAsia="Arial" w:hAnsi="Arial"/>
          <w:sz w:val="17"/>
          <w:szCs w:val="17"/>
          <w:color w:val="auto"/>
        </w:rPr>
      </w:pPr>
    </w:p>
    <w:p>
      <w:pPr>
        <w:ind w:left="800" w:hanging="225"/>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“Enrollment Date” means the first business day of each Offering Period.</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“Exercise Date” means the last business day of each Offering Period.</w:t>
      </w:r>
    </w:p>
    <w:p>
      <w:pPr>
        <w:spacing w:after="0" w:line="117" w:lineRule="exact"/>
        <w:rPr>
          <w:rFonts w:ascii="Arial" w:cs="Arial" w:eastAsia="Arial" w:hAnsi="Arial"/>
          <w:sz w:val="18"/>
          <w:szCs w:val="18"/>
          <w:color w:val="auto"/>
        </w:rPr>
      </w:pPr>
    </w:p>
    <w:p>
      <w:pPr>
        <w:ind w:left="360" w:right="180" w:firstLine="215"/>
        <w:spacing w:after="0" w:line="27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“Exercise Price” means the price per share of Common Stock offered in a given Offering Period, which shall be the lower of: (i) 85% of the Fair Market Value of a share of the Common Stock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left="360" w:right="260"/>
        <w:spacing w:after="0" w:line="277" w:lineRule="auto"/>
        <w:rPr>
          <w:sz w:val="20"/>
          <w:szCs w:val="20"/>
          <w:color w:val="auto"/>
        </w:rPr>
      </w:pPr>
      <w:r>
        <w:rPr>
          <w:rFonts w:ascii="Arial" w:cs="Arial" w:eastAsia="Arial" w:hAnsi="Arial"/>
          <w:sz w:val="18"/>
          <w:szCs w:val="18"/>
          <w:color w:val="auto"/>
        </w:rPr>
        <w:t>Enrollment Date of such Offering Period, or (ii) 85% of the Fair Market Value of a share of the Common Stock on the Exercise Date of such Offering Period.</w:t>
      </w:r>
    </w:p>
    <w:p>
      <w:pPr>
        <w:spacing w:after="0" w:line="62" w:lineRule="exact"/>
        <w:rPr>
          <w:sz w:val="20"/>
          <w:szCs w:val="20"/>
          <w:color w:val="auto"/>
        </w:rPr>
      </w:pPr>
    </w:p>
    <w:p>
      <w:pPr>
        <w:ind w:left="360" w:right="100" w:firstLine="215"/>
        <w:spacing w:after="0" w:line="25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“Fair Market Value” means, with respect to a share of Common Stock as of any Enrollment Date or Exercise Date, the closing price of such Common Stock on the New York Stock Exchange on such date,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80" w:lineRule="exact"/>
        <w:rPr>
          <w:rFonts w:ascii="Arial" w:cs="Arial" w:eastAsia="Arial" w:hAnsi="Arial"/>
          <w:sz w:val="18"/>
          <w:szCs w:val="18"/>
          <w:color w:val="auto"/>
        </w:rPr>
      </w:pPr>
    </w:p>
    <w:p>
      <w:pPr>
        <w:ind w:left="360" w:firstLine="215"/>
        <w:spacing w:after="0" w:line="264" w:lineRule="auto"/>
        <w:tabs>
          <w:tab w:leader="none" w:pos="89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“Involuntary Military Leave of Absence” means an employee’s leave from employment pursuant to the Company’s Paid Leave of Absence Policy to perform military service obligations in the United States Air Force, Army, Navy, Marines, Coast Guard, Public Health Service Corps or National Guard, and the employee is either drafted or a member of the Reserves called to active duty.</w:t>
      </w:r>
    </w:p>
    <w:p>
      <w:pPr>
        <w:spacing w:after="0" w:line="73" w:lineRule="exact"/>
        <w:rPr>
          <w:rFonts w:ascii="Arial" w:cs="Arial" w:eastAsia="Arial" w:hAnsi="Arial"/>
          <w:sz w:val="18"/>
          <w:szCs w:val="18"/>
          <w:color w:val="auto"/>
        </w:rPr>
      </w:pPr>
    </w:p>
    <w:p>
      <w:pPr>
        <w:jc w:val="both"/>
        <w:ind w:left="360" w:right="100" w:firstLine="215"/>
        <w:spacing w:after="0" w:line="279"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“Offering Period” means each six-month period that begins and ends on the business days that coincide with January 1 through June 30, or 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 (ii) the last day of an Offering Period will end on the immediately preceding business day.</w:t>
      </w:r>
    </w:p>
    <w:p>
      <w:pPr>
        <w:spacing w:after="0" w:line="63" w:lineRule="exact"/>
        <w:rPr>
          <w:rFonts w:ascii="Arial" w:cs="Arial" w:eastAsia="Arial" w:hAnsi="Arial"/>
          <w:sz w:val="17"/>
          <w:szCs w:val="17"/>
          <w:color w:val="auto"/>
        </w:rPr>
      </w:pPr>
    </w:p>
    <w:p>
      <w:pPr>
        <w:ind w:left="360" w:right="460" w:firstLine="215"/>
        <w:spacing w:after="0" w:line="277"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“Participant” means an Eligible Employee who has elected to participate in the Plan by filing an enrollment agreement with the Company as provided below in Section 6.</w:t>
      </w:r>
    </w:p>
    <w:p>
      <w:pPr>
        <w:spacing w:after="0" w:line="62" w:lineRule="exact"/>
        <w:rPr>
          <w:rFonts w:ascii="Arial" w:cs="Arial" w:eastAsia="Arial" w:hAnsi="Arial"/>
          <w:sz w:val="18"/>
          <w:szCs w:val="18"/>
          <w:color w:val="auto"/>
        </w:rPr>
      </w:pPr>
    </w:p>
    <w:p>
      <w:pPr>
        <w:ind w:left="840" w:hanging="265"/>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“Participating Subsidiary” means any Subsidiary not excluded from participation in the Plan by the Committee, in its sole discretion.</w:t>
      </w:r>
    </w:p>
    <w:p>
      <w:pPr>
        <w:spacing w:after="0" w:line="117" w:lineRule="exact"/>
        <w:rPr>
          <w:rFonts w:ascii="Arial" w:cs="Arial" w:eastAsia="Arial" w:hAnsi="Arial"/>
          <w:sz w:val="18"/>
          <w:szCs w:val="18"/>
          <w:color w:val="auto"/>
        </w:rPr>
      </w:pPr>
    </w:p>
    <w:p>
      <w:pPr>
        <w:ind w:left="360" w:right="220" w:firstLine="215"/>
        <w:spacing w:after="0" w:line="264"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“Subsidiary” means any domestic or foreign corporation of which the Company owns, directly or indirectly, 50% or more of the total combined voting power of all classes of stock or other equity interests and that otherwise qualifies as a “subsidiary corporation” within the meaning of Section 424(f) of the Code or any successor thereto.</w:t>
      </w:r>
    </w:p>
    <w:p>
      <w:pPr>
        <w:spacing w:after="0" w:line="73" w:lineRule="exact"/>
        <w:rPr>
          <w:sz w:val="20"/>
          <w:szCs w:val="20"/>
          <w:color w:val="auto"/>
        </w:rPr>
      </w:pPr>
    </w:p>
    <w:p>
      <w:pPr>
        <w:ind w:left="820" w:hanging="24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Purpose of the Plan.</w:t>
      </w:r>
    </w:p>
    <w:p>
      <w:pPr>
        <w:spacing w:after="0" w:line="117" w:lineRule="exact"/>
        <w:rPr>
          <w:sz w:val="20"/>
          <w:szCs w:val="20"/>
          <w:color w:val="auto"/>
        </w:rPr>
      </w:pPr>
    </w:p>
    <w:p>
      <w:pPr>
        <w:ind w:right="80" w:firstLine="537"/>
        <w:spacing w:after="0" w:line="259" w:lineRule="auto"/>
        <w:rPr>
          <w:sz w:val="20"/>
          <w:szCs w:val="20"/>
          <w:color w:val="auto"/>
        </w:rPr>
      </w:pPr>
      <w:r>
        <w:rPr>
          <w:rFonts w:ascii="Arial" w:cs="Arial" w:eastAsia="Arial" w:hAnsi="Arial"/>
          <w:sz w:val="18"/>
          <w:szCs w:val="18"/>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79" w:lineRule="exact"/>
        <w:rPr>
          <w:sz w:val="20"/>
          <w:szCs w:val="20"/>
          <w:color w:val="auto"/>
        </w:rPr>
      </w:pPr>
    </w:p>
    <w:p>
      <w:pPr>
        <w:ind w:left="820" w:hanging="24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Shares Reserved for the Plan.</w:t>
      </w:r>
    </w:p>
    <w:p>
      <w:pPr>
        <w:spacing w:after="0" w:line="117" w:lineRule="exact"/>
        <w:rPr>
          <w:sz w:val="20"/>
          <w:szCs w:val="20"/>
          <w:color w:val="auto"/>
        </w:rPr>
      </w:pPr>
    </w:p>
    <w:p>
      <w:pPr>
        <w:ind w:right="120" w:firstLine="537"/>
        <w:spacing w:after="0" w:line="257" w:lineRule="auto"/>
        <w:rPr>
          <w:sz w:val="20"/>
          <w:szCs w:val="20"/>
          <w:color w:val="auto"/>
        </w:rPr>
      </w:pPr>
      <w:r>
        <w:rPr>
          <w:rFonts w:ascii="Arial" w:cs="Arial" w:eastAsia="Arial" w:hAnsi="Arial"/>
          <w:sz w:val="18"/>
          <w:szCs w:val="18"/>
          <w:color w:val="auto"/>
        </w:rPr>
        <w:t>The Company shall reserve for issuance and purchase by Participants under the Plan an aggregate of 6,750,000 shares of Common Stock,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left="820" w:hanging="249"/>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17" w:lineRule="exact"/>
        <w:rPr>
          <w:rFonts w:ascii="Arial" w:cs="Arial" w:eastAsia="Arial" w:hAnsi="Arial"/>
          <w:sz w:val="18"/>
          <w:szCs w:val="18"/>
          <w:color w:val="auto"/>
        </w:rPr>
      </w:pPr>
    </w:p>
    <w:p>
      <w:pPr>
        <w:ind w:left="360" w:right="20" w:firstLine="215"/>
        <w:spacing w:after="0" w:line="297" w:lineRule="auto"/>
        <w:tabs>
          <w:tab w:leader="none" w:pos="83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 Committee appointed by the Board shall administer the Plan. The Committee shall have the authority to interpret the Plan, to prescribe, amend and rescind rules and regulations relating to the Plan, to correct any defect or rectify any omission in the Plan, or to reconcile any inconsistency in this Plan and any 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50" w:lineRule="exact"/>
        <w:rPr>
          <w:rFonts w:ascii="Arial" w:cs="Arial" w:eastAsia="Arial" w:hAnsi="Arial"/>
          <w:sz w:val="16"/>
          <w:szCs w:val="16"/>
          <w:color w:val="auto"/>
        </w:rPr>
      </w:pPr>
    </w:p>
    <w:p>
      <w:pPr>
        <w:ind w:left="360" w:right="40" w:firstLine="215"/>
        <w:spacing w:after="0" w:line="264"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Committee may, in its discretion, request advice or assistance, or employ such other persons as it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73" w:lineRule="exact"/>
        <w:rPr>
          <w:rFonts w:ascii="Arial" w:cs="Arial" w:eastAsia="Arial" w:hAnsi="Arial"/>
          <w:sz w:val="18"/>
          <w:szCs w:val="18"/>
          <w:color w:val="auto"/>
        </w:rPr>
      </w:pPr>
    </w:p>
    <w:p>
      <w:pPr>
        <w:ind w:left="820" w:hanging="249"/>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Eligibility to Participate in the Plan.</w:t>
      </w:r>
    </w:p>
    <w:p>
      <w:pPr>
        <w:spacing w:after="0" w:line="117" w:lineRule="exact"/>
        <w:rPr>
          <w:sz w:val="20"/>
          <w:szCs w:val="20"/>
          <w:color w:val="auto"/>
        </w:rPr>
      </w:pPr>
    </w:p>
    <w:p>
      <w:pPr>
        <w:ind w:firstLine="540"/>
        <w:spacing w:after="0" w:line="308" w:lineRule="auto"/>
        <w:rPr>
          <w:sz w:val="20"/>
          <w:szCs w:val="20"/>
          <w:color w:val="auto"/>
        </w:rPr>
      </w:pPr>
      <w:r>
        <w:rPr>
          <w:rFonts w:ascii="Arial" w:cs="Arial" w:eastAsia="Arial" w:hAnsi="Arial"/>
          <w:sz w:val="17"/>
          <w:szCs w:val="17"/>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pacing w:after="0" w:line="38" w:lineRule="exact"/>
        <w:rPr>
          <w:sz w:val="20"/>
          <w:szCs w:val="20"/>
          <w:color w:val="auto"/>
        </w:rPr>
      </w:pPr>
    </w:p>
    <w:p>
      <w:pPr>
        <w:ind w:left="820" w:hanging="249"/>
        <w:spacing w:after="0"/>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Election to Participate in the Plan.</w:t>
      </w:r>
    </w:p>
    <w:p>
      <w:pPr>
        <w:spacing w:after="0" w:line="117" w:lineRule="exact"/>
        <w:rPr>
          <w:rFonts w:ascii="Arial" w:cs="Arial" w:eastAsia="Arial" w:hAnsi="Arial"/>
          <w:sz w:val="18"/>
          <w:szCs w:val="18"/>
          <w:color w:val="auto"/>
        </w:rPr>
      </w:pPr>
    </w:p>
    <w:p>
      <w:pPr>
        <w:ind w:left="360" w:firstLine="215"/>
        <w:spacing w:after="0" w:line="264" w:lineRule="auto"/>
        <w:tabs>
          <w:tab w:leader="none" w:pos="830" w:val="left"/>
        </w:tabs>
        <w:numPr>
          <w:ilvl w:val="2"/>
          <w:numId w:val="12"/>
        </w:numPr>
        <w:rPr>
          <w:rFonts w:ascii="Arial" w:cs="Arial" w:eastAsia="Arial" w:hAnsi="Arial"/>
          <w:sz w:val="18"/>
          <w:szCs w:val="18"/>
          <w:color w:val="auto"/>
        </w:rPr>
      </w:pPr>
      <w:r>
        <w:rPr>
          <w:rFonts w:ascii="Arial" w:cs="Arial" w:eastAsia="Arial" w:hAnsi="Arial"/>
          <w:sz w:val="18"/>
          <w:szCs w:val="18"/>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73" w:lineRule="exact"/>
        <w:rPr>
          <w:rFonts w:ascii="Arial" w:cs="Arial" w:eastAsia="Arial" w:hAnsi="Arial"/>
          <w:sz w:val="18"/>
          <w:szCs w:val="18"/>
          <w:color w:val="auto"/>
        </w:rPr>
      </w:pPr>
    </w:p>
    <w:p>
      <w:pPr>
        <w:ind w:left="360" w:right="80" w:firstLine="215"/>
        <w:spacing w:after="0" w:line="271" w:lineRule="auto"/>
        <w:tabs>
          <w:tab w:leader="none" w:pos="840" w:val="left"/>
        </w:tabs>
        <w:numPr>
          <w:ilvl w:val="2"/>
          <w:numId w:val="12"/>
        </w:numPr>
        <w:rPr>
          <w:rFonts w:ascii="Arial" w:cs="Arial" w:eastAsia="Arial" w:hAnsi="Arial"/>
          <w:sz w:val="17"/>
          <w:szCs w:val="17"/>
          <w:color w:val="auto"/>
        </w:rPr>
      </w:pPr>
      <w:r>
        <w:rPr>
          <w:rFonts w:ascii="Arial" w:cs="Arial" w:eastAsia="Arial" w:hAnsi="Arial"/>
          <w:sz w:val="17"/>
          <w:szCs w:val="17"/>
          <w:color w:val="auto"/>
        </w:rPr>
        <w:t>Unless a Participant withdraws from participation in the Plan as provided in Section 10 or authorizes a different payroll deduction by filing a new enrollment agreement prior to the Enrollment Date of a succeeding Offering Period, a Participant who is participating in an Offering Period as of the Exercise Date of such Offering Period shall be deemed to have (i) elected to participate in the immediately succeeding Offering Period and</w:t>
      </w:r>
    </w:p>
    <w:p>
      <w:pPr>
        <w:ind w:left="360" w:right="40" w:hanging="10"/>
        <w:spacing w:after="0" w:line="261" w:lineRule="auto"/>
        <w:tabs>
          <w:tab w:leader="none" w:pos="6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authorized the same payroll deduction percentage for such immediately succeeding Offering Period as was in effect for such Participant immediately prior to such succeeding Offering Period.</w:t>
      </w:r>
    </w:p>
    <w:p>
      <w:pPr>
        <w:spacing w:after="0" w:line="75" w:lineRule="exact"/>
        <w:rPr>
          <w:rFonts w:ascii="Arial" w:cs="Arial" w:eastAsia="Arial" w:hAnsi="Arial"/>
          <w:sz w:val="18"/>
          <w:szCs w:val="18"/>
          <w:color w:val="auto"/>
        </w:rPr>
      </w:pPr>
    </w:p>
    <w:p>
      <w:pPr>
        <w:ind w:left="820" w:hanging="249"/>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p>
    <w:p>
      <w:pPr>
        <w:spacing w:after="0" w:line="117" w:lineRule="exact"/>
        <w:rPr>
          <w:rFonts w:ascii="Arial" w:cs="Arial" w:eastAsia="Arial" w:hAnsi="Arial"/>
          <w:sz w:val="18"/>
          <w:szCs w:val="18"/>
          <w:color w:val="auto"/>
        </w:rPr>
      </w:pPr>
    </w:p>
    <w:p>
      <w:pPr>
        <w:ind w:left="360" w:right="60" w:firstLine="215"/>
        <w:spacing w:after="0" w:line="276" w:lineRule="auto"/>
        <w:tabs>
          <w:tab w:leader="none" w:pos="830" w:val="left"/>
        </w:tabs>
        <w:numPr>
          <w:ilvl w:val="2"/>
          <w:numId w:val="13"/>
        </w:numPr>
        <w:rPr>
          <w:rFonts w:ascii="Arial" w:cs="Arial" w:eastAsia="Arial" w:hAnsi="Arial"/>
          <w:sz w:val="17"/>
          <w:szCs w:val="17"/>
          <w:color w:val="auto"/>
        </w:rPr>
      </w:pPr>
      <w:r>
        <w:rPr>
          <w:rFonts w:ascii="Arial" w:cs="Arial" w:eastAsia="Arial" w:hAnsi="Arial"/>
          <w:sz w:val="17"/>
          <w:szCs w:val="17"/>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64" w:lineRule="exact"/>
        <w:rPr>
          <w:rFonts w:ascii="Arial" w:cs="Arial" w:eastAsia="Arial" w:hAnsi="Arial"/>
          <w:sz w:val="17"/>
          <w:szCs w:val="17"/>
          <w:color w:val="auto"/>
        </w:rPr>
      </w:pPr>
    </w:p>
    <w:p>
      <w:pPr>
        <w:ind w:left="360" w:right="20" w:firstLine="215"/>
        <w:spacing w:after="0" w:line="279" w:lineRule="auto"/>
        <w:tabs>
          <w:tab w:leader="none" w:pos="840" w:val="left"/>
        </w:tabs>
        <w:numPr>
          <w:ilvl w:val="2"/>
          <w:numId w:val="13"/>
        </w:numPr>
        <w:rPr>
          <w:rFonts w:ascii="Arial" w:cs="Arial" w:eastAsia="Arial" w:hAnsi="Arial"/>
          <w:sz w:val="17"/>
          <w:szCs w:val="17"/>
          <w:color w:val="auto"/>
        </w:rPr>
      </w:pPr>
      <w:r>
        <w:rPr>
          <w:rFonts w:ascii="Arial" w:cs="Arial" w:eastAsia="Arial" w:hAnsi="Arial"/>
          <w:sz w:val="17"/>
          <w:szCs w:val="17"/>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63" w:lineRule="exact"/>
        <w:rPr>
          <w:rFonts w:ascii="Arial" w:cs="Arial" w:eastAsia="Arial" w:hAnsi="Arial"/>
          <w:sz w:val="17"/>
          <w:szCs w:val="17"/>
          <w:color w:val="auto"/>
        </w:rPr>
      </w:pPr>
    </w:p>
    <w:p>
      <w:pPr>
        <w:ind w:left="820" w:hanging="245"/>
        <w:spacing w:after="0"/>
        <w:tabs>
          <w:tab w:leader="none" w:pos="8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Except as provided in Section 10, a Participant may not change his contribution election during an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 w:name="page14"/>
    <w:bookmarkEnd w:id="13"/>
    <w:p>
      <w:pPr>
        <w:ind w:left="360" w:right="360" w:firstLine="215"/>
        <w:spacing w:after="0" w:line="277"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 no Participant may make payroll deductions during any calendar year in excess of $21,250, or such other limit as may be established by the Committee, in its discretion.</w:t>
      </w:r>
    </w:p>
    <w:p>
      <w:pPr>
        <w:spacing w:after="0" w:line="62" w:lineRule="exact"/>
        <w:rPr>
          <w:rFonts w:ascii="Arial" w:cs="Arial" w:eastAsia="Arial" w:hAnsi="Arial"/>
          <w:sz w:val="18"/>
          <w:szCs w:val="18"/>
          <w:color w:val="auto"/>
        </w:rPr>
      </w:pPr>
    </w:p>
    <w:p>
      <w:pPr>
        <w:ind w:left="820" w:hanging="249"/>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Grant of Options.</w:t>
      </w:r>
    </w:p>
    <w:p>
      <w:pPr>
        <w:spacing w:after="0" w:line="117" w:lineRule="exact"/>
        <w:rPr>
          <w:rFonts w:ascii="Arial" w:cs="Arial" w:eastAsia="Arial" w:hAnsi="Arial"/>
          <w:sz w:val="18"/>
          <w:szCs w:val="18"/>
          <w:color w:val="auto"/>
        </w:rPr>
      </w:pPr>
    </w:p>
    <w:p>
      <w:pPr>
        <w:ind w:left="360" w:right="60" w:firstLine="215"/>
        <w:spacing w:after="0" w:line="259" w:lineRule="auto"/>
        <w:tabs>
          <w:tab w:leader="none" w:pos="8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On the Enrollment Date of each Offering Period, subject to the limitations set forth in Sections 3 and 8(b) hereof, each Eligible Employee shall be granted an option to purchase on the Exercise Date for such Offering Period a number of whole and fractional shares of the Company’s Common Stock determined by dividing such Eligible Employee’s payroll deductions accumulated during the Offering Period by the Exercise Price established for such Offering Period.</w:t>
      </w:r>
    </w:p>
    <w:p>
      <w:pPr>
        <w:spacing w:after="0" w:line="78" w:lineRule="exact"/>
        <w:rPr>
          <w:rFonts w:ascii="Arial" w:cs="Arial" w:eastAsia="Arial" w:hAnsi="Arial"/>
          <w:sz w:val="18"/>
          <w:szCs w:val="18"/>
          <w:color w:val="auto"/>
        </w:rPr>
      </w:pPr>
    </w:p>
    <w:p>
      <w:pPr>
        <w:ind w:left="360" w:firstLine="215"/>
        <w:spacing w:after="0" w:line="273" w:lineRule="auto"/>
        <w:tabs>
          <w:tab w:leader="none" w:pos="8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70" w:lineRule="exact"/>
        <w:rPr>
          <w:rFonts w:ascii="Arial" w:cs="Arial" w:eastAsia="Arial" w:hAnsi="Arial"/>
          <w:sz w:val="17"/>
          <w:szCs w:val="17"/>
          <w:color w:val="auto"/>
        </w:rPr>
      </w:pPr>
    </w:p>
    <w:p>
      <w:pPr>
        <w:ind w:left="820" w:hanging="249"/>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Automatic Purchase.</w:t>
      </w:r>
    </w:p>
    <w:p>
      <w:pPr>
        <w:spacing w:after="0" w:line="117" w:lineRule="exact"/>
        <w:rPr>
          <w:sz w:val="20"/>
          <w:szCs w:val="20"/>
          <w:color w:val="auto"/>
        </w:rPr>
      </w:pPr>
    </w:p>
    <w:p>
      <w:pPr>
        <w:ind w:right="200" w:firstLine="540"/>
        <w:spacing w:after="0" w:line="312" w:lineRule="auto"/>
        <w:rPr>
          <w:sz w:val="20"/>
          <w:szCs w:val="20"/>
          <w:color w:val="auto"/>
        </w:rPr>
      </w:pPr>
      <w:r>
        <w:rPr>
          <w:rFonts w:ascii="Arial" w:cs="Arial" w:eastAsia="Arial" w:hAnsi="Arial"/>
          <w:sz w:val="16"/>
          <w:szCs w:val="16"/>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fractional shares subject to the option will be purchased for the Participant at the Exercise Price established for that Offering Period, as provided above in Section 8.</w:t>
      </w:r>
    </w:p>
    <w:p>
      <w:pPr>
        <w:spacing w:after="0" w:line="35" w:lineRule="exact"/>
        <w:rPr>
          <w:sz w:val="20"/>
          <w:szCs w:val="20"/>
          <w:color w:val="auto"/>
        </w:rPr>
      </w:pPr>
    </w:p>
    <w:p>
      <w:pPr>
        <w:ind w:left="920" w:hanging="349"/>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left="360" w:right="60" w:firstLine="215"/>
        <w:spacing w:after="0" w:line="255" w:lineRule="auto"/>
        <w:tabs>
          <w:tab w:leader="none" w:pos="8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81" w:lineRule="exact"/>
        <w:rPr>
          <w:rFonts w:ascii="Arial" w:cs="Arial" w:eastAsia="Arial" w:hAnsi="Arial"/>
          <w:sz w:val="18"/>
          <w:szCs w:val="18"/>
          <w:color w:val="auto"/>
        </w:rPr>
      </w:pPr>
    </w:p>
    <w:p>
      <w:pPr>
        <w:ind w:left="360" w:right="660" w:firstLine="215"/>
        <w:spacing w:after="0" w:line="286" w:lineRule="auto"/>
        <w:tabs>
          <w:tab w:leader="none" w:pos="8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57" w:lineRule="exact"/>
        <w:rPr>
          <w:rFonts w:ascii="Arial" w:cs="Arial" w:eastAsia="Arial" w:hAnsi="Arial"/>
          <w:sz w:val="17"/>
          <w:szCs w:val="17"/>
          <w:color w:val="auto"/>
        </w:rPr>
      </w:pPr>
    </w:p>
    <w:p>
      <w:pPr>
        <w:ind w:left="360" w:right="60" w:firstLine="215"/>
        <w:spacing w:after="0" w:line="286" w:lineRule="auto"/>
        <w:tabs>
          <w:tab w:leader="none" w:pos="830" w:val="left"/>
        </w:tabs>
        <w:numPr>
          <w:ilvl w:val="1"/>
          <w:numId w:val="17"/>
        </w:numPr>
        <w:rPr>
          <w:rFonts w:ascii="Arial" w:cs="Arial" w:eastAsia="Arial" w:hAnsi="Arial"/>
          <w:sz w:val="17"/>
          <w:szCs w:val="17"/>
          <w:color w:val="auto"/>
        </w:rPr>
      </w:pPr>
      <w:r>
        <w:rPr>
          <w:rFonts w:ascii="Arial" w:cs="Arial" w:eastAsia="Arial" w:hAnsi="Arial"/>
          <w:sz w:val="17"/>
          <w:szCs w:val="17"/>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57" w:lineRule="exact"/>
        <w:rPr>
          <w:rFonts w:ascii="Arial" w:cs="Arial" w:eastAsia="Arial" w:hAnsi="Arial"/>
          <w:sz w:val="17"/>
          <w:szCs w:val="17"/>
          <w:color w:val="auto"/>
        </w:rPr>
      </w:pPr>
    </w:p>
    <w:p>
      <w:pPr>
        <w:ind w:left="900" w:hanging="32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117" w:lineRule="exact"/>
        <w:rPr>
          <w:sz w:val="20"/>
          <w:szCs w:val="20"/>
          <w:color w:val="auto"/>
        </w:rPr>
      </w:pPr>
    </w:p>
    <w:p>
      <w:pPr>
        <w:ind w:right="520" w:firstLine="540"/>
        <w:spacing w:after="0" w:line="277" w:lineRule="auto"/>
        <w:rPr>
          <w:sz w:val="20"/>
          <w:szCs w:val="20"/>
          <w:color w:val="auto"/>
        </w:rPr>
      </w:pPr>
      <w:r>
        <w:rPr>
          <w:rFonts w:ascii="Arial" w:cs="Arial" w:eastAsia="Arial" w:hAnsi="Arial"/>
          <w:sz w:val="18"/>
          <w:szCs w:val="18"/>
          <w:color w:val="auto"/>
        </w:rPr>
        <w:t>Options to purchase Common Stock granted under the Plan are not transferable, in any manner, by a Participant and are exercisable only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ind w:left="960" w:hanging="34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Reports.</w:t>
      </w:r>
    </w:p>
    <w:p>
      <w:pPr>
        <w:spacing w:after="0" w:line="117" w:lineRule="exact"/>
        <w:rPr>
          <w:sz w:val="20"/>
          <w:szCs w:val="20"/>
          <w:color w:val="auto"/>
        </w:rPr>
      </w:pPr>
    </w:p>
    <w:p>
      <w:pPr>
        <w:ind w:right="260" w:firstLine="540"/>
        <w:spacing w:after="0" w:line="264" w:lineRule="auto"/>
        <w:rPr>
          <w:sz w:val="20"/>
          <w:szCs w:val="20"/>
          <w:color w:val="auto"/>
        </w:rPr>
      </w:pPr>
      <w:r>
        <w:rPr>
          <w:rFonts w:ascii="Arial" w:cs="Arial" w:eastAsia="Arial" w:hAnsi="Arial"/>
          <w:sz w:val="18"/>
          <w:szCs w:val="18"/>
          <w:color w:val="auto"/>
        </w:rPr>
        <w:t>Individual accounts will be maintained for each Participant in the Plan. Following each Exercise Date, statements of account will be given to Participants who have purchased shares under Section 9. Such statements will set forth the amounts of payroll deductions, the per share purchase price, the number of shares purchased and the remaining cash balance, if any.</w:t>
      </w:r>
    </w:p>
    <w:p>
      <w:pPr>
        <w:spacing w:after="0" w:line="73" w:lineRule="exact"/>
        <w:rPr>
          <w:sz w:val="20"/>
          <w:szCs w:val="20"/>
          <w:color w:val="auto"/>
        </w:rPr>
      </w:pPr>
    </w:p>
    <w:p>
      <w:pPr>
        <w:ind w:left="960" w:hanging="344"/>
        <w:spacing w:after="0"/>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w:t>
      </w:r>
    </w:p>
    <w:p>
      <w:pPr>
        <w:spacing w:after="0" w:line="117" w:lineRule="exact"/>
        <w:rPr>
          <w:rFonts w:ascii="Arial" w:cs="Arial" w:eastAsia="Arial" w:hAnsi="Arial"/>
          <w:sz w:val="18"/>
          <w:szCs w:val="18"/>
          <w:color w:val="auto"/>
        </w:rPr>
      </w:pPr>
    </w:p>
    <w:p>
      <w:pPr>
        <w:ind w:left="360" w:right="180" w:firstLine="215"/>
        <w:spacing w:after="0" w:line="302" w:lineRule="auto"/>
        <w:tabs>
          <w:tab w:leader="none" w:pos="83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46" w:lineRule="exact"/>
        <w:rPr>
          <w:rFonts w:ascii="Arial" w:cs="Arial" w:eastAsia="Arial" w:hAnsi="Arial"/>
          <w:sz w:val="16"/>
          <w:szCs w:val="16"/>
          <w:color w:val="auto"/>
        </w:rPr>
      </w:pPr>
    </w:p>
    <w:p>
      <w:pPr>
        <w:ind w:left="360" w:right="20" w:firstLine="215"/>
        <w:spacing w:after="0" w:line="290" w:lineRule="auto"/>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58" w:lineRule="exact"/>
        <w:rPr>
          <w:rFonts w:ascii="Arial" w:cs="Arial" w:eastAsia="Arial" w:hAnsi="Arial"/>
          <w:sz w:val="16"/>
          <w:szCs w:val="16"/>
          <w:color w:val="auto"/>
        </w:rPr>
      </w:pPr>
    </w:p>
    <w:p>
      <w:pPr>
        <w:ind w:left="360" w:right="120" w:firstLine="215"/>
        <w:spacing w:after="0" w:line="264" w:lineRule="auto"/>
        <w:tabs>
          <w:tab w:leader="none" w:pos="8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73" w:lineRule="exact"/>
        <w:rPr>
          <w:rFonts w:ascii="Arial" w:cs="Arial" w:eastAsia="Arial" w:hAnsi="Arial"/>
          <w:sz w:val="18"/>
          <w:szCs w:val="18"/>
          <w:color w:val="auto"/>
        </w:rPr>
      </w:pPr>
    </w:p>
    <w:p>
      <w:pPr>
        <w:ind w:left="960" w:hanging="344"/>
        <w:spacing w:after="0"/>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Amendment of the Plan.</w:t>
      </w:r>
    </w:p>
    <w:p>
      <w:pPr>
        <w:spacing w:after="0" w:line="117" w:lineRule="exact"/>
        <w:rPr>
          <w:sz w:val="20"/>
          <w:szCs w:val="20"/>
          <w:color w:val="auto"/>
        </w:rPr>
      </w:pPr>
    </w:p>
    <w:p>
      <w:pPr>
        <w:ind w:firstLine="537"/>
        <w:spacing w:after="0" w:line="264" w:lineRule="auto"/>
        <w:rPr>
          <w:sz w:val="20"/>
          <w:szCs w:val="20"/>
          <w:color w:val="auto"/>
        </w:rPr>
      </w:pPr>
      <w:r>
        <w:rPr>
          <w:rFonts w:ascii="Arial" w:cs="Arial" w:eastAsia="Arial" w:hAnsi="Arial"/>
          <w:sz w:val="18"/>
          <w:szCs w:val="18"/>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73" w:lineRule="exact"/>
        <w:rPr>
          <w:sz w:val="20"/>
          <w:szCs w:val="20"/>
          <w:color w:val="auto"/>
        </w:rPr>
      </w:pPr>
    </w:p>
    <w:p>
      <w:pPr>
        <w:ind w:left="960" w:hanging="34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Plan and all rights of Eligible Employees hereunder shall terminate:</w:t>
      </w:r>
    </w:p>
    <w:p>
      <w:pPr>
        <w:spacing w:after="0" w:line="117" w:lineRule="exact"/>
        <w:rPr>
          <w:sz w:val="20"/>
          <w:szCs w:val="20"/>
          <w:color w:val="auto"/>
        </w:rPr>
      </w:pPr>
    </w:p>
    <w:p>
      <w:pPr>
        <w:ind w:right="580" w:firstLine="548"/>
        <w:spacing w:after="0" w:line="277" w:lineRule="auto"/>
        <w:tabs>
          <w:tab w:leader="none" w:pos="7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the Exercise Date that Participants become entitled to purchase a number of shares greater than the number of reserved shares remaining available for purchase under the Plan; or</w:t>
      </w:r>
    </w:p>
    <w:p>
      <w:pPr>
        <w:spacing w:after="0" w:line="62" w:lineRule="exact"/>
        <w:rPr>
          <w:rFonts w:ascii="Arial" w:cs="Arial" w:eastAsia="Arial" w:hAnsi="Arial"/>
          <w:sz w:val="18"/>
          <w:szCs w:val="18"/>
          <w:color w:val="auto"/>
        </w:rPr>
      </w:pPr>
    </w:p>
    <w:p>
      <w:pPr>
        <w:ind w:left="800" w:hanging="25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any time, at the discretion of the Board.</w:t>
      </w:r>
    </w:p>
    <w:p>
      <w:pPr>
        <w:spacing w:after="0" w:line="117" w:lineRule="exact"/>
        <w:rPr>
          <w:sz w:val="20"/>
          <w:szCs w:val="20"/>
          <w:color w:val="auto"/>
        </w:rPr>
      </w:pPr>
    </w:p>
    <w:p>
      <w:pPr>
        <w:ind w:right="140" w:firstLine="540"/>
        <w:spacing w:after="0" w:line="277" w:lineRule="auto"/>
        <w:rPr>
          <w:sz w:val="20"/>
          <w:szCs w:val="20"/>
          <w:color w:val="auto"/>
        </w:rPr>
      </w:pPr>
      <w:r>
        <w:rPr>
          <w:rFonts w:ascii="Arial" w:cs="Arial" w:eastAsia="Arial" w:hAnsi="Arial"/>
          <w:sz w:val="18"/>
          <w:szCs w:val="18"/>
          <w:color w:val="auto"/>
        </w:rPr>
        <w:t>In the event that the Plan terminates under circumstances described in Section 15(a) above, reserved shares remaining as of the termination date shall be sold to Participants on a pro rata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left="960" w:hanging="34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ind w:right="180" w:firstLine="530"/>
        <w:spacing w:after="0" w:line="308" w:lineRule="auto"/>
        <w:rPr>
          <w:sz w:val="20"/>
          <w:szCs w:val="20"/>
          <w:color w:val="auto"/>
        </w:rPr>
      </w:pPr>
      <w:r>
        <w:rPr>
          <w:rFonts w:ascii="Arial" w:cs="Arial" w:eastAsia="Arial" w:hAnsi="Arial"/>
          <w:sz w:val="17"/>
          <w:szCs w:val="17"/>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38" w:lineRule="exact"/>
        <w:rPr>
          <w:sz w:val="20"/>
          <w:szCs w:val="20"/>
          <w:color w:val="auto"/>
        </w:rPr>
      </w:pPr>
    </w:p>
    <w:p>
      <w:pPr>
        <w:ind w:left="960" w:hanging="34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p>
    <w:p>
      <w:pPr>
        <w:spacing w:after="0" w:line="117" w:lineRule="exact"/>
        <w:rPr>
          <w:sz w:val="20"/>
          <w:szCs w:val="20"/>
          <w:color w:val="auto"/>
        </w:rPr>
      </w:pPr>
    </w:p>
    <w:p>
      <w:pPr>
        <w:ind w:right="120" w:firstLine="537"/>
        <w:spacing w:after="0" w:line="286" w:lineRule="auto"/>
        <w:rPr>
          <w:sz w:val="20"/>
          <w:szCs w:val="20"/>
          <w:color w:val="auto"/>
        </w:rPr>
      </w:pPr>
      <w:r>
        <w:rPr>
          <w:rFonts w:ascii="Arial" w:cs="Arial" w:eastAsia="Arial" w:hAnsi="Arial"/>
          <w:sz w:val="17"/>
          <w:szCs w:val="17"/>
          <w:color w:val="auto"/>
        </w:rPr>
        <w:t>The Plan shall be subject to approval by the shareholders of the Company within twelve months after the date the Plan is adopted by the Board of Directors. If such shareholder approval is not obtained prior to the first Exercise Date, the Plan shall be null and void and all Participants shall be deemed to have withdrawn all payroll deductions credited to their accounts on such Exercise Date pursuant to Section 10.</w:t>
      </w:r>
    </w:p>
    <w:p>
      <w:pPr>
        <w:spacing w:after="0" w:line="57" w:lineRule="exact"/>
        <w:rPr>
          <w:sz w:val="20"/>
          <w:szCs w:val="20"/>
          <w:color w:val="auto"/>
        </w:rPr>
      </w:pPr>
    </w:p>
    <w:p>
      <w:pPr>
        <w:ind w:left="960" w:hanging="344"/>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p>
    <w:p>
      <w:pPr>
        <w:spacing w:after="0" w:line="117" w:lineRule="exact"/>
        <w:rPr>
          <w:rFonts w:ascii="Arial" w:cs="Arial" w:eastAsia="Arial" w:hAnsi="Arial"/>
          <w:sz w:val="18"/>
          <w:szCs w:val="18"/>
          <w:color w:val="auto"/>
        </w:rPr>
      </w:pPr>
    </w:p>
    <w:p>
      <w:pPr>
        <w:ind w:left="360" w:firstLine="215"/>
        <w:spacing w:after="0" w:line="255" w:lineRule="auto"/>
        <w:tabs>
          <w:tab w:leader="none" w:pos="8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 (i) the date on which the applicable holding period to avoid a disqualifying disposition (within the meaning of Code Section 421) expires, or (ii) the date that a Participant specifically requests a certificate for shares purchased pursuant to the Plan.</w:t>
      </w:r>
    </w:p>
    <w:p>
      <w:pPr>
        <w:spacing w:after="0" w:line="85" w:lineRule="exact"/>
        <w:rPr>
          <w:rFonts w:ascii="Arial" w:cs="Arial" w:eastAsia="Arial" w:hAnsi="Arial"/>
          <w:sz w:val="18"/>
          <w:szCs w:val="18"/>
          <w:color w:val="auto"/>
        </w:rPr>
      </w:pPr>
    </w:p>
    <w:p>
      <w:pPr>
        <w:ind w:left="360" w:right="20" w:firstLine="215"/>
        <w:spacing w:after="0" w:line="259"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ectPr>
          <w:pgSz w:w="11900" w:h="16838" w:orient="portrait"/>
          <w:cols w:equalWidth="0" w:num="1">
            <w:col w:w="11360"/>
          </w:cols>
          <w:pgMar w:left="240" w:top="935" w:right="2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[WMI LETTERHEAD]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27,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color w:val="auto"/>
        </w:rPr>
        <w:t>Registration Statement on Form S-8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I am Vice President and Assistant General Counsel — Corporate &amp; Securities for Waste Management, Inc., a Delaware corporation (the “Company”), and have acted in such capacity in connection with the registration under the Securities Act of 1933, as amended (the “Act”), of 2,500,000 shares of the Company’s common stock, $0.01 par value (the “Common Stock”), to be offered upon the terms and subject to the conditions set forth in the Registration Statement on Form S-8 (the “Registration Statement”) relating thereto to be filed with the Securities and Exchange Commission on June 27, 2006.</w:t>
      </w:r>
    </w:p>
    <w:p>
      <w:pPr>
        <w:spacing w:after="0" w:line="46"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In connection therewith, I have examined originals or copies certified or otherwise identified to my satisfaction of the Certificate of Incorporation of the Company, the By-laws of the Company, the corporate proceedings with respect to the offering of the shares and such other documents and instruments as I have deemed necessary or appropriate for the expression of the opinions contained herein.</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 have assumed the authenticity and completeness of all records, certificates and other instruments submitted to me as originals, the conformity to original documents of all records, certificates and other instruments submitted to me as copies, the authenticity and completeness of the originals of those records, certificates and other instruments submitted to me as copies and the correctness of all statements of fact contained in all records, certificates and other instruments that I have examined.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Based on the foregoing, and having a regard for such legal considerations as I have deemed relevant, I am of the opinion that:</w:t>
      </w:r>
    </w:p>
    <w:p>
      <w:pPr>
        <w:spacing w:after="0" w:line="117" w:lineRule="exact"/>
        <w:rPr>
          <w:sz w:val="20"/>
          <w:szCs w:val="20"/>
          <w:color w:val="auto"/>
        </w:rPr>
      </w:pPr>
    </w:p>
    <w:p>
      <w:pPr>
        <w:ind w:left="660" w:hanging="43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in good standing under the laws of the State of Delaware.</w:t>
      </w:r>
    </w:p>
    <w:p>
      <w:pPr>
        <w:spacing w:after="0" w:line="130" w:lineRule="exact"/>
        <w:rPr>
          <w:rFonts w:ascii="Arial" w:cs="Arial" w:eastAsia="Arial" w:hAnsi="Arial"/>
          <w:sz w:val="18"/>
          <w:szCs w:val="18"/>
          <w:color w:val="auto"/>
        </w:rPr>
      </w:pPr>
    </w:p>
    <w:p>
      <w:pPr>
        <w:ind w:left="660" w:right="40" w:hanging="43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shares of Common Stock proposed to be sold by the Company have been duly and validly authorized for issuance and, when issued and paid for in accordance with the Waste Management Inc. Employee Stock Purchase Plan, and subject to the Registration Statement becoming effective under the Act and to compliance with such state securities rules, regulations and laws as may be applicable, will be duly and validly issued, fully paid and nonassessable.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S. Tsai</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 Tsai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and Assistant General Counsel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&amp; Securities</w:t>
      </w:r>
    </w:p>
    <w:p>
      <w:pPr>
        <w:sectPr>
          <w:pgSz w:w="11900" w:h="16838" w:orient="portrait"/>
          <w:cols w:equalWidth="0" w:num="1">
            <w:col w:w="11420"/>
          </w:cols>
          <w:pgMar w:left="240" w:top="93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Waste Management, Inc. Employee Stock Purchase Plan of our reports dated February 20, 2006, with respect to the consolidated financial statements and schedule of Waste Management, Inc., and Waste Management, Inc. management’s assessment of the effectiveness of internal control over financial reporting, and the effectiveness of internal control over financial reporting of Waste Management, Inc., included in its Annual Report (Form 10-K) for the year ended December 31, 2005, filed with the Securities and Exchange Commission.</w:t>
      </w:r>
    </w:p>
    <w:p>
      <w:pPr>
        <w:spacing w:after="0" w:line="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2006</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decimal"/>
      <w:start w:val="1"/>
    </w:lvl>
    <w:lvl w:ilvl="1">
      <w:lvlJc w:val="left"/>
      <w:lvlText w:val="(%2)"/>
      <w:numFmt w:val="lowerRoman"/>
      <w:start w:val="1"/>
    </w:lvl>
  </w:abstractNum>
  <w:abstractNum w:abstractNumId="4">
    <w:nsid w:val="4E6AFB66"/>
    <w:multiLevelType w:val="hybridMultilevel"/>
    <w:lvl w:ilvl="0">
      <w:lvlJc w:val="left"/>
      <w:lvlText w:val="(%1)"/>
      <w:numFmt w:val="decimal"/>
      <w:start w:val="2"/>
    </w:lvl>
    <w:lvl w:ilvl="1">
      <w:lvlJc w:val="left"/>
      <w:lvlText w:val="(%2)"/>
      <w:numFmt w:val="lowerLetter"/>
      <w:start w:val="2"/>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12"/>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1."/>
      <w:numFmt w:val="decimal"/>
      <w:start w:val="3"/>
    </w:lvl>
  </w:abstractNum>
  <w:abstractNum w:abstractNumId="10">
    <w:nsid w:val="257130A3"/>
    <w:multiLevelType w:val="hybridMultilevel"/>
    <w:lvl w:ilvl="0">
      <w:lvlJc w:val="left"/>
      <w:lvlText w:val="%1."/>
      <w:numFmt w:val="decimal"/>
      <w:start w:val="4"/>
    </w:lvl>
    <w:lvl w:ilvl="1">
      <w:lvlJc w:val="left"/>
      <w:lvlText w:val="(%2)"/>
      <w:numFmt w:val="lowerLetter"/>
      <w:start w:val="1"/>
    </w:lvl>
  </w:abstractNum>
  <w:abstractNum w:abstractNumId="11">
    <w:nsid w:val="62BBD95A"/>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2">
    <w:nsid w:val="436C6125"/>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abstractNum>
  <w:abstractNum w:abstractNumId="13">
    <w:nsid w:val="628C895D"/>
    <w:multiLevelType w:val="hybridMultilevel"/>
    <w:lvl w:ilvl="0">
      <w:lvlJc w:val="left"/>
      <w:lvlText w:val="%1"/>
      <w:numFmt w:val="decimal"/>
      <w:start w:val="1"/>
    </w:lvl>
    <w:lvl w:ilvl="1">
      <w:lvlJc w:val="left"/>
      <w:lvlText w:val="(%2)"/>
      <w:numFmt w:val="lowerLetter"/>
      <w:start w:val="4"/>
    </w:lvl>
  </w:abstractNum>
  <w:abstractNum w:abstractNumId="14">
    <w:nsid w:val="333AB105"/>
    <w:multiLevelType w:val="hybridMultilevel"/>
    <w:lvl w:ilvl="0">
      <w:lvlJc w:val="left"/>
      <w:lvlText w:val="%1."/>
      <w:numFmt w:val="decimal"/>
      <w:start w:val="8"/>
    </w:lvl>
    <w:lvl w:ilvl="1">
      <w:lvlJc w:val="left"/>
      <w:lvlText w:val="(%2)"/>
      <w:numFmt w:val="lowerLetter"/>
      <w:start w:val="1"/>
    </w:lvl>
  </w:abstractNum>
  <w:abstractNum w:abstractNumId="15">
    <w:nsid w:val="721DA317"/>
    <w:multiLevelType w:val="hybridMultilevel"/>
    <w:lvl w:ilvl="0">
      <w:lvlJc w:val="left"/>
      <w:lvlText w:val="%1."/>
      <w:numFmt w:val="decimal"/>
      <w:start w:val="10"/>
    </w:lvl>
  </w:abstractNum>
  <w:abstractNum w:abstractNumId="16">
    <w:nsid w:val="2443A858"/>
    <w:multiLevelType w:val="hybridMultilevel"/>
    <w:lvl w:ilvl="0">
      <w:lvlJc w:val="left"/>
      <w:lvlText w:val="%1"/>
      <w:numFmt w:val="decimal"/>
      <w:start w:val="1"/>
    </w:lvl>
    <w:lvl w:ilvl="1">
      <w:lvlJc w:val="left"/>
      <w:lvlText w:val="(%2)"/>
      <w:numFmt w:val="lowerLetter"/>
      <w:start w:val="1"/>
    </w:lvl>
  </w:abstractNum>
  <w:abstractNum w:abstractNumId="17">
    <w:nsid w:val="2D1D5AE9"/>
    <w:multiLevelType w:val="hybridMultilevel"/>
    <w:lvl w:ilvl="0">
      <w:lvlJc w:val="left"/>
      <w:lvlText w:val="%1."/>
      <w:numFmt w:val="decimal"/>
      <w:start w:val="11"/>
    </w:lvl>
    <w:lvl w:ilvl="1">
      <w:lvlJc w:val="left"/>
      <w:lvlText w:val="%2"/>
      <w:numFmt w:val="lowerLetter"/>
      <w:start w:val="1"/>
    </w:lvl>
  </w:abstractNum>
  <w:abstractNum w:abstractNumId="18">
    <w:nsid w:val="6763845E"/>
    <w:multiLevelType w:val="hybridMultilevel"/>
    <w:lvl w:ilvl="0">
      <w:lvlJc w:val="left"/>
      <w:lvlText w:val="%1."/>
      <w:numFmt w:val="decimal"/>
      <w:start w:val="12"/>
    </w:lvl>
  </w:abstractNum>
  <w:abstractNum w:abstractNumId="19">
    <w:nsid w:val="75A2A8D4"/>
    <w:multiLevelType w:val="hybridMultilevel"/>
    <w:lvl w:ilvl="0">
      <w:lvlJc w:val="left"/>
      <w:lvlText w:val="%1"/>
      <w:numFmt w:val="lowerLetter"/>
      <w:start w:val="1"/>
    </w:lvl>
    <w:lvl w:ilvl="1">
      <w:lvlJc w:val="left"/>
      <w:lvlText w:val="%2."/>
      <w:numFmt w:val="decimal"/>
      <w:start w:val="13"/>
    </w:lvl>
  </w:abstractNum>
  <w:abstractNum w:abstractNumId="20">
    <w:nsid w:val="8EDBDAB"/>
    <w:multiLevelType w:val="hybridMultilevel"/>
    <w:lvl w:ilvl="0">
      <w:lvlJc w:val="left"/>
      <w:lvlText w:val="(%1)"/>
      <w:numFmt w:val="lowerLetter"/>
      <w:start w:val="1"/>
    </w:lvl>
    <w:lvl w:ilvl="1">
      <w:lvlJc w:val="left"/>
      <w:lvlText w:val="%2."/>
      <w:numFmt w:val="decimal"/>
      <w:start w:val="14"/>
    </w:lvl>
  </w:abstractNum>
  <w:abstractNum w:abstractNumId="21">
    <w:nsid w:val="79838CB2"/>
    <w:multiLevelType w:val="hybridMultilevel"/>
    <w:lvl w:ilvl="0">
      <w:lvlJc w:val="left"/>
      <w:lvlText w:val="%1."/>
      <w:numFmt w:val="decimal"/>
      <w:start w:val="15"/>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decimal"/>
      <w:start w:val="16"/>
    </w:lvl>
  </w:abstractNum>
  <w:abstractNum w:abstractNumId="24">
    <w:nsid w:val="189A769B"/>
    <w:multiLevelType w:val="hybridMultilevel"/>
    <w:lvl w:ilvl="0">
      <w:lvlJc w:val="left"/>
      <w:lvlText w:val="%1."/>
      <w:numFmt w:val="decimal"/>
      <w:start w:val="17"/>
    </w:lvl>
  </w:abstractNum>
  <w:abstractNum w:abstractNumId="25">
    <w:nsid w:val="54E49EB4"/>
    <w:multiLevelType w:val="hybridMultilevel"/>
    <w:lvl w:ilvl="0">
      <w:lvlJc w:val="left"/>
      <w:lvlText w:val="%1"/>
      <w:numFmt w:val="lowerLetter"/>
      <w:start w:val="1"/>
    </w:lvl>
    <w:lvl w:ilvl="1">
      <w:lvlJc w:val="left"/>
      <w:lvlText w:val="%2."/>
      <w:numFmt w:val="decimal"/>
      <w:start w:val="18"/>
    </w:lvl>
  </w:abstractNum>
  <w:abstractNum w:abstractNumId="26">
    <w:nsid w:val="71F32454"/>
    <w:multiLevelType w:val="hybridMultilevel"/>
    <w:lvl w:ilvl="0">
      <w:lvlJc w:val="left"/>
      <w:lvlText w:val="(%1)"/>
      <w:numFmt w:val="lowerLetter"/>
      <w:start w:val="1"/>
    </w:lvl>
    <w:lvl w:ilvl="1">
      <w:lvlJc w:val="left"/>
      <w:lvlText w:val="%2"/>
      <w:numFmt w:val="decimal"/>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2019-12-20T03:52:50Z</dcterms:created>
  <dcterms:modified xsi:type="dcterms:W3CDTF">2019-12-20T03:52:50Z</dcterms:modified>
</cp:coreProperties>
</file>