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29,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ind w:right="180" w:firstLine="222"/>
        <w:spacing w:after="0" w:line="259" w:lineRule="auto"/>
        <w:rPr>
          <w:sz w:val="20"/>
          <w:szCs w:val="20"/>
          <w:color w:val="auto"/>
        </w:rPr>
      </w:pPr>
      <w:r>
        <w:rPr>
          <w:rFonts w:ascii="Arial" w:cs="Arial" w:eastAsia="Arial" w:hAnsi="Arial"/>
          <w:sz w:val="18"/>
          <w:szCs w:val="18"/>
          <w:color w:val="auto"/>
        </w:rPr>
        <w:t>Waste Management, Inc. (the “Company”) has issued a press release this morning, announcing its earnings for the quarter ended March 31, 2010, a copy of which is attached hereto as exhibit 99.1. The Company is holding a conference call to discuss these results from 9:00 a.m. to 10:00 a.m. Central time this morning. The call will be webcast live, and may be heard by accessing the Company’s website at www.wm.com. The call may also be listened to by calling (877) 710-6139 and entering the access code 64713577.</w:t>
      </w:r>
    </w:p>
    <w:p>
      <w:pPr>
        <w:spacing w:after="0" w:line="79" w:lineRule="exact"/>
        <w:rPr>
          <w:sz w:val="20"/>
          <w:szCs w:val="20"/>
          <w:color w:val="auto"/>
        </w:rPr>
      </w:pPr>
    </w:p>
    <w:p>
      <w:pPr>
        <w:ind w:right="60" w:firstLine="225"/>
        <w:spacing w:after="0" w:line="284" w:lineRule="auto"/>
        <w:rPr>
          <w:sz w:val="20"/>
          <w:szCs w:val="20"/>
          <w:color w:val="auto"/>
        </w:rPr>
      </w:pPr>
      <w:r>
        <w:rPr>
          <w:rFonts w:ascii="Arial" w:cs="Arial" w:eastAsia="Arial" w:hAnsi="Arial"/>
          <w:sz w:val="16"/>
          <w:szCs w:val="16"/>
          <w:color w:val="auto"/>
        </w:rPr>
        <w:t>On the call, management of the Company is expected to discuss results of operations using certain non-GAAP financial measures that are included in the Company’s press release. The Company has provided information regarding its use of the non-GAAP measures contained in its press release and reconciliations of them to their most comparable GAAP measures in the press release and the schedules thereto that are attached to this Form 8-K as exhibit 99.1. Management also is expected to discuss (i) its operating expenses as a percentage of revenues, as adjusted for the negative impact of the Company’s withdrawal of certain bargaining units from an under-funded multi-employer pension plan and (ii) its projected full year free cash flow. Management believes these discussions provide investors with information to better enable them to evaluate the Company’s financial condition and results of operations by</w:t>
      </w:r>
    </w:p>
    <w:p>
      <w:pPr>
        <w:spacing w:after="0" w:line="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excluding the impact of an item that was non-operational in nature and therefore not representative of the Company’s ongoing operating expenses and</w:t>
      </w:r>
    </w:p>
    <w:p>
      <w:pPr>
        <w:spacing w:after="0" w:line="32" w:lineRule="exact"/>
        <w:rPr>
          <w:rFonts w:ascii="Arial" w:cs="Arial" w:eastAsia="Arial" w:hAnsi="Arial"/>
          <w:sz w:val="16"/>
          <w:szCs w:val="16"/>
          <w:color w:val="auto"/>
        </w:rPr>
      </w:pPr>
    </w:p>
    <w:p>
      <w:pPr>
        <w:ind w:right="80" w:firstLine="8"/>
        <w:spacing w:after="0" w:line="255"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disclosing to investors the Company’s projection of cash produced by non-financing activities that should be available for such uses as acquisitions, share repurchases and dividend payments after any committed expenditures have been made. Non-GAAP information should not be considered a substitute for financial information presented in accordance with GAAP.</w:t>
      </w:r>
    </w:p>
    <w:p>
      <w:pPr>
        <w:spacing w:after="0" w:line="82"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reconciliation of GAAP operating expenses as a percentage of revenues to the non-GAAP percentage, adjusted for the effect of the increased expense due to the withdrawal from the pension plan, is shown below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As reported:</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700" w:type="dxa"/>
            <w:vAlign w:val="bottom"/>
          </w:tcPr>
          <w:p>
            <w:pPr>
              <w:ind w:left="620"/>
              <w:spacing w:after="0"/>
              <w:rPr>
                <w:sz w:val="20"/>
                <w:szCs w:val="20"/>
                <w:color w:val="auto"/>
              </w:rPr>
            </w:pPr>
            <w:r>
              <w:rPr>
                <w:rFonts w:ascii="Arial" w:cs="Arial" w:eastAsia="Arial" w:hAnsi="Arial"/>
                <w:sz w:val="18"/>
                <w:szCs w:val="18"/>
                <w:color w:val="auto"/>
              </w:rPr>
              <w:t>Operating Revenues</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2,935</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2,810</w:t>
            </w:r>
          </w:p>
        </w:tc>
      </w:tr>
      <w:tr>
        <w:trPr>
          <w:trHeight w:val="216"/>
        </w:trPr>
        <w:tc>
          <w:tcPr>
            <w:tcW w:w="6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Operating Expenses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4"/>
              </w:rPr>
              <w:t>1,881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1,725</w:t>
            </w:r>
          </w:p>
        </w:tc>
      </w:tr>
      <w:tr>
        <w:trPr>
          <w:trHeight w:val="432"/>
        </w:trPr>
        <w:tc>
          <w:tcPr>
            <w:tcW w:w="6700" w:type="dxa"/>
            <w:vAlign w:val="bottom"/>
          </w:tcPr>
          <w:p>
            <w:pPr>
              <w:spacing w:after="0"/>
              <w:rPr>
                <w:sz w:val="20"/>
                <w:szCs w:val="20"/>
                <w:color w:val="auto"/>
              </w:rPr>
            </w:pPr>
            <w:r>
              <w:rPr>
                <w:rFonts w:ascii="Arial" w:cs="Arial" w:eastAsia="Arial" w:hAnsi="Arial"/>
                <w:sz w:val="18"/>
                <w:szCs w:val="18"/>
                <w:b w:val="1"/>
                <w:bCs w:val="1"/>
                <w:color w:val="auto"/>
              </w:rPr>
              <w:t>Operating Expenses as a percent of Revenues</w:t>
            </w:r>
          </w:p>
        </w:tc>
        <w:tc>
          <w:tcPr>
            <w:tcW w:w="2380" w:type="dxa"/>
            <w:vAlign w:val="bottom"/>
          </w:tcPr>
          <w:p>
            <w:pPr>
              <w:spacing w:after="0"/>
              <w:rPr>
                <w:sz w:val="24"/>
                <w:szCs w:val="24"/>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64.1%</w:t>
            </w:r>
          </w:p>
        </w:tc>
        <w:tc>
          <w:tcPr>
            <w:tcW w:w="560" w:type="dxa"/>
            <w:vAlign w:val="bottom"/>
          </w:tcPr>
          <w:p>
            <w:pPr>
              <w:spacing w:after="0"/>
              <w:rPr>
                <w:sz w:val="24"/>
                <w:szCs w:val="24"/>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61.4%</w:t>
            </w:r>
          </w:p>
        </w:tc>
      </w:tr>
      <w:tr>
        <w:trPr>
          <w:trHeight w:val="216"/>
        </w:trPr>
        <w:tc>
          <w:tcPr>
            <w:tcW w:w="67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700" w:type="dxa"/>
            <w:vAlign w:val="bottom"/>
          </w:tcPr>
          <w:p>
            <w:pPr>
              <w:ind w:left="620"/>
              <w:spacing w:after="0"/>
              <w:rPr>
                <w:sz w:val="20"/>
                <w:szCs w:val="20"/>
                <w:color w:val="auto"/>
              </w:rPr>
            </w:pPr>
            <w:r>
              <w:rPr>
                <w:rFonts w:ascii="Arial" w:cs="Arial" w:eastAsia="Arial" w:hAnsi="Arial"/>
                <w:sz w:val="18"/>
                <w:szCs w:val="18"/>
                <w:color w:val="auto"/>
              </w:rPr>
              <w:t>Operating Revenues</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Operating Expenses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r>
      <w:tr>
        <w:trPr>
          <w:trHeight w:val="432"/>
        </w:trPr>
        <w:tc>
          <w:tcPr>
            <w:tcW w:w="6700" w:type="dxa"/>
            <w:vAlign w:val="bottom"/>
          </w:tcPr>
          <w:p>
            <w:pPr>
              <w:ind w:left="220"/>
              <w:spacing w:after="0"/>
              <w:rPr>
                <w:sz w:val="20"/>
                <w:szCs w:val="20"/>
                <w:color w:val="auto"/>
              </w:rPr>
            </w:pPr>
            <w:r>
              <w:rPr>
                <w:rFonts w:ascii="Arial" w:cs="Arial" w:eastAsia="Arial" w:hAnsi="Arial"/>
                <w:sz w:val="18"/>
                <w:szCs w:val="18"/>
                <w:b w:val="1"/>
                <w:bCs w:val="1"/>
                <w:color w:val="auto"/>
              </w:rPr>
              <w:t>As adjusted:</w:t>
            </w:r>
          </w:p>
        </w:tc>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6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Operating revenues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4"/>
              </w:rPr>
              <w:t>2,935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2,810</w:t>
            </w:r>
          </w:p>
        </w:tc>
      </w:tr>
      <w:tr>
        <w:trPr>
          <w:trHeight w:val="230"/>
        </w:trPr>
        <w:tc>
          <w:tcPr>
            <w:tcW w:w="6700" w:type="dxa"/>
            <w:vAlign w:val="bottom"/>
          </w:tcPr>
          <w:p>
            <w:pPr>
              <w:ind w:left="620"/>
              <w:spacing w:after="0"/>
              <w:rPr>
                <w:sz w:val="20"/>
                <w:szCs w:val="20"/>
                <w:color w:val="auto"/>
              </w:rPr>
            </w:pPr>
            <w:r>
              <w:rPr>
                <w:rFonts w:ascii="Arial" w:cs="Arial" w:eastAsia="Arial" w:hAnsi="Arial"/>
                <w:sz w:val="18"/>
                <w:szCs w:val="18"/>
                <w:color w:val="auto"/>
              </w:rPr>
              <w:t>Operating expenses</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1,853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1,725</w:t>
            </w:r>
          </w:p>
        </w:tc>
      </w:tr>
      <w:tr>
        <w:trPr>
          <w:trHeight w:val="202"/>
        </w:trPr>
        <w:tc>
          <w:tcPr>
            <w:tcW w:w="67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Adjusted Operating Expenses as a percent of Revenues</w:t>
            </w:r>
          </w:p>
        </w:tc>
        <w:tc>
          <w:tcPr>
            <w:tcW w:w="2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63.1%</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61.4%</w:t>
            </w:r>
          </w:p>
        </w:tc>
      </w:tr>
    </w:tbl>
    <w:p>
      <w:pPr>
        <w:spacing w:after="0" w:line="94"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reconciliation of free cash flow to net cash provided by operating activities, the most comparable GAAP measure, is shown below (dollars in millions). The Company’s definition of free cash flow may be different from, and therefore not comparable to, similarly titled measures presented by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right="140"/>
        <w:spacing w:after="0" w:line="342" w:lineRule="auto"/>
        <w:rPr>
          <w:sz w:val="20"/>
          <w:szCs w:val="20"/>
          <w:color w:val="auto"/>
        </w:rPr>
      </w:pPr>
      <w:r>
        <w:rPr>
          <w:rFonts w:ascii="Arial" w:cs="Arial" w:eastAsia="Arial" w:hAnsi="Arial"/>
          <w:sz w:val="16"/>
          <w:szCs w:val="16"/>
          <w:color w:val="auto"/>
        </w:rPr>
        <w:t>companies. Additionally, the reconciliation illustrates two scenarios that show our projected free cash flow range. The amounts used in the reconciliation are subject to many variables, some of which are not in our control and therefore are not necessarily indicative of what actual results will be.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Scenario 1</w:t>
            </w:r>
          </w:p>
        </w:tc>
        <w:tc>
          <w:tcPr>
            <w:tcW w:w="3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Scenario 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Full Year 2010 Free Cash Flow</w:t>
            </w:r>
          </w:p>
        </w:tc>
        <w:tc>
          <w:tcPr>
            <w:tcW w:w="1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2,375</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1,200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80" w:type="dxa"/>
            <w:vAlign w:val="bottom"/>
          </w:tcPr>
          <w:p>
            <w:pPr>
              <w:spacing w:after="0"/>
              <w:rPr>
                <w:sz w:val="20"/>
                <w:szCs w:val="20"/>
                <w:color w:val="auto"/>
              </w:rPr>
            </w:pPr>
            <w:r>
              <w:rPr>
                <w:rFonts w:ascii="Arial" w:cs="Arial" w:eastAsia="Arial" w:hAnsi="Arial"/>
                <w:sz w:val="18"/>
                <w:szCs w:val="18"/>
                <w:color w:val="auto"/>
              </w:rPr>
              <w:t>(c) Exhibits</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Exhibit 99.1: Press Release dated April 29, 2010</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77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jc w:val="right"/>
              <w:ind w:right="191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April 29, 2010</w:t>
            </w:r>
          </w:p>
        </w:tc>
        <w:tc>
          <w:tcPr>
            <w:tcW w:w="6320" w:type="dxa"/>
            <w:vAlign w:val="bottom"/>
            <w:gridSpan w:val="2"/>
          </w:tcPr>
          <w:p>
            <w:pPr>
              <w:jc w:val="right"/>
              <w:ind w:right="2470"/>
              <w:spacing w:after="0"/>
              <w:rPr>
                <w:sz w:val="20"/>
                <w:szCs w:val="20"/>
                <w:color w:val="auto"/>
              </w:rPr>
            </w:pPr>
            <w:r>
              <w:rPr>
                <w:rFonts w:ascii="Arial" w:cs="Arial" w:eastAsia="Arial" w:hAnsi="Arial"/>
                <w:sz w:val="18"/>
                <w:szCs w:val="18"/>
                <w:color w:val="auto"/>
              </w:rPr>
              <w:t>By: Rick L Wittenbraker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jc w:val="right"/>
              <w:ind w:right="2470"/>
              <w:spacing w:after="0" w:line="195" w:lineRule="exact"/>
              <w:rPr>
                <w:sz w:val="20"/>
                <w:szCs w:val="20"/>
                <w:color w:val="auto"/>
              </w:rPr>
            </w:pPr>
            <w:r>
              <w:rPr>
                <w:rFonts w:ascii="Arial" w:cs="Arial" w:eastAsia="Arial" w:hAnsi="Arial"/>
                <w:sz w:val="18"/>
                <w:szCs w:val="18"/>
                <w:color w:val="auto"/>
                <w:w w:val="92"/>
              </w:rPr>
              <w:t>Rick L Wittenbraker</w:t>
            </w:r>
          </w:p>
        </w:tc>
        <w:tc>
          <w:tcPr>
            <w:tcW w:w="168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jc w:val="right"/>
              <w:ind w:right="2390"/>
              <w:spacing w:after="0"/>
              <w:rPr>
                <w:sz w:val="20"/>
                <w:szCs w:val="20"/>
                <w:color w:val="auto"/>
              </w:rPr>
            </w:pPr>
            <w:r>
              <w:rPr>
                <w:rFonts w:ascii="Arial" w:cs="Arial" w:eastAsia="Arial" w:hAnsi="Arial"/>
                <w:sz w:val="18"/>
                <w:szCs w:val="18"/>
                <w:color w:val="auto"/>
                <w:w w:val="88"/>
              </w:rPr>
              <w:t>Senior Vice President</w:t>
            </w:r>
          </w:p>
        </w:tc>
        <w:tc>
          <w:tcPr>
            <w:tcW w:w="1680" w:type="dxa"/>
            <w:vAlign w:val="bottom"/>
          </w:tcPr>
          <w:p>
            <w:pPr>
              <w:spacing w:after="0"/>
              <w:rPr>
                <w:sz w:val="20"/>
                <w:szCs w:val="20"/>
                <w:color w:val="auto"/>
              </w:rPr>
            </w:pPr>
          </w:p>
        </w:tc>
      </w:tr>
      <w:tr>
        <w:trPr>
          <w:trHeight w:val="632"/>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340" w:type="dxa"/>
            <w:vAlign w:val="bottom"/>
          </w:tcPr>
          <w:p>
            <w:pPr>
              <w:spacing w:after="0"/>
              <w:rPr>
                <w:sz w:val="14"/>
                <w:szCs w:val="1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Press Release dated April 29, 2010</w:t>
            </w: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223520</wp:posOffset>
            </wp:positionV>
            <wp:extent cx="1637665"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76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Jim Alderson - 713.394.2281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 #10-06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First Quarter 2010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Revenue Increases 4.4%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Notes Volume Trends are Improving</w:t>
      </w:r>
    </w:p>
    <w:p>
      <w:pPr>
        <w:spacing w:after="0" w:line="11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HOUSTON – April 29, 2010 – </w:t>
      </w:r>
      <w:r>
        <w:rPr>
          <w:rFonts w:ascii="Arial" w:cs="Arial" w:eastAsia="Arial" w:hAnsi="Arial"/>
          <w:sz w:val="18"/>
          <w:szCs w:val="18"/>
          <w:color w:val="auto"/>
        </w:rPr>
        <w:t>Waste Management, Inc. (NYSE: WM) today announced financial results for its first quarter ended March 31, 2010.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w:t>
      </w:r>
      <w:r>
        <w:rPr>
          <w:rFonts w:ascii="Arial" w:cs="Arial" w:eastAsia="Arial" w:hAnsi="Arial"/>
          <w:sz w:val="15"/>
          <w:szCs w:val="15"/>
          <w:color w:val="auto"/>
        </w:rPr>
        <w:t>(a)</w:t>
      </w:r>
      <w:r>
        <w:rPr>
          <w:rFonts w:ascii="Arial" w:cs="Arial" w:eastAsia="Arial" w:hAnsi="Arial"/>
          <w:sz w:val="18"/>
          <w:szCs w:val="18"/>
          <w:color w:val="auto"/>
        </w:rPr>
        <w:t xml:space="preserve"> for the quarter was $182 million, or $0.37 per diluted share, compared with $155 million, or $0.31 per diluted share, for the first quarter of 2009. This is an increase in earnings per diluted share of over 19%. Revenues for the first quarter of 2010 were $2.93 billion compared with $2.81 billion for the same 2009 period, an increase of 4.4%.</w:t>
      </w:r>
    </w:p>
    <w:p>
      <w:pPr>
        <w:spacing w:after="0" w:line="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noted several items that impacted results in the 2010 and 2009 first quarters. Results in the first quarter of 2010 included a $17 million after-tax charge related to the partial withdrawal from a Teamsters’ under-funded multi-employer pension plan. Results in the first quarter of 2009 included a</w:t>
      </w:r>
    </w:p>
    <w:p>
      <w:pPr>
        <w:ind w:right="40"/>
        <w:spacing w:after="0" w:line="255" w:lineRule="auto"/>
        <w:rPr>
          <w:sz w:val="20"/>
          <w:szCs w:val="20"/>
          <w:color w:val="auto"/>
        </w:rPr>
      </w:pPr>
      <w:r>
        <w:rPr>
          <w:rFonts w:ascii="Arial" w:cs="Arial" w:eastAsia="Arial" w:hAnsi="Arial"/>
          <w:sz w:val="18"/>
          <w:szCs w:val="18"/>
          <w:color w:val="auto"/>
        </w:rPr>
        <w:t>$23 million reduction in net income due to charges related to the restructuring announced in February 2009, and a $30 million reduction in net income related to the abandonment of a revenue management system. Excluding these items, net income would have been $199 million, or $0.41 per diluted share, in the first quarter of 2010 compared with $208 million, or $0.42 per diluted share, in the first quarter of 2009.</w:t>
      </w:r>
      <w:r>
        <w:rPr>
          <w:rFonts w:ascii="Arial" w:cs="Arial" w:eastAsia="Arial" w:hAnsi="Arial"/>
          <w:sz w:val="15"/>
          <w:szCs w:val="15"/>
          <w:color w:val="auto"/>
        </w:rPr>
        <w:t>(b)</w:t>
      </w:r>
    </w:p>
    <w:p>
      <w:pPr>
        <w:spacing w:after="0" w:line="8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David P. Steiner, Chief Executive Officer of Waste Management, commented, “We saw further signs of improvement in our business during the first quarter of 2010. Revenue increased over 4% compared with the first quarter of 2009, primarily because of improving commodity prices and year-over-year yield increases. And volume comparisons continued to show improving trends.</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we overcame several headwinds to produce solid first quarter results. That included severe winter weather, a $0.01 per diluted share expense related to our decision to add stock options as part of our long-term compensation program, and a year-over-year negative impact of $0.02 per diluted share relating to fuel costs, net of fuel surcharge revenues.</w:t>
      </w:r>
    </w:p>
    <w:p>
      <w:pPr>
        <w:spacing w:after="0" w:line="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“Internal revenue growth from volume declined by 4.9% in the first quarter of 2010, an improvement of 150 basis points compared with the decline experienced in the fourth quarter of 2009. Compared with the third quarter of 2009, the rate of volume decline has improved 400 basis points. As we look at volumes for the remainder of 2010, we continue to expect the rate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decline to show improvement in the second quarter and for volumes to turn positive during the second half of the year.”</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Steiner continued, “Our internal revenue growth from yield for our collection and disposal business was 1.8%. We anticipated that yield would be lower during the first half of 2010 because the consumer price index was quite low, and even negative, for several months during the last half of 2009. This decline in the index affected recent contract price adjustments. Excluding the price impacts associated with municipal and franchise contracts, which are primarily driven by CPI adjustments, internal revenue growth from yield would have been 2.5% for the quarter. The CPI index is now running over 2% for the first three months of 2010. In addition, we have increased our environmental fee from 6.0% to 7.5%. So, we expect our internal revenue growth from yield to strengthen throughout the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First Quarter 2010</w:t>
      </w:r>
    </w:p>
    <w:p>
      <w:pPr>
        <w:spacing w:after="0" w:line="121"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increased by 4.4%, or $125 million, in the first quarter.</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for the Company’s collection and disposal operations was 1.8%, but would have been 2.5% excluding the price impacts associated with municipal and franchise contracts, which are primarily driven by CPI adjustments.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4.9%.</w:t>
      </w:r>
    </w:p>
    <w:p>
      <w:pPr>
        <w:spacing w:after="0" w:line="130" w:lineRule="exact"/>
        <w:rPr>
          <w:rFonts w:ascii="Arial" w:cs="Arial" w:eastAsia="Arial" w:hAnsi="Arial"/>
          <w:sz w:val="18"/>
          <w:szCs w:val="18"/>
          <w:b w:val="1"/>
          <w:bCs w:val="1"/>
          <w:color w:val="auto"/>
        </w:rPr>
      </w:pPr>
    </w:p>
    <w:p>
      <w:pPr>
        <w:ind w:left="660" w:right="24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Operating expenses increased by 9.0%, or $156 million, in the first quarter. This increase resulted mainly from $77 million of increased cost of goods sold related to recycling commodity rebates, a $28 million charge related to the partial withdrawal from a Teamsters’ under-funded multi-employer pension plan, and a $28 million increase in fuel costs. First quarter 2010 fuel costs, net of fuel surcharge revenues, negatively impacted earnings by $0.02 per diluted share, compared to the prior year period.</w:t>
      </w:r>
    </w:p>
    <w:p>
      <w:pPr>
        <w:spacing w:after="0" w:line="92" w:lineRule="exact"/>
        <w:rPr>
          <w:rFonts w:ascii="Arial" w:cs="Arial" w:eastAsia="Arial" w:hAnsi="Arial"/>
          <w:sz w:val="18"/>
          <w:szCs w:val="18"/>
          <w:b w:val="1"/>
          <w:bCs w:val="1"/>
          <w:color w:val="auto"/>
        </w:rPr>
      </w:pPr>
    </w:p>
    <w:p>
      <w:pPr>
        <w:jc w:val="both"/>
        <w:ind w:left="66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increased by $14 million compared with the first quarter of 2009, due principally to increased expenses for growth initiatives and information technology upgrades. As a percentage of revenue, these expenses remained unchanged at 12% compared with the prior year period.</w:t>
      </w:r>
    </w:p>
    <w:p>
      <w:pPr>
        <w:spacing w:after="0" w:line="86" w:lineRule="exact"/>
        <w:rPr>
          <w:rFonts w:ascii="Arial" w:cs="Arial" w:eastAsia="Arial" w:hAnsi="Arial"/>
          <w:sz w:val="18"/>
          <w:szCs w:val="18"/>
          <w:b w:val="1"/>
          <w:bCs w:val="1"/>
          <w:color w:val="auto"/>
        </w:rPr>
      </w:pPr>
    </w:p>
    <w:p>
      <w:pPr>
        <w:ind w:left="660" w:right="14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Average recycling commodity prices more than doubled in the first quarter of 2010 compared with the prior year period. This favorable year-over-year impact contributed over $0.06 to earnings per diluted share in the first quarter of 2010, compared with the prior year period, which was consistent with the Company’s previously announced estimate for commodity impacts.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In 2010 we granted stock options as part of our long-term compensation program. There was $5 million of non-cash expense, or an approximate</w:t>
      </w:r>
    </w:p>
    <w:p>
      <w:pPr>
        <w:spacing w:after="0" w:line="46" w:lineRule="exact"/>
        <w:rPr>
          <w:rFonts w:ascii="Arial" w:cs="Arial" w:eastAsia="Arial" w:hAnsi="Arial"/>
          <w:sz w:val="16"/>
          <w:szCs w:val="16"/>
          <w:b w:val="1"/>
          <w:bCs w:val="1"/>
          <w:color w:val="auto"/>
        </w:rPr>
      </w:pPr>
    </w:p>
    <w:p>
      <w:pPr>
        <w:ind w:left="66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$0.01 decline in earnings per diluted share in the quarter, due to vesting provisions applicable to retirement eligible employees under the Company’s long-term stock option incentive plan.</w:t>
      </w:r>
    </w:p>
    <w:p>
      <w:pPr>
        <w:spacing w:after="0" w:line="89" w:lineRule="exact"/>
        <w:rPr>
          <w:rFonts w:ascii="Arial" w:cs="Arial" w:eastAsia="Arial" w:hAnsi="Arial"/>
          <w:sz w:val="16"/>
          <w:szCs w:val="16"/>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Free cash flow was $253 million in the quarter.</w:t>
      </w:r>
      <w:r>
        <w:rPr>
          <w:rFonts w:ascii="Arial" w:cs="Arial" w:eastAsia="Arial" w:hAnsi="Arial"/>
          <w:sz w:val="15"/>
          <w:szCs w:val="15"/>
          <w:color w:val="auto"/>
        </w:rPr>
        <w:t>(b)</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Capital expenditures were $255 million in the quarter.</w:t>
      </w:r>
    </w:p>
    <w:p>
      <w:pPr>
        <w:spacing w:after="0" w:line="130"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Company returned $273 million to shareholders in the first quarter, consisting of $153 million in dividends and $120 million in common stock repurchases.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effective tax rate in the quarter was approximately 36.6%.</w:t>
      </w:r>
    </w:p>
    <w:p>
      <w:pPr>
        <w:spacing w:after="0" w:line="11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remain committed to returning cash to our shareholders while at the same time making strategic investments that will increase future cash flows. In the first quarter we paid $153 million in dividends and repurchased $120 million of common stock. We also completed over $80 million of tuck-in acquisitions. On March 23, 2010, we closed on our previously announced acquisition of a 40% interest in Shanghai Environment Group (SEG). SEG is the 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 w:name="page8"/>
    <w:bookmarkEnd w:id="7"/>
    <w:p>
      <w:pPr>
        <w:ind w:right="420"/>
        <w:spacing w:after="0" w:line="277" w:lineRule="auto"/>
        <w:rPr>
          <w:sz w:val="20"/>
          <w:szCs w:val="20"/>
          <w:color w:val="auto"/>
        </w:rPr>
      </w:pPr>
      <w:r>
        <w:rPr>
          <w:rFonts w:ascii="Arial" w:cs="Arial" w:eastAsia="Arial" w:hAnsi="Arial"/>
          <w:sz w:val="18"/>
          <w:szCs w:val="18"/>
          <w:color w:val="auto"/>
        </w:rPr>
        <w:t>company in China in the fast-growing waste-to-energy market. We also expect to close today on the purchase of a waste-to-energy facility owned by the Southeastern Public Service Authority, located in Virginia.”</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Steiner concluded, “Virtually all of the signs that we have seen in our business during March and early April suggest a continuing upturn in volumes during the second quarter. Recycling commodity prices remain at a high level, and our recent pricing activities will provide immediate benefit. Given these positive indications, we are confident that we will meet our previously announced full year 2010 earnings guidance range of $2.09 to $2.13 per diluted share, with earnings momentum building steadily throughout the year.</w:t>
      </w:r>
      <w:r>
        <w:rPr>
          <w:rFonts w:ascii="Arial" w:cs="Arial" w:eastAsia="Arial" w:hAnsi="Arial"/>
          <w:sz w:val="15"/>
          <w:szCs w:val="15"/>
          <w:color w:val="auto"/>
        </w:rPr>
        <w:t>(b)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60" w:right="7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refers to the financial statement line item “Net income attributable to Waste Management, Inc.”</w:t>
      </w:r>
    </w:p>
    <w:p>
      <w:pPr>
        <w:spacing w:after="0" w:line="75" w:lineRule="exact"/>
        <w:rPr>
          <w:rFonts w:ascii="Arial" w:cs="Arial" w:eastAsia="Arial" w:hAnsi="Arial"/>
          <w:sz w:val="18"/>
          <w:szCs w:val="18"/>
          <w:color w:val="auto"/>
        </w:rPr>
      </w:pPr>
    </w:p>
    <w:p>
      <w:pPr>
        <w:ind w:left="460" w:right="220" w:hanging="452"/>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460" w:right="60"/>
        <w:spacing w:after="0" w:line="254"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(ii) financial measures the Company uses in the management of its business. The Company has adjusted net income, earnings per diluted share and, projected earnings per diluted share in this press release to exclude the impact of certain unusual, non-recurring or otherwise non-operational items.</w:t>
      </w:r>
    </w:p>
    <w:p>
      <w:pPr>
        <w:spacing w:after="0" w:line="95"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The Company also discusses free cash flow which is a non-GAAP measure, because it believes that investors are interested in the cash produced by the Company from non-financing activities that is available for uses such as the Company’s acquisitions, its share repurchase program, and the payment of dividends. However, free cash flow has material limitations, as it does not represent cash flow available for discretionary expenditures because it excludes certain expenditures that we have committed to such as debt service obligations. The Company defines free cash flow as:</w:t>
      </w:r>
    </w:p>
    <w:p>
      <w:pPr>
        <w:spacing w:after="0" w:line="4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76"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The quantitative reconciliations of each of the non-GAAP measures presented herein other than projected earnings per diluted share to the most comparable GAAP measures are included in the accompanying schedules. Investors are urged to take into account GAAP measures as well as non-GAAP measures in evaluating the Company.</w:t>
      </w:r>
    </w:p>
    <w:p>
      <w:pPr>
        <w:spacing w:after="0" w:line="8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The Company’s full year earnings projection of $2.09 to $2.13 per diluted share excludes the effects of any events or circumstances in 2010 that management deems to be unusual items or that management believes are not representative or indicative of our results of operations. GAAP net earnings per diluted share for 2010 may include items that are not currently determinable, but may be significant, such as asset impairment and unusual items, charges, gains or losses from divestitures, resolution of income tax items or other items. The full-year 2010 adjusted projected earnings reiterated today exclude (i) the first quarter impact of a $17 million after-tax charge related to the partial withdrawal of an underfunded multi-employer pension plan; (ii) the benefit of the receipt by the Company of an $80 million (pre-tax) litigation settlement that occurred in April 2010 to settle all claims arising from an attempt to implement a new revenue management system; and (iii) any other items that may occur that management deems to be not representative of our results of operations. GAAP net earnings per diluted share projected for the full year would require inclusion of the items noted and the projected impact of future items. Due to the uncertainty of the likelihood, amount and timing of any such items, we do not believe we have the information available to provide projected full year GAAP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t>earnings per diluted share and the quantitative reconciliation to our current adjusted earning per diluted share projection.</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has scheduled an investor and analyst conference call for later this morning to discuss the results of today’s earnings announcement. The information in this press release should be read in conjunction with the information on the conference call. A live audio webcast of the conference call can be accessed at 10:00 a.m. Eastern Time, April 29, 2010 by logging onto www.WM.com and selecting “Events and Presentations” under the Investor Relations tab. You may also listen to the analyst conference call by telephone by contacting the conference call operator 5 to 10 minutes prior to the scheduled start time and asking for the “Waste Management Conference Call – Call ID 64713577.” US/Canada Dial-In Number: (877) 710-6139. Int’l/Local Dial-In Number:</w:t>
      </w:r>
    </w:p>
    <w:p>
      <w:pPr>
        <w:spacing w:after="0" w:line="2" w:lineRule="exact"/>
        <w:rPr>
          <w:sz w:val="20"/>
          <w:szCs w:val="20"/>
          <w:color w:val="auto"/>
        </w:rPr>
      </w:pPr>
    </w:p>
    <w:p>
      <w:pPr>
        <w:ind w:right="80" w:firstLine="8"/>
        <w:spacing w:after="0" w:line="281"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643-7398. A replay will be available beginning at approximately 1:00 p.m. Eastern time on April 29th through 5:00 p.m. Eastern time on May 13th. To hear a replay of the call over the Internet, access the Waste Management Website at </w:t>
      </w:r>
      <w:r>
        <w:rPr>
          <w:rFonts w:ascii="Arial" w:cs="Arial" w:eastAsia="Arial" w:hAnsi="Arial"/>
          <w:sz w:val="16"/>
          <w:szCs w:val="16"/>
          <w:u w:val="single" w:color="auto"/>
          <w:color w:val="auto"/>
        </w:rPr>
        <w:t>http://www.wm.com</w:t>
      </w:r>
      <w:r>
        <w:rPr>
          <w:rFonts w:ascii="Arial" w:cs="Arial" w:eastAsia="Arial" w:hAnsi="Arial"/>
          <w:sz w:val="16"/>
          <w:szCs w:val="16"/>
          <w:color w:val="auto"/>
        </w:rPr>
        <w:t>. To hear a telephonic replay of the call, dial</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642-1687 or (706) 645-9291 and enter reservation code 64713577.</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subsidiaries, the Company provides collection, transfer, recycling and resource recovery, and disposal services. It is also a leading developer, operator and owner of waste-to-energy and landfill gas-to-energy facilities. The Company’s customers include residential, commercial, industrial, and municipal customers throughout North America.</w:t>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2010 and beyond and that could cause actual results to be materially different from those that may be set forth in forward-looking statements made by the Company. We caution you not to place undue reliance on any forward-looking statements, which speak only as of their dates. The following are some of the risks that we face:</w:t>
      </w:r>
    </w:p>
    <w:p>
      <w:pPr>
        <w:spacing w:after="0" w:line="58" w:lineRule="exact"/>
        <w:rPr>
          <w:sz w:val="20"/>
          <w:szCs w:val="20"/>
          <w:color w:val="auto"/>
        </w:rPr>
      </w:pPr>
    </w:p>
    <w:p>
      <w:pPr>
        <w:ind w:left="660" w:right="3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volatility and deterioration in the credit markets, inflation and other general and local economic conditions may negatively affect the volumes of waste generated;</w:t>
      </w:r>
    </w:p>
    <w:p>
      <w:pPr>
        <w:spacing w:after="0" w:line="75"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86" w:lineRule="exact"/>
        <w:rPr>
          <w:rFonts w:ascii="Arial" w:cs="Arial" w:eastAsia="Arial" w:hAnsi="Arial"/>
          <w:sz w:val="18"/>
          <w:szCs w:val="18"/>
          <w:b w:val="1"/>
          <w:bCs w:val="1"/>
          <w:color w:val="auto"/>
        </w:rPr>
      </w:pPr>
    </w:p>
    <w:p>
      <w:pPr>
        <w:ind w:left="660" w:right="20" w:hanging="436"/>
        <w:spacing w:after="0" w:line="34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130"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86"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left="660" w:right="240" w:hanging="436"/>
        <w:spacing w:after="0" w:line="264"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86"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660" w:right="200" w:hanging="436"/>
        <w:spacing w:after="0" w:line="264"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660" w:right="80" w:hanging="436"/>
        <w:spacing w:after="0" w:line="264"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 and higher interest rates and market conditions may increase our expenses.</w:t>
      </w:r>
    </w:p>
    <w:p>
      <w:pPr>
        <w:spacing w:after="0" w:line="7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2009.</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3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485.6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0.315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9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182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488.1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0"/>
        </w:trPr>
        <w:tc>
          <w:tcPr>
            <w:tcW w:w="7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0.37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jc w:val="right"/>
              <w:ind w:right="2030"/>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4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9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14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1,493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5,675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14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20,995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14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2,038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8,191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14,454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14,563</w:t>
            </w:r>
          </w:p>
        </w:tc>
        <w:tc>
          <w:tcPr>
            <w:tcW w:w="0" w:type="dxa"/>
            <w:vAlign w:val="bottom"/>
          </w:tcPr>
          <w:p>
            <w:pPr>
              <w:spacing w:after="0"/>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9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6,233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3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80" w:type="dxa"/>
            <w:vAlign w:val="bottom"/>
            <w:vMerge w:val="restart"/>
          </w:tcPr>
          <w:p>
            <w:pPr>
              <w:jc w:val="right"/>
              <w:ind w:right="315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Investments in unconsolidated entities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Net cash provided by (used in) in financing activities</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560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Quarters Ended</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4"/>
          </w:tcPr>
          <w:p>
            <w:pPr>
              <w:jc w:val="right"/>
              <w:ind w:right="420"/>
              <w:spacing w:after="0" w:line="119" w:lineRule="exact"/>
              <w:rPr>
                <w:sz w:val="20"/>
                <w:szCs w:val="20"/>
                <w:color w:val="auto"/>
              </w:rPr>
            </w:pPr>
            <w:r>
              <w:rPr>
                <w:rFonts w:ascii="Arial" w:cs="Arial" w:eastAsia="Arial" w:hAnsi="Arial"/>
                <w:sz w:val="13"/>
                <w:szCs w:val="13"/>
                <w:b w:val="1"/>
                <w:bCs w:val="1"/>
                <w:color w:val="auto"/>
                <w:w w:val="86"/>
              </w:rPr>
              <w:t>March 31,</w:t>
            </w:r>
          </w:p>
        </w:tc>
        <w:tc>
          <w:tcPr>
            <w:tcW w:w="200" w:type="dxa"/>
            <w:vAlign w:val="bottom"/>
          </w:tcPr>
          <w:p>
            <w:pPr>
              <w:spacing w:after="0"/>
              <w:rPr>
                <w:sz w:val="10"/>
                <w:szCs w:val="10"/>
                <w:color w:val="auto"/>
              </w:rPr>
            </w:pPr>
          </w:p>
        </w:tc>
        <w:tc>
          <w:tcPr>
            <w:tcW w:w="1320" w:type="dxa"/>
            <w:vAlign w:val="bottom"/>
            <w:gridSpan w:val="7"/>
          </w:tcPr>
          <w:p>
            <w:pPr>
              <w:ind w:left="8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3"/>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1,974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2,005</w:t>
            </w:r>
          </w:p>
        </w:tc>
        <w:tc>
          <w:tcPr>
            <w:tcW w:w="4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Transfer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269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3,006</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9"/>
          </w:tcPr>
          <w:p>
            <w:pPr>
              <w:jc w:val="right"/>
              <w:ind w:right="128"/>
              <w:spacing w:after="0"/>
              <w:rPr>
                <w:sz w:val="20"/>
                <w:szCs w:val="20"/>
                <w:color w:val="auto"/>
              </w:rPr>
            </w:pPr>
            <w:r>
              <w:rPr>
                <w:rFonts w:ascii="Arial" w:cs="Arial" w:eastAsia="Arial" w:hAnsi="Arial"/>
                <w:sz w:val="14"/>
                <w:szCs w:val="14"/>
                <w:b w:val="1"/>
                <w:bCs w:val="1"/>
                <w:color w:val="auto"/>
              </w:rPr>
              <w:t>Quarters Ended</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right"/>
              <w:ind w:right="99"/>
              <w:spacing w:after="0" w:line="142" w:lineRule="exact"/>
              <w:rPr>
                <w:sz w:val="20"/>
                <w:szCs w:val="20"/>
                <w:color w:val="auto"/>
              </w:rPr>
            </w:pPr>
            <w:r>
              <w:rPr>
                <w:rFonts w:ascii="Arial" w:cs="Arial" w:eastAsia="Arial" w:hAnsi="Arial"/>
                <w:sz w:val="14"/>
                <w:szCs w:val="14"/>
                <w:b w:val="1"/>
                <w:bCs w:val="1"/>
                <w:color w:val="auto"/>
              </w:rPr>
              <w:t>March 31, 2010</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6"/>
          </w:tcPr>
          <w:p>
            <w:pPr>
              <w:ind w:left="300"/>
              <w:spacing w:after="0" w:line="142" w:lineRule="exact"/>
              <w:rPr>
                <w:sz w:val="20"/>
                <w:szCs w:val="20"/>
                <w:color w:val="auto"/>
              </w:rPr>
            </w:pPr>
            <w:r>
              <w:rPr>
                <w:rFonts w:ascii="Arial" w:cs="Arial" w:eastAsia="Arial" w:hAnsi="Arial"/>
                <w:sz w:val="14"/>
                <w:szCs w:val="14"/>
                <w:b w:val="1"/>
                <w:bCs w:val="1"/>
                <w:color w:val="auto"/>
              </w:rPr>
              <w:t>March 31, 2009</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tcPr>
          <w:p>
            <w:pPr>
              <w:jc w:val="right"/>
              <w:ind w:right="74"/>
              <w:spacing w:after="0" w:line="123" w:lineRule="exact"/>
              <w:rPr>
                <w:sz w:val="20"/>
                <w:szCs w:val="20"/>
                <w:color w:val="auto"/>
              </w:rPr>
            </w:pPr>
            <w:r>
              <w:rPr>
                <w:rFonts w:ascii="Arial" w:cs="Arial" w:eastAsia="Arial" w:hAnsi="Arial"/>
                <w:sz w:val="14"/>
                <w:szCs w:val="14"/>
                <w:color w:val="auto"/>
              </w:rPr>
              <w:t>As a % of</w:t>
            </w:r>
          </w:p>
        </w:tc>
        <w:tc>
          <w:tcPr>
            <w:tcW w:w="16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4"/>
          </w:tcPr>
          <w:p>
            <w:pPr>
              <w:jc w:val="right"/>
              <w:ind w:right="71"/>
              <w:spacing w:after="0" w:line="123" w:lineRule="exact"/>
              <w:rPr>
                <w:sz w:val="20"/>
                <w:szCs w:val="20"/>
                <w:color w:val="auto"/>
              </w:rPr>
            </w:pPr>
            <w:r>
              <w:rPr>
                <w:rFonts w:ascii="Arial" w:cs="Arial" w:eastAsia="Arial" w:hAnsi="Arial"/>
                <w:sz w:val="14"/>
                <w:szCs w:val="14"/>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color w:val="auto"/>
                <w:w w:val="95"/>
              </w:rPr>
              <w:t>Amount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5"/>
          </w:tcPr>
          <w:p>
            <w:pPr>
              <w:jc w:val="right"/>
              <w:ind w:right="500"/>
              <w:spacing w:after="0"/>
              <w:rPr>
                <w:sz w:val="20"/>
                <w:szCs w:val="20"/>
                <w:color w:val="auto"/>
              </w:rPr>
            </w:pPr>
            <w:r>
              <w:rPr>
                <w:rFonts w:ascii="Arial" w:cs="Arial" w:eastAsia="Arial" w:hAnsi="Arial"/>
                <w:sz w:val="14"/>
                <w:szCs w:val="14"/>
                <w:color w:val="auto"/>
                <w:w w:val="92"/>
              </w:rPr>
              <w:t>Total Company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6"/>
          </w:tcPr>
          <w:p>
            <w:pPr>
              <w:ind w:left="20"/>
              <w:spacing w:after="0"/>
              <w:rPr>
                <w:sz w:val="20"/>
                <w:szCs w:val="20"/>
                <w:color w:val="auto"/>
              </w:rPr>
            </w:pPr>
            <w:r>
              <w:rPr>
                <w:rFonts w:ascii="Arial" w:cs="Arial" w:eastAsia="Arial" w:hAnsi="Arial"/>
                <w:sz w:val="14"/>
                <w:szCs w:val="14"/>
                <w:color w:val="auto"/>
              </w:rPr>
              <w:t>Amount</w:t>
            </w:r>
          </w:p>
        </w:tc>
        <w:tc>
          <w:tcPr>
            <w:tcW w:w="1060" w:type="dxa"/>
            <w:vAlign w:val="bottom"/>
            <w:gridSpan w:val="5"/>
          </w:tcPr>
          <w:p>
            <w:pPr>
              <w:jc w:val="right"/>
              <w:ind w:right="160"/>
              <w:spacing w:after="0"/>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Analysis of Change in Year Over Year Revenues</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35"/>
              <w:spacing w:after="0"/>
              <w:rPr>
                <w:sz w:val="20"/>
                <w:szCs w:val="20"/>
                <w:color w:val="auto"/>
              </w:rPr>
            </w:pPr>
            <w:r>
              <w:rPr>
                <w:rFonts w:ascii="Arial" w:cs="Arial" w:eastAsia="Arial" w:hAnsi="Arial"/>
                <w:sz w:val="18"/>
                <w:szCs w:val="18"/>
                <w:color w:val="auto"/>
                <w:w w:val="90"/>
              </w:rPr>
              <w:t>(167)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Volume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w w:val="90"/>
              </w:rPr>
              <w:t>(265)</w:t>
            </w: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200"/>
              <w:spacing w:after="0"/>
              <w:rPr>
                <w:sz w:val="20"/>
                <w:szCs w:val="20"/>
                <w:color w:val="auto"/>
              </w:rPr>
            </w:pPr>
            <w:r>
              <w:rPr>
                <w:rFonts w:ascii="Arial" w:cs="Arial" w:eastAsia="Arial" w:hAnsi="Arial"/>
                <w:sz w:val="18"/>
                <w:szCs w:val="18"/>
                <w:color w:val="auto"/>
              </w:rPr>
              <w:t>Internal revenue growth</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(432)</w:t>
            </w:r>
          </w:p>
        </w:tc>
        <w:tc>
          <w:tcPr>
            <w:tcW w:w="1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23</w:t>
            </w: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Divestitures</w:t>
            </w: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35"/>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(35)</w:t>
            </w: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35"/>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8"/>
              </w:rPr>
              <w:t>(456</w:t>
            </w:r>
          </w:p>
        </w:tc>
        <w:tc>
          <w:tcPr>
            <w:tcW w:w="1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4"/>
          </w:tcPr>
          <w:p>
            <w:pPr>
              <w:jc w:val="center"/>
              <w:ind w:right="380"/>
              <w:spacing w:after="0"/>
              <w:rPr>
                <w:sz w:val="20"/>
                <w:szCs w:val="20"/>
                <w:color w:val="auto"/>
              </w:rPr>
            </w:pPr>
            <w:r>
              <w:rPr>
                <w:rFonts w:ascii="Arial" w:cs="Arial" w:eastAsia="Arial" w:hAnsi="Arial"/>
                <w:sz w:val="14"/>
                <w:szCs w:val="14"/>
                <w:color w:val="auto"/>
                <w:w w:val="96"/>
              </w:rPr>
              <w:t>As a % of</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color w:val="auto"/>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4"/>
          </w:tcPr>
          <w:p>
            <w:pPr>
              <w:jc w:val="center"/>
              <w:ind w:right="400"/>
              <w:spacing w:after="0" w:line="149" w:lineRule="exact"/>
              <w:rPr>
                <w:sz w:val="20"/>
                <w:szCs w:val="20"/>
                <w:color w:val="auto"/>
              </w:rPr>
            </w:pPr>
            <w:r>
              <w:rPr>
                <w:rFonts w:ascii="Arial" w:cs="Arial" w:eastAsia="Arial" w:hAnsi="Arial"/>
                <w:sz w:val="14"/>
                <w:szCs w:val="14"/>
                <w:color w:val="auto"/>
                <w:w w:val="91"/>
              </w:rPr>
              <w:t>Related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9"/>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4"/>
          </w:tcPr>
          <w:p>
            <w:pPr>
              <w:jc w:val="right"/>
              <w:ind w:right="380"/>
              <w:spacing w:after="0"/>
              <w:rPr>
                <w:sz w:val="20"/>
                <w:szCs w:val="20"/>
                <w:color w:val="auto"/>
              </w:rPr>
            </w:pPr>
            <w:r>
              <w:rPr>
                <w:rFonts w:ascii="Arial" w:cs="Arial" w:eastAsia="Arial" w:hAnsi="Arial"/>
                <w:sz w:val="14"/>
                <w:szCs w:val="14"/>
                <w:color w:val="auto"/>
              </w:rPr>
              <w:t>Amount</w:t>
            </w:r>
          </w:p>
        </w:tc>
        <w:tc>
          <w:tcPr>
            <w:tcW w:w="440" w:type="dxa"/>
            <w:vAlign w:val="bottom"/>
          </w:tcPr>
          <w:p>
            <w:pPr>
              <w:spacing w:after="0"/>
              <w:rPr>
                <w:sz w:val="14"/>
                <w:szCs w:val="14"/>
                <w:color w:val="auto"/>
              </w:rPr>
            </w:pPr>
          </w:p>
        </w:tc>
        <w:tc>
          <w:tcPr>
            <w:tcW w:w="960" w:type="dxa"/>
            <w:vAlign w:val="bottom"/>
            <w:gridSpan w:val="4"/>
          </w:tcPr>
          <w:p>
            <w:pPr>
              <w:jc w:val="center"/>
              <w:ind w:right="400"/>
              <w:spacing w:after="0"/>
              <w:rPr>
                <w:sz w:val="20"/>
                <w:szCs w:val="20"/>
                <w:color w:val="auto"/>
              </w:rPr>
            </w:pPr>
            <w:r>
              <w:rPr>
                <w:rFonts w:ascii="Arial" w:cs="Arial" w:eastAsia="Arial" w:hAnsi="Arial"/>
                <w:sz w:val="14"/>
                <w:szCs w:val="14"/>
                <w:color w:val="auto"/>
                <w:w w:val="91"/>
              </w:rPr>
              <w:t>Business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right"/>
              <w:ind w:right="48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600"/>
              <w:spacing w:after="0"/>
              <w:rPr>
                <w:sz w:val="20"/>
                <w:szCs w:val="20"/>
                <w:color w:val="auto"/>
              </w:rPr>
            </w:pPr>
            <w:r>
              <w:rPr>
                <w:rFonts w:ascii="Arial" w:cs="Arial" w:eastAsia="Arial" w:hAnsi="Arial"/>
                <w:sz w:val="18"/>
                <w:szCs w:val="18"/>
                <w:color w:val="auto"/>
              </w:rPr>
              <w:t>Collection, landfill and transfer</w:t>
            </w:r>
          </w:p>
        </w:tc>
        <w:tc>
          <w:tcPr>
            <w:tcW w:w="100" w:type="dxa"/>
            <w:vAlign w:val="bottom"/>
          </w:tcPr>
          <w:p>
            <w:pPr>
              <w:spacing w:after="0"/>
              <w:rPr>
                <w:sz w:val="18"/>
                <w:szCs w:val="18"/>
                <w:color w:val="auto"/>
              </w:rPr>
            </w:pPr>
          </w:p>
        </w:tc>
        <w:tc>
          <w:tcPr>
            <w:tcW w:w="5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1.6%</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Waste-to-energy disposal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4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Collection and disposal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Recycling commodities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138</w:t>
            </w:r>
          </w:p>
        </w:tc>
        <w:tc>
          <w:tcPr>
            <w:tcW w:w="4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Electricity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Fuel surcharges and mandated fees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4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6.7%</w:t>
            </w:r>
          </w:p>
        </w:tc>
        <w:tc>
          <w:tcPr>
            <w:tcW w:w="400" w:type="dxa"/>
            <w:vAlign w:val="bottom"/>
            <w:gridSpan w:val="3"/>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(167</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9"/>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(b)</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496</w:t>
            </w:r>
          </w:p>
        </w:tc>
        <w:tc>
          <w:tcPr>
            <w:tcW w:w="4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w w:val="96"/>
              </w:rPr>
              <w:t>Proceeds from divestitures of businesses (net of cash divested) and other sales of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871</w:t>
            </w:r>
          </w:p>
        </w:tc>
        <w:tc>
          <w:tcPr>
            <w:tcW w:w="36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1,140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8,823</w:t>
            </w:r>
          </w:p>
        </w:tc>
        <w:tc>
          <w:tcPr>
            <w:tcW w:w="36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8,873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15,364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15,464</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14,982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67.9%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68.7%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 Groups: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Cost basis of landfill assets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72.6</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retirement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Total landfill amortization expense (b)</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 ended March 31, 2010, as compared to the quarter ended December 31, 2009, reflects an increase in amortization expense of $16.6 million of which $25.0 million is primarily attributable to favorable year-end adjustments related to changes in estimated landfill capping construction and closure/post-closure obligations identified in our annual review process that occurs in the fourth quarter. This was offset by a $9.5 million decrease due to the seasonal reduction in landfill volumes.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March 31, 2010</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March 31, 2009</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After-tax</w:t>
            </w:r>
          </w:p>
        </w:tc>
        <w:tc>
          <w:tcPr>
            <w:tcW w:w="3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660" w:type="dxa"/>
            <w:vAlign w:val="bottom"/>
          </w:tcPr>
          <w:p>
            <w:pPr>
              <w:spacing w:after="0"/>
              <w:rPr>
                <w:sz w:val="10"/>
                <w:szCs w:val="10"/>
                <w:color w:val="auto"/>
              </w:rPr>
            </w:pPr>
          </w:p>
        </w:tc>
        <w:tc>
          <w:tcPr>
            <w:tcW w:w="102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After-tax</w:t>
            </w: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182</w:t>
            </w:r>
          </w:p>
        </w:tc>
        <w:tc>
          <w:tcPr>
            <w:tcW w:w="60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0.37</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155</w:t>
            </w:r>
          </w:p>
        </w:tc>
        <w:tc>
          <w:tcPr>
            <w:tcW w:w="58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0.31</w:t>
            </w: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Multi-employer pension withdrawal costs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Asset impairment due to abandonment of revenue management system</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60" w:type="dxa"/>
            <w:vAlign w:val="bottom"/>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199</w:t>
            </w:r>
          </w:p>
        </w:tc>
        <w:tc>
          <w:tcPr>
            <w:tcW w:w="600" w:type="dxa"/>
            <w:vAlign w:val="bottom"/>
            <w:gridSpan w:val="2"/>
          </w:tcPr>
          <w:p>
            <w:pPr>
              <w:jc w:val="right"/>
              <w:ind w:right="91"/>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0.41</w:t>
            </w:r>
          </w:p>
        </w:tc>
        <w:tc>
          <w:tcPr>
            <w:tcW w:w="260" w:type="dxa"/>
            <w:vAlign w:val="bottom"/>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208</w:t>
            </w:r>
          </w:p>
        </w:tc>
        <w:tc>
          <w:tcPr>
            <w:tcW w:w="580" w:type="dxa"/>
            <w:vAlign w:val="bottom"/>
            <w:gridSpan w:val="2"/>
          </w:tcPr>
          <w:p>
            <w:pPr>
              <w:jc w:val="right"/>
              <w:ind w:right="91"/>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80" w:type="dxa"/>
            <w:vAlign w:val="bottom"/>
            <w:vMerge w:val="restart"/>
          </w:tcPr>
          <w:p>
            <w:pPr>
              <w:jc w:val="right"/>
              <w:ind w:right="630"/>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Roman"/>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706"/>
    </w:lvl>
  </w:abstractNum>
  <w:abstractNum w:abstractNumId="6">
    <w:nsid w:val="5BD062C2"/>
    <w:multiLevelType w:val="hybridMultilevel"/>
    <w:lvl w:ilvl="0">
      <w:lvlJc w:val="left"/>
      <w:lvlText w:val="(%1)"/>
      <w:numFmt w:val="decimal"/>
      <w:start w:val="800"/>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2019-12-10T08:33:33Z</dcterms:created>
  <dcterms:modified xsi:type="dcterms:W3CDTF">2019-12-10T08:33:33Z</dcterms:modified>
</cp:coreProperties>
</file>