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7046595" cy="46272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627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Boettcher Charles C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WM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EVP, Corp Development &amp; CLO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20" w:space="600"/>
            <w:col w:w="3340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0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145.67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03/01/2022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12,859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03/01/2023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03/01/2033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12,859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12,859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8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1"/>
          <w:szCs w:val="21"/>
          <w:color w:val="008000"/>
          <w:vertAlign w:val="superscript"/>
        </w:rPr>
        <w:t>(1)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 w:right="220" w:firstLine="2"/>
        <w:spacing w:after="0" w:line="249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granted pursuant to Waste Management, Inc. 2014 Stock Incentive Plan. The stock option vests 34% on the first anniversary of the date of grant with 33% vesting on the 2nd and 3rd anniversary of the date of grant.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03/03/2022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9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10141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2022-03-03T15:51:49Z</dcterms:created>
  <dcterms:modified xsi:type="dcterms:W3CDTF">2022-03-03T15:51:49Z</dcterms:modified>
</cp:coreProperties>
</file>