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30, 2008</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860" w:firstLine="222"/>
        <w:spacing w:after="0" w:line="277" w:lineRule="auto"/>
        <w:rPr>
          <w:sz w:val="20"/>
          <w:szCs w:val="20"/>
          <w:color w:val="auto"/>
        </w:rPr>
      </w:pPr>
      <w:r>
        <w:rPr>
          <w:rFonts w:ascii="Arial" w:cs="Arial" w:eastAsia="Arial" w:hAnsi="Arial"/>
          <w:sz w:val="18"/>
          <w:szCs w:val="18"/>
          <w:color w:val="auto"/>
        </w:rPr>
        <w:t>Waste Management, Inc. (the “Company”) issued a press release this morning, October 30, 2008, announcing its earnings for the quarter ended September 30, 2008. A copy of the press release is attached hereto as exhibit 99.1.</w:t>
      </w:r>
    </w:p>
    <w:p>
      <w:pPr>
        <w:spacing w:after="0" w:line="62"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Additionally, as previously announced, the Company is holding a conference call, open to the public, to discuss these results, from 9:00 a.m. to 10:00 a.m. Central time this morning. The call will be webcast live, and may be heard by accessing the Company’s website at www.wm.com. The call may also be listened to by calling (877) 710-6139 and entering the access code 66401070. A replay of the conference call will be available through 4:00 p.m. Central time on November 13, 2008. The replay of the call may be heard over the Internet, by accessing the Company’s website at www.wm.com, or by telephone by dialing 800-642-1687 and entering conference code 66401070.</w:t>
      </w:r>
    </w:p>
    <w:p>
      <w:pPr>
        <w:spacing w:after="0" w:line="80" w:lineRule="exact"/>
        <w:rPr>
          <w:sz w:val="20"/>
          <w:szCs w:val="20"/>
          <w:color w:val="auto"/>
        </w:rPr>
      </w:pPr>
    </w:p>
    <w:p>
      <w:pPr>
        <w:jc w:val="both"/>
        <w:ind w:right="80" w:firstLine="225"/>
        <w:spacing w:after="0" w:line="312" w:lineRule="auto"/>
        <w:rPr>
          <w:sz w:val="20"/>
          <w:szCs w:val="20"/>
          <w:color w:val="auto"/>
        </w:rPr>
      </w:pPr>
      <w:r>
        <w:rPr>
          <w:rFonts w:ascii="Arial" w:cs="Arial" w:eastAsia="Arial" w:hAnsi="Arial"/>
          <w:sz w:val="16"/>
          <w:szCs w:val="16"/>
          <w:color w:val="auto"/>
        </w:rPr>
        <w:t>On the conference call, management of the Company is expected to discuss results of operations using certain non-GAAP financial measures that are also included in the Company’s press release. The Company has provided information regarding its use of these non-GAAP measures and reconciliations of them to their most comparable GAAP measures in the press release that is attached to this Form 8-K as exhibit 99.1 and the schedules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Exhibit 99.1: Press Release dated October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October 30, 2008</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5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200" w:type="dxa"/>
            <w:vAlign w:val="bottom"/>
          </w:tcPr>
          <w:p>
            <w:pPr>
              <w:spacing w:after="0"/>
              <w:rPr>
                <w:sz w:val="14"/>
                <w:szCs w:val="14"/>
                <w:color w:val="auto"/>
              </w:rPr>
            </w:pPr>
          </w:p>
        </w:tc>
        <w:tc>
          <w:tcPr>
            <w:tcW w:w="10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Press Release dated October 30, 2008</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223520</wp:posOffset>
            </wp:positionV>
            <wp:extent cx="1637665" cy="574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76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Jim Alderson — 713.394.2281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#08-21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Third Quarter 2008 Earnings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Posts 16.7% Increase in Earnings Per Share</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HOUSTON – October 30, 2008 – </w:t>
      </w:r>
      <w:r>
        <w:rPr>
          <w:rFonts w:ascii="Arial" w:cs="Arial" w:eastAsia="Arial" w:hAnsi="Arial"/>
          <w:sz w:val="18"/>
          <w:szCs w:val="18"/>
          <w:color w:val="auto"/>
        </w:rPr>
        <w:t>Waste Management, Inc. (NYSE: WMI) today announced financial results for its third quarter ended September 30, 2008.</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for the third quarter of 2008 was $3.53 billion compared with $3.40 billion in the year ago period, an increase of 3.6%. Net income for the quarter was $310 million, or $0.63 per diluted share, compared with $278 million, or $0.54 per diluted share, in the prior year period, an increase of 16.7% in earnings per diluted share.</w:t>
      </w:r>
    </w:p>
    <w:p>
      <w:pPr>
        <w:spacing w:after="0" w:line="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noted several items that impacted the results in the 2007 and 2008 third quarters. Results in the third quarter of 2008 included an after-tax benefit of $0.03 per diluted share due to gains from the divestiture of operations offset by a decrease of $0.03 per diluted share related to the cost of a labor disruption in Milwaukee, including more than a $0.02 per diluted share charge related to the local bargaining unit agreeing to our proposal to withdraw the bargaining unit from the Teamsters’ under-funded Central States pension fund.</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Results in the third quarter of 2007 included a decrease of $0.03 per diluted share related to the cost of a labor disruption in Oakland offset by a $0.03 per diluted share benefit from income tax items.</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Excluding those items, earnings would have been $312 million, or $0.63 per diluted share, in the third quarter of 2008 compared with $280 million, or $0.54 per diluted share, in the third quarter of 2007.</w:t>
      </w:r>
      <w:r>
        <w:rPr>
          <w:rFonts w:ascii="Arial" w:cs="Arial" w:eastAsia="Arial" w:hAnsi="Arial"/>
          <w:sz w:val="15"/>
          <w:szCs w:val="15"/>
          <w:color w:val="auto"/>
        </w:rPr>
        <w:t>(a)</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Income from operations as a percent of revenue was 18.0% in the third quarter of 2008, a 60 basis point improvement compared with the third quarter of 2007, both periods adjusted for the items noted above.</w:t>
      </w:r>
      <w:r>
        <w:rPr>
          <w:rFonts w:ascii="Arial" w:cs="Arial" w:eastAsia="Arial" w:hAnsi="Arial"/>
          <w:sz w:val="15"/>
          <w:szCs w:val="15"/>
          <w:color w:val="auto"/>
        </w:rPr>
        <w:t>(a)</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the nine months ended September 30, 2008, Waste Management reported operating revenue of $10.28 billion, compared with $9.95 billion for the same period last year. Net income was $869 million, or $1.75 per diluted share, for the nine months ended September 30, 2008, compared with net income of $854 million, or $1.62 per diluted share, for the same period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t>“We have delivered another solid financial performance, and accomplished our primary goals of earnings growth, operating margin expansion and strong free cash flow,” said David P. Steiner, Chief Executive Officer of Waste Management. “Our financial performance continues to be driven by the success of our pricing and operational excellence programs. We are very happy with the 16.7% growth in adjusted earnings per share which demonstrates the strength of our business, even in a slowing economy.</w:t>
      </w:r>
      <w:r>
        <w:rPr>
          <w:rFonts w:ascii="Arial" w:cs="Arial" w:eastAsia="Arial" w:hAnsi="Arial"/>
          <w:sz w:val="15"/>
          <w:szCs w:val="15"/>
          <w:color w:val="auto"/>
        </w:rPr>
        <w:t>(a)</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grew by 3.6% during the third quarter of 2008. Internal revenue growth from yield on base business was 2.7%. Including the positive impact of higher recycling commodity prices and higher fuel surcharge revenue, internal revenue growth from yield was 6.5%. Internal revenue growth at our landfills was at the highest level since the third quarter of 2006 and internal revenue growth from yield in our municipal solid waste disposal line was at the highest level since 2005.</w:t>
      </w:r>
    </w:p>
    <w:p>
      <w:pPr>
        <w:spacing w:after="0" w:line="7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operational excellence and pricing excellence programs continue to improve operating margins. Excluding a 40 basis point impact from higher diesel fuel prices, our as-adjusted income from operations as a percent of revenue increased to 18.4% in the third quarter of this year. This is a 100 basis point improvement when compared with the as-adjusted income from operations as a percent of revenue for the prior year period.</w:t>
      </w:r>
      <w:r>
        <w:rPr>
          <w:rFonts w:ascii="Arial" w:cs="Arial" w:eastAsia="Arial" w:hAnsi="Arial"/>
          <w:sz w:val="13"/>
          <w:szCs w:val="13"/>
          <w:color w:val="auto"/>
        </w:rPr>
        <w:t>(a)</w:t>
      </w:r>
      <w:r>
        <w:rPr>
          <w:rFonts w:ascii="Arial" w:cs="Arial" w:eastAsia="Arial" w:hAnsi="Arial"/>
          <w:sz w:val="16"/>
          <w:szCs w:val="16"/>
          <w:color w:val="auto"/>
        </w:rPr>
        <w:t xml:space="preserve"> We also overcame the impact of a slowing economy and difficult credit markets during the third quarter of 2008, displaying the defensive nature of our business.</w:t>
      </w:r>
    </w:p>
    <w:p>
      <w:pPr>
        <w:spacing w:after="0" w:line="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recycling commodity markets have become very volatile over the last two weeks. During 2008, we have benefited from high recycling commodity prices. We do not expect a year-over-year benefit in the fourth quarter. In fact, we currently estimate that our recycling line of business could negatively impact earnings per share by as much as $0.03 in the fourth quarter. We expect our solid waste business, with its recession resistant qualities and strong cash flows, to perform very well, just as it has all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Third Quarter of 2008</w:t>
      </w:r>
    </w:p>
    <w:p>
      <w:pPr>
        <w:spacing w:after="0" w:line="121" w:lineRule="exact"/>
        <w:rPr>
          <w:sz w:val="20"/>
          <w:szCs w:val="20"/>
          <w:color w:val="auto"/>
        </w:rPr>
      </w:pPr>
    </w:p>
    <w:p>
      <w:pPr>
        <w:ind w:left="660" w:right="10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on base business was 2.7%. Including the positive impact of higher recycling commodity prices and higher fuel surcharge revenue, internal revenue growth from yield was 6.5%.</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volumes was a negative 3.2% due to our pricing excellence program and the economy.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Acquisitions contributed 0.8% to higher revenue in the quarter, while divestitures caused a 0.7% decline in revenue in the quarter.</w:t>
      </w:r>
    </w:p>
    <w:p>
      <w:pPr>
        <w:spacing w:after="0" w:line="130" w:lineRule="exact"/>
        <w:rPr>
          <w:rFonts w:ascii="Arial" w:cs="Arial" w:eastAsia="Arial" w:hAnsi="Arial"/>
          <w:sz w:val="18"/>
          <w:szCs w:val="18"/>
          <w:b w:val="1"/>
          <w:bCs w:val="1"/>
          <w:color w:val="auto"/>
        </w:rPr>
      </w:pPr>
    </w:p>
    <w:p>
      <w:pPr>
        <w:ind w:left="660" w:right="120" w:hanging="436"/>
        <w:spacing w:after="0" w:line="259"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Operating expenses were 63.0% of revenue in the third quarters of both 2007 and 2008. Excluding the impacts in 2008 of higher diesel fuel prices, higher recycling commodity prices on both operating expenses and revenue, and the impact of the Milwaukee labor disruption costs, operating expenses were 61.1% of revenue in the third quarter of 2008, or a 120 basis point improvement compared with the prior year period as adjusted for the labor disruption costs in Oakland in 2007.</w:t>
      </w:r>
      <w:r>
        <w:rPr>
          <w:rFonts w:ascii="Arial" w:cs="Arial" w:eastAsia="Arial" w:hAnsi="Arial"/>
          <w:sz w:val="15"/>
          <w:szCs w:val="15"/>
          <w:color w:val="auto"/>
        </w:rPr>
        <w:t>(a)</w:t>
      </w:r>
    </w:p>
    <w:p>
      <w:pPr>
        <w:spacing w:after="0" w:line="92"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Depreciation and amortization expenses were 9.2% of revenue, down from 9.7% of revenue in the third quarter of 2007.</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was $771 million.</w:t>
      </w:r>
    </w:p>
    <w:p>
      <w:pPr>
        <w:spacing w:after="0" w:line="130" w:lineRule="exact"/>
        <w:rPr>
          <w:rFonts w:ascii="Arial" w:cs="Arial" w:eastAsia="Arial" w:hAnsi="Arial"/>
          <w:sz w:val="18"/>
          <w:szCs w:val="18"/>
          <w:b w:val="1"/>
          <w:bCs w:val="1"/>
          <w:color w:val="auto"/>
        </w:rPr>
      </w:pPr>
    </w:p>
    <w:p>
      <w:pPr>
        <w:jc w:val="both"/>
        <w:ind w:left="660" w:right="260" w:hanging="436"/>
        <w:spacing w:after="0" w:line="264"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Free cash flow was $524 million, compared with $550 million in the prior year quarter.</w:t>
      </w:r>
      <w:r>
        <w:rPr>
          <w:rFonts w:ascii="Arial" w:cs="Arial" w:eastAsia="Arial" w:hAnsi="Arial"/>
          <w:sz w:val="15"/>
          <w:szCs w:val="15"/>
          <w:color w:val="auto"/>
        </w:rPr>
        <w:t>(a)</w:t>
      </w:r>
      <w:r>
        <w:rPr>
          <w:rFonts w:ascii="Arial" w:cs="Arial" w:eastAsia="Arial" w:hAnsi="Arial"/>
          <w:sz w:val="18"/>
          <w:szCs w:val="18"/>
          <w:color w:val="auto"/>
        </w:rPr>
        <w:t xml:space="preserve"> Capital expenditures were $301 million, or $61 million more than in the 2007 quarter. Proceeds from divestitures of businesses, net of cash divested, and from other sales of assets, were $54 million, or $35 million higher than the prior year quarter.</w:t>
      </w:r>
    </w:p>
    <w:p>
      <w:pPr>
        <w:spacing w:after="0" w:line="73"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We returned $142 million to shareholders through $133 million in dividend payments and $9 million in common stock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 w:name="page9"/>
    <w:bookmarkEnd w:id="8"/>
    <w:p>
      <w:pPr>
        <w:ind w:left="320" w:hanging="312"/>
        <w:spacing w:after="0" w:line="291" w:lineRule="auto"/>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320" w:right="360"/>
        <w:spacing w:after="0" w:line="255" w:lineRule="auto"/>
        <w:rPr>
          <w:rFonts w:ascii="Arial" w:cs="Arial" w:eastAsia="Arial" w:hAnsi="Arial"/>
          <w:sz w:val="16"/>
          <w:szCs w:val="16"/>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(ii) financial measures the Company uses in the management of its business. GAAP measures that have been adjusted to exclude the impact of certain unusual, non-recurring or otherwise non-operational items include:</w:t>
      </w:r>
    </w:p>
    <w:p>
      <w:pPr>
        <w:spacing w:after="0" w:line="82" w:lineRule="exact"/>
        <w:rPr>
          <w:rFonts w:ascii="Arial" w:cs="Arial" w:eastAsia="Arial" w:hAnsi="Arial"/>
          <w:sz w:val="16"/>
          <w:szCs w:val="16"/>
          <w:color w:val="auto"/>
        </w:rPr>
      </w:pPr>
    </w:p>
    <w:p>
      <w:pPr>
        <w:ind w:left="660" w:hanging="436"/>
        <w:spacing w:after="0"/>
        <w:tabs>
          <w:tab w:leader="none" w:pos="66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Net income;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Earnings per diluted share;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Earnings per diluted share growth;</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Income from operations as a percent of revenue;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Operating expenses as a percent of revenue.</w:t>
      </w:r>
    </w:p>
    <w:p>
      <w:pPr>
        <w:spacing w:after="0" w:line="117" w:lineRule="exact"/>
        <w:rPr>
          <w:sz w:val="20"/>
          <w:szCs w:val="20"/>
          <w:color w:val="auto"/>
        </w:rPr>
      </w:pPr>
    </w:p>
    <w:p>
      <w:pPr>
        <w:ind w:left="240" w:right="40"/>
        <w:spacing w:after="0" w:line="279" w:lineRule="auto"/>
        <w:rPr>
          <w:sz w:val="20"/>
          <w:szCs w:val="20"/>
          <w:color w:val="auto"/>
        </w:rPr>
      </w:pPr>
      <w:r>
        <w:rPr>
          <w:rFonts w:ascii="Arial" w:cs="Arial" w:eastAsia="Arial" w:hAnsi="Arial"/>
          <w:sz w:val="17"/>
          <w:szCs w:val="17"/>
          <w:color w:val="auto"/>
        </w:rPr>
        <w:t>The Company also discusses free cash flow, which is a non-GAAP measure, because it believes that investors are interested in the cash produced by the Company from non-financing activities that is available for uses such as the Company’s acquisitions, its share repurchase program, and the payment of dividends. However, free cash flow has material limitations, as it does not represent cash flow available for discretionary expenditures because it excludes certain expenditures that we have committed to such as debt service obligations. The Company defines free cash flow as:</w:t>
      </w:r>
    </w:p>
    <w:p>
      <w:pPr>
        <w:spacing w:after="0" w:line="63"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rFonts w:ascii="Arial" w:cs="Arial" w:eastAsia="Arial" w:hAnsi="Arial"/>
          <w:sz w:val="18"/>
          <w:szCs w:val="18"/>
          <w:b w:val="1"/>
          <w:bCs w:val="1"/>
          <w:color w:val="auto"/>
        </w:rPr>
      </w:pPr>
    </w:p>
    <w:p>
      <w:pPr>
        <w:ind w:left="2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quantitative reconciliations of the non-GAAP measures to the most comparable GAAP measures are included in the accompanying schedules.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Investors are urged to take into account GAAP measures as well as non-GAAP measures in evaluating the Company.</w:t>
      </w:r>
    </w:p>
    <w:p>
      <w:pPr>
        <w:spacing w:after="0" w:line="10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The Company has scheduled an investor and analyst conference call for later this morning to discuss the results of today’s earnings announcement. The information in this press release should be read in conjunction with the information on the conference call. The call will begin at 10:00 a.m. Eastern time and is open to the public. To listen to the conference call, which will be broadcast live over the Internet, go to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xml:space="preserve">, and select “Earnings Webcast.” You may also listen to the analyst conference call by telephone by contacting the conference call operator 5 to 10 minutes prior to the scheduled start time and asking for the “Waste Management Conference Call – Call ID 66401070.” US/Canada Dial-In Number: (877) 710-6139. Int’l/Local Dial-In Number: (706) 643-7398. For those unable to listen to the live call, a replay will be available 24 hours a day beginning at approximately 1:00 p.m. Eastern time on October 30th through 5:00 p.m. Eastern time on November 13th. To hear a replay of the call over the Internet, access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or (706) 645-9291 and enter reservation code 66401070.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389255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ind w:right="8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2008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any forward-looking statements, which speak only as of their dates. The following are some of the risks that we face:</w:t>
      </w:r>
    </w:p>
    <w:p>
      <w:pPr>
        <w:spacing w:after="0" w:line="70" w:lineRule="exact"/>
        <w:rPr>
          <w:sz w:val="20"/>
          <w:szCs w:val="20"/>
          <w:color w:val="auto"/>
        </w:rPr>
      </w:pPr>
    </w:p>
    <w:p>
      <w:pPr>
        <w:ind w:left="660" w:right="2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 or raise prices;</w:t>
      </w:r>
    </w:p>
    <w:p>
      <w:pPr>
        <w:spacing w:after="0" w:line="130" w:lineRule="exact"/>
        <w:rPr>
          <w:rFonts w:ascii="Arial" w:cs="Arial" w:eastAsia="Arial" w:hAnsi="Arial"/>
          <w:sz w:val="18"/>
          <w:szCs w:val="18"/>
          <w:b w:val="1"/>
          <w:bCs w:val="1"/>
          <w:color w:val="auto"/>
        </w:rPr>
      </w:pPr>
    </w:p>
    <w:p>
      <w:pPr>
        <w:ind w:left="660" w:right="620" w:hanging="436"/>
        <w:spacing w:after="0" w:line="31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i w:val="1"/>
          <w:iCs w:val="1"/>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revenues and margins;</w:t>
      </w:r>
    </w:p>
    <w:p>
      <w:pPr>
        <w:spacing w:after="0" w:line="52" w:lineRule="exact"/>
        <w:rPr>
          <w:rFonts w:ascii="Arial" w:cs="Arial" w:eastAsia="Arial" w:hAnsi="Arial"/>
          <w:sz w:val="16"/>
          <w:szCs w:val="16"/>
          <w:b w:val="1"/>
          <w:bCs w:val="1"/>
          <w:color w:val="auto"/>
        </w:rPr>
      </w:pPr>
    </w:p>
    <w:p>
      <w:pPr>
        <w:ind w:left="660" w:right="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75" w:lineRule="exact"/>
        <w:rPr>
          <w:rFonts w:ascii="Arial" w:cs="Arial" w:eastAsia="Arial" w:hAnsi="Arial"/>
          <w:sz w:val="18"/>
          <w:szCs w:val="18"/>
          <w:b w:val="1"/>
          <w:bCs w:val="1"/>
          <w:color w:val="auto"/>
        </w:rPr>
      </w:pPr>
    </w:p>
    <w:p>
      <w:pPr>
        <w:ind w:left="660" w:right="18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86"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660" w:right="24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86"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coverages could negatively impact our liquidity and increase our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left="660" w:right="6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fluctuations in commodity prices may have negative effects on our operating results;</w:t>
      </w:r>
    </w:p>
    <w:p>
      <w:pPr>
        <w:spacing w:after="0" w:line="130"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trends requiring recycling, waste reduction at the source and prohibiting the disposal of certain types of waste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660" w:right="20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increase our costs, or lead to an impairment charge;</w:t>
      </w:r>
    </w:p>
    <w:p>
      <w:pPr>
        <w:spacing w:after="0" w:line="75"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75"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permanently eliminate our dividend or share repurchase program, reduce capital spending and cease acquisitions if cash flows are less than we expect and we are not able to obtain capital needed to refinance our debt obligations, including near-term maturities, on acceptable terms.</w:t>
      </w:r>
    </w:p>
    <w:p>
      <w:pPr>
        <w:spacing w:after="0" w:line="7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2007.</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3,525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earnings (losses) of unconsolidated entities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0.63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490.8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0.27</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vMerge w:val="restart"/>
          </w:tcPr>
          <w:p>
            <w:pPr>
              <w:jc w:val="right"/>
              <w:ind w:right="337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gridSpan w:val="7"/>
          </w:tcPr>
          <w:p>
            <w:pPr>
              <w:ind w:left="60"/>
              <w:spacing w:after="0"/>
              <w:rPr>
                <w:sz w:val="20"/>
                <w:szCs w:val="20"/>
                <w:color w:val="auto"/>
              </w:rPr>
            </w:pPr>
            <w:r>
              <w:rPr>
                <w:rFonts w:ascii="Arial" w:cs="Arial" w:eastAsia="Arial" w:hAnsi="Arial"/>
                <w:sz w:val="14"/>
                <w:szCs w:val="14"/>
                <w:b w:val="1"/>
                <w:bCs w:val="1"/>
                <w:color w:val="auto"/>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310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490.6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494.1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0.63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jc w:val="right"/>
              <w:ind w:right="247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00" w:type="dxa"/>
            <w:vAlign w:val="bottom"/>
            <w:gridSpan w:val="2"/>
            <w:shd w:val="clear" w:color="auto" w:fill="CCEEFF"/>
          </w:tcPr>
          <w:p>
            <w:pPr>
              <w:ind w:left="3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10,280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6,494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1,095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8,505</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earnings (losses) of unconsolidated entities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544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800" w:type="dxa"/>
            <w:vAlign w:val="bottom"/>
            <w:gridSpan w:val="2"/>
          </w:tcPr>
          <w:p>
            <w:pPr>
              <w:ind w:left="3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1.76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492.5</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495.8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800" w:type="dxa"/>
            <w:vAlign w:val="bottom"/>
            <w:gridSpan w:val="2"/>
          </w:tcPr>
          <w:p>
            <w:pPr>
              <w:ind w:left="3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0.81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40" w:type="dxa"/>
            <w:vAlign w:val="bottom"/>
            <w:vMerge w:val="restart"/>
          </w:tcPr>
          <w:p>
            <w:pPr>
              <w:jc w:val="right"/>
              <w:ind w:right="3290"/>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869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492.5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495.8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1.76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jc w:val="right"/>
              <w:ind w:right="3290"/>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1,816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5,493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20,343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04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2,190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7,613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14,143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5,896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40" w:type="dxa"/>
            <w:vAlign w:val="bottom"/>
            <w:vMerge w:val="restart"/>
          </w:tcPr>
          <w:p>
            <w:pPr>
              <w:jc w:val="right"/>
              <w:ind w:right="301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869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(787)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short-term investments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(1,206)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(399)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 and warrants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jc w:val="right"/>
              <w:ind w:right="3290"/>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Quarters Ended</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380" w:type="dxa"/>
            <w:vAlign w:val="bottom"/>
            <w:gridSpan w:val="6"/>
          </w:tcPr>
          <w:p>
            <w:pPr>
              <w:jc w:val="right"/>
              <w:ind w:right="780"/>
              <w:spacing w:after="0" w:line="119" w:lineRule="exact"/>
              <w:rPr>
                <w:sz w:val="20"/>
                <w:szCs w:val="20"/>
                <w:color w:val="auto"/>
              </w:rPr>
            </w:pPr>
            <w:r>
              <w:rPr>
                <w:rFonts w:ascii="Arial" w:cs="Arial" w:eastAsia="Arial" w:hAnsi="Arial"/>
                <w:sz w:val="13"/>
                <w:szCs w:val="13"/>
                <w:b w:val="1"/>
                <w:bCs w:val="1"/>
                <w:color w:val="auto"/>
              </w:rPr>
              <w:t>June 30,</w:t>
            </w: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Collection</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rPr>
              <w:t>2,233</w:t>
            </w:r>
          </w:p>
        </w:tc>
        <w:tc>
          <w:tcPr>
            <w:tcW w:w="1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40"/>
              <w:spacing w:after="0"/>
              <w:rPr>
                <w:sz w:val="20"/>
                <w:szCs w:val="20"/>
                <w:color w:val="auto"/>
              </w:rPr>
            </w:pPr>
            <w:r>
              <w:rPr>
                <w:rFonts w:ascii="Arial" w:cs="Arial" w:eastAsia="Arial" w:hAnsi="Arial"/>
                <w:sz w:val="18"/>
                <w:szCs w:val="18"/>
                <w:color w:val="auto"/>
              </w:rPr>
              <w:t>2,237</w:t>
            </w:r>
          </w:p>
        </w:tc>
        <w:tc>
          <w:tcPr>
            <w:tcW w:w="4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Landfill</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787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Transfer</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417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424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Wheelabrator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245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Recycling</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344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324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(556)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(563)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3,525</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3,489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Internal growth</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ind w:left="200"/>
              <w:spacing w:after="0" w:line="201" w:lineRule="exact"/>
              <w:rPr>
                <w:sz w:val="20"/>
                <w:szCs w:val="20"/>
                <w:color w:val="auto"/>
              </w:rPr>
            </w:pPr>
            <w:r>
              <w:rPr>
                <w:rFonts w:ascii="Arial" w:cs="Arial" w:eastAsia="Arial" w:hAnsi="Arial"/>
                <w:sz w:val="18"/>
                <w:szCs w:val="18"/>
                <w:color w:val="auto"/>
                <w:w w:val="90"/>
              </w:rPr>
              <w:t>Less: Yield changes due to recycling commodities, electricity (IPP), fuel surcharge and</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mandated fees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Adjusted internal growth</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Acquisition Summary (b)</w:t>
            </w: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annualized revenue acquired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200"/>
              <w:spacing w:after="0"/>
              <w:rPr>
                <w:sz w:val="20"/>
                <w:szCs w:val="20"/>
                <w:color w:val="auto"/>
              </w:rPr>
            </w:pPr>
            <w:r>
              <w:rPr>
                <w:rFonts w:ascii="Arial" w:cs="Arial" w:eastAsia="Arial" w:hAnsi="Arial"/>
                <w:sz w:val="18"/>
                <w:szCs w:val="18"/>
                <w:color w:val="auto"/>
              </w:rPr>
              <w:t>Total consideration</w:t>
            </w: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acquisitions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100</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WMRA Segment Supplemental Data (c)</w:t>
            </w: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292</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247</w:t>
            </w:r>
          </w:p>
        </w:tc>
        <w:tc>
          <w:tcPr>
            <w:tcW w:w="1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226</w:t>
            </w:r>
          </w:p>
        </w:tc>
        <w:tc>
          <w:tcPr>
            <w:tcW w:w="4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w w:val="95"/>
              </w:rPr>
              <w:t>Quarters Ended September 30,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8"/>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771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1,902</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auto"/>
                <w:w w:val="98"/>
              </w:rPr>
              <w:t>Proceeds from divestitures of businesses (net of cash divested) and other sales of</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1,207</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5"/>
              </w:rPr>
              <w:t>Quarters Ended</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138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6"/>
              </w:rPr>
              <w:t>June 30,</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2008</w:t>
            </w: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504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8,429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8,393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5,896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5,722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14,115</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67.5%</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67.6%</w:t>
            </w:r>
          </w:p>
        </w:tc>
        <w:tc>
          <w:tcPr>
            <w:tcW w:w="2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2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277</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and SFAS No. 143 Expenses for Landfills Included in Operating Groups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 (b)</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2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quarters ended September 30, 2008, June 30, 2008, and September 30, 2007 include short-term investments available for use of $0 million, $0 million, and $117 million, respectively.</w:t>
      </w:r>
    </w:p>
    <w:p>
      <w:pPr>
        <w:spacing w:after="0" w:line="21" w:lineRule="exact"/>
        <w:rPr>
          <w:rFonts w:ascii="Arial" w:cs="Arial" w:eastAsia="Arial" w:hAnsi="Arial"/>
          <w:sz w:val="18"/>
          <w:szCs w:val="18"/>
          <w:color w:val="auto"/>
        </w:rPr>
      </w:pPr>
    </w:p>
    <w:p>
      <w:pPr>
        <w:ind w:left="460" w:right="160" w:hanging="452"/>
        <w:spacing w:after="0" w:line="30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quarter ended September 30, 2008, as compared with the quarter ended June 30, 2008 reflects a $7.8 million increase in amortization expense, of which $7.2 million is due to a charge to landfill amortization expense for revisions in estimates of closure and post-closure cost estimates. The quarter ended September 30, 2008, as compared with the quarter ended September 30, 2007 reflects a $0.8 million decline in amortization expense, as the $7.2 million amortization charge discussed above was offset by the impacts of reduced landfill amortization expense primarily due to lower volumes.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ind w:right="89"/>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w w:val="94"/>
              </w:rPr>
              <w:t>Quarter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 2008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1"/>
              </w:rPr>
              <w:t>September 30, 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Borders>
              <w:top w:val="single" w:sz="8" w:color="auto"/>
            </w:tcBorders>
            <w:gridSpan w:val="5"/>
          </w:tcPr>
          <w:p>
            <w:pPr>
              <w:ind w:left="60"/>
              <w:spacing w:after="0" w:line="119" w:lineRule="exact"/>
              <w:rPr>
                <w:sz w:val="20"/>
                <w:szCs w:val="20"/>
                <w:color w:val="auto"/>
              </w:rPr>
            </w:pPr>
            <w:r>
              <w:rPr>
                <w:rFonts w:ascii="Arial" w:cs="Arial" w:eastAsia="Arial" w:hAnsi="Arial"/>
                <w:sz w:val="13"/>
                <w:szCs w:val="13"/>
                <w:b w:val="1"/>
                <w:bCs w:val="1"/>
                <w:color w:val="auto"/>
              </w:rPr>
              <w:t>After-tax</w:t>
            </w: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310</w:t>
            </w:r>
          </w:p>
        </w:tc>
        <w:tc>
          <w:tcPr>
            <w:tcW w:w="58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0.63</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6"/>
              </w:rPr>
              <w:t>278</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0.54</w:t>
            </w:r>
          </w:p>
        </w:tc>
        <w:tc>
          <w:tcPr>
            <w:tcW w:w="0" w:type="dxa"/>
            <w:vAlign w:val="bottom"/>
          </w:tcPr>
          <w:p>
            <w:pPr>
              <w:spacing w:after="0"/>
              <w:rPr>
                <w:sz w:val="1"/>
                <w:szCs w:val="1"/>
                <w:color w:val="auto"/>
              </w:rPr>
            </w:pPr>
          </w:p>
        </w:tc>
      </w:tr>
      <w:tr>
        <w:trPr>
          <w:trHeight w:val="432"/>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items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9"/>
              </w:rPr>
              <w:t>(14)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w w:val="98"/>
              </w:rPr>
              <w:t>(Income) expense from divestitures, asset impairments and unusual items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(0.03)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Labor disruptions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Net income and Diluted EPS, as adjusted (a)</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280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5"/>
          </w:tcPr>
          <w:p>
            <w:pPr>
              <w:jc w:val="center"/>
              <w:ind w:left="240"/>
              <w:spacing w:after="0"/>
              <w:rPr>
                <w:sz w:val="20"/>
                <w:szCs w:val="20"/>
                <w:color w:val="auto"/>
              </w:rPr>
            </w:pPr>
            <w:r>
              <w:rPr>
                <w:rFonts w:ascii="Arial" w:cs="Arial" w:eastAsia="Arial" w:hAnsi="Arial"/>
                <w:sz w:val="14"/>
                <w:szCs w:val="14"/>
                <w:b w:val="1"/>
                <w:bCs w:val="1"/>
                <w:color w:val="auto"/>
                <w:w w:val="93"/>
              </w:rPr>
              <w:t>Quarters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Income from Operations as a percent of Revenues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left="240"/>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$3,525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151"/>
              <w:spacing w:after="0"/>
              <w:rPr>
                <w:sz w:val="20"/>
                <w:szCs w:val="20"/>
                <w:color w:val="auto"/>
              </w:rPr>
            </w:pPr>
            <w:r>
              <w:rPr>
                <w:rFonts w:ascii="Arial" w:cs="Arial" w:eastAsia="Arial" w:hAnsi="Arial"/>
                <w:sz w:val="18"/>
                <w:szCs w:val="18"/>
                <w:color w:val="auto"/>
                <w:w w:val="87"/>
              </w:rPr>
              <w:t>$3,403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a percent of Revenues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7"/>
              </w:rPr>
              <w:t>16.6%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Operating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w w:val="98"/>
              </w:rPr>
              <w:t>(Income) expense from divestitures, asset impairments and unusual items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jc w:val="right"/>
              <w:ind w:right="1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Labor disruptions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Adjustments to Income from Operations: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(Income) expense from divestitures, asset impairments and unusual items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Labor disruptions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5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$3,525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151"/>
              <w:spacing w:after="0"/>
              <w:rPr>
                <w:sz w:val="20"/>
                <w:szCs w:val="20"/>
                <w:color w:val="auto"/>
              </w:rPr>
            </w:pPr>
            <w:r>
              <w:rPr>
                <w:rFonts w:ascii="Arial" w:cs="Arial" w:eastAsia="Arial" w:hAnsi="Arial"/>
                <w:sz w:val="18"/>
                <w:szCs w:val="18"/>
                <w:color w:val="auto"/>
                <w:w w:val="87"/>
              </w:rPr>
              <w:t>$3,404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Adjusted Income from Operations as a percent of Revenues (b)</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7"/>
              </w:rPr>
              <w:t>17.4%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Adjustment for Fuel Impact: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As further adjusted:</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51"/>
              <w:spacing w:after="0"/>
              <w:rPr>
                <w:sz w:val="20"/>
                <w:szCs w:val="20"/>
                <w:color w:val="auto"/>
              </w:rPr>
            </w:pPr>
            <w:r>
              <w:rPr>
                <w:rFonts w:ascii="Arial" w:cs="Arial" w:eastAsia="Arial" w:hAnsi="Arial"/>
                <w:sz w:val="18"/>
                <w:szCs w:val="18"/>
                <w:color w:val="auto"/>
                <w:w w:val="87"/>
              </w:rPr>
              <w:t>$3,404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5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Further Adjusted Income from Operations as a percent of Revenues (c)</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in Diluted EPS, as adjusted, of 16.7%.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revenues, as adjusted, of 60 basis points.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revenues, as adjusted for fuel impact, of 100 basis points.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tcPr>
          <w:p>
            <w:pPr>
              <w:spacing w:after="0"/>
              <w:rPr>
                <w:sz w:val="20"/>
                <w:szCs w:val="20"/>
                <w:color w:val="auto"/>
              </w:rPr>
            </w:pPr>
            <w:r>
              <w:rPr>
                <w:rFonts w:ascii="Arial" w:cs="Arial" w:eastAsia="Arial" w:hAnsi="Arial"/>
                <w:sz w:val="14"/>
                <w:szCs w:val="14"/>
                <w:b w:val="1"/>
                <w:bCs w:val="1"/>
                <w:i w:val="1"/>
                <w:iCs w:val="1"/>
                <w:color w:val="auto"/>
              </w:rPr>
              <w:t>Impacts of Labor Disruption Costs, Rising Diesel Fuel Prices, and Higher</w:t>
            </w:r>
          </w:p>
        </w:tc>
        <w:tc>
          <w:tcPr>
            <w:tcW w:w="3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6"/>
              </w:rPr>
              <w:t>Quarters Ended September 30,</w:t>
            </w:r>
          </w:p>
        </w:tc>
      </w:tr>
      <w:tr>
        <w:trPr>
          <w:trHeight w:val="142"/>
        </w:trPr>
        <w:tc>
          <w:tcPr>
            <w:tcW w:w="870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Recycling Commodity Prices on Operating Expenses as a percent of Revenues</w:t>
            </w: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Operating Expenses as a percent of Revenues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432"/>
        </w:trPr>
        <w:tc>
          <w:tcPr>
            <w:tcW w:w="8700" w:type="dxa"/>
            <w:vAlign w:val="bottom"/>
          </w:tcPr>
          <w:p>
            <w:pPr>
              <w:ind w:left="220"/>
              <w:spacing w:after="0"/>
              <w:rPr>
                <w:sz w:val="20"/>
                <w:szCs w:val="20"/>
                <w:color w:val="auto"/>
              </w:rPr>
            </w:pPr>
            <w:r>
              <w:rPr>
                <w:rFonts w:ascii="Arial" w:cs="Arial" w:eastAsia="Arial" w:hAnsi="Arial"/>
                <w:sz w:val="18"/>
                <w:szCs w:val="18"/>
                <w:b w:val="1"/>
                <w:bCs w:val="1"/>
                <w:color w:val="auto"/>
              </w:rPr>
              <w:t>As reported:</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8"/>
              </w:rPr>
              <w:t>3,525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4"/>
              </w:rPr>
              <w:t>3,403</w:t>
            </w:r>
          </w:p>
        </w:tc>
      </w:tr>
      <w:tr>
        <w:trPr>
          <w:trHeight w:val="230"/>
        </w:trPr>
        <w:tc>
          <w:tcPr>
            <w:tcW w:w="8700" w:type="dxa"/>
            <w:vAlign w:val="bottom"/>
          </w:tcPr>
          <w:p>
            <w:pPr>
              <w:ind w:left="6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w w:val="88"/>
              </w:rPr>
              <w:t>2,221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84"/>
              </w:rPr>
              <w:t>2,143</w:t>
            </w:r>
          </w:p>
        </w:tc>
      </w:tr>
      <w:tr>
        <w:trPr>
          <w:trHeight w:val="202"/>
        </w:trPr>
        <w:tc>
          <w:tcPr>
            <w:tcW w:w="8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Operating Expenses as a percent of Revenues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63.0%</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63.0%</w:t>
            </w:r>
          </w:p>
        </w:tc>
      </w:tr>
      <w:tr>
        <w:trPr>
          <w:trHeight w:val="432"/>
        </w:trPr>
        <w:tc>
          <w:tcPr>
            <w:tcW w:w="8700" w:type="dxa"/>
            <w:vAlign w:val="bottom"/>
          </w:tcPr>
          <w:p>
            <w:pPr>
              <w:ind w:left="220"/>
              <w:spacing w:after="0"/>
              <w:rPr>
                <w:sz w:val="20"/>
                <w:szCs w:val="20"/>
                <w:color w:val="auto"/>
              </w:rPr>
            </w:pPr>
            <w:r>
              <w:rPr>
                <w:rFonts w:ascii="Arial" w:cs="Arial" w:eastAsia="Arial" w:hAnsi="Arial"/>
                <w:sz w:val="18"/>
                <w:szCs w:val="18"/>
                <w:b w:val="1"/>
                <w:bCs w:val="1"/>
                <w:color w:val="auto"/>
              </w:rPr>
              <w:t>Adjustment for Labor Disruption Costs: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w:t>
            </w:r>
          </w:p>
        </w:tc>
      </w:tr>
      <w:tr>
        <w:trPr>
          <w:trHeight w:val="230"/>
        </w:trPr>
        <w:tc>
          <w:tcPr>
            <w:tcW w:w="8700" w:type="dxa"/>
            <w:vAlign w:val="bottom"/>
          </w:tcPr>
          <w:p>
            <w:pPr>
              <w:ind w:left="6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1"/>
              <w:spacing w:after="0"/>
              <w:rPr>
                <w:sz w:val="20"/>
                <w:szCs w:val="20"/>
                <w:color w:val="auto"/>
              </w:rPr>
            </w:pPr>
            <w:r>
              <w:rPr>
                <w:rFonts w:ascii="Arial" w:cs="Arial" w:eastAsia="Arial" w:hAnsi="Arial"/>
                <w:sz w:val="18"/>
                <w:szCs w:val="18"/>
                <w:color w:val="auto"/>
              </w:rPr>
              <w:t>(24)</w:t>
            </w:r>
          </w:p>
        </w:tc>
      </w:tr>
      <w:tr>
        <w:trPr>
          <w:trHeight w:val="202"/>
        </w:trPr>
        <w:tc>
          <w:tcPr>
            <w:tcW w:w="8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adjusted:</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8700" w:type="dxa"/>
            <w:vAlign w:val="bottom"/>
          </w:tcPr>
          <w:p>
            <w:pPr>
              <w:ind w:left="620"/>
              <w:spacing w:after="0"/>
              <w:rPr>
                <w:sz w:val="20"/>
                <w:szCs w:val="20"/>
                <w:color w:val="auto"/>
              </w:rPr>
            </w:pPr>
            <w:r>
              <w:rPr>
                <w:rFonts w:ascii="Arial" w:cs="Arial" w:eastAsia="Arial" w:hAnsi="Arial"/>
                <w:sz w:val="18"/>
                <w:szCs w:val="18"/>
                <w:color w:val="auto"/>
              </w:rPr>
              <w:t>Operating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w w:val="88"/>
              </w:rPr>
              <w:t>3,525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84"/>
              </w:rPr>
              <w:t>3,404</w:t>
            </w:r>
          </w:p>
        </w:tc>
      </w:tr>
      <w:tr>
        <w:trPr>
          <w:trHeight w:val="216"/>
        </w:trPr>
        <w:tc>
          <w:tcPr>
            <w:tcW w:w="8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8"/>
              </w:rPr>
              <w:t>2,195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4"/>
              </w:rPr>
              <w:t>2,119</w:t>
            </w:r>
          </w:p>
        </w:tc>
      </w:tr>
      <w:tr>
        <w:trPr>
          <w:trHeight w:val="432"/>
        </w:trPr>
        <w:tc>
          <w:tcPr>
            <w:tcW w:w="8700" w:type="dxa"/>
            <w:vAlign w:val="bottom"/>
          </w:tcPr>
          <w:p>
            <w:pPr>
              <w:ind w:left="220"/>
              <w:spacing w:after="0"/>
              <w:rPr>
                <w:sz w:val="20"/>
                <w:szCs w:val="20"/>
                <w:color w:val="auto"/>
              </w:rPr>
            </w:pPr>
            <w:r>
              <w:rPr>
                <w:rFonts w:ascii="Arial" w:cs="Arial" w:eastAsia="Arial" w:hAnsi="Arial"/>
                <w:sz w:val="18"/>
                <w:szCs w:val="18"/>
                <w:b w:val="1"/>
                <w:bCs w:val="1"/>
                <w:color w:val="auto"/>
              </w:rPr>
              <w:t>Adjusted Operating Expenses as a percent of Revenues</w:t>
            </w:r>
          </w:p>
        </w:tc>
        <w:tc>
          <w:tcPr>
            <w:tcW w:w="32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b w:val="1"/>
                <w:bCs w:val="1"/>
                <w:color w:val="auto"/>
              </w:rPr>
              <w:t>62.3%</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b w:val="1"/>
                <w:bCs w:val="1"/>
                <w:color w:val="auto"/>
              </w:rPr>
              <w:t>62.3%</w:t>
            </w:r>
          </w:p>
        </w:tc>
      </w:tr>
      <w:tr>
        <w:trPr>
          <w:trHeight w:val="216"/>
        </w:trPr>
        <w:tc>
          <w:tcPr>
            <w:tcW w:w="8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Additional adjustments: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8700" w:type="dxa"/>
            <w:vAlign w:val="bottom"/>
          </w:tcPr>
          <w:p>
            <w:pPr>
              <w:ind w:left="620"/>
              <w:spacing w:after="0"/>
              <w:rPr>
                <w:sz w:val="20"/>
                <w:szCs w:val="20"/>
                <w:color w:val="auto"/>
              </w:rPr>
            </w:pPr>
            <w:r>
              <w:rPr>
                <w:rFonts w:ascii="Arial" w:cs="Arial" w:eastAsia="Arial" w:hAnsi="Arial"/>
                <w:sz w:val="18"/>
                <w:szCs w:val="18"/>
                <w:b w:val="1"/>
                <w:bCs w:val="1"/>
                <w:color w:val="auto"/>
              </w:rPr>
              <w:t>Adjustments to Operating Revenues: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87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Fuel surcharges (a)</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tcPr>
          <w:p>
            <w:pPr>
              <w:ind w:left="820"/>
              <w:spacing w:after="0"/>
              <w:rPr>
                <w:sz w:val="20"/>
                <w:szCs w:val="20"/>
                <w:color w:val="auto"/>
              </w:rPr>
            </w:pPr>
            <w:r>
              <w:rPr>
                <w:rFonts w:ascii="Arial" w:cs="Arial" w:eastAsia="Arial" w:hAnsi="Arial"/>
                <w:sz w:val="18"/>
                <w:szCs w:val="18"/>
                <w:color w:val="auto"/>
              </w:rPr>
              <w:t>Recycling commodity prices (b)</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rPr>
              <w:t>—</w:t>
            </w:r>
          </w:p>
        </w:tc>
      </w:tr>
      <w:tr>
        <w:trPr>
          <w:trHeight w:val="202"/>
        </w:trPr>
        <w:tc>
          <w:tcPr>
            <w:tcW w:w="8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870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Adjustments to Operating Expenses: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8700" w:type="dxa"/>
            <w:vAlign w:val="bottom"/>
          </w:tcPr>
          <w:p>
            <w:pPr>
              <w:ind w:left="820"/>
              <w:spacing w:after="0"/>
              <w:rPr>
                <w:sz w:val="20"/>
                <w:szCs w:val="20"/>
                <w:color w:val="auto"/>
              </w:rPr>
            </w:pPr>
            <w:r>
              <w:rPr>
                <w:rFonts w:ascii="Arial" w:cs="Arial" w:eastAsia="Arial" w:hAnsi="Arial"/>
                <w:sz w:val="18"/>
                <w:szCs w:val="18"/>
                <w:color w:val="auto"/>
              </w:rPr>
              <w:t>Fuel (c)</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Cost of goods sold due to recycling commodity prices (d)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r>
      <w:tr>
        <w:trPr>
          <w:trHeight w:val="432"/>
        </w:trPr>
        <w:tc>
          <w:tcPr>
            <w:tcW w:w="8700" w:type="dxa"/>
            <w:vAlign w:val="bottom"/>
          </w:tcPr>
          <w:p>
            <w:pPr>
              <w:ind w:left="220"/>
              <w:spacing w:after="0"/>
              <w:rPr>
                <w:sz w:val="20"/>
                <w:szCs w:val="20"/>
                <w:color w:val="auto"/>
              </w:rPr>
            </w:pPr>
            <w:r>
              <w:rPr>
                <w:rFonts w:ascii="Arial" w:cs="Arial" w:eastAsia="Arial" w:hAnsi="Arial"/>
                <w:sz w:val="18"/>
                <w:szCs w:val="18"/>
                <w:b w:val="1"/>
                <w:bCs w:val="1"/>
                <w:color w:val="auto"/>
              </w:rPr>
              <w:t>As further adjusted:</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8"/>
              </w:rPr>
              <w:t>3,391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4"/>
              </w:rPr>
              <w:t>3,404</w:t>
            </w:r>
          </w:p>
        </w:tc>
      </w:tr>
      <w:tr>
        <w:trPr>
          <w:trHeight w:val="230"/>
        </w:trPr>
        <w:tc>
          <w:tcPr>
            <w:tcW w:w="8700" w:type="dxa"/>
            <w:vAlign w:val="bottom"/>
          </w:tcPr>
          <w:p>
            <w:pPr>
              <w:ind w:left="6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w w:val="88"/>
              </w:rPr>
              <w:t>2,073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84"/>
              </w:rPr>
              <w:t>2,119</w:t>
            </w:r>
          </w:p>
        </w:tc>
      </w:tr>
      <w:tr>
        <w:trPr>
          <w:trHeight w:val="202"/>
        </w:trPr>
        <w:tc>
          <w:tcPr>
            <w:tcW w:w="8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Further Adjusted Operating Expenses as a percent of Revenues (e)</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61.1%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 in fuel surcharge revenue due to higher diesel fuel prices. Excludes changes in fuel surcharge revenue caused by volume fluctuations.</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 in revenues due to increase in recycling commodity prices. Excludes changes in recycling commodity revenues caused by volume fluctuations.</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in fuel costs due to higher diesel fuel prices. Excludes changes in fuel costs caused by volume fluctuations.</w:t>
      </w:r>
    </w:p>
    <w:p>
      <w:pPr>
        <w:spacing w:after="0" w:line="76"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in cost of goods sold due to increase in recycling commodity prices. Excludes changes in cost of goods sold caused by recycling commodity volume fluctuations.</w:t>
      </w:r>
    </w:p>
    <w:p>
      <w:pPr>
        <w:spacing w:after="0" w:line="21"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in Operating Expenses as a percent of revenues, as adjusted for fuel, recycling commodity prices, and cost of labor disruptions of 120 basis points.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2019-12-11T14:43:43Z</dcterms:created>
  <dcterms:modified xsi:type="dcterms:W3CDTF">2019-12-11T14:43:43Z</dcterms:modified>
</cp:coreProperties>
</file>