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ind w:left="2820"/>
        <w:spacing w:after="0"/>
        <w:rPr>
          <w:sz w:val="20"/>
          <w:szCs w:val="20"/>
          <w:color w:val="auto"/>
        </w:rPr>
      </w:pPr>
      <w:r>
        <w:rPr>
          <w:rFonts w:ascii="Arial" w:cs="Arial" w:eastAsia="Arial" w:hAnsi="Arial"/>
          <w:sz w:val="21"/>
          <w:szCs w:val="21"/>
          <w:b w:val="1"/>
          <w:bCs w:val="1"/>
          <w:color w:val="auto"/>
        </w:rPr>
        <w:t>Date of Report (Date of earliest event reported): April 24,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Waste Management,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1-12154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73-1309529</w:t>
      </w:r>
    </w:p>
    <w:p>
      <w:pPr>
        <w:spacing w:after="0" w:line="46" w:lineRule="exact"/>
        <w:rPr>
          <w:sz w:val="24"/>
          <w:szCs w:val="24"/>
          <w:color w:val="auto"/>
        </w:rPr>
      </w:pPr>
    </w:p>
    <w:p>
      <w:pPr>
        <w:sectPr>
          <w:pgSz w:w="11900" w:h="16838" w:orient="portrait"/>
          <w:cols w:equalWidth="0" w:num="3">
            <w:col w:w="4820" w:space="720"/>
            <w:col w:w="292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6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ind w:left="1400"/>
        <w:spacing w:after="0"/>
        <w:rPr>
          <w:sz w:val="20"/>
          <w:szCs w:val="20"/>
          <w:color w:val="auto"/>
        </w:rPr>
      </w:pPr>
      <w:r>
        <w:rPr>
          <w:rFonts w:ascii="Arial" w:cs="Arial" w:eastAsia="Arial" w:hAnsi="Arial"/>
          <w:sz w:val="15"/>
          <w:szCs w:val="15"/>
          <w:b w:val="1"/>
          <w:bCs w:val="1"/>
          <w:color w:val="auto"/>
        </w:rPr>
        <w:t>1001 Fannin, Suite 4000 Houston,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77002</w:t>
      </w:r>
    </w:p>
    <w:p>
      <w:pPr>
        <w:spacing w:after="0" w:line="56" w:lineRule="exact"/>
        <w:rPr>
          <w:sz w:val="24"/>
          <w:szCs w:val="24"/>
          <w:color w:val="auto"/>
        </w:rPr>
      </w:pPr>
    </w:p>
    <w:p>
      <w:pPr>
        <w:sectPr>
          <w:pgSz w:w="11900" w:h="16838" w:orient="portrait"/>
          <w:cols w:equalWidth="0" w:num="2">
            <w:col w:w="7720" w:space="720"/>
            <w:col w:w="2580"/>
          </w:cols>
          <w:pgMar w:left="240" w:top="314" w:right="639" w:bottom="1440" w:gutter="0" w:footer="0" w:header="0"/>
          <w:type w:val="continuous"/>
        </w:sectPr>
      </w:pPr>
    </w:p>
    <w:p>
      <w:pPr>
        <w:ind w:left="17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20" w:space="720"/>
            <w:col w:w="268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17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 Results of Operations and Financial Condition.</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Waste Management, Inc. (the “Company”) issued a press release this morning announcing its financial results for the quarter ended March 31, 2013, a copy of which is attached hereto as Exhibit 99.1. The Company is holding a conference call to discuss these results beginning at 9:00 a.m. Central Time this morning. The call will be webcast live and may be heard by accessing the Company’s website at www.wm.com. The call may also be heard by dialing (877) 710-6139 and entering access code 26989631.</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On the call, management of the Company is expected to discuss certain non-GAAP financial measures that are included in the Company’s press release. The Company has provided information regarding its use of such non-GAAP measures and reconciliations of such measures to their most comparable GAAP measures in the footnote and schedules to the press release.</w:t>
      </w:r>
    </w:p>
    <w:p>
      <w:pPr>
        <w:spacing w:after="0" w:line="140"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In addition to the non-GAAP measures contained and reconciled in the press release, management is also expected to discuss adjusted income form operations margin (or adjusted income from operations as a percent of revenues). Management believes this non-GAAP measure provides investors with useful information to evaluate the Company’s performance by excluding items that management believes are not representative of our performance or indicative of our results of operations. The reconciliation of this additional non-GAAP measure to the most directly comparable GAAP measure is shown below.</w:t>
      </w: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Non-GAAP Measures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 2013</w:t>
            </w:r>
          </w:p>
        </w:tc>
        <w:tc>
          <w:tcPr>
            <w:tcW w:w="0" w:type="dxa"/>
            <w:vAlign w:val="bottom"/>
          </w:tcPr>
          <w:p>
            <w:pPr>
              <w:spacing w:after="0"/>
              <w:rPr>
                <w:sz w:val="1"/>
                <w:szCs w:val="1"/>
                <w:color w:val="auto"/>
              </w:rPr>
            </w:pPr>
          </w:p>
        </w:tc>
      </w:tr>
      <w:tr>
        <w:trPr>
          <w:trHeight w:val="129"/>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1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88"/>
              </w:rPr>
              <w:t>As a %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2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Operating revenues, as reported</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$3,336</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Income from operations, as reported</w:t>
            </w:r>
          </w:p>
        </w:tc>
        <w:tc>
          <w:tcPr>
            <w:tcW w:w="2140" w:type="dxa"/>
            <w:vAlign w:val="bottom"/>
            <w:gridSpan w:val="2"/>
          </w:tcPr>
          <w:p>
            <w:pPr>
              <w:ind w:left="19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402</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Adjustments to income from operations: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880"/>
              <w:spacing w:after="0"/>
              <w:rPr>
                <w:sz w:val="20"/>
                <w:szCs w:val="20"/>
                <w:color w:val="auto"/>
              </w:rPr>
            </w:pPr>
            <w:r>
              <w:rPr>
                <w:rFonts w:ascii="Arial" w:cs="Arial" w:eastAsia="Arial" w:hAnsi="Arial"/>
                <w:sz w:val="18"/>
                <w:szCs w:val="18"/>
                <w:color w:val="auto"/>
              </w:rPr>
              <w:t xml:space="preserve">Asset impairments and unusual items </w:t>
            </w:r>
            <w:r>
              <w:rPr>
                <w:rFonts w:ascii="Arial" w:cs="Arial" w:eastAsia="Arial" w:hAnsi="Arial"/>
                <w:sz w:val="18"/>
                <w:szCs w:val="18"/>
                <w:b w:val="1"/>
                <w:bCs w:val="1"/>
                <w:color w:val="auto"/>
              </w:rPr>
              <w:t>(a)</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Restructuring charges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adjusted</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414</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12.4%(b)</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16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60" w:type="dxa"/>
            <w:vAlign w:val="bottom"/>
            <w:gridSpan w:val="4"/>
          </w:tcPr>
          <w:p>
            <w:pPr>
              <w:ind w:left="2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6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4"/>
          </w:tcPr>
          <w:p>
            <w:pPr>
              <w:ind w:left="180"/>
              <w:spacing w:after="0"/>
              <w:rPr>
                <w:sz w:val="20"/>
                <w:szCs w:val="20"/>
                <w:color w:val="auto"/>
              </w:rPr>
            </w:pPr>
            <w:r>
              <w:rPr>
                <w:rFonts w:ascii="Arial" w:cs="Arial" w:eastAsia="Arial" w:hAnsi="Arial"/>
                <w:sz w:val="14"/>
                <w:szCs w:val="14"/>
                <w:b w:val="1"/>
                <w:bCs w:val="1"/>
                <w:color w:val="auto"/>
              </w:rPr>
              <w:t>March 31, 2012</w:t>
            </w:r>
          </w:p>
        </w:tc>
        <w:tc>
          <w:tcPr>
            <w:tcW w:w="0" w:type="dxa"/>
            <w:vAlign w:val="bottom"/>
          </w:tcPr>
          <w:p>
            <w:pPr>
              <w:spacing w:after="0"/>
              <w:rPr>
                <w:sz w:val="1"/>
                <w:szCs w:val="1"/>
                <w:color w:val="auto"/>
              </w:rPr>
            </w:pPr>
          </w:p>
        </w:tc>
      </w:tr>
      <w:tr>
        <w:trPr>
          <w:trHeight w:val="129"/>
        </w:trPr>
        <w:tc>
          <w:tcPr>
            <w:tcW w:w="742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Adjusted Income from Operations as a percent of Revenues</w:t>
            </w:r>
          </w:p>
        </w:tc>
        <w:tc>
          <w:tcPr>
            <w:tcW w:w="19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ind w:left="20"/>
              <w:spacing w:after="0" w:line="129" w:lineRule="exact"/>
              <w:rPr>
                <w:sz w:val="20"/>
                <w:szCs w:val="20"/>
                <w:color w:val="auto"/>
              </w:rPr>
            </w:pPr>
            <w:r>
              <w:rPr>
                <w:rFonts w:ascii="Arial" w:cs="Arial" w:eastAsia="Arial" w:hAnsi="Arial"/>
                <w:sz w:val="14"/>
                <w:szCs w:val="14"/>
                <w:b w:val="1"/>
                <w:bCs w:val="1"/>
                <w:color w:val="auto"/>
                <w:w w:val="91"/>
              </w:rPr>
              <w:t>As a% of</w:t>
            </w: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7420" w:type="dxa"/>
            <w:vAlign w:val="bottom"/>
            <w:gridSpan w:val="2"/>
            <w:vMerge w:val="continue"/>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gridSpan w:val="3"/>
          </w:tcPr>
          <w:p>
            <w:pPr>
              <w:jc w:val="right"/>
              <w:ind w:right="500"/>
              <w:spacing w:after="0"/>
              <w:rPr>
                <w:sz w:val="20"/>
                <w:szCs w:val="20"/>
                <w:color w:val="auto"/>
              </w:rPr>
            </w:pPr>
            <w:r>
              <w:rPr>
                <w:rFonts w:ascii="Arial" w:cs="Arial" w:eastAsia="Arial" w:hAnsi="Arial"/>
                <w:sz w:val="14"/>
                <w:szCs w:val="14"/>
                <w:b w:val="1"/>
                <w:bCs w:val="1"/>
                <w:color w:val="auto"/>
                <w:w w:val="90"/>
              </w:rPr>
              <w:t>Amount</w:t>
            </w:r>
          </w:p>
        </w:tc>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210"/>
        </w:trPr>
        <w:tc>
          <w:tcPr>
            <w:tcW w:w="7420" w:type="dxa"/>
            <w:vAlign w:val="bottom"/>
            <w:tcBorders>
              <w:top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Operating revenues, as reported</w:t>
            </w:r>
          </w:p>
        </w:tc>
        <w:tc>
          <w:tcPr>
            <w:tcW w:w="19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87"/>
              </w:rPr>
              <w:t>$3,295</w:t>
            </w:r>
          </w:p>
        </w:tc>
        <w:tc>
          <w:tcPr>
            <w:tcW w:w="5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440"/>
              <w:spacing w:after="0"/>
              <w:rPr>
                <w:sz w:val="20"/>
                <w:szCs w:val="20"/>
                <w:color w:val="auto"/>
              </w:rPr>
            </w:pPr>
            <w:r>
              <w:rPr>
                <w:rFonts w:ascii="Arial" w:cs="Arial" w:eastAsia="Arial" w:hAnsi="Arial"/>
                <w:sz w:val="18"/>
                <w:szCs w:val="18"/>
                <w:b w:val="1"/>
                <w:bCs w:val="1"/>
                <w:color w:val="auto"/>
              </w:rPr>
              <w:t>Income from operations, as reported</w:t>
            </w:r>
          </w:p>
        </w:tc>
        <w:tc>
          <w:tcPr>
            <w:tcW w:w="2140" w:type="dxa"/>
            <w:vAlign w:val="bottom"/>
            <w:gridSpan w:val="2"/>
          </w:tcPr>
          <w:p>
            <w:pPr>
              <w:ind w:left="19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401</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Adjustments to income from operations: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tcPr>
          <w:p>
            <w:pPr>
              <w:ind w:left="880"/>
              <w:spacing w:after="0"/>
              <w:rPr>
                <w:sz w:val="20"/>
                <w:szCs w:val="20"/>
                <w:color w:val="auto"/>
              </w:rPr>
            </w:pPr>
            <w:r>
              <w:rPr>
                <w:rFonts w:ascii="Arial" w:cs="Arial" w:eastAsia="Arial" w:hAnsi="Arial"/>
                <w:sz w:val="18"/>
                <w:szCs w:val="18"/>
                <w:color w:val="auto"/>
              </w:rPr>
              <w:t>Restructuring charges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Integration costs associated with the acquired Oakleaf operations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160" w:type="dxa"/>
            <w:vAlign w:val="bottom"/>
          </w:tcPr>
          <w:p>
            <w:pPr>
              <w:spacing w:after="0"/>
              <w:rPr>
                <w:sz w:val="19"/>
                <w:szCs w:val="19"/>
                <w:color w:val="auto"/>
              </w:rPr>
            </w:pPr>
          </w:p>
        </w:tc>
        <w:tc>
          <w:tcPr>
            <w:tcW w:w="6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5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6"/>
        </w:trPr>
        <w:tc>
          <w:tcPr>
            <w:tcW w:w="1160" w:type="dxa"/>
            <w:vAlign w:val="bottom"/>
          </w:tcPr>
          <w:p>
            <w:pPr>
              <w:spacing w:after="0"/>
              <w:rPr>
                <w:sz w:val="10"/>
                <w:szCs w:val="10"/>
                <w:color w:val="auto"/>
              </w:rPr>
            </w:pPr>
          </w:p>
        </w:tc>
        <w:tc>
          <w:tcPr>
            <w:tcW w:w="626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Income from operations, as adjusted</w:t>
            </w:r>
          </w:p>
        </w:tc>
        <w:tc>
          <w:tcPr>
            <w:tcW w:w="2140" w:type="dxa"/>
            <w:vAlign w:val="bottom"/>
            <w:gridSpan w:val="2"/>
            <w:shd w:val="clear" w:color="auto" w:fill="CCEEFF"/>
          </w:tcPr>
          <w:p>
            <w:pPr>
              <w:ind w:left="19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b w:val="1"/>
                <w:bCs w:val="1"/>
                <w:color w:val="auto"/>
              </w:rPr>
              <w:t>406</w:t>
            </w:r>
          </w:p>
        </w:tc>
        <w:tc>
          <w:tcPr>
            <w:tcW w:w="1020" w:type="dxa"/>
            <w:vAlign w:val="bottom"/>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w w:val="99"/>
              </w:rPr>
              <w:t>12.3%(b)</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1160" w:type="dxa"/>
            <w:vAlign w:val="bottom"/>
            <w:tcBorders>
              <w:bottom w:val="single" w:sz="8" w:color="auto"/>
            </w:tcBorders>
          </w:tcPr>
          <w:p>
            <w:pPr>
              <w:spacing w:after="0"/>
              <w:rPr>
                <w:sz w:val="8"/>
                <w:szCs w:val="8"/>
                <w:color w:val="auto"/>
              </w:rPr>
            </w:pPr>
          </w:p>
        </w:tc>
        <w:tc>
          <w:tcPr>
            <w:tcW w:w="6260" w:type="dxa"/>
            <w:vAlign w:val="bottom"/>
          </w:tcPr>
          <w:p>
            <w:pPr>
              <w:spacing w:after="0"/>
              <w:rPr>
                <w:sz w:val="8"/>
                <w:szCs w:val="8"/>
                <w:color w:val="auto"/>
              </w:rPr>
            </w:pPr>
          </w:p>
        </w:tc>
        <w:tc>
          <w:tcPr>
            <w:tcW w:w="1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460" w:right="100" w:hanging="452"/>
        <w:spacing w:after="0" w:line="268" w:lineRule="auto"/>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Includes impairment charges associated with certain of our investments in unconsolidated entities that are included in the “Other, net” financial caption, as well as net charges in the “Asset Impairments and Unusual Items” financial caption.</w:t>
      </w:r>
    </w:p>
    <w:p>
      <w:pPr>
        <w:spacing w:after="0" w:line="50" w:lineRule="exact"/>
        <w:rPr>
          <w:rFonts w:ascii="Arial" w:cs="Arial" w:eastAsia="Arial" w:hAnsi="Arial"/>
          <w:sz w:val="18"/>
          <w:szCs w:val="18"/>
          <w:b w:val="1"/>
          <w:bCs w:val="1"/>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Increase of 10 basis points in income from operations as a percent of revenues, as adjusted.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April 24, 2013</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900" w:val="left"/>
        </w:tabs>
        <w:rPr>
          <w:sz w:val="20"/>
          <w:szCs w:val="20"/>
          <w:color w:val="auto"/>
        </w:rPr>
      </w:pPr>
      <w:r>
        <w:rPr>
          <w:rFonts w:ascii="Arial" w:cs="Arial" w:eastAsia="Arial" w:hAnsi="Arial"/>
          <w:sz w:val="18"/>
          <w:szCs w:val="18"/>
          <w:color w:val="auto"/>
        </w:rPr>
        <w:t>Date: April 24, 2013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i w:val="1"/>
          <w:iCs w:val="1"/>
          <w:color w:val="auto"/>
        </w:rPr>
        <w:t>/s/ Rick L Wittenbraker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Rick L Wittenbraker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General Counsel</w:t>
      </w:r>
    </w:p>
    <w:p>
      <w:pPr>
        <w:spacing w:after="0" w:line="15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80"/>
          </w:cols>
          <w:pgMar w:left="240" w:top="274" w:right="579" w:bottom="1440" w:gutter="0" w:footer="0" w:header="0"/>
        </w:sectPr>
      </w:pPr>
    </w:p>
    <w:bookmarkStart w:id="3" w:name="page4"/>
    <w:bookmarkEnd w:id="3"/>
    <w:p>
      <w:pPr>
        <w:jc w:val="right"/>
        <w:ind w:right="39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8255</wp:posOffset>
            </wp:positionV>
            <wp:extent cx="65690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69075" cy="8890"/>
                    </a:xfrm>
                    <a:prstGeom prst="rect">
                      <a:avLst/>
                    </a:prstGeom>
                    <a:noFill/>
                  </pic:spPr>
                </pic:pic>
              </a:graphicData>
            </a:graphic>
          </wp:anchor>
        </w:drawing>
      </w:r>
    </w:p>
    <w:p>
      <w:pPr>
        <w:spacing w:after="0" w:line="93"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April 24, 2013</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328" w:right="1440" w:bottom="1440" w:gutter="0" w:footer="0" w:header="0"/>
        </w:sectPr>
      </w:pPr>
    </w:p>
    <w:bookmarkStart w:id="4" w:name="page5"/>
    <w:bookmarkEnd w:id="4"/>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color w:val="auto"/>
        </w:rPr>
        <w:t>Waste Management Announces First Quarter Earnings</w:t>
      </w:r>
    </w:p>
    <w:p>
      <w:pPr>
        <w:spacing w:after="0" w:line="159" w:lineRule="exact"/>
        <w:rPr>
          <w:sz w:val="20"/>
          <w:szCs w:val="20"/>
          <w:color w:val="auto"/>
        </w:rPr>
      </w:pPr>
    </w:p>
    <w:p>
      <w:pPr>
        <w:ind w:left="700"/>
        <w:spacing w:after="0"/>
        <w:rPr>
          <w:sz w:val="20"/>
          <w:szCs w:val="20"/>
          <w:color w:val="auto"/>
        </w:rPr>
      </w:pPr>
      <w:r>
        <w:rPr>
          <w:rFonts w:ascii="Arial" w:cs="Arial" w:eastAsia="Arial" w:hAnsi="Arial"/>
          <w:sz w:val="16"/>
          <w:szCs w:val="16"/>
          <w:b w:val="1"/>
          <w:bCs w:val="1"/>
          <w:color w:val="auto"/>
        </w:rPr>
        <w:t>Company Sees Positive Momentum from Yield, Costs, and Cash From Operations</w:t>
      </w:r>
    </w:p>
    <w:p>
      <w:pPr>
        <w:spacing w:after="0" w:line="19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color w:val="auto"/>
        </w:rPr>
        <w:t xml:space="preserve">HOUSTON – April 24, 2013 </w:t>
      </w:r>
      <w:r>
        <w:rPr>
          <w:rFonts w:ascii="Arial" w:cs="Arial" w:eastAsia="Arial" w:hAnsi="Arial"/>
          <w:sz w:val="16"/>
          <w:szCs w:val="16"/>
          <w:color w:val="auto"/>
        </w:rPr>
        <w:t>– Waste Management, Inc. (NYSE: WM) today announced financial results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for its quarter ended March 31, 2013. Revenues for the first quarter of 2013 were $3.34 billion compared with $3.30 billion for the same 2012 period. Net income </w:t>
      </w:r>
      <w:r>
        <w:rPr>
          <w:rFonts w:ascii="Arial" w:cs="Arial" w:eastAsia="Arial" w:hAnsi="Arial"/>
          <w:sz w:val="10"/>
          <w:szCs w:val="10"/>
          <w:color w:val="auto"/>
        </w:rPr>
        <w:t>(a)</w:t>
      </w:r>
      <w:r>
        <w:rPr>
          <w:rFonts w:ascii="Arial" w:cs="Arial" w:eastAsia="Arial" w:hAnsi="Arial"/>
          <w:sz w:val="16"/>
          <w:szCs w:val="16"/>
          <w:color w:val="auto"/>
        </w:rPr>
        <w:t xml:space="preserve"> for the quarter was $168 million, or $0.36 per diluted share, compared with $171 million, or $0.37 per diluted share, for the first quarter of 2012. Results in the first quarter of 2013 included approximately $18 million of after-tax costs from a combination of restructuring charges and impairments of investments in unconsolidated entities. Excluding these items, net income would have been $186 million, or $0.40 per diluted share, compared to adjusted earnings per diluted share of $0.38 in 2012.</w:t>
      </w:r>
      <w:r>
        <w:rPr>
          <w:rFonts w:ascii="Arial" w:cs="Arial" w:eastAsia="Arial" w:hAnsi="Arial"/>
          <w:sz w:val="10"/>
          <w:szCs w:val="10"/>
          <w:color w:val="auto"/>
        </w:rPr>
        <w:t>(b)</w:t>
      </w:r>
    </w:p>
    <w:p>
      <w:pPr>
        <w:spacing w:after="0" w:line="11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 xml:space="preserve">David P. Steiner, President and Chief Executive Officer of Waste Management, commented, “We saw strong momentum in both yield and costs in the first quarter, and have plans in place to accelerate that momentum through 2013. Our yield of 1.4% is at the highest level since 2011. We achieved SG&amp;A cost savings of $17 million, which would have been $39 million if not for approximately $22 million of accruals related to a long-term incentive plan and an uncollected amount from a single municipal contract in Puerto Rico. We are on target to achieve the savings that we expected from our 2012 restructuring, and these improvements translated into increases in both earnings and free cash flow. During the first quarter, our net cash provided by operations improved $102 million, to $577 million, and our capital expenditures decreased $113 million, to $266 million, both as compared to the first quarter of 2012. This resulted in our highest first quarter free cash flow since 2008 at $348 million.” </w:t>
      </w:r>
      <w:r>
        <w:rPr>
          <w:rFonts w:ascii="Arial" w:cs="Arial" w:eastAsia="Arial" w:hAnsi="Arial"/>
          <w:sz w:val="10"/>
          <w:szCs w:val="10"/>
          <w:color w:val="auto"/>
        </w:rPr>
        <w:t>(b)</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FIRST QUARTER 2013</w:t>
      </w:r>
    </w:p>
    <w:p>
      <w:pPr>
        <w:spacing w:after="0" w:line="96" w:lineRule="exact"/>
        <w:rPr>
          <w:sz w:val="20"/>
          <w:szCs w:val="20"/>
          <w:color w:val="auto"/>
        </w:rPr>
      </w:pPr>
    </w:p>
    <w:p>
      <w:pPr>
        <w:ind w:left="760" w:hanging="293"/>
        <w:spacing w:after="0"/>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by 1.2%, or $41 million.</w:t>
      </w:r>
    </w:p>
    <w:p>
      <w:pPr>
        <w:spacing w:after="0" w:line="90" w:lineRule="exact"/>
        <w:rPr>
          <w:rFonts w:ascii="Arial" w:cs="Arial" w:eastAsia="Arial" w:hAnsi="Arial"/>
          <w:sz w:val="18"/>
          <w:szCs w:val="18"/>
          <w:color w:val="auto"/>
        </w:rPr>
      </w:pPr>
    </w:p>
    <w:p>
      <w:pPr>
        <w:ind w:left="760" w:right="80" w:hanging="293"/>
        <w:spacing w:after="0" w:line="30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Internal revenue growth from yield for collection and disposal operations was 1.4%. Adjusting for contract changes related to the Company’s South Florida waste-to-energy plants, internal revenue growth from yield for collection and disposal operations was 1.6%.</w:t>
      </w:r>
    </w:p>
    <w:p>
      <w:pPr>
        <w:spacing w:after="0" w:line="25" w:lineRule="exact"/>
        <w:rPr>
          <w:rFonts w:ascii="Arial" w:cs="Arial" w:eastAsia="Arial" w:hAnsi="Arial"/>
          <w:sz w:val="16"/>
          <w:szCs w:val="16"/>
          <w:color w:val="auto"/>
        </w:rPr>
      </w:pPr>
    </w:p>
    <w:p>
      <w:pPr>
        <w:jc w:val="both"/>
        <w:ind w:left="760" w:hanging="293"/>
        <w:spacing w:after="0" w:line="30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Core price, which consists of price increases and fees, other than the Company’s fuel surcharge, net of rollbacks, was 3.0%, consistent with the first quarter of 2012. Rollbacks were reduced by over 60% without a noticeable increase in the Company’s churn rate.</w:t>
      </w:r>
    </w:p>
    <w:p>
      <w:pPr>
        <w:spacing w:after="0" w:line="25" w:lineRule="exact"/>
        <w:rPr>
          <w:rFonts w:ascii="Arial" w:cs="Arial" w:eastAsia="Arial" w:hAnsi="Arial"/>
          <w:sz w:val="16"/>
          <w:szCs w:val="16"/>
          <w:color w:val="auto"/>
        </w:rPr>
      </w:pPr>
    </w:p>
    <w:p>
      <w:pPr>
        <w:ind w:left="760" w:right="580" w:hanging="293"/>
        <w:spacing w:after="0" w:line="332"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Internal revenue growth from volume was negative 0.4%. After adjusting for two fewer workdays in the quarter, internal revenue growth from volume rose 0.8%.</w:t>
      </w:r>
    </w:p>
    <w:p>
      <w:pPr>
        <w:spacing w:after="0" w:line="4" w:lineRule="exact"/>
        <w:rPr>
          <w:rFonts w:ascii="Arial" w:cs="Arial" w:eastAsia="Arial" w:hAnsi="Arial"/>
          <w:sz w:val="16"/>
          <w:szCs w:val="16"/>
          <w:color w:val="auto"/>
        </w:rPr>
      </w:pPr>
    </w:p>
    <w:p>
      <w:pPr>
        <w:ind w:left="760" w:hanging="293"/>
        <w:spacing w:after="0" w:line="306"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Average recycling commodity prices were approximately 12% lower in the first quarter of 2013 compared with the prior year period. In total, recycling operations negatively affected earnings by $0.03 per diluted share when compared to the prior year period.</w:t>
      </w:r>
    </w:p>
    <w:p>
      <w:pPr>
        <w:spacing w:after="0" w:line="25" w:lineRule="exact"/>
        <w:rPr>
          <w:rFonts w:ascii="Arial" w:cs="Arial" w:eastAsia="Arial" w:hAnsi="Arial"/>
          <w:sz w:val="16"/>
          <w:szCs w:val="16"/>
          <w:color w:val="auto"/>
        </w:rPr>
      </w:pPr>
    </w:p>
    <w:p>
      <w:pPr>
        <w:jc w:val="both"/>
        <w:ind w:left="760" w:right="280" w:hanging="293"/>
        <w:spacing w:after="0" w:line="259"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expenses increased by $43 million. The majority of the increase relates to higher operating costs within acquired operations, primarily Greenstar, labor costs and transfer and disposal costs.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 site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www.wm.com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Ed Egl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713.265.1656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eegl@wm.com</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Lynn Brown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713.394.5093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lynnbrown@wm.com</w:t>
      </w:r>
    </w:p>
    <w:p>
      <w:pPr>
        <w:sectPr>
          <w:pgSz w:w="11900" w:h="16838" w:orient="portrait"/>
          <w:cols w:equalWidth="0" w:num="2">
            <w:col w:w="7500" w:space="380"/>
            <w:col w:w="3420"/>
          </w:cols>
          <w:pgMar w:left="240" w:top="166" w:right="359" w:bottom="1440" w:gutter="0" w:footer="0" w:header="0"/>
        </w:sectPr>
      </w:pPr>
    </w:p>
    <w:bookmarkStart w:id="5" w:name="page6"/>
    <w:bookmarkEnd w:id="5"/>
    <w:p>
      <w:pPr>
        <w:ind w:left="760" w:right="3399" w:hanging="293"/>
        <w:spacing w:after="0" w:line="332"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SG&amp;A expenses improved by $17 million compared with the first quarter of 2012 and improved to 11.7% of revenue from 12.4% in the prior year period.</w:t>
      </w:r>
    </w:p>
    <w:p>
      <w:pPr>
        <w:spacing w:after="0" w:line="4" w:lineRule="exact"/>
        <w:rPr>
          <w:rFonts w:ascii="Arial" w:cs="Arial" w:eastAsia="Arial" w:hAnsi="Arial"/>
          <w:sz w:val="16"/>
          <w:szCs w:val="16"/>
          <w:color w:val="auto"/>
        </w:rPr>
      </w:pPr>
    </w:p>
    <w:p>
      <w:pPr>
        <w:ind w:left="760" w:right="3019" w:hanging="293"/>
        <w:spacing w:after="0" w:line="268"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cash provided by operating activities was $577 million; capital expenditures were $266 million; and free cash flow was $348 million.</w:t>
      </w:r>
      <w:r>
        <w:rPr>
          <w:rFonts w:ascii="Arial" w:cs="Arial" w:eastAsia="Arial" w:hAnsi="Arial"/>
          <w:sz w:val="11"/>
          <w:szCs w:val="11"/>
          <w:color w:val="auto"/>
        </w:rPr>
        <w:t>(b)</w:t>
      </w:r>
    </w:p>
    <w:p>
      <w:pPr>
        <w:spacing w:after="0" w:line="50" w:lineRule="exact"/>
        <w:rPr>
          <w:rFonts w:ascii="Arial" w:cs="Arial" w:eastAsia="Arial" w:hAnsi="Arial"/>
          <w:sz w:val="18"/>
          <w:szCs w:val="18"/>
          <w:color w:val="auto"/>
        </w:rPr>
      </w:pPr>
    </w:p>
    <w:p>
      <w:pPr>
        <w:ind w:left="760" w:hanging="293"/>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returned $170 million to shareholders in the form of dividends.</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effective tax rate was approximately 32.8%.</w:t>
      </w:r>
    </w:p>
    <w:p>
      <w:pPr>
        <w:spacing w:after="0" w:line="171" w:lineRule="exact"/>
        <w:rPr>
          <w:sz w:val="20"/>
          <w:szCs w:val="20"/>
          <w:color w:val="auto"/>
        </w:rPr>
      </w:pPr>
    </w:p>
    <w:p>
      <w:pPr>
        <w:ind w:right="2779"/>
        <w:spacing w:after="0" w:line="314" w:lineRule="auto"/>
        <w:rPr>
          <w:sz w:val="20"/>
          <w:szCs w:val="20"/>
          <w:color w:val="auto"/>
        </w:rPr>
      </w:pPr>
      <w:r>
        <w:rPr>
          <w:rFonts w:ascii="Arial" w:cs="Arial" w:eastAsia="Arial" w:hAnsi="Arial"/>
          <w:sz w:val="15"/>
          <w:szCs w:val="15"/>
          <w:color w:val="auto"/>
        </w:rPr>
        <w:t>Steiner concluded, “We are taking additional steps to increase our yield in 2013. We have initiated a strategy to raise landfill prices by an average of 5% to 7%, when and as allowed by contract. On the collection front, we have implemented a new regulatory cost recovery fee and we have modified our fuel surcharge. In our recycling operations, we are implementing new rebate structures to reflect lower commodity prices. We see good momentum in our yield improvement programs. At the same time, we remain focused on cost reductions and capital discipline, and we made good strides on both in the quarter.</w:t>
      </w:r>
    </w:p>
    <w:p>
      <w:pPr>
        <w:spacing w:after="0" w:line="105" w:lineRule="exact"/>
        <w:rPr>
          <w:sz w:val="20"/>
          <w:szCs w:val="20"/>
          <w:color w:val="auto"/>
        </w:rPr>
      </w:pPr>
    </w:p>
    <w:p>
      <w:pPr>
        <w:ind w:right="2759"/>
        <w:spacing w:after="0" w:line="290" w:lineRule="auto"/>
        <w:rPr>
          <w:sz w:val="20"/>
          <w:szCs w:val="20"/>
          <w:color w:val="auto"/>
        </w:rPr>
      </w:pPr>
      <w:r>
        <w:rPr>
          <w:rFonts w:ascii="Arial" w:cs="Arial" w:eastAsia="Arial" w:hAnsi="Arial"/>
          <w:sz w:val="16"/>
          <w:szCs w:val="16"/>
          <w:color w:val="auto"/>
        </w:rPr>
        <w:t xml:space="preserve">“We are on target through the first quarter and encouraged by the positive momentum in our business. At the beginning of the year, we gave guidance that our 2013 adjusted earnings per diluted share would grow between 4% and 6%, and would range from $2.15 to $2.20 for the full year. With adjusted earnings growing by more than 5% in the first quarter, we are right on track to meet our goals, and our cost and pricing initiatives should help drive that performance. With $348 million of free cash flow in the first quarter, and our continuing focus on capital discipline, we are well on our way to achieving our free cash flow target of between $1.1 billion and $1.2 billion.” </w:t>
      </w:r>
      <w:r>
        <w:rPr>
          <w:rFonts w:ascii="Arial" w:cs="Arial" w:eastAsia="Arial" w:hAnsi="Arial"/>
          <w:sz w:val="10"/>
          <w:szCs w:val="10"/>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47853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785360" cy="8890"/>
                    </a:xfrm>
                    <a:prstGeom prst="rect">
                      <a:avLst/>
                    </a:prstGeom>
                    <a:noFill/>
                  </pic:spPr>
                </pic:pic>
              </a:graphicData>
            </a:graphic>
          </wp:anchor>
        </w:drawing>
      </w:r>
    </w:p>
    <w:p>
      <w:pPr>
        <w:spacing w:after="0" w:line="396" w:lineRule="exact"/>
        <w:rPr>
          <w:sz w:val="20"/>
          <w:szCs w:val="20"/>
          <w:color w:val="auto"/>
        </w:rPr>
      </w:pPr>
    </w:p>
    <w:p>
      <w:pPr>
        <w:ind w:left="380" w:right="2799" w:hanging="372"/>
        <w:spacing w:after="0" w:line="254"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For purposes of this press release, all references to “Net income” refer to the financial statement line item “Net income attributable to Waste Management, Inc.”</w:t>
      </w:r>
    </w:p>
    <w:p>
      <w:pPr>
        <w:ind w:left="380" w:right="2679" w:hanging="372"/>
        <w:spacing w:after="0" w:line="287"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 xml:space="preserve">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 </w:t>
      </w:r>
      <w:r>
        <w:rPr>
          <w:rFonts w:ascii="Arial" w:cs="Arial" w:eastAsia="Arial" w:hAnsi="Arial"/>
          <w:sz w:val="10"/>
          <w:szCs w:val="10"/>
          <w:color w:val="auto"/>
        </w:rPr>
        <w:t>(i)</w:t>
      </w:r>
      <w:r>
        <w:rPr>
          <w:rFonts w:ascii="Arial" w:cs="Arial" w:eastAsia="Arial" w:hAnsi="Arial"/>
          <w:sz w:val="16"/>
          <w:szCs w:val="16"/>
          <w:color w:val="auto"/>
        </w:rPr>
        <w:t xml:space="preserve"> additional, meaningful comparisons of current results to prior periods’ results by excluding items that the Company does not believe reflect its fundamental business performance and are not representative or indicative of our results of operations and (ii) financial measures the Company uses in the management of its business. Accordingly, net income and earnings per diluted share have been presented in certain instances excluding special items noted in this press release.</w:t>
      </w:r>
    </w:p>
    <w:p>
      <w:pPr>
        <w:spacing w:after="0" w:line="43" w:lineRule="exact"/>
        <w:rPr>
          <w:rFonts w:ascii="Arial" w:cs="Arial" w:eastAsia="Arial" w:hAnsi="Arial"/>
          <w:sz w:val="16"/>
          <w:szCs w:val="16"/>
          <w:color w:val="auto"/>
        </w:rPr>
      </w:pPr>
    </w:p>
    <w:p>
      <w:pPr>
        <w:ind w:left="380" w:right="2679"/>
        <w:spacing w:after="0" w:line="287" w:lineRule="auto"/>
        <w:rPr>
          <w:rFonts w:ascii="Arial" w:cs="Arial" w:eastAsia="Arial" w:hAnsi="Arial"/>
          <w:sz w:val="16"/>
          <w:szCs w:val="16"/>
          <w:color w:val="auto"/>
        </w:rPr>
      </w:pPr>
      <w:r>
        <w:rPr>
          <w:rFonts w:ascii="Arial" w:cs="Arial" w:eastAsia="Arial" w:hAnsi="Arial"/>
          <w:sz w:val="16"/>
          <w:szCs w:val="16"/>
          <w:color w:val="auto"/>
        </w:rPr>
        <w:t>The Company’s projected full year 2013 earnings per diluted share and earnings growth are not based on GAAP net earnings per diluted share and are anticipated to be adjusted to exclude the effects of events or circumstances in 2013 that are not representative or indicative of the Company’s results of operations. Projected GAAP earnings per diluted share for the full year would require inclusion of the projected impact of future excluded items, including items that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 year earnings per diluted share to a GAAP earnings per diluted share projection.</w:t>
      </w:r>
    </w:p>
    <w:p>
      <w:pPr>
        <w:spacing w:after="0" w:line="41" w:lineRule="exact"/>
        <w:rPr>
          <w:rFonts w:ascii="Arial" w:cs="Arial" w:eastAsia="Arial" w:hAnsi="Arial"/>
          <w:sz w:val="16"/>
          <w:szCs w:val="16"/>
          <w:color w:val="auto"/>
        </w:rPr>
      </w:pPr>
    </w:p>
    <w:p>
      <w:pPr>
        <w:ind w:left="380" w:right="2679"/>
        <w:spacing w:after="0" w:line="287" w:lineRule="auto"/>
        <w:rPr>
          <w:rFonts w:ascii="Arial" w:cs="Arial" w:eastAsia="Arial" w:hAnsi="Arial"/>
          <w:sz w:val="16"/>
          <w:szCs w:val="16"/>
          <w:color w:val="auto"/>
        </w:rPr>
      </w:pPr>
      <w:r>
        <w:rPr>
          <w:rFonts w:ascii="Arial" w:cs="Arial" w:eastAsia="Arial" w:hAnsi="Arial"/>
          <w:sz w:val="16"/>
          <w:szCs w:val="16"/>
          <w:color w:val="auto"/>
        </w:rPr>
        <w:t>The Company also discusses free cash flow and provides a projection of free cash flow, which is a non-GAAP measure, because it believes that it is indicative of our ability to pay our quarterly dividends, repurchase common stock, fund acquisitions and other investments and, in the absence of refinancings, to repay our debt obligations. Free cash flow is not intended to replace “Net cash provided by operating activities,” which is the most comparable U.S. GAAP measure. However, the Company believes free cash flow gives investors useful insight into how the Company views its liquidity. Nevertheless, the use of free cash flow as a liquidity measure has material limitations because it excludes certain expenditures that are required or that the Company has committed to, such as declared dividend payments and debt service requirements. The Company defines free cash flow as:</w:t>
      </w:r>
    </w:p>
    <w:p>
      <w:pPr>
        <w:spacing w:after="0" w:line="41" w:lineRule="exact"/>
        <w:rPr>
          <w:rFonts w:ascii="Arial" w:cs="Arial" w:eastAsia="Arial" w:hAnsi="Arial"/>
          <w:sz w:val="16"/>
          <w:szCs w:val="16"/>
          <w:color w:val="auto"/>
        </w:rPr>
      </w:pPr>
    </w:p>
    <w:p>
      <w:pPr>
        <w:ind w:left="760" w:hanging="293"/>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1"/>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90" w:lineRule="exact"/>
        <w:rPr>
          <w:rFonts w:ascii="Arial" w:cs="Arial" w:eastAsia="Arial" w:hAnsi="Arial"/>
          <w:sz w:val="18"/>
          <w:szCs w:val="18"/>
          <w:color w:val="auto"/>
        </w:rPr>
      </w:pPr>
    </w:p>
    <w:p>
      <w:pPr>
        <w:ind w:left="760" w:hanging="293"/>
        <w:spacing w:after="0"/>
        <w:tabs>
          <w:tab w:leader="none" w:pos="760" w:val="left"/>
        </w:tabs>
        <w:numPr>
          <w:ilvl w:val="1"/>
          <w:numId w:val="5"/>
        </w:numPr>
        <w:rPr>
          <w:rFonts w:ascii="Arial" w:cs="Arial" w:eastAsia="Arial" w:hAnsi="Arial"/>
          <w:sz w:val="15"/>
          <w:szCs w:val="15"/>
          <w:color w:val="auto"/>
        </w:rPr>
      </w:pPr>
      <w:r>
        <w:rPr>
          <w:rFonts w:ascii="Arial" w:cs="Arial" w:eastAsia="Arial" w:hAnsi="Arial"/>
          <w:sz w:val="15"/>
          <w:szCs w:val="15"/>
          <w:color w:val="auto"/>
        </w:rPr>
        <w:t>Plus, proceeds from divestitures of businesses (net of cash divested), and other sales of assets.</w:t>
      </w:r>
    </w:p>
    <w:p>
      <w:pPr>
        <w:sectPr>
          <w:pgSz w:w="11900" w:h="16838" w:orient="portrait"/>
          <w:cols w:equalWidth="0" w:num="1">
            <w:col w:w="10219"/>
          </w:cols>
          <w:pgMar w:left="240" w:top="320" w:right="1440" w:bottom="1440" w:gutter="0" w:footer="0" w:header="0"/>
        </w:sectPr>
      </w:pPr>
    </w:p>
    <w:bookmarkStart w:id="6" w:name="page7"/>
    <w:bookmarkEnd w:id="6"/>
    <w:p>
      <w:pPr>
        <w:ind w:left="300" w:right="3199"/>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Company’s definition of free cash flow may not be comparable to similarly titled measures presented by other companies, and therefore is not subject to comparison.</w:t>
      </w:r>
    </w:p>
    <w:p>
      <w:pPr>
        <w:spacing w:after="0" w:line="4" w:lineRule="exact"/>
        <w:rPr>
          <w:sz w:val="20"/>
          <w:szCs w:val="20"/>
          <w:color w:val="auto"/>
        </w:rPr>
      </w:pPr>
    </w:p>
    <w:p>
      <w:pPr>
        <w:ind w:left="300" w:right="2699"/>
        <w:spacing w:after="0" w:line="255" w:lineRule="auto"/>
        <w:rPr>
          <w:sz w:val="20"/>
          <w:szCs w:val="20"/>
          <w:color w:val="auto"/>
        </w:rPr>
      </w:pPr>
      <w:r>
        <w:rPr>
          <w:rFonts w:ascii="Arial" w:cs="Arial" w:eastAsia="Arial" w:hAnsi="Arial"/>
          <w:sz w:val="18"/>
          <w:szCs w:val="18"/>
          <w:color w:val="auto"/>
        </w:rPr>
        <w:t>The quantitative reconciliations of non-GAAP measures used herein, other than projected earnings per diluted share, to the most comparable GAAP measures are included in the accompanying schedules. Non-GAAP measures should not be considered a substitute for financial measures presented in accordance with GAAP, and investors are urged to take into account GAAP measures as well as non-GAAP measures in evaluating the Company.</w:t>
      </w:r>
    </w:p>
    <w:p>
      <w:pPr>
        <w:spacing w:after="0" w:line="143" w:lineRule="exact"/>
        <w:rPr>
          <w:sz w:val="20"/>
          <w:szCs w:val="20"/>
          <w:color w:val="auto"/>
        </w:rPr>
      </w:pPr>
    </w:p>
    <w:p>
      <w:pPr>
        <w:jc w:val="both"/>
        <w:ind w:right="2999"/>
        <w:spacing w:after="0" w:line="259" w:lineRule="auto"/>
        <w:rPr>
          <w:sz w:val="20"/>
          <w:szCs w:val="20"/>
          <w:color w:val="auto"/>
        </w:rPr>
      </w:pPr>
      <w:r>
        <w:rPr>
          <w:rFonts w:ascii="Arial" w:cs="Arial" w:eastAsia="Arial" w:hAnsi="Arial"/>
          <w:sz w:val="18"/>
          <w:szCs w:val="18"/>
          <w:color w:val="auto"/>
        </w:rPr>
        <w:t>The Company will host a conference call at 10:00 AM (Eastern) today to discuss the first quarter 2013 results. Information contained within this press release will be referenced and should be considered in conjunction with the call.</w:t>
      </w:r>
    </w:p>
    <w:p>
      <w:pPr>
        <w:spacing w:after="0" w:line="140" w:lineRule="exact"/>
        <w:rPr>
          <w:sz w:val="20"/>
          <w:szCs w:val="20"/>
          <w:color w:val="auto"/>
        </w:rPr>
      </w:pPr>
    </w:p>
    <w:p>
      <w:pPr>
        <w:ind w:right="2719"/>
        <w:spacing w:after="0" w:line="255" w:lineRule="auto"/>
        <w:rPr>
          <w:sz w:val="20"/>
          <w:szCs w:val="20"/>
          <w:color w:val="auto"/>
        </w:rPr>
      </w:pPr>
      <w:r>
        <w:rPr>
          <w:rFonts w:ascii="Arial" w:cs="Arial" w:eastAsia="Arial" w:hAnsi="Arial"/>
          <w:sz w:val="18"/>
          <w:szCs w:val="18"/>
          <w:color w:val="auto"/>
        </w:rPr>
        <w:t xml:space="preserve">The conference call will be webcast live from the Investor Relations section of Waste Management’s website </w:t>
      </w:r>
      <w:r>
        <w:rPr>
          <w:rFonts w:ascii="Arial" w:cs="Arial" w:eastAsia="Arial" w:hAnsi="Arial"/>
          <w:sz w:val="18"/>
          <w:szCs w:val="18"/>
          <w:u w:val="single" w:color="auto"/>
          <w:color w:val="auto"/>
        </w:rPr>
        <w:t>www.wm.com</w:t>
      </w:r>
      <w:r>
        <w:rPr>
          <w:rFonts w:ascii="Arial" w:cs="Arial" w:eastAsia="Arial" w:hAnsi="Arial"/>
          <w:sz w:val="18"/>
          <w:szCs w:val="18"/>
          <w:color w:val="auto"/>
        </w:rPr>
        <w:t>. To access the conference call by telephone, please dial (877) 710-6139 approximately 10 minutes prior to the scheduled start of the call. If you are calling from outside of the United States or Canada, please dial (706) 643-7398. Please utilize conference ID number 26989631 when prompted by the conference call operator.</w:t>
      </w:r>
    </w:p>
    <w:p>
      <w:pPr>
        <w:spacing w:after="0" w:line="143" w:lineRule="exact"/>
        <w:rPr>
          <w:sz w:val="20"/>
          <w:szCs w:val="20"/>
          <w:color w:val="auto"/>
        </w:rPr>
      </w:pPr>
    </w:p>
    <w:p>
      <w:pPr>
        <w:ind w:right="2859"/>
        <w:spacing w:after="0" w:line="255" w:lineRule="auto"/>
        <w:rPr>
          <w:sz w:val="20"/>
          <w:szCs w:val="20"/>
          <w:color w:val="auto"/>
        </w:rPr>
      </w:pPr>
      <w:r>
        <w:rPr>
          <w:rFonts w:ascii="Arial" w:cs="Arial" w:eastAsia="Arial" w:hAnsi="Arial"/>
          <w:sz w:val="18"/>
          <w:szCs w:val="18"/>
          <w:color w:val="auto"/>
        </w:rPr>
        <w:t xml:space="preserve">A replay of the conference call will be available on the Company’s website </w:t>
      </w:r>
      <w:r>
        <w:rPr>
          <w:rFonts w:ascii="Arial" w:cs="Arial" w:eastAsia="Arial" w:hAnsi="Arial"/>
          <w:sz w:val="18"/>
          <w:szCs w:val="18"/>
          <w:u w:val="single" w:color="auto"/>
          <w:color w:val="auto"/>
        </w:rPr>
        <w:t>www.wm.com</w:t>
      </w:r>
      <w:r>
        <w:rPr>
          <w:rFonts w:ascii="Arial" w:cs="Arial" w:eastAsia="Arial" w:hAnsi="Arial"/>
          <w:sz w:val="18"/>
          <w:szCs w:val="18"/>
          <w:color w:val="auto"/>
        </w:rPr>
        <w:t xml:space="preserve"> and by telephone from approximately 1:00 PM (Eastern) Wednesday, April 24, 2013 through 5:00 PM (Eastern) on Wednesday, May 8, 2013. To access the replay telephonically, please dial (855) 859-2056, or from outside of the United States or Canada dial (404) 537-3406, and use the replay conference ID number 26989631.</w:t>
      </w:r>
    </w:p>
    <w:p>
      <w:pPr>
        <w:spacing w:after="0" w:line="143" w:lineRule="exact"/>
        <w:rPr>
          <w:sz w:val="20"/>
          <w:szCs w:val="20"/>
          <w:color w:val="auto"/>
        </w:rPr>
      </w:pPr>
    </w:p>
    <w:p>
      <w:pPr>
        <w:ind w:right="2699"/>
        <w:spacing w:after="0" w:line="284"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2013 earnings per diluted share and earnings growth; 2013 free cash flow; future internal revenue growth from yield and volume; future SG&amp;A cost savings; results from pricing, capital management and cost control and reduction initiatives; future recycling commodity prices; and results from recycling operations.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environmental and other regulations; commodity price fluctuations;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96" w:lineRule="exact"/>
        <w:rPr>
          <w:sz w:val="20"/>
          <w:szCs w:val="20"/>
          <w:color w:val="auto"/>
        </w:rPr>
      </w:pPr>
    </w:p>
    <w:p>
      <w:pPr>
        <w:ind w:right="2699"/>
        <w:spacing w:after="0" w:line="291" w:lineRule="auto"/>
        <w:rPr>
          <w:sz w:val="20"/>
          <w:szCs w:val="20"/>
          <w:color w:val="auto"/>
        </w:rPr>
      </w:pPr>
      <w:r>
        <w:rPr>
          <w:rFonts w:ascii="Arial" w:cs="Arial" w:eastAsia="Arial" w:hAnsi="Arial"/>
          <w:sz w:val="16"/>
          <w:szCs w:val="16"/>
          <w:color w:val="auto"/>
        </w:rPr>
        <w:t xml:space="preserve">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6"/>
          <w:szCs w:val="16"/>
          <w:u w:val="single" w:color="auto"/>
          <w:color w:val="auto"/>
        </w:rPr>
        <w:t>www.wm.com</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www.thinkgreen.com</w:t>
      </w:r>
      <w:r>
        <w:rPr>
          <w:rFonts w:ascii="Arial" w:cs="Arial" w:eastAsia="Arial" w:hAnsi="Arial"/>
          <w:sz w:val="16"/>
          <w:szCs w:val="16"/>
          <w:color w:val="auto"/>
        </w:rPr>
        <w:t>.</w:t>
      </w:r>
    </w:p>
    <w:p>
      <w:pPr>
        <w:spacing w:after="0" w:line="12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w:t>
      </w:r>
    </w:p>
    <w:p>
      <w:pPr>
        <w:sectPr>
          <w:pgSz w:w="11900" w:h="16838" w:orient="portrait"/>
          <w:cols w:equalWidth="0" w:num="1">
            <w:col w:w="10219"/>
          </w:cols>
          <w:pgMar w:left="240" w:top="320" w:right="1440"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84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3"/>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80" w:type="dxa"/>
            <w:vAlign w:val="bottom"/>
            <w:tcBorders>
              <w:bottom w:val="single" w:sz="8" w:color="CCEEFF"/>
            </w:tcBorders>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revenues</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3,336</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60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3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2,209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Selling, general and administrative</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390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Restructuring</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7"/>
              </w:rPr>
              <w:t>(Income) expense from divestitures, asset impairments and unusual items</w:t>
            </w:r>
          </w:p>
        </w:tc>
        <w:tc>
          <w:tcPr>
            <w:tcW w:w="3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w:t>
            </w:r>
          </w:p>
        </w:tc>
        <w:tc>
          <w:tcPr>
            <w:tcW w:w="3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3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Interest income</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Equity in net losses of unconsolidated entities</w:t>
            </w: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58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21"/>
        </w:trPr>
        <w:tc>
          <w:tcPr>
            <w:tcW w:w="560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39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Consolidated net income</w:t>
            </w:r>
          </w:p>
        </w:tc>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176</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Net income attributable to noncontrolling interests</w:t>
            </w:r>
          </w:p>
        </w:tc>
        <w:tc>
          <w:tcPr>
            <w:tcW w:w="3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4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Basic common shares outstanding</w:t>
            </w:r>
          </w:p>
        </w:tc>
        <w:tc>
          <w:tcPr>
            <w:tcW w:w="39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465.7</w:t>
            </w:r>
          </w:p>
        </w:tc>
        <w:tc>
          <w:tcPr>
            <w:tcW w:w="3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spacing w:after="0"/>
              <w:rPr>
                <w:sz w:val="20"/>
                <w:szCs w:val="20"/>
                <w:color w:val="auto"/>
              </w:rPr>
            </w:pPr>
            <w:r>
              <w:rPr>
                <w:rFonts w:ascii="Arial" w:cs="Arial" w:eastAsia="Arial" w:hAnsi="Arial"/>
                <w:sz w:val="18"/>
                <w:szCs w:val="18"/>
                <w:color w:val="auto"/>
              </w:rPr>
              <w:t>Diluted common shares outstanding</w:t>
            </w:r>
          </w:p>
        </w:tc>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0" w:type="dxa"/>
            <w:vAlign w:val="bottom"/>
            <w:gridSpan w:val="2"/>
            <w:vMerge w:val="continue"/>
          </w:tcPr>
          <w:p>
            <w:pPr>
              <w:spacing w:after="0"/>
              <w:rPr>
                <w:sz w:val="18"/>
                <w:szCs w:val="18"/>
                <w:color w:val="auto"/>
              </w:rPr>
            </w:pPr>
          </w:p>
        </w:tc>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466.5</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Cash dividends declared per common share</w:t>
            </w:r>
          </w:p>
        </w:tc>
        <w:tc>
          <w:tcPr>
            <w:tcW w:w="4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0.365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980" w:type="dxa"/>
            <w:vAlign w:val="bottom"/>
            <w:vMerge w:val="restart"/>
          </w:tcPr>
          <w:p>
            <w:pPr>
              <w:jc w:val="right"/>
              <w:ind w:right="3672"/>
              <w:spacing w:after="0"/>
              <w:rPr>
                <w:sz w:val="20"/>
                <w:szCs w:val="20"/>
                <w:color w:val="auto"/>
              </w:rPr>
            </w:pPr>
            <w:r>
              <w:rPr>
                <w:rFonts w:ascii="Arial" w:cs="Arial" w:eastAsia="Arial" w:hAnsi="Arial"/>
                <w:sz w:val="18"/>
                <w:szCs w:val="18"/>
                <w:b w:val="1"/>
                <w:bCs w:val="1"/>
                <w:color w:val="auto"/>
                <w:w w:val="90"/>
              </w:rPr>
              <w:t>(1)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39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89"/>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EPS Calculation:</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48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Effect of using weighted average common shares outstanding</w:t>
            </w: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465.7</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60" w:type="dxa"/>
            <w:vAlign w:val="bottom"/>
          </w:tcPr>
          <w:p>
            <w:pPr>
              <w:ind w:left="42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0.8</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466.5</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463.4</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480" w:type="dxa"/>
            <w:vAlign w:val="bottom"/>
            <w:gridSpan w:val="2"/>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0.36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0.36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r>
        <w:trPr>
          <w:trHeight w:val="20"/>
        </w:trPr>
        <w:tc>
          <w:tcPr>
            <w:tcW w:w="9480" w:type="dxa"/>
            <w:vAlign w:val="bottom"/>
            <w:gridSpan w:val="2"/>
            <w:vMerge w:val="restart"/>
          </w:tcPr>
          <w:p>
            <w:pPr>
              <w:jc w:val="right"/>
              <w:ind w:right="3572"/>
              <w:spacing w:after="0"/>
              <w:rPr>
                <w:sz w:val="20"/>
                <w:szCs w:val="20"/>
                <w:color w:val="auto"/>
              </w:rPr>
            </w:pPr>
            <w:r>
              <w:rPr>
                <w:rFonts w:ascii="Arial" w:cs="Arial" w:eastAsia="Arial" w:hAnsi="Arial"/>
                <w:sz w:val="18"/>
                <w:szCs w:val="18"/>
                <w:b w:val="1"/>
                <w:bCs w:val="1"/>
                <w:color w:val="auto"/>
              </w:rPr>
              <w:t>(2)</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4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9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March 31,</w:t>
            </w:r>
          </w:p>
        </w:tc>
        <w:tc>
          <w:tcPr>
            <w:tcW w:w="260" w:type="dxa"/>
            <w:vAlign w:val="bottom"/>
          </w:tcPr>
          <w:p>
            <w:pPr>
              <w:spacing w:after="0"/>
              <w:rPr>
                <w:sz w:val="14"/>
                <w:szCs w:val="14"/>
                <w:color w:val="auto"/>
              </w:rPr>
            </w:pPr>
          </w:p>
        </w:tc>
        <w:tc>
          <w:tcPr>
            <w:tcW w:w="90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6"/>
              </w:rPr>
              <w:t>2013</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7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87"/>
              </w:rPr>
              <w:t>(Unaudited)</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32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1,779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411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assets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2,497</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12,512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Goodwill</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6,399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assets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1,323</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320" w:type="dxa"/>
            <w:vAlign w:val="bottom"/>
            <w:gridSpan w:val="2"/>
            <w:shd w:val="clear" w:color="auto" w:fill="CCEEFF"/>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23,155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4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40" w:type="dxa"/>
            <w:vAlign w:val="bottom"/>
            <w:gridSpan w:val="2"/>
            <w:vMerge w:val="continue"/>
          </w:tcPr>
          <w:p>
            <w:pPr>
              <w:spacing w:after="0"/>
              <w:rPr>
                <w:sz w:val="18"/>
                <w:szCs w:val="18"/>
                <w:color w:val="auto"/>
              </w:rPr>
            </w:pP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w w:val="97"/>
              </w:rPr>
              <w:t>Accounts payable, accrued liabilities, and deferred revenues</w:t>
            </w:r>
          </w:p>
        </w:tc>
        <w:tc>
          <w:tcPr>
            <w:tcW w:w="432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2,224</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Current portion of long-term debt</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3,188</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120" w:type="dxa"/>
            <w:vAlign w:val="bottom"/>
          </w:tcPr>
          <w:p>
            <w:pPr>
              <w:spacing w:after="0"/>
              <w:rPr>
                <w:sz w:val="9"/>
                <w:szCs w:val="9"/>
                <w:color w:val="auto"/>
              </w:rPr>
            </w:pPr>
          </w:p>
        </w:tc>
        <w:tc>
          <w:tcPr>
            <w:tcW w:w="4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9,045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Arial" w:cs="Arial" w:eastAsia="Arial" w:hAnsi="Arial"/>
                <w:sz w:val="18"/>
                <w:szCs w:val="18"/>
                <w:color w:val="auto"/>
              </w:rPr>
              <w:t>Other liabilities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4,206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16,439</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gridSpan w:val="2"/>
          </w:tcPr>
          <w:p>
            <w:pPr>
              <w:spacing w:after="0"/>
              <w:rPr>
                <w:sz w:val="20"/>
                <w:szCs w:val="20"/>
                <w:color w:val="auto"/>
              </w:rPr>
            </w:pPr>
            <w:r>
              <w:rPr>
                <w:rFonts w:ascii="Arial" w:cs="Arial" w:eastAsia="Arial" w:hAnsi="Arial"/>
                <w:sz w:val="18"/>
                <w:szCs w:val="18"/>
                <w:color w:val="auto"/>
              </w:rPr>
              <w:t>Equity:</w:t>
            </w:r>
          </w:p>
        </w:tc>
        <w:tc>
          <w:tcPr>
            <w:tcW w:w="4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 Management, Inc. stockholders’ equity</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6,395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420"/>
              <w:spacing w:after="0"/>
              <w:rPr>
                <w:sz w:val="20"/>
                <w:szCs w:val="20"/>
                <w:color w:val="auto"/>
              </w:rPr>
            </w:pPr>
            <w:r>
              <w:rPr>
                <w:rFonts w:ascii="Arial" w:cs="Arial" w:eastAsia="Arial" w:hAnsi="Arial"/>
                <w:sz w:val="18"/>
                <w:szCs w:val="18"/>
                <w:color w:val="auto"/>
              </w:rPr>
              <w:t>Noncontrolling interests</w:t>
            </w:r>
          </w:p>
        </w:tc>
        <w:tc>
          <w:tcPr>
            <w:tcW w:w="4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4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equity</w:t>
            </w:r>
          </w:p>
        </w:tc>
        <w:tc>
          <w:tcPr>
            <w:tcW w:w="4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6,716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vMerge w:val="restart"/>
          </w:tcPr>
          <w:p>
            <w:pPr>
              <w:ind w:left="860"/>
              <w:spacing w:after="0"/>
              <w:rPr>
                <w:sz w:val="20"/>
                <w:szCs w:val="20"/>
                <w:color w:val="auto"/>
              </w:rPr>
            </w:pPr>
            <w:r>
              <w:rPr>
                <w:rFonts w:ascii="Arial" w:cs="Arial" w:eastAsia="Arial" w:hAnsi="Arial"/>
                <w:sz w:val="18"/>
                <w:szCs w:val="18"/>
                <w:color w:val="auto"/>
              </w:rPr>
              <w:t>Total liabilities and equity</w:t>
            </w:r>
          </w:p>
        </w:tc>
        <w:tc>
          <w:tcPr>
            <w:tcW w:w="4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5120" w:type="dxa"/>
            <w:vAlign w:val="bottom"/>
            <w:vMerge w:val="continue"/>
          </w:tcPr>
          <w:p>
            <w:pPr>
              <w:spacing w:after="0"/>
              <w:rPr>
                <w:sz w:val="19"/>
                <w:szCs w:val="19"/>
                <w:color w:val="auto"/>
              </w:rPr>
            </w:pPr>
          </w:p>
        </w:tc>
        <w:tc>
          <w:tcPr>
            <w:tcW w:w="4320" w:type="dxa"/>
            <w:vAlign w:val="bottom"/>
            <w:gridSpan w:val="2"/>
          </w:tcPr>
          <w:p>
            <w:pPr>
              <w:ind w:left="4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23,155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23,097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160" w:type="dxa"/>
            <w:vAlign w:val="bottom"/>
            <w:vMerge w:val="restart"/>
          </w:tcPr>
          <w:p>
            <w:pPr>
              <w:ind w:left="480"/>
              <w:spacing w:after="0"/>
              <w:rPr>
                <w:sz w:val="20"/>
                <w:szCs w:val="20"/>
                <w:color w:val="auto"/>
              </w:rPr>
            </w:pPr>
            <w:r>
              <w:rPr>
                <w:rFonts w:ascii="Arial" w:cs="Arial" w:eastAsia="Arial" w:hAnsi="Arial"/>
                <w:sz w:val="18"/>
                <w:szCs w:val="18"/>
                <w:b w:val="1"/>
                <w:bCs w:val="1"/>
                <w:color w:val="auto"/>
              </w:rPr>
              <w:t>(3)</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120" w:type="dxa"/>
            <w:vAlign w:val="bottom"/>
          </w:tcPr>
          <w:p>
            <w:pPr>
              <w:spacing w:after="0"/>
              <w:rPr>
                <w:sz w:val="24"/>
                <w:szCs w:val="24"/>
                <w:color w:val="auto"/>
              </w:rPr>
            </w:pPr>
          </w:p>
        </w:tc>
        <w:tc>
          <w:tcPr>
            <w:tcW w:w="4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Quarters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2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Consolidated 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176</w:t>
            </w:r>
          </w:p>
        </w:tc>
        <w:tc>
          <w:tcPr>
            <w:tcW w:w="6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323</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w:t>
            </w: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8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(180)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Capital expenditures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(266)</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Investments in unconsolidated entities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2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0"/>
                <w:szCs w:val="20"/>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(421)</w:t>
            </w:r>
          </w:p>
        </w:tc>
        <w:tc>
          <w:tcPr>
            <w:tcW w:w="16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New borrowings</w:t>
            </w:r>
          </w:p>
        </w:tc>
        <w:tc>
          <w:tcPr>
            <w:tcW w:w="140" w:type="dxa"/>
            <w:vAlign w:val="bottom"/>
          </w:tcPr>
          <w:p>
            <w:pPr>
              <w:spacing w:after="0"/>
              <w:rPr>
                <w:sz w:val="18"/>
                <w:szCs w:val="18"/>
                <w:color w:val="auto"/>
              </w:rPr>
            </w:pP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119</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Debt repayments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Cash dividends</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(170)</w:t>
            </w:r>
          </w:p>
        </w:tc>
        <w:tc>
          <w:tcPr>
            <w:tcW w:w="16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Exercise of common stock options</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2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18"/>
                <w:szCs w:val="18"/>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9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2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jc w:val="right"/>
              <w:ind w:right="3372"/>
              <w:spacing w:after="0"/>
              <w:rPr>
                <w:sz w:val="20"/>
                <w:szCs w:val="20"/>
                <w:color w:val="auto"/>
              </w:rPr>
            </w:pPr>
            <w:r>
              <w:rPr>
                <w:rFonts w:ascii="Arial" w:cs="Arial" w:eastAsia="Arial" w:hAnsi="Arial"/>
                <w:sz w:val="18"/>
                <w:szCs w:val="18"/>
                <w:b w:val="1"/>
                <w:bCs w:val="1"/>
                <w:color w:val="auto"/>
              </w:rPr>
              <w:t>(4)</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28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rPr>
              <w:t>Quarters Ended</w:t>
            </w: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40" w:type="dxa"/>
            <w:vAlign w:val="bottom"/>
          </w:tcPr>
          <w:p>
            <w:pPr>
              <w:spacing w:after="0"/>
              <w:rPr>
                <w:sz w:val="11"/>
                <w:szCs w:val="11"/>
                <w:color w:val="auto"/>
              </w:rPr>
            </w:pPr>
          </w:p>
        </w:tc>
        <w:tc>
          <w:tcPr>
            <w:tcW w:w="1460" w:type="dxa"/>
            <w:vAlign w:val="bottom"/>
            <w:gridSpan w:val="3"/>
          </w:tcPr>
          <w:p>
            <w:pPr>
              <w:jc w:val="center"/>
              <w:ind w:right="62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80" w:type="dxa"/>
            <w:vAlign w:val="bottom"/>
            <w:tcBorders>
              <w:bottom w:val="single" w:sz="8" w:color="CCEEFF"/>
            </w:tcBorders>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30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9"/>
              </w:rPr>
              <w:t>2013</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2012</w:t>
            </w:r>
          </w:p>
        </w:tc>
        <w:tc>
          <w:tcPr>
            <w:tcW w:w="520" w:type="dxa"/>
            <w:vAlign w:val="bottom"/>
            <w:tcBorders>
              <w:bottom w:val="single" w:sz="8" w:color="CCEEFF"/>
            </w:tcBorders>
          </w:tcPr>
          <w:p>
            <w:pPr>
              <w:spacing w:after="0"/>
              <w:rPr>
                <w:sz w:val="14"/>
                <w:szCs w:val="14"/>
                <w:color w:val="auto"/>
              </w:rPr>
            </w:pPr>
          </w:p>
        </w:tc>
        <w:tc>
          <w:tcPr>
            <w:tcW w:w="8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80" w:type="dxa"/>
            <w:vAlign w:val="bottom"/>
            <w:tcBorders>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4"/>
              </w:rPr>
              <w:t>Operating Revenues by Lines of Business</w:t>
            </w:r>
          </w:p>
        </w:tc>
        <w:tc>
          <w:tcPr>
            <w:tcW w:w="33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5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Collection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 xml:space="preserve">Commercial </w:t>
            </w:r>
            <w:r>
              <w:rPr>
                <w:rFonts w:ascii="Arial" w:cs="Arial" w:eastAsia="Arial" w:hAnsi="Arial"/>
                <w:sz w:val="18"/>
                <w:szCs w:val="18"/>
                <w:b w:val="1"/>
                <w:bCs w:val="1"/>
                <w:color w:val="auto"/>
              </w:rPr>
              <w:t>(a)</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865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860"/>
              <w:spacing w:after="0"/>
              <w:rPr>
                <w:sz w:val="20"/>
                <w:szCs w:val="20"/>
                <w:color w:val="auto"/>
              </w:rPr>
            </w:pPr>
            <w:r>
              <w:rPr>
                <w:rFonts w:ascii="Arial" w:cs="Arial" w:eastAsia="Arial" w:hAnsi="Arial"/>
                <w:sz w:val="18"/>
                <w:szCs w:val="18"/>
                <w:color w:val="auto"/>
              </w:rPr>
              <w:t>Residential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652</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638</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Industrial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502</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ind w:left="86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Total Collection</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3"/>
              </w:rPr>
              <w:t>2,073</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Landfill</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628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689</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615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Transfer</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298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Wheelabrator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205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207</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Recycling</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275</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(b)</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(626)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(518)</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4"/>
            <w:vMerge w:val="restart"/>
          </w:tcPr>
          <w:p>
            <w:pPr>
              <w:ind w:left="860"/>
              <w:spacing w:after="0"/>
              <w:rPr>
                <w:sz w:val="20"/>
                <w:szCs w:val="20"/>
                <w:color w:val="auto"/>
              </w:rPr>
            </w:pPr>
            <w:r>
              <w:rPr>
                <w:rFonts w:ascii="Arial" w:cs="Arial" w:eastAsia="Arial" w:hAnsi="Arial"/>
                <w:sz w:val="18"/>
                <w:szCs w:val="18"/>
                <w:color w:val="auto"/>
              </w:rPr>
              <w:t>Operating revenues</w:t>
            </w: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4"/>
            <w:vMerge w:val="continue"/>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3,336</w:t>
            </w:r>
          </w:p>
        </w:tc>
        <w:tc>
          <w:tcPr>
            <w:tcW w:w="280" w:type="dxa"/>
            <w:vAlign w:val="bottom"/>
          </w:tcPr>
          <w:p>
            <w:pPr>
              <w:spacing w:after="0"/>
              <w:rPr>
                <w:sz w:val="19"/>
                <w:szCs w:val="19"/>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3,434</w:t>
            </w:r>
          </w:p>
        </w:tc>
        <w:tc>
          <w:tcPr>
            <w:tcW w:w="62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w w:val="93"/>
              </w:rPr>
              <w:t>3,295</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3"/>
          </w:tcPr>
          <w:p>
            <w:pPr>
              <w:ind w:left="560"/>
              <w:spacing w:after="0"/>
              <w:rPr>
                <w:sz w:val="20"/>
                <w:szCs w:val="20"/>
                <w:color w:val="auto"/>
              </w:rPr>
            </w:pPr>
            <w:r>
              <w:rPr>
                <w:rFonts w:ascii="Arial" w:cs="Arial" w:eastAsia="Arial" w:hAnsi="Arial"/>
                <w:sz w:val="14"/>
                <w:szCs w:val="14"/>
                <w:b w:val="1"/>
                <w:bCs w:val="1"/>
                <w:color w:val="auto"/>
                <w:w w:val="87"/>
              </w:rPr>
              <w:t>Quarters Ended</w:t>
            </w: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60" w:type="dxa"/>
            <w:vAlign w:val="bottom"/>
            <w:gridSpan w:val="6"/>
          </w:tcPr>
          <w:p>
            <w:pPr>
              <w:jc w:val="right"/>
              <w:ind w:right="1160"/>
              <w:spacing w:after="0" w:line="142" w:lineRule="exact"/>
              <w:rPr>
                <w:sz w:val="20"/>
                <w:szCs w:val="20"/>
                <w:color w:val="auto"/>
              </w:rPr>
            </w:pPr>
            <w:r>
              <w:rPr>
                <w:rFonts w:ascii="Arial" w:cs="Arial" w:eastAsia="Arial" w:hAnsi="Arial"/>
                <w:sz w:val="14"/>
                <w:szCs w:val="14"/>
                <w:b w:val="1"/>
                <w:bCs w:val="1"/>
                <w:color w:val="auto"/>
              </w:rPr>
              <w:t>March 31, 2013</w:t>
            </w:r>
          </w:p>
        </w:tc>
        <w:tc>
          <w:tcPr>
            <w:tcW w:w="160" w:type="dxa"/>
            <w:vAlign w:val="bottom"/>
          </w:tcPr>
          <w:p>
            <w:pPr>
              <w:spacing w:after="0"/>
              <w:rPr>
                <w:sz w:val="12"/>
                <w:szCs w:val="12"/>
                <w:color w:val="auto"/>
              </w:rPr>
            </w:pPr>
          </w:p>
        </w:tc>
        <w:tc>
          <w:tcPr>
            <w:tcW w:w="1800" w:type="dxa"/>
            <w:vAlign w:val="bottom"/>
            <w:gridSpan w:val="3"/>
          </w:tcPr>
          <w:p>
            <w:pPr>
              <w:jc w:val="right"/>
              <w:ind w:right="458"/>
              <w:spacing w:after="0" w:line="142" w:lineRule="exact"/>
              <w:rPr>
                <w:sz w:val="20"/>
                <w:szCs w:val="20"/>
                <w:color w:val="auto"/>
              </w:rPr>
            </w:pPr>
            <w:r>
              <w:rPr>
                <w:rFonts w:ascii="Arial" w:cs="Arial" w:eastAsia="Arial" w:hAnsi="Arial"/>
                <w:sz w:val="14"/>
                <w:szCs w:val="14"/>
                <w:b w:val="1"/>
                <w:bCs w:val="1"/>
                <w:color w:val="auto"/>
              </w:rPr>
              <w:t>March 31, 2012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400" w:type="dxa"/>
            <w:vAlign w:val="bottom"/>
            <w:gridSpan w:val="5"/>
            <w:vMerge w:val="restart"/>
          </w:tcPr>
          <w:p>
            <w:pPr>
              <w:spacing w:after="0"/>
              <w:rPr>
                <w:sz w:val="20"/>
                <w:szCs w:val="20"/>
                <w:color w:val="auto"/>
              </w:rPr>
            </w:pPr>
            <w:r>
              <w:rPr>
                <w:rFonts w:ascii="Arial" w:cs="Arial" w:eastAsia="Arial" w:hAnsi="Arial"/>
                <w:sz w:val="14"/>
                <w:szCs w:val="14"/>
                <w:b w:val="1"/>
                <w:bCs w:val="1"/>
                <w:color w:val="auto"/>
              </w:rPr>
              <w:t>Analysis of Change in Year Over Year Revenues</w:t>
            </w:r>
          </w:p>
        </w:tc>
        <w:tc>
          <w:tcPr>
            <w:tcW w:w="2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center"/>
              <w:ind w:right="36"/>
              <w:spacing w:after="0" w:line="131" w:lineRule="exact"/>
              <w:rPr>
                <w:sz w:val="20"/>
                <w:szCs w:val="20"/>
                <w:color w:val="auto"/>
              </w:rPr>
            </w:pPr>
            <w:r>
              <w:rPr>
                <w:rFonts w:ascii="Arial" w:cs="Arial" w:eastAsia="Arial" w:hAnsi="Arial"/>
                <w:sz w:val="14"/>
                <w:szCs w:val="14"/>
                <w:color w:val="auto"/>
                <w:w w:val="86"/>
              </w:rPr>
              <w:t>As a % of</w:t>
            </w:r>
          </w:p>
        </w:tc>
        <w:tc>
          <w:tcPr>
            <w:tcW w:w="6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4"/>
                <w:szCs w:val="14"/>
                <w:color w:val="auto"/>
                <w:w w:val="86"/>
              </w:rPr>
              <w:t>As a % of</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6400" w:type="dxa"/>
            <w:vAlign w:val="bottom"/>
            <w:gridSpan w:val="5"/>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gridSpan w:val="3"/>
          </w:tcPr>
          <w:p>
            <w:pPr>
              <w:jc w:val="center"/>
              <w:ind w:right="280"/>
              <w:spacing w:after="0" w:line="146" w:lineRule="exact"/>
              <w:rPr>
                <w:sz w:val="20"/>
                <w:szCs w:val="20"/>
                <w:color w:val="auto"/>
              </w:rPr>
            </w:pPr>
            <w:r>
              <w:rPr>
                <w:rFonts w:ascii="Arial" w:cs="Arial" w:eastAsia="Arial" w:hAnsi="Arial"/>
                <w:sz w:val="14"/>
                <w:szCs w:val="14"/>
                <w:color w:val="auto"/>
                <w:w w:val="91"/>
              </w:rPr>
              <w:t>Amount</w:t>
            </w:r>
          </w:p>
        </w:tc>
        <w:tc>
          <w:tcPr>
            <w:tcW w:w="240" w:type="dxa"/>
            <w:vAlign w:val="bottom"/>
          </w:tcPr>
          <w:p>
            <w:pPr>
              <w:spacing w:after="0"/>
              <w:rPr>
                <w:sz w:val="12"/>
                <w:szCs w:val="12"/>
                <w:color w:val="auto"/>
              </w:rPr>
            </w:pPr>
          </w:p>
        </w:tc>
        <w:tc>
          <w:tcPr>
            <w:tcW w:w="1460" w:type="dxa"/>
            <w:vAlign w:val="bottom"/>
            <w:gridSpan w:val="3"/>
          </w:tcPr>
          <w:p>
            <w:pPr>
              <w:jc w:val="center"/>
              <w:ind w:right="620"/>
              <w:spacing w:after="0" w:line="146" w:lineRule="exact"/>
              <w:rPr>
                <w:sz w:val="20"/>
                <w:szCs w:val="20"/>
                <w:color w:val="auto"/>
              </w:rPr>
            </w:pPr>
            <w:r>
              <w:rPr>
                <w:rFonts w:ascii="Arial" w:cs="Arial" w:eastAsia="Arial" w:hAnsi="Arial"/>
                <w:sz w:val="14"/>
                <w:szCs w:val="14"/>
                <w:color w:val="auto"/>
                <w:w w:val="88"/>
              </w:rPr>
              <w:t>Total Company</w:t>
            </w:r>
          </w:p>
        </w:tc>
        <w:tc>
          <w:tcPr>
            <w:tcW w:w="1120" w:type="dxa"/>
            <w:vAlign w:val="bottom"/>
            <w:gridSpan w:val="3"/>
          </w:tcPr>
          <w:p>
            <w:pPr>
              <w:jc w:val="center"/>
              <w:ind w:right="520"/>
              <w:spacing w:after="0" w:line="146" w:lineRule="exact"/>
              <w:rPr>
                <w:sz w:val="20"/>
                <w:szCs w:val="20"/>
                <w:color w:val="auto"/>
              </w:rPr>
            </w:pPr>
            <w:r>
              <w:rPr>
                <w:rFonts w:ascii="Arial" w:cs="Arial" w:eastAsia="Arial" w:hAnsi="Arial"/>
                <w:sz w:val="14"/>
                <w:szCs w:val="14"/>
                <w:color w:val="auto"/>
                <w:w w:val="91"/>
              </w:rPr>
              <w:t>Amount</w:t>
            </w:r>
          </w:p>
        </w:tc>
        <w:tc>
          <w:tcPr>
            <w:tcW w:w="1040" w:type="dxa"/>
            <w:vAlign w:val="bottom"/>
            <w:gridSpan w:val="2"/>
          </w:tcPr>
          <w:p>
            <w:pPr>
              <w:jc w:val="center"/>
              <w:ind w:right="200"/>
              <w:spacing w:after="0" w:line="146" w:lineRule="exact"/>
              <w:rPr>
                <w:sz w:val="20"/>
                <w:szCs w:val="20"/>
                <w:color w:val="auto"/>
              </w:rPr>
            </w:pPr>
            <w:r>
              <w:rPr>
                <w:rFonts w:ascii="Arial" w:cs="Arial" w:eastAsia="Arial" w:hAnsi="Arial"/>
                <w:sz w:val="14"/>
                <w:szCs w:val="14"/>
                <w:color w:val="auto"/>
                <w:w w:val="88"/>
              </w:rPr>
              <w:t>Total Company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Borders>
              <w:top w:val="single" w:sz="8" w:color="auto"/>
            </w:tcBorders>
            <w:gridSpan w:val="2"/>
            <w:vMerge w:val="restart"/>
            <w:shd w:val="clear" w:color="auto" w:fill="CCEEFF"/>
          </w:tcPr>
          <w:p>
            <w:pPr>
              <w:ind w:left="420"/>
              <w:spacing w:after="0"/>
              <w:rPr>
                <w:sz w:val="20"/>
                <w:szCs w:val="20"/>
                <w:color w:val="auto"/>
              </w:rPr>
            </w:pPr>
            <w:r>
              <w:rPr>
                <w:rFonts w:ascii="Arial" w:cs="Arial" w:eastAsia="Arial" w:hAnsi="Arial"/>
                <w:sz w:val="18"/>
                <w:szCs w:val="18"/>
                <w:color w:val="auto"/>
              </w:rPr>
              <w:t xml:space="preserve">Average yield </w:t>
            </w:r>
            <w:r>
              <w:rPr>
                <w:rFonts w:ascii="Arial" w:cs="Arial" w:eastAsia="Arial" w:hAnsi="Arial"/>
                <w:sz w:val="18"/>
                <w:szCs w:val="18"/>
                <w:b w:val="1"/>
                <w:bCs w:val="1"/>
                <w:color w:val="auto"/>
              </w:rPr>
              <w:t>(i)</w:t>
            </w:r>
          </w:p>
        </w:tc>
        <w:tc>
          <w:tcPr>
            <w:tcW w:w="3420" w:type="dxa"/>
            <w:vAlign w:val="bottom"/>
            <w:gridSpan w:val="2"/>
            <w:vMerge w:val="restart"/>
            <w:shd w:val="clear" w:color="auto" w:fill="CCEEFF"/>
          </w:tcPr>
          <w:p>
            <w:pPr>
              <w:spacing w:after="0" w:line="20" w:lineRule="exact"/>
              <w:rPr>
                <w:sz w:val="1"/>
                <w:szCs w:val="1"/>
                <w:color w:val="auto"/>
              </w:rPr>
            </w:pPr>
          </w:p>
        </w:tc>
        <w:tc>
          <w:tcPr>
            <w:tcW w:w="2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960" w:type="dxa"/>
            <w:vAlign w:val="bottom"/>
            <w:gridSpan w:val="2"/>
            <w:vMerge w:val="continue"/>
            <w:shd w:val="clear" w:color="auto" w:fill="CCEEFF"/>
          </w:tcPr>
          <w:p>
            <w:pPr>
              <w:spacing w:after="0"/>
              <w:rPr>
                <w:sz w:val="17"/>
                <w:szCs w:val="17"/>
                <w:color w:val="auto"/>
              </w:rPr>
            </w:pPr>
          </w:p>
        </w:tc>
        <w:tc>
          <w:tcPr>
            <w:tcW w:w="3420" w:type="dxa"/>
            <w:vAlign w:val="bottom"/>
            <w:gridSpan w:val="2"/>
            <w:vMerge w:val="continue"/>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14</w:t>
            </w: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(40)</w:t>
            </w:r>
          </w:p>
        </w:tc>
        <w:tc>
          <w:tcPr>
            <w:tcW w:w="520" w:type="dxa"/>
            <w:vAlign w:val="bottom"/>
            <w:vMerge w:val="continue"/>
            <w:shd w:val="clear" w:color="auto" w:fill="CCEEFF"/>
          </w:tcPr>
          <w:p>
            <w:pPr>
              <w:spacing w:after="0"/>
              <w:rPr>
                <w:sz w:val="17"/>
                <w:szCs w:val="17"/>
                <w:color w:val="auto"/>
              </w:rPr>
            </w:pPr>
          </w:p>
        </w:tc>
        <w:tc>
          <w:tcPr>
            <w:tcW w:w="10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Volume</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39</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Internal revenue growth</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Acquisition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196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Divestitures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0.0%</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Foreign currency translation</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(3)</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192</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2"/>
          </w:tcPr>
          <w:p>
            <w:pPr>
              <w:jc w:val="center"/>
              <w:ind w:right="740"/>
              <w:spacing w:after="0"/>
              <w:rPr>
                <w:sz w:val="20"/>
                <w:szCs w:val="20"/>
                <w:color w:val="auto"/>
              </w:rPr>
            </w:pPr>
            <w:r>
              <w:rPr>
                <w:rFonts w:ascii="Arial" w:cs="Arial" w:eastAsia="Arial" w:hAnsi="Arial"/>
                <w:sz w:val="14"/>
                <w:szCs w:val="14"/>
                <w:color w:val="auto"/>
                <w:w w:val="86"/>
              </w:rPr>
              <w:t>As a % of</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color w:val="auto"/>
                <w:w w:val="86"/>
              </w:rPr>
              <w:t>As a %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2"/>
              </w:rPr>
              <w:t>Related</w:t>
            </w: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2"/>
              </w:rPr>
              <w:t>Related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gridSpan w:val="3"/>
          </w:tcPr>
          <w:p>
            <w:pPr>
              <w:jc w:val="center"/>
              <w:ind w:right="280"/>
              <w:spacing w:after="0" w:line="159" w:lineRule="exact"/>
              <w:rPr>
                <w:sz w:val="20"/>
                <w:szCs w:val="20"/>
                <w:color w:val="auto"/>
              </w:rPr>
            </w:pPr>
            <w:r>
              <w:rPr>
                <w:rFonts w:ascii="Arial" w:cs="Arial" w:eastAsia="Arial" w:hAnsi="Arial"/>
                <w:sz w:val="14"/>
                <w:szCs w:val="14"/>
                <w:color w:val="auto"/>
                <w:w w:val="91"/>
              </w:rPr>
              <w:t>Amount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2"/>
          </w:tcPr>
          <w:p>
            <w:pPr>
              <w:jc w:val="center"/>
              <w:ind w:right="740"/>
              <w:spacing w:after="0" w:line="159" w:lineRule="exact"/>
              <w:rPr>
                <w:sz w:val="20"/>
                <w:szCs w:val="20"/>
                <w:color w:val="auto"/>
              </w:rPr>
            </w:pPr>
            <w:r>
              <w:rPr>
                <w:rFonts w:ascii="Arial" w:cs="Arial" w:eastAsia="Arial" w:hAnsi="Arial"/>
                <w:sz w:val="14"/>
                <w:szCs w:val="14"/>
                <w:color w:val="auto"/>
                <w:w w:val="84"/>
              </w:rPr>
              <w:t>Business</w:t>
            </w:r>
          </w:p>
        </w:tc>
        <w:tc>
          <w:tcPr>
            <w:tcW w:w="1120" w:type="dxa"/>
            <w:vAlign w:val="bottom"/>
            <w:gridSpan w:val="3"/>
          </w:tcPr>
          <w:p>
            <w:pPr>
              <w:jc w:val="center"/>
              <w:ind w:right="520"/>
              <w:spacing w:after="0" w:line="159" w:lineRule="exact"/>
              <w:rPr>
                <w:sz w:val="20"/>
                <w:szCs w:val="20"/>
                <w:color w:val="auto"/>
              </w:rPr>
            </w:pPr>
            <w:r>
              <w:rPr>
                <w:rFonts w:ascii="Arial" w:cs="Arial" w:eastAsia="Arial" w:hAnsi="Arial"/>
                <w:sz w:val="14"/>
                <w:szCs w:val="14"/>
                <w:color w:val="auto"/>
                <w:w w:val="91"/>
              </w:rPr>
              <w:t>Amount</w:t>
            </w:r>
          </w:p>
        </w:tc>
        <w:tc>
          <w:tcPr>
            <w:tcW w:w="104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4"/>
              </w:rPr>
              <w:t>Business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CCEEFF"/>
            </w:tcBorders>
            <w:gridSpan w:val="4"/>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8"/>
                <w:szCs w:val="18"/>
                <w:color w:val="auto"/>
              </w:rPr>
              <w:t>Average yield</w:t>
            </w: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1280"/>
              <w:spacing w:after="0"/>
              <w:rPr>
                <w:sz w:val="20"/>
                <w:szCs w:val="20"/>
                <w:color w:val="auto"/>
              </w:rPr>
            </w:pPr>
            <w:r>
              <w:rPr>
                <w:rFonts w:ascii="Arial" w:cs="Arial" w:eastAsia="Arial" w:hAnsi="Arial"/>
                <w:sz w:val="18"/>
                <w:szCs w:val="18"/>
                <w:color w:val="auto"/>
              </w:rPr>
              <w:t>Collection, landfill and transfer</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26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1280"/>
              <w:spacing w:after="0"/>
              <w:rPr>
                <w:sz w:val="20"/>
                <w:szCs w:val="20"/>
                <w:color w:val="auto"/>
              </w:rPr>
            </w:pPr>
            <w:r>
              <w:rPr>
                <w:rFonts w:ascii="Arial" w:cs="Arial" w:eastAsia="Arial" w:hAnsi="Arial"/>
                <w:sz w:val="18"/>
                <w:szCs w:val="18"/>
                <w:color w:val="auto"/>
              </w:rPr>
              <w:t>Waste-to-energy disposal</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4"/>
          </w:tcPr>
          <w:p>
            <w:pPr>
              <w:ind w:left="860"/>
              <w:spacing w:after="0"/>
              <w:rPr>
                <w:sz w:val="20"/>
                <w:szCs w:val="20"/>
                <w:color w:val="auto"/>
              </w:rPr>
            </w:pPr>
            <w:r>
              <w:rPr>
                <w:rFonts w:ascii="Arial" w:cs="Arial" w:eastAsia="Arial" w:hAnsi="Arial"/>
                <w:sz w:val="18"/>
                <w:szCs w:val="18"/>
                <w:color w:val="auto"/>
              </w:rPr>
              <w:t>Collection and disposal</w:t>
            </w: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5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Recycling commodities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-11.5%</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tcPr>
          <w:p>
            <w:pPr>
              <w:ind w:left="860"/>
              <w:spacing w:after="0"/>
              <w:rPr>
                <w:sz w:val="20"/>
                <w:szCs w:val="20"/>
                <w:color w:val="auto"/>
              </w:rPr>
            </w:pPr>
            <w:r>
              <w:rPr>
                <w:rFonts w:ascii="Arial" w:cs="Arial" w:eastAsia="Arial" w:hAnsi="Arial"/>
                <w:sz w:val="18"/>
                <w:szCs w:val="18"/>
                <w:color w:val="auto"/>
              </w:rPr>
              <w:t>Electricity</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ind w:left="860"/>
              <w:spacing w:after="0"/>
              <w:rPr>
                <w:sz w:val="20"/>
                <w:szCs w:val="20"/>
                <w:color w:val="auto"/>
              </w:rPr>
            </w:pPr>
            <w:r>
              <w:rPr>
                <w:rFonts w:ascii="Arial" w:cs="Arial" w:eastAsia="Arial" w:hAnsi="Arial"/>
                <w:sz w:val="18"/>
                <w:szCs w:val="18"/>
                <w:color w:val="auto"/>
              </w:rPr>
              <w:t>Fuel surcharges and mandated fees</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5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4"/>
          </w:tcPr>
          <w:p>
            <w:pPr>
              <w:ind w:left="420"/>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(40)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w w:val="93"/>
              </w:rPr>
              <w:t>Quarters Ended March 31,</w:t>
            </w: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30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35"/>
              <w:spacing w:after="0" w:line="142" w:lineRule="exact"/>
              <w:rPr>
                <w:sz w:val="20"/>
                <w:szCs w:val="20"/>
                <w:color w:val="auto"/>
              </w:rPr>
            </w:pPr>
            <w:r>
              <w:rPr>
                <w:rFonts w:ascii="Arial" w:cs="Arial" w:eastAsia="Arial" w:hAnsi="Arial"/>
                <w:sz w:val="14"/>
                <w:szCs w:val="14"/>
                <w:b w:val="1"/>
                <w:bCs w:val="1"/>
                <w:color w:val="auto"/>
                <w:w w:val="89"/>
              </w:rPr>
              <w:t>2013</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9"/>
              </w:rPr>
              <w:t>2012</w:t>
            </w:r>
          </w:p>
        </w:tc>
        <w:tc>
          <w:tcPr>
            <w:tcW w:w="6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380" w:type="dxa"/>
            <w:vAlign w:val="bottom"/>
            <w:gridSpan w:val="4"/>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Free Cash Flow Analysis (c)</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3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577</w:t>
            </w:r>
          </w:p>
        </w:tc>
        <w:tc>
          <w:tcPr>
            <w:tcW w:w="280" w:type="dxa"/>
            <w:vAlign w:val="bottom"/>
          </w:tcPr>
          <w:p>
            <w:pPr>
              <w:spacing w:after="0"/>
              <w:rPr>
                <w:sz w:val="18"/>
                <w:szCs w:val="18"/>
                <w:color w:val="auto"/>
              </w:rPr>
            </w:pP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475</w:t>
            </w: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4"/>
          </w:tcPr>
          <w:p>
            <w:pPr>
              <w:spacing w:after="0"/>
              <w:rPr>
                <w:sz w:val="20"/>
                <w:szCs w:val="20"/>
                <w:color w:val="auto"/>
              </w:rPr>
            </w:pPr>
            <w:r>
              <w:rPr>
                <w:rFonts w:ascii="Arial" w:cs="Arial" w:eastAsia="Arial" w:hAnsi="Arial"/>
                <w:sz w:val="18"/>
                <w:szCs w:val="18"/>
                <w:color w:val="auto"/>
                <w:w w:val="89"/>
              </w:rPr>
              <w:t>Proceeds from divestitures of businesses (net of cash divested) and other sales of assets</w:t>
            </w: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240" w:hanging="452"/>
        <w:spacing w:after="0" w:line="25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Revenues subsequent to the first quarter of 2012 resulting from subcontracting work for our National Accounts customers has been reclassified from our Commercial Collection line of business to our Other line of business.</w:t>
      </w: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Intercompany revenues between lines of business are eliminated within the Condensed Consolidated Financial Statements included herein.</w:t>
      </w:r>
    </w:p>
    <w:p>
      <w:pPr>
        <w:spacing w:after="0" w:line="32" w:lineRule="exact"/>
        <w:rPr>
          <w:rFonts w:ascii="Arial" w:cs="Arial" w:eastAsia="Arial" w:hAnsi="Arial"/>
          <w:sz w:val="16"/>
          <w:szCs w:val="16"/>
          <w:color w:val="auto"/>
        </w:rPr>
      </w:pPr>
    </w:p>
    <w:p>
      <w:pPr>
        <w:ind w:left="460" w:right="260" w:hanging="452"/>
        <w:spacing w:after="0" w:line="255"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ectPr>
          <w:pgSz w:w="11900" w:h="16838" w:orient="portrait"/>
          <w:cols w:equalWidth="0" w:num="1">
            <w:col w:w="11420"/>
          </w:cols>
          <w:pgMar w:left="240" w:top="274"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4"/>
                <w:szCs w:val="14"/>
                <w:b w:val="1"/>
                <w:bCs w:val="1"/>
                <w:color w:val="auto"/>
                <w:w w:val="89"/>
              </w:rPr>
              <w:t>Quarters Ended</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94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1"/>
                <w:szCs w:val="11"/>
                <w:color w:val="auto"/>
              </w:rPr>
            </w:pPr>
          </w:p>
        </w:tc>
        <w:tc>
          <w:tcPr>
            <w:tcW w:w="13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December 31,</w:t>
            </w:r>
          </w:p>
        </w:tc>
        <w:tc>
          <w:tcPr>
            <w:tcW w:w="6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March 31,</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1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2013</w:t>
            </w: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2012</w:t>
            </w:r>
          </w:p>
        </w:tc>
        <w:tc>
          <w:tcPr>
            <w:tcW w:w="6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802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Balance Sheet Data</w:t>
            </w: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307</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Long-term indebtedness, including current portion</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10,009</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9,916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6,675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860"/>
              <w:spacing w:after="0"/>
              <w:rPr>
                <w:sz w:val="20"/>
                <w:szCs w:val="20"/>
                <w:color w:val="auto"/>
              </w:rPr>
            </w:pPr>
            <w:r>
              <w:rPr>
                <w:rFonts w:ascii="Arial" w:cs="Arial" w:eastAsia="Arial" w:hAnsi="Arial"/>
                <w:sz w:val="18"/>
                <w:szCs w:val="18"/>
                <w:color w:val="auto"/>
              </w:rPr>
              <w:t>Total capital</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16,725</w:t>
            </w:r>
          </w:p>
        </w:tc>
        <w:tc>
          <w:tcPr>
            <w:tcW w:w="34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16,591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16,330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Debt-to-total capital</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59.8%</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60.3%</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Capitalized interest</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6"/>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802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Acquisition Summary (a)</w:t>
            </w: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CCEEFF"/>
          </w:tcPr>
          <w:p>
            <w:pPr>
              <w:spacing w:after="0" w:line="20" w:lineRule="exact"/>
              <w:rPr>
                <w:sz w:val="1"/>
                <w:szCs w:val="1"/>
                <w:color w:val="auto"/>
              </w:rPr>
            </w:pPr>
          </w:p>
        </w:tc>
        <w:tc>
          <w:tcPr>
            <w:tcW w:w="484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Gross annualized revenue acquired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226</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consideration</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420"/>
              <w:spacing w:after="0"/>
              <w:rPr>
                <w:sz w:val="20"/>
                <w:szCs w:val="20"/>
                <w:color w:val="auto"/>
              </w:rPr>
            </w:pPr>
            <w:r>
              <w:rPr>
                <w:rFonts w:ascii="Arial" w:cs="Arial" w:eastAsia="Arial" w:hAnsi="Arial"/>
                <w:sz w:val="18"/>
                <w:szCs w:val="18"/>
                <w:color w:val="auto"/>
              </w:rPr>
              <w:t>Cash paid for acquisitions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8020" w:type="dxa"/>
            <w:vAlign w:val="bottom"/>
            <w:gridSpan w:val="5"/>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180</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1800" w:type="dxa"/>
            <w:vAlign w:val="bottom"/>
            <w:tcBorders>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b w:val="1"/>
                <w:bCs w:val="1"/>
                <w:color w:val="auto"/>
                <w:w w:val="90"/>
              </w:rPr>
              <w:t>Other Operational Data</w:t>
            </w:r>
          </w:p>
        </w:tc>
        <w:tc>
          <w:tcPr>
            <w:tcW w:w="6220" w:type="dxa"/>
            <w:vAlign w:val="bottom"/>
            <w:tcBorders>
              <w:bottom w:val="single" w:sz="8" w:color="CCEEFF"/>
            </w:tcBorders>
            <w:gridSpan w:val="3"/>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Internalization of waste, based on disposal costs</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67.2%</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67.0%</w:t>
            </w: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tcPr>
          <w:p>
            <w:pPr>
              <w:spacing w:after="0"/>
              <w:rPr>
                <w:sz w:val="2"/>
                <w:szCs w:val="2"/>
                <w:color w:val="auto"/>
              </w:rPr>
            </w:pPr>
          </w:p>
        </w:tc>
        <w:tc>
          <w:tcPr>
            <w:tcW w:w="48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Total disposal volumes (tons in millions)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25.6</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color w:val="auto"/>
              </w:rPr>
              <w:t>Active landfills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04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269</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256</w:t>
            </w:r>
          </w:p>
        </w:tc>
        <w:tc>
          <w:tcPr>
            <w:tcW w:w="0" w:type="dxa"/>
            <w:vAlign w:val="bottom"/>
          </w:tcPr>
          <w:p>
            <w:pPr>
              <w:spacing w:after="0"/>
              <w:rPr>
                <w:sz w:val="1"/>
                <w:szCs w:val="1"/>
                <w:color w:val="auto"/>
              </w:rPr>
            </w:pPr>
          </w:p>
        </w:tc>
      </w:tr>
      <w:tr>
        <w:trPr>
          <w:trHeight w:val="20"/>
        </w:trPr>
        <w:tc>
          <w:tcPr>
            <w:tcW w:w="8040" w:type="dxa"/>
            <w:vAlign w:val="bottom"/>
            <w:gridSpan w:val="6"/>
            <w:vMerge w:val="restart"/>
          </w:tcPr>
          <w:p>
            <w:pPr>
              <w:spacing w:after="0"/>
              <w:rPr>
                <w:sz w:val="20"/>
                <w:szCs w:val="20"/>
                <w:color w:val="auto"/>
              </w:rPr>
            </w:pPr>
            <w:r>
              <w:rPr>
                <w:rFonts w:ascii="Arial" w:cs="Arial" w:eastAsia="Arial" w:hAnsi="Arial"/>
                <w:sz w:val="18"/>
                <w:szCs w:val="18"/>
                <w:b w:val="1"/>
                <w:bCs w:val="1"/>
                <w:color w:val="auto"/>
              </w:rPr>
              <w:t>Amortization, Accretion and Other Expenses for Landfills Included in Operating Groups: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040" w:type="dxa"/>
            <w:vAlign w:val="bottom"/>
            <w:gridSpan w:val="6"/>
            <w:vMerge w:val="continue"/>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840" w:type="dxa"/>
            <w:vAlign w:val="bottom"/>
            <w:tcBorders>
              <w:top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Landfill amortization expense -</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tcPr>
          <w:p>
            <w:pPr>
              <w:ind w:left="420"/>
              <w:spacing w:after="0"/>
              <w:rPr>
                <w:sz w:val="20"/>
                <w:szCs w:val="20"/>
                <w:color w:val="auto"/>
              </w:rPr>
            </w:pPr>
            <w:r>
              <w:rPr>
                <w:rFonts w:ascii="Arial" w:cs="Arial" w:eastAsia="Arial" w:hAnsi="Arial"/>
                <w:sz w:val="18"/>
                <w:szCs w:val="18"/>
                <w:color w:val="auto"/>
              </w:rPr>
              <w:t>Cost basis of landfill assets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80.9</w:t>
            </w:r>
          </w:p>
        </w:tc>
        <w:tc>
          <w:tcPr>
            <w:tcW w:w="340" w:type="dxa"/>
            <w:vAlign w:val="bottom"/>
          </w:tcPr>
          <w:p>
            <w:pPr>
              <w:spacing w:after="0"/>
              <w:rPr>
                <w:sz w:val="18"/>
                <w:szCs w:val="18"/>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86.2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Asset retirement costs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860"/>
              <w:spacing w:after="0"/>
              <w:rPr>
                <w:sz w:val="20"/>
                <w:szCs w:val="20"/>
                <w:color w:val="auto"/>
              </w:rPr>
            </w:pPr>
            <w:r>
              <w:rPr>
                <w:rFonts w:ascii="Arial" w:cs="Arial" w:eastAsia="Arial" w:hAnsi="Arial"/>
                <w:sz w:val="18"/>
                <w:szCs w:val="18"/>
                <w:color w:val="auto"/>
              </w:rPr>
              <w:t>Total landfill amortization expense (b)(c)</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95.5</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Accretion and other related expense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gridSpan w:val="5"/>
            <w:vMerge w:val="restart"/>
          </w:tcPr>
          <w:p>
            <w:pPr>
              <w:ind w:left="420"/>
              <w:spacing w:after="0"/>
              <w:rPr>
                <w:sz w:val="20"/>
                <w:szCs w:val="20"/>
                <w:color w:val="auto"/>
              </w:rPr>
            </w:pPr>
            <w:r>
              <w:rPr>
                <w:rFonts w:ascii="Arial" w:cs="Arial" w:eastAsia="Arial" w:hAnsi="Arial"/>
                <w:sz w:val="18"/>
                <w:szCs w:val="18"/>
                <w:color w:val="auto"/>
              </w:rPr>
              <w:t>Landfill amortization, accretion and other related expense</w:t>
            </w: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020" w:type="dxa"/>
            <w:vAlign w:val="bottom"/>
            <w:gridSpan w:val="5"/>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115.1</w:t>
            </w:r>
          </w:p>
        </w:tc>
        <w:tc>
          <w:tcPr>
            <w:tcW w:w="340" w:type="dxa"/>
            <w:vAlign w:val="bottom"/>
          </w:tcPr>
          <w:p>
            <w:pPr>
              <w:spacing w:after="0"/>
              <w:rPr>
                <w:sz w:val="19"/>
                <w:szCs w:val="19"/>
                <w:color w:val="auto"/>
              </w:rPr>
            </w:pPr>
          </w:p>
        </w:tc>
        <w:tc>
          <w:tcPr>
            <w:tcW w:w="4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460" w:right="60" w:hanging="452"/>
        <w:spacing w:after="0" w:line="254"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 Note that cash paid for acquisitions may include cash payments for business acquisitions consummated in prior quarters.</w:t>
      </w:r>
    </w:p>
    <w:p>
      <w:pPr>
        <w:ind w:left="460" w:right="20" w:hanging="452"/>
        <w:spacing w:after="0" w:line="281" w:lineRule="auto"/>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quarter ended March 31, 2013 as compared to the quarter ended December 31, 2012 reflects an increase in amortization expense of approximately $4.3 million due to changes in landfill estimates identified in both quarters partially offset by a decline in volumes primarily due to seasonality.</w:t>
      </w:r>
    </w:p>
    <w:p>
      <w:pPr>
        <w:spacing w:after="0" w:line="1" w:lineRule="exact"/>
        <w:rPr>
          <w:rFonts w:ascii="Arial" w:cs="Arial" w:eastAsia="Arial" w:hAnsi="Arial"/>
          <w:sz w:val="16"/>
          <w:szCs w:val="16"/>
          <w:color w:val="auto"/>
        </w:rPr>
      </w:pPr>
    </w:p>
    <w:p>
      <w:pPr>
        <w:ind w:left="460" w:right="280" w:hanging="452"/>
        <w:spacing w:after="0" w:line="261"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quarter ended March 31, 2013 as compared to the quarter ended March 31, 2012 reflects an increase in amortization expense of approximately $5.4 million driven by an increase in landfill volumes and changes in landfill estimates identified in both quarters.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ectPr>
          <w:pgSz w:w="11900" w:h="16838" w:orient="portrait"/>
          <w:cols w:equalWidth="0" w:num="1">
            <w:col w:w="11420"/>
          </w:cols>
          <w:pgMar w:left="240" w:top="274" w:right="239" w:bottom="1440" w:gutter="0" w:footer="0" w:header="0"/>
        </w:sectPr>
      </w:pPr>
    </w:p>
    <w:bookmarkStart w:id="13" w:name="page14"/>
    <w:bookmarkEnd w:id="13"/>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Waste Management,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(Dollars In Millions, Except Per Share Amounts)</w:t>
      </w:r>
    </w:p>
    <w:p>
      <w:pPr>
        <w:spacing w:after="0" w:line="3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360"/>
          </w:cols>
          <w:pgMar w:left="240" w:top="274"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Net Income and Diluted EPS: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Asset impairments and unusual items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EPS, as adjusted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Earnings Per Diluted Share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EPS, as reported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Net Income and Diluted EPS:</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440"/>
        <w:spacing w:after="0"/>
        <w:rPr>
          <w:sz w:val="20"/>
          <w:szCs w:val="20"/>
          <w:color w:val="auto"/>
        </w:rPr>
      </w:pPr>
      <w:r>
        <w:rPr>
          <w:rFonts w:ascii="Arial" w:cs="Arial" w:eastAsia="Arial" w:hAnsi="Arial"/>
          <w:sz w:val="18"/>
          <w:szCs w:val="18"/>
          <w:color w:val="auto"/>
        </w:rPr>
        <w:t>Integration costs associated with the acquired Oakleaf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2466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and Diluted EPS, as adjusted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Year 2013 Free Cash Flow Reconciliation (c)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6706235" cy="1460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06235"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Capital expenditures</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Proceeds from divestitures of businesses (net of cash divested) and other sales of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6706235"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0623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960"/>
        <w:spacing w:after="0"/>
        <w:rPr>
          <w:sz w:val="20"/>
          <w:szCs w:val="20"/>
          <w:color w:val="auto"/>
        </w:rPr>
      </w:pPr>
      <w:r>
        <w:rPr>
          <w:rFonts w:ascii="Arial" w:cs="Arial" w:eastAsia="Arial" w:hAnsi="Arial"/>
          <w:sz w:val="14"/>
          <w:szCs w:val="14"/>
          <w:b w:val="1"/>
          <w:bCs w:val="1"/>
          <w:color w:val="auto"/>
        </w:rPr>
        <w:t>Quarter Ended</w:t>
      </w:r>
    </w:p>
    <w:p>
      <w:pPr>
        <w:ind w:left="960"/>
        <w:spacing w:after="0" w:line="221" w:lineRule="auto"/>
        <w:rPr>
          <w:sz w:val="20"/>
          <w:szCs w:val="20"/>
          <w:color w:val="auto"/>
        </w:rPr>
      </w:pPr>
      <w:r>
        <w:rPr>
          <w:rFonts w:ascii="Arial" w:cs="Arial" w:eastAsia="Arial" w:hAnsi="Arial"/>
          <w:sz w:val="14"/>
          <w:szCs w:val="14"/>
          <w:b w:val="1"/>
          <w:bCs w:val="1"/>
          <w:color w:val="auto"/>
        </w:rPr>
        <w:t>March 31, 2013</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2"/>
              </w:rPr>
              <w:t>Tax</w:t>
            </w:r>
          </w:p>
        </w:tc>
        <w:tc>
          <w:tcPr>
            <w:tcW w:w="180" w:type="dxa"/>
            <w:vAlign w:val="bottom"/>
            <w:tcBorders>
              <w:top w:val="single" w:sz="8" w:color="auto"/>
            </w:tcBorders>
          </w:tcPr>
          <w:p>
            <w:pPr>
              <w:spacing w:after="0"/>
              <w:rPr>
                <w:sz w:val="11"/>
                <w:szCs w:val="11"/>
                <w:color w:val="auto"/>
              </w:rPr>
            </w:pPr>
          </w:p>
        </w:tc>
        <w:tc>
          <w:tcPr>
            <w:tcW w:w="40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After-tax</w:t>
            </w:r>
          </w:p>
        </w:tc>
        <w:tc>
          <w:tcPr>
            <w:tcW w:w="28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(Expense) /</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4"/>
              </w:rPr>
              <w:t>Benefit</w:t>
            </w:r>
          </w:p>
        </w:tc>
        <w:tc>
          <w:tcPr>
            <w:tcW w:w="48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b w:val="1"/>
                <w:bCs w:val="1"/>
                <w:color w:val="auto"/>
                <w:w w:val="86"/>
              </w:rPr>
              <w:t>0.36(b)</w:t>
            </w: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0.04</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186</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ind w:left="100"/>
              <w:spacing w:after="0"/>
              <w:rPr>
                <w:sz w:val="20"/>
                <w:szCs w:val="20"/>
                <w:color w:val="auto"/>
              </w:rPr>
            </w:pPr>
            <w:r>
              <w:rPr>
                <w:rFonts w:ascii="Arial" w:cs="Arial" w:eastAsia="Arial" w:hAnsi="Arial"/>
                <w:sz w:val="18"/>
                <w:szCs w:val="18"/>
                <w:b w:val="1"/>
                <w:bCs w:val="1"/>
                <w:color w:val="auto"/>
                <w:w w:val="79"/>
              </w:rPr>
              <w:t>0.40</w:t>
            </w:r>
          </w:p>
        </w:tc>
        <w:tc>
          <w:tcPr>
            <w:tcW w:w="220" w:type="dxa"/>
            <w:vAlign w:val="bottom"/>
          </w:tcPr>
          <w:p>
            <w:pPr>
              <w:spacing w:after="0"/>
              <w:rPr>
                <w:sz w:val="20"/>
                <w:szCs w:val="20"/>
                <w:color w:val="auto"/>
              </w:rPr>
            </w:pPr>
            <w:r>
              <w:rPr>
                <w:rFonts w:ascii="Arial" w:cs="Arial" w:eastAsia="Arial" w:hAnsi="Arial"/>
                <w:sz w:val="18"/>
                <w:szCs w:val="18"/>
                <w:b w:val="1"/>
                <w:bCs w:val="1"/>
                <w:color w:val="auto"/>
                <w:w w:val="86"/>
              </w:rPr>
              <w:t>(b)</w:t>
            </w:r>
          </w:p>
        </w:tc>
        <w:tc>
          <w:tcPr>
            <w:tcW w:w="0" w:type="dxa"/>
            <w:vAlign w:val="bottom"/>
          </w:tcPr>
          <w:p>
            <w:pPr>
              <w:spacing w:after="0"/>
              <w:rPr>
                <w:sz w:val="1"/>
                <w:szCs w:val="1"/>
                <w:color w:val="auto"/>
              </w:rPr>
            </w:pP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0"/>
              </w:rPr>
              <w:t>Quarter Ended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4"/>
            <w:vMerge w:val="continue"/>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4"/>
                <w:szCs w:val="14"/>
                <w:b w:val="1"/>
                <w:bCs w:val="1"/>
                <w:color w:val="auto"/>
                <w:w w:val="90"/>
              </w:rPr>
              <w:t>March 31, 2012</w:t>
            </w:r>
          </w:p>
        </w:tc>
        <w:tc>
          <w:tcPr>
            <w:tcW w:w="1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gridSpan w:val="2"/>
          </w:tcPr>
          <w:p>
            <w:pPr>
              <w:jc w:val="center"/>
              <w:ind w:right="580"/>
              <w:spacing w:after="0" w:line="129" w:lineRule="exact"/>
              <w:rPr>
                <w:sz w:val="20"/>
                <w:szCs w:val="20"/>
                <w:color w:val="auto"/>
              </w:rPr>
            </w:pPr>
            <w:r>
              <w:rPr>
                <w:rFonts w:ascii="Arial" w:cs="Arial" w:eastAsia="Arial" w:hAnsi="Arial"/>
                <w:sz w:val="14"/>
                <w:szCs w:val="14"/>
                <w:b w:val="1"/>
                <w:bCs w:val="1"/>
                <w:color w:val="auto"/>
                <w:w w:val="82"/>
              </w:rPr>
              <w:t>Tax</w:t>
            </w: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After-tax</w:t>
            </w:r>
          </w:p>
        </w:tc>
        <w:tc>
          <w:tcPr>
            <w:tcW w:w="280" w:type="dxa"/>
            <w:vAlign w:val="bottom"/>
          </w:tcPr>
          <w:p>
            <w:pPr>
              <w:spacing w:after="0"/>
              <w:rPr>
                <w:sz w:val="12"/>
                <w:szCs w:val="12"/>
                <w:color w:val="auto"/>
              </w:rPr>
            </w:pPr>
          </w:p>
        </w:tc>
        <w:tc>
          <w:tcPr>
            <w:tcW w:w="112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(Expense) /</w:t>
            </w: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161"/>
        </w:trPr>
        <w:tc>
          <w:tcPr>
            <w:tcW w:w="6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220" w:type="dxa"/>
            <w:vAlign w:val="bottom"/>
            <w:gridSpan w:val="2"/>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4"/>
              </w:rPr>
              <w:t>Benefit</w:t>
            </w:r>
          </w:p>
        </w:tc>
        <w:tc>
          <w:tcPr>
            <w:tcW w:w="480" w:type="dxa"/>
            <w:vAlign w:val="bottom"/>
          </w:tcPr>
          <w:p>
            <w:pPr>
              <w:spacing w:after="0"/>
              <w:rPr>
                <w:sz w:val="14"/>
                <w:szCs w:val="14"/>
                <w:color w:val="auto"/>
              </w:rPr>
            </w:pPr>
          </w:p>
        </w:tc>
        <w:tc>
          <w:tcPr>
            <w:tcW w:w="5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ind w:left="100"/>
              <w:spacing w:after="0"/>
              <w:rPr>
                <w:sz w:val="20"/>
                <w:szCs w:val="20"/>
                <w:color w:val="auto"/>
              </w:rPr>
            </w:pPr>
            <w:r>
              <w:rPr>
                <w:rFonts w:ascii="Arial" w:cs="Arial" w:eastAsia="Arial" w:hAnsi="Arial"/>
                <w:sz w:val="18"/>
                <w:szCs w:val="18"/>
                <w:b w:val="1"/>
                <w:bCs w:val="1"/>
                <w:color w:val="auto"/>
                <w:w w:val="86"/>
              </w:rPr>
              <w:t>0.37(b)</w:t>
            </w:r>
          </w:p>
        </w:tc>
        <w:tc>
          <w:tcPr>
            <w:tcW w:w="0" w:type="dxa"/>
            <w:vAlign w:val="bottom"/>
          </w:tcPr>
          <w:p>
            <w:pPr>
              <w:spacing w:after="0"/>
              <w:rPr>
                <w:sz w:val="1"/>
                <w:szCs w:val="1"/>
                <w:color w:val="auto"/>
              </w:rPr>
            </w:pPr>
          </w:p>
        </w:tc>
      </w:tr>
      <w:tr>
        <w:trPr>
          <w:trHeight w:val="519"/>
        </w:trPr>
        <w:tc>
          <w:tcPr>
            <w:tcW w:w="120" w:type="dxa"/>
            <w:vAlign w:val="bottom"/>
          </w:tcPr>
          <w:p>
            <w:pPr>
              <w:spacing w:after="0"/>
              <w:rPr>
                <w:sz w:val="24"/>
                <w:szCs w:val="24"/>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right"/>
              <w:ind w:right="48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79"/>
              </w:rPr>
              <w:t>0.01</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79"/>
              </w:rPr>
              <w:t>0.38</w:t>
            </w:r>
          </w:p>
        </w:tc>
        <w:tc>
          <w:tcPr>
            <w:tcW w:w="220" w:type="dxa"/>
            <w:vAlign w:val="bottom"/>
          </w:tcPr>
          <w:p>
            <w:pPr>
              <w:spacing w:after="0"/>
              <w:rPr>
                <w:sz w:val="20"/>
                <w:szCs w:val="20"/>
                <w:color w:val="auto"/>
              </w:rPr>
            </w:pPr>
            <w:r>
              <w:rPr>
                <w:rFonts w:ascii="Arial" w:cs="Arial" w:eastAsia="Arial" w:hAnsi="Arial"/>
                <w:sz w:val="18"/>
                <w:szCs w:val="18"/>
                <w:b w:val="1"/>
                <w:bCs w:val="1"/>
                <w:color w:val="auto"/>
                <w:w w:val="86"/>
              </w:rPr>
              <w:t>(b)</w:t>
            </w:r>
          </w:p>
        </w:tc>
        <w:tc>
          <w:tcPr>
            <w:tcW w:w="0" w:type="dxa"/>
            <w:vAlign w:val="bottom"/>
          </w:tcPr>
          <w:p>
            <w:pPr>
              <w:spacing w:after="0"/>
              <w:rPr>
                <w:sz w:val="1"/>
                <w:szCs w:val="1"/>
                <w:color w:val="auto"/>
              </w:rPr>
            </w:pPr>
          </w:p>
        </w:tc>
      </w:tr>
      <w:tr>
        <w:trPr>
          <w:trHeight w:val="20"/>
        </w:trPr>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7"/>
        </w:trPr>
        <w:tc>
          <w:tcPr>
            <w:tcW w:w="820" w:type="dxa"/>
            <w:vAlign w:val="bottom"/>
            <w:gridSpan w:val="4"/>
          </w:tcPr>
          <w:p>
            <w:pPr>
              <w:spacing w:after="0"/>
              <w:rPr>
                <w:sz w:val="20"/>
                <w:szCs w:val="20"/>
                <w:color w:val="auto"/>
              </w:rPr>
            </w:pPr>
            <w:r>
              <w:rPr>
                <w:rFonts w:ascii="Arial" w:cs="Arial" w:eastAsia="Arial" w:hAnsi="Arial"/>
                <w:sz w:val="14"/>
                <w:szCs w:val="14"/>
                <w:b w:val="1"/>
                <w:bCs w:val="1"/>
                <w:color w:val="auto"/>
              </w:rPr>
              <w:t>Scenario 1</w:t>
            </w:r>
          </w:p>
        </w:tc>
        <w:tc>
          <w:tcPr>
            <w:tcW w:w="280" w:type="dxa"/>
            <w:vAlign w:val="bottom"/>
          </w:tcPr>
          <w:p>
            <w:pPr>
              <w:spacing w:after="0"/>
              <w:rPr>
                <w:sz w:val="24"/>
                <w:szCs w:val="24"/>
                <w:color w:val="auto"/>
              </w:rPr>
            </w:pPr>
          </w:p>
        </w:tc>
        <w:tc>
          <w:tcPr>
            <w:tcW w:w="112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4"/>
              </w:rPr>
              <w:t>Scenario 2</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1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2,500</w:t>
            </w: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8"/>
                <w:szCs w:val="18"/>
                <w:color w:val="auto"/>
                <w:w w:val="91"/>
              </w:rPr>
              <w:t>(1,400)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8"/>
                <w:szCs w:val="18"/>
                <w:color w:val="auto"/>
              </w:rPr>
              <w:t>(1,300)</w:t>
            </w: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7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1,100</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1,200</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620" w:space="720"/>
            <w:col w:w="3020"/>
          </w:cols>
          <w:pgMar w:left="240" w:top="274" w:right="299" w:bottom="1440" w:gutter="0" w:footer="0" w:header="0"/>
          <w:type w:val="continuous"/>
        </w:sectPr>
      </w:pPr>
    </w:p>
    <w:p>
      <w:pPr>
        <w:spacing w:after="0" w:line="8" w:lineRule="exact"/>
        <w:rPr>
          <w:sz w:val="20"/>
          <w:szCs w:val="20"/>
          <w:color w:val="auto"/>
        </w:rPr>
      </w:pPr>
    </w:p>
    <w:p>
      <w:pPr>
        <w:ind w:left="460" w:right="40" w:hanging="452"/>
        <w:spacing w:after="0" w:line="254"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Includes impairment charges associated with certain of our investments in unconsolidated entities that are included in the “Other, net” financial caption, as well as net charges in the “Asset Impairments and Unusual Items” financial caption.</w:t>
      </w:r>
    </w:p>
    <w:p>
      <w:pPr>
        <w:ind w:left="460" w:hanging="452"/>
        <w:spacing w:after="0" w:line="250"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As reported, earnings per diluted share declined 2.7% in the first quarter of 2013 as compared with the first quarter of 2012; whereas, adjusted earnings per diluted share grew 5.3% in the first quarter of 2013 as compared with the first quarter of 2012.</w:t>
      </w:r>
    </w:p>
    <w:p>
      <w:pPr>
        <w:ind w:left="460" w:right="280" w:hanging="452"/>
        <w:spacing w:after="0" w:line="261" w:lineRule="auto"/>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reconciliation illustrates two scenarios that show our projected free cash flow for 2013. The amounts used in the reconciliation are subject to many variables, some of which are not under our control and, therefore, are not necessarily indicative of actual results.</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w:t>
      </w:r>
    </w:p>
    <w:sectPr>
      <w:pgSz w:w="11900" w:h="16838" w:orient="portrait"/>
      <w:cols w:equalWidth="0" w:num="1">
        <w:col w:w="11360"/>
      </w:cols>
      <w:pgMar w:left="240" w:top="274"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lowerLetter"/>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1"/>
    </w:lvl>
    <w:lvl w:ilvl="1">
      <w:lvlJc w:val="left"/>
      <w:lvlText w:val="•"/>
      <w:numFmt w:val="bullet"/>
      <w:start w:val="1"/>
    </w:lvl>
  </w:abstractNum>
  <w:abstractNum w:abstractNumId="5">
    <w:nsid w:val="41B71EFB"/>
    <w:multiLevelType w:val="hybridMultilevel"/>
    <w:lvl w:ilvl="0">
      <w:lvlJc w:val="left"/>
      <w:lvlText w:val="(%1)"/>
      <w:numFmt w:val="lowerLetter"/>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2019-12-06T01:52:19Z</dcterms:created>
  <dcterms:modified xsi:type="dcterms:W3CDTF">2019-12-06T01:52:19Z</dcterms:modified>
</cp:coreProperties>
</file>