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7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20955</wp:posOffset>
            </wp:positionV>
            <wp:extent cx="7046595" cy="9122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WM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10/30/2023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Pres, 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1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7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50,569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126.005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218,602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32,850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110.81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251,452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10/30/2023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69,964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163.5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181,488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4,150.7991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Fish 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Exclusion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Stephanie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50,569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02/19/2030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50,569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126.005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4"/>
        </w:trPr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32,850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32,850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Stock option granted pursuant to Waste Management, Inc. 2014 Stock Incentive Plan. The stock option vests 25% on the first and second anniversary of the date of grant with the remaining 50% on the third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anniversary of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firstLine="2"/>
        <w:spacing w:after="0" w:line="249" w:lineRule="auto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380" w:firstLine="2"/>
        <w:spacing w:after="0" w:line="334" w:lineRule="auto"/>
        <w:tabs>
          <w:tab w:leader="none" w:pos="13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00" w:top="131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2023-11-01T10:41:41Z</dcterms:created>
  <dcterms:modified xsi:type="dcterms:W3CDTF">2023-11-01T10:41:41Z</dcterms:modified>
</cp:coreProperties>
</file>