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525145</wp:posOffset>
            </wp:positionH>
            <wp:positionV relativeFrom="page">
              <wp:posOffset>603250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671830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 SECURITIES AND EXCHANGE COMMISSION</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17" w:lineRule="exact"/>
        <w:rPr>
          <w:sz w:val="24"/>
          <w:szCs w:val="24"/>
          <w:color w:val="auto"/>
        </w:rPr>
      </w:pPr>
    </w:p>
    <w:p>
      <w:pPr>
        <w:ind w:left="480" w:right="120" w:hanging="337"/>
        <w:spacing w:after="0" w:line="262"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1"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8" w:lineRule="exact"/>
        <w:rPr>
          <w:sz w:val="24"/>
          <w:szCs w:val="24"/>
          <w:color w:val="auto"/>
        </w:rPr>
      </w:pPr>
    </w:p>
    <w:p>
      <w:pPr>
        <w:ind w:left="480" w:right="100" w:hanging="337"/>
        <w:spacing w:after="0" w:line="262" w:lineRule="auto"/>
        <w:tabs>
          <w:tab w:leader="none" w:pos="4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9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00" w:type="dxa"/>
            <w:vAlign w:val="bottom"/>
          </w:tcPr>
          <w:p>
            <w:pPr>
              <w:spacing w:after="0"/>
              <w:rPr>
                <w:sz w:val="20"/>
                <w:szCs w:val="20"/>
                <w:color w:val="auto"/>
              </w:rPr>
            </w:pPr>
          </w:p>
        </w:tc>
        <w:tc>
          <w:tcPr>
            <w:tcW w:w="36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320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Commission file number 1-12154</w:t>
            </w:r>
          </w:p>
        </w:tc>
        <w:tc>
          <w:tcPr>
            <w:tcW w:w="3200" w:type="dxa"/>
            <w:vAlign w:val="bottom"/>
          </w:tcPr>
          <w:p>
            <w:pPr>
              <w:spacing w:after="0"/>
              <w:rPr>
                <w:sz w:val="24"/>
                <w:szCs w:val="24"/>
                <w:color w:val="auto"/>
              </w:rPr>
            </w:pPr>
          </w:p>
        </w:tc>
      </w:tr>
      <w:tr>
        <w:trPr>
          <w:trHeight w:val="506"/>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240" w:type="dxa"/>
            <w:vAlign w:val="bottom"/>
            <w:gridSpan w:val="6"/>
          </w:tcPr>
          <w:p>
            <w:pPr>
              <w:jc w:val="center"/>
              <w:ind w:right="2917"/>
              <w:spacing w:after="0"/>
              <w:rPr>
                <w:sz w:val="20"/>
                <w:szCs w:val="20"/>
                <w:color w:val="auto"/>
              </w:rPr>
            </w:pPr>
            <w:r>
              <w:rPr>
                <w:rFonts w:ascii="Times New Roman" w:cs="Times New Roman" w:eastAsia="Times New Roman" w:hAnsi="Times New Roman"/>
                <w:sz w:val="40"/>
                <w:szCs w:val="40"/>
                <w:b w:val="1"/>
                <w:bCs w:val="1"/>
                <w:color w:val="auto"/>
                <w:w w:val="98"/>
              </w:rPr>
              <w:t>Waste Management, Inc.</w:t>
            </w:r>
          </w:p>
        </w:tc>
      </w:tr>
      <w:tr>
        <w:trPr>
          <w:trHeight w:val="236"/>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40" w:type="dxa"/>
            <w:vAlign w:val="bottom"/>
            <w:gridSpan w:val="5"/>
          </w:tcPr>
          <w:p>
            <w:pPr>
              <w:jc w:val="center"/>
              <w:ind w:left="83"/>
              <w:spacing w:after="0"/>
              <w:rPr>
                <w:sz w:val="20"/>
                <w:szCs w:val="20"/>
                <w:color w:val="auto"/>
              </w:rPr>
            </w:pPr>
            <w:r>
              <w:rPr>
                <w:rFonts w:ascii="Times New Roman" w:cs="Times New Roman" w:eastAsia="Times New Roman" w:hAnsi="Times New Roman"/>
                <w:sz w:val="18"/>
                <w:szCs w:val="18"/>
                <w:i w:val="1"/>
                <w:iCs w:val="1"/>
                <w:color w:val="auto"/>
                <w:w w:val="99"/>
              </w:rPr>
              <w:t>(Exact name of registrant as specified in its charter)</w:t>
            </w:r>
          </w:p>
        </w:tc>
        <w:tc>
          <w:tcPr>
            <w:tcW w:w="3200" w:type="dxa"/>
            <w:vAlign w:val="bottom"/>
          </w:tcPr>
          <w:p>
            <w:pPr>
              <w:spacing w:after="0"/>
              <w:rPr>
                <w:sz w:val="20"/>
                <w:szCs w:val="20"/>
                <w:color w:val="auto"/>
              </w:rPr>
            </w:pPr>
          </w:p>
        </w:tc>
      </w:tr>
      <w:tr>
        <w:trPr>
          <w:trHeight w:val="263"/>
        </w:trPr>
        <w:tc>
          <w:tcPr>
            <w:tcW w:w="20" w:type="dxa"/>
            <w:vAlign w:val="bottom"/>
          </w:tcPr>
          <w:p>
            <w:pPr>
              <w:spacing w:after="0"/>
              <w:rPr>
                <w:sz w:val="22"/>
                <w:szCs w:val="22"/>
                <w:color w:val="auto"/>
              </w:rPr>
            </w:pPr>
          </w:p>
        </w:tc>
        <w:tc>
          <w:tcPr>
            <w:tcW w:w="2960" w:type="dxa"/>
            <w:vAlign w:val="bottom"/>
          </w:tcPr>
          <w:p>
            <w:pPr>
              <w:jc w:val="center"/>
              <w:ind w:left="207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0" w:type="dxa"/>
            <w:vAlign w:val="bottom"/>
          </w:tcPr>
          <w:p>
            <w:pPr>
              <w:jc w:val="center"/>
              <w:ind w:right="1777"/>
              <w:spacing w:after="0"/>
              <w:rPr>
                <w:sz w:val="20"/>
                <w:szCs w:val="20"/>
                <w:color w:val="auto"/>
              </w:rPr>
            </w:pPr>
            <w:r>
              <w:rPr>
                <w:rFonts w:ascii="Times New Roman" w:cs="Times New Roman" w:eastAsia="Times New Roman" w:hAnsi="Times New Roman"/>
                <w:sz w:val="18"/>
                <w:szCs w:val="18"/>
                <w:b w:val="1"/>
                <w:bCs w:val="1"/>
                <w:color w:val="auto"/>
                <w:w w:val="98"/>
              </w:rPr>
              <w:t>73-1309529</w:t>
            </w:r>
          </w:p>
        </w:tc>
      </w:tr>
      <w:tr>
        <w:trPr>
          <w:trHeight w:val="203"/>
        </w:trPr>
        <w:tc>
          <w:tcPr>
            <w:tcW w:w="20" w:type="dxa"/>
            <w:vAlign w:val="bottom"/>
          </w:tcPr>
          <w:p>
            <w:pPr>
              <w:spacing w:after="0"/>
              <w:rPr>
                <w:sz w:val="17"/>
                <w:szCs w:val="17"/>
                <w:color w:val="auto"/>
              </w:rPr>
            </w:pPr>
          </w:p>
        </w:tc>
        <w:tc>
          <w:tcPr>
            <w:tcW w:w="7000" w:type="dxa"/>
            <w:vAlign w:val="bottom"/>
            <w:gridSpan w:val="6"/>
          </w:tcPr>
          <w:p>
            <w:pPr>
              <w:jc w:val="center"/>
              <w:ind w:right="1880"/>
              <w:spacing w:after="0" w:line="202" w:lineRule="exact"/>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3200" w:type="dxa"/>
            <w:vAlign w:val="bottom"/>
          </w:tcPr>
          <w:p>
            <w:pPr>
              <w:jc w:val="center"/>
              <w:ind w:right="1797"/>
              <w:spacing w:after="0" w:line="202"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0" w:type="dxa"/>
            <w:vAlign w:val="bottom"/>
          </w:tcPr>
          <w:p>
            <w:pPr>
              <w:spacing w:after="0"/>
              <w:rPr>
                <w:sz w:val="20"/>
                <w:szCs w:val="20"/>
                <w:color w:val="auto"/>
              </w:rPr>
            </w:pPr>
          </w:p>
        </w:tc>
        <w:tc>
          <w:tcPr>
            <w:tcW w:w="7000" w:type="dxa"/>
            <w:vAlign w:val="bottom"/>
            <w:gridSpan w:val="6"/>
          </w:tcPr>
          <w:p>
            <w:pPr>
              <w:jc w:val="center"/>
              <w:ind w:right="1880"/>
              <w:spacing w:after="0"/>
              <w:rPr>
                <w:sz w:val="20"/>
                <w:szCs w:val="20"/>
                <w:color w:val="auto"/>
              </w:rPr>
            </w:pPr>
            <w:r>
              <w:rPr>
                <w:rFonts w:ascii="Times New Roman" w:cs="Times New Roman" w:eastAsia="Times New Roman" w:hAnsi="Times New Roman"/>
                <w:sz w:val="18"/>
                <w:szCs w:val="18"/>
                <w:i w:val="1"/>
                <w:iCs w:val="1"/>
                <w:color w:val="auto"/>
              </w:rPr>
              <w:t>incorporation or organization)</w:t>
            </w:r>
          </w:p>
        </w:tc>
        <w:tc>
          <w:tcPr>
            <w:tcW w:w="3200" w:type="dxa"/>
            <w:vAlign w:val="bottom"/>
          </w:tcPr>
          <w:p>
            <w:pPr>
              <w:jc w:val="center"/>
              <w:ind w:right="1777"/>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275"/>
        </w:trPr>
        <w:tc>
          <w:tcPr>
            <w:tcW w:w="2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800 Capitol Street</w:t>
            </w:r>
          </w:p>
        </w:tc>
        <w:tc>
          <w:tcPr>
            <w:tcW w:w="3200" w:type="dxa"/>
            <w:vAlign w:val="bottom"/>
          </w:tcPr>
          <w:p>
            <w:pPr>
              <w:spacing w:after="0"/>
              <w:rPr>
                <w:sz w:val="23"/>
                <w:szCs w:val="23"/>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Suite 3000</w:t>
            </w:r>
          </w:p>
        </w:tc>
        <w:tc>
          <w:tcPr>
            <w:tcW w:w="320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Houston, Texas 77002</w:t>
            </w:r>
          </w:p>
        </w:tc>
        <w:tc>
          <w:tcPr>
            <w:tcW w:w="320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320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660" w:type="dxa"/>
            <w:vAlign w:val="bottom"/>
            <w:gridSpan w:val="3"/>
          </w:tcPr>
          <w:p>
            <w:pPr>
              <w:jc w:val="center"/>
              <w:ind w:left="463"/>
              <w:spacing w:after="0"/>
              <w:rPr>
                <w:sz w:val="20"/>
                <w:szCs w:val="20"/>
                <w:color w:val="auto"/>
              </w:rPr>
            </w:pPr>
            <w:r>
              <w:rPr>
                <w:rFonts w:ascii="Times New Roman" w:cs="Times New Roman" w:eastAsia="Times New Roman" w:hAnsi="Times New Roman"/>
                <w:sz w:val="18"/>
                <w:szCs w:val="18"/>
                <w:b w:val="1"/>
                <w:bCs w:val="1"/>
                <w:color w:val="auto"/>
                <w:w w:val="99"/>
              </w:rPr>
              <w:t>(713) 512-6200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040" w:type="dxa"/>
            <w:vAlign w:val="bottom"/>
            <w:gridSpan w:val="5"/>
          </w:tcPr>
          <w:p>
            <w:pPr>
              <w:jc w:val="center"/>
              <w:ind w:left="103"/>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3200" w:type="dxa"/>
            <w:vAlign w:val="bottom"/>
          </w:tcPr>
          <w:p>
            <w:pPr>
              <w:spacing w:after="0"/>
              <w:rPr>
                <w:sz w:val="20"/>
                <w:szCs w:val="20"/>
                <w:color w:val="auto"/>
              </w:rPr>
            </w:pPr>
          </w:p>
        </w:tc>
      </w:tr>
      <w:tr>
        <w:trPr>
          <w:trHeight w:val="297"/>
        </w:trPr>
        <w:tc>
          <w:tcPr>
            <w:tcW w:w="7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20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2960" w:type="dxa"/>
            <w:vAlign w:val="bottom"/>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2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20" w:type="dxa"/>
            <w:vAlign w:val="bottom"/>
          </w:tcPr>
          <w:p>
            <w:pPr>
              <w:spacing w:after="0"/>
              <w:rPr>
                <w:sz w:val="15"/>
                <w:szCs w:val="15"/>
                <w:color w:val="auto"/>
              </w:rPr>
            </w:pPr>
          </w:p>
        </w:tc>
        <w:tc>
          <w:tcPr>
            <w:tcW w:w="2960" w:type="dxa"/>
            <w:vAlign w:val="bottom"/>
            <w:tcBorders>
              <w:top w:val="single" w:sz="8" w:color="auto"/>
            </w:tcBorders>
          </w:tcPr>
          <w:p>
            <w:pPr>
              <w:jc w:val="center"/>
              <w:ind w:left="296"/>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4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WM</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00" w:type="dxa"/>
            <w:vAlign w:val="bottom"/>
            <w:tcBorders>
              <w:top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1157" w:right="839" w:bottom="1440" w:gutter="0" w:footer="0" w:header="0"/>
        </w:sectPr>
      </w:pPr>
    </w:p>
    <w:p>
      <w:pPr>
        <w:spacing w:after="0" w:line="1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ind w:left="760"/>
        <w:spacing w:after="0" w:line="190"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82" w:lineRule="exact"/>
        <w:rPr>
          <w:sz w:val="24"/>
          <w:szCs w:val="24"/>
          <w:color w:val="auto"/>
        </w:rPr>
      </w:pPr>
    </w:p>
    <w:p>
      <w:pPr>
        <w:sectPr>
          <w:pgSz w:w="11900" w:h="16838" w:orient="portrait"/>
          <w:cols w:equalWidth="0" w:num="2">
            <w:col w:w="7320" w:space="720"/>
            <w:col w:w="2180"/>
          </w:cols>
          <w:pgMar w:left="840" w:top="1157" w:right="839" w:bottom="1440" w:gutter="0" w:footer="0" w:header="0"/>
          <w:type w:val="continuous"/>
        </w:sect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75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$0.01 par value, of the registrant outstanding at July 25, 2025 was 402,830,315 (excluding treasury shares of 227,452,146).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396875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-22225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1157" w:right="8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Par Value Amounts)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306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0" w:type="dxa"/>
            <w:vAlign w:val="bottom"/>
          </w:tcPr>
          <w:p>
            <w:pPr>
              <w:spacing w:after="0"/>
              <w:rPr>
                <w:sz w:val="1"/>
                <w:szCs w:val="1"/>
                <w:color w:val="auto"/>
              </w:rPr>
            </w:pPr>
          </w:p>
        </w:tc>
      </w:tr>
      <w:tr>
        <w:trPr>
          <w:trHeight w:val="203"/>
        </w:trPr>
        <w:tc>
          <w:tcPr>
            <w:tcW w:w="67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receivable, net of allowance for doubtful accounts of $187 and $165, respectively</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3,272</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receivables, net of allowance for doubtful accounts of $3 and $4, respectively</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0" w:type="dxa"/>
            <w:vAlign w:val="bottom"/>
          </w:tcPr>
          <w:p>
            <w:pPr>
              <w:spacing w:after="0"/>
              <w:rPr>
                <w:sz w:val="1"/>
                <w:szCs w:val="1"/>
                <w:color w:val="auto"/>
              </w:rPr>
            </w:pPr>
          </w:p>
        </w:tc>
      </w:tr>
      <w:tr>
        <w:trPr>
          <w:trHeight w:val="203"/>
        </w:trPr>
        <w:tc>
          <w:tcPr>
            <w:tcW w:w="67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Parts and supplies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0" w:type="dxa"/>
            <w:vAlign w:val="bottom"/>
          </w:tcPr>
          <w:p>
            <w:pPr>
              <w:spacing w:after="0"/>
              <w:rPr>
                <w:sz w:val="1"/>
                <w:szCs w:val="1"/>
                <w:color w:val="auto"/>
              </w:rPr>
            </w:pPr>
          </w:p>
        </w:tc>
      </w:tr>
      <w:tr>
        <w:trPr>
          <w:trHeight w:val="196"/>
        </w:trPr>
        <w:tc>
          <w:tcPr>
            <w:tcW w:w="6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current assets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4,774</w:t>
            </w:r>
          </w:p>
        </w:tc>
        <w:tc>
          <w:tcPr>
            <w:tcW w:w="0" w:type="dxa"/>
            <w:vAlign w:val="bottom"/>
          </w:tcPr>
          <w:p>
            <w:pPr>
              <w:spacing w:after="0"/>
              <w:rPr>
                <w:sz w:val="1"/>
                <w:szCs w:val="1"/>
                <w:color w:val="auto"/>
              </w:rPr>
            </w:pPr>
          </w:p>
        </w:tc>
      </w:tr>
      <w:tr>
        <w:trPr>
          <w:trHeight w:val="181"/>
        </w:trPr>
        <w:tc>
          <w:tcPr>
            <w:tcW w:w="67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Property and equipment, net of accumulated depreciation and depletion of $24,477 and $23,777</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respectively</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19,963</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19,340</w:t>
            </w: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13,886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13,438</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4,188</w:t>
            </w: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Restricted funds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w:t>
            </w:r>
          </w:p>
        </w:tc>
        <w:tc>
          <w:tcPr>
            <w:tcW w:w="0" w:type="dxa"/>
            <w:vAlign w:val="bottom"/>
          </w:tcPr>
          <w:p>
            <w:pPr>
              <w:spacing w:after="0"/>
              <w:rPr>
                <w:sz w:val="1"/>
                <w:szCs w:val="1"/>
                <w:color w:val="auto"/>
              </w:rPr>
            </w:pPr>
          </w:p>
        </w:tc>
      </w:tr>
      <w:tr>
        <w:trPr>
          <w:trHeight w:val="203"/>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long-term assets</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1,562</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1,568</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45,722</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44,567</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230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payable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2,046</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Accrued liabilities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2,180</w:t>
            </w:r>
          </w:p>
        </w:tc>
        <w:tc>
          <w:tcPr>
            <w:tcW w:w="0" w:type="dxa"/>
            <w:vAlign w:val="bottom"/>
          </w:tcPr>
          <w:p>
            <w:pPr>
              <w:spacing w:after="0"/>
              <w:rPr>
                <w:sz w:val="1"/>
                <w:szCs w:val="1"/>
                <w:color w:val="auto"/>
              </w:rPr>
            </w:pPr>
          </w:p>
        </w:tc>
      </w:tr>
      <w:tr>
        <w:trPr>
          <w:trHeight w:val="203"/>
        </w:trPr>
        <w:tc>
          <w:tcPr>
            <w:tcW w:w="67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Deferred revenues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1,359</w:t>
            </w:r>
          </w:p>
        </w:tc>
        <w:tc>
          <w:tcPr>
            <w:tcW w:w="0" w:type="dxa"/>
            <w:vAlign w:val="bottom"/>
          </w:tcPr>
          <w:p>
            <w:pPr>
              <w:spacing w:after="0"/>
              <w:rPr>
                <w:sz w:val="1"/>
                <w:szCs w:val="1"/>
                <w:color w:val="auto"/>
              </w:rPr>
            </w:pPr>
          </w:p>
        </w:tc>
      </w:tr>
      <w:tr>
        <w:trPr>
          <w:trHeight w:val="196"/>
        </w:trPr>
        <w:tc>
          <w:tcPr>
            <w:tcW w:w="6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6,258</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23,056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22,541</w:t>
            </w: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2,815</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Landfill and environmental remediation liabilities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3,048</w:t>
            </w:r>
          </w:p>
        </w:tc>
        <w:tc>
          <w:tcPr>
            <w:tcW w:w="0" w:type="dxa"/>
            <w:vAlign w:val="bottom"/>
          </w:tcPr>
          <w:p>
            <w:pPr>
              <w:spacing w:after="0"/>
              <w:rPr>
                <w:sz w:val="1"/>
                <w:szCs w:val="1"/>
                <w:color w:val="auto"/>
              </w:rPr>
            </w:pPr>
          </w:p>
        </w:tc>
      </w:tr>
      <w:tr>
        <w:trPr>
          <w:trHeight w:val="203"/>
        </w:trPr>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1,697</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1,651</w:t>
            </w:r>
          </w:p>
        </w:tc>
        <w:tc>
          <w:tcPr>
            <w:tcW w:w="0" w:type="dxa"/>
            <w:vAlign w:val="bottom"/>
          </w:tcPr>
          <w:p>
            <w:pPr>
              <w:spacing w:after="0"/>
              <w:rPr>
                <w:sz w:val="1"/>
                <w:szCs w:val="1"/>
                <w:color w:val="auto"/>
              </w:rPr>
            </w:pPr>
          </w:p>
        </w:tc>
      </w:tr>
      <w:tr>
        <w:trPr>
          <w:trHeight w:val="196"/>
        </w:trPr>
        <w:tc>
          <w:tcPr>
            <w:tcW w:w="6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36,520</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36,313</w:t>
            </w:r>
          </w:p>
        </w:tc>
        <w:tc>
          <w:tcPr>
            <w:tcW w:w="0" w:type="dxa"/>
            <w:vAlign w:val="bottom"/>
          </w:tcPr>
          <w:p>
            <w:pPr>
              <w:spacing w:after="0"/>
              <w:rPr>
                <w:sz w:val="1"/>
                <w:szCs w:val="1"/>
                <w:color w:val="auto"/>
              </w:rPr>
            </w:pPr>
          </w:p>
        </w:tc>
      </w:tr>
      <w:tr>
        <w:trPr>
          <w:trHeight w:val="196"/>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 (Note 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Waste Management, Inc. stockholders’ equity:</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 $0.01 par value; 1,500,000,000 shares authorized; 630,282,461 shares issued</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5,496</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16,553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15,858</w:t>
            </w:r>
          </w:p>
        </w:tc>
        <w:tc>
          <w:tcPr>
            <w:tcW w:w="0" w:type="dxa"/>
            <w:vAlign w:val="bottom"/>
          </w:tcPr>
          <w:p>
            <w:pPr>
              <w:spacing w:after="0"/>
              <w:rPr>
                <w:sz w:val="1"/>
                <w:szCs w:val="1"/>
                <w:color w:val="auto"/>
              </w:rPr>
            </w:pPr>
          </w:p>
        </w:tc>
      </w:tr>
      <w:tr>
        <w:trPr>
          <w:trHeight w:val="203"/>
        </w:trPr>
        <w:tc>
          <w:tcPr>
            <w:tcW w:w="6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202"/>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Treasury stock at cost, 227,680,075 and 228,788,284 shares, respectively</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(12,933)</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(12,993)</w:t>
            </w:r>
          </w:p>
        </w:tc>
        <w:tc>
          <w:tcPr>
            <w:tcW w:w="0" w:type="dxa"/>
            <w:vAlign w:val="bottom"/>
          </w:tcPr>
          <w:p>
            <w:pPr>
              <w:spacing w:after="0"/>
              <w:rPr>
                <w:sz w:val="1"/>
                <w:szCs w:val="1"/>
                <w:color w:val="auto"/>
              </w:rPr>
            </w:pPr>
          </w:p>
        </w:tc>
      </w:tr>
      <w:tr>
        <w:trPr>
          <w:trHeight w:val="196"/>
        </w:trPr>
        <w:tc>
          <w:tcPr>
            <w:tcW w:w="67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Waste Management, Inc. stockholders’ equity</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8,252</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equity</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9,202</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8,254</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45,722</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44,567</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left="60" w:right="59"/>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(In Millions, Except per Share Amounts) (Unaudited)</w:t>
      </w:r>
    </w:p>
    <w:p>
      <w:pPr>
        <w:spacing w:after="0" w:line="38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7"/>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7"/>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7"/>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12,448</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10,561</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loss from divestitures, asset impairments and unusual items, net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8,536</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 in net income (loss) of unconsolidated entities</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2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1.70</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3.39</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197"/>
        </w:trPr>
        <w:tc>
          <w:tcPr>
            <w:tcW w:w="54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1.69</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3.37</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0"/>
        </w:trPr>
        <w:tc>
          <w:tcPr>
            <w:tcW w:w="5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8040" w:type="dxa"/>
            <w:vAlign w:val="bottom"/>
            <w:gridSpan w:val="16"/>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tcPr>
          <w:p>
            <w:pPr>
              <w:jc w:val="center"/>
              <w:ind w:left="33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00" w:type="dxa"/>
            <w:vAlign w:val="bottom"/>
          </w:tcPr>
          <w:p>
            <w:pPr>
              <w:jc w:val="center"/>
              <w:ind w:left="33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5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7"/>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Derivative instruments, net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Available-for-sale securities, net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Post-retirement benefit obligations, net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198"/>
        </w:trPr>
        <w:tc>
          <w:tcPr>
            <w:tcW w:w="54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Less: Comprehensive income (loss) attributable to noncontrolling</w:t>
            </w: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interests</w:t>
            </w: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Waste Management, Inc.</w:t>
            </w:r>
          </w:p>
        </w:tc>
        <w:tc>
          <w:tcPr>
            <w:tcW w:w="220" w:type="dxa"/>
            <w:vAlign w:val="bottom"/>
          </w:tcPr>
          <w:p>
            <w:pPr>
              <w:spacing w:after="0"/>
              <w:rPr>
                <w:sz w:val="18"/>
                <w:szCs w:val="18"/>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40" w:type="dxa"/>
            <w:vAlign w:val="bottom"/>
            <w:tcBorders>
              <w:top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4"/>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net income</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44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consolidated net income to net cash provided by operating activities: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 accretion on landfill and environmental remediation liabilities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Provision for bad debts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Net gain on disposal of 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(Gain) loss from divestitures, asset impairments and other, net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Equity in net (income) loss of unconsolidated entities, net of dividends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Change in operating assets and liabilities, net of effects of acquisitions and divestitures: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Receivables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revenues and other liabilities</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2,753</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Proceeds from divestitures of businesses and other assets, net of cash divested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New borrowings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Debt repayments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Common stock repurchase program</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dividends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Tax payments associated with equity-based compensation transactions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 and cash equivalents</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(decrease) in cash, cash equivalents and restricted cash and cash equivalents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beginning of period</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end of period</w:t>
            </w: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 and cash equivalents at end of period:</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44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 and cash equivalents included in other current assets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Restricted cash and cash equivalents included in restricted funds</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and cash equivalents at end of period</w:t>
            </w: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 w:name="page5"/>
    <w:bookmarkEnd w:id="4"/>
    <w:p>
      <w:pPr>
        <w:ind w:left="326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1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Waste Management, Inc. Stockholders’ Equity</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3"/>
          </w:tcPr>
          <w:p>
            <w:pPr>
              <w:jc w:val="center"/>
              <w:ind w:right="6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9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36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9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62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8"/>
              </w:rPr>
              <w:t>Amounts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6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98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660" w:type="dxa"/>
            <w:vAlign w:val="bottom"/>
            <w:tcBorders>
              <w:top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0" w:type="dxa"/>
            <w:vAlign w:val="bottom"/>
          </w:tcPr>
          <w:p>
            <w:pPr>
              <w:spacing w:after="0"/>
              <w:rPr>
                <w:sz w:val="1"/>
                <w:szCs w:val="1"/>
                <w:color w:val="auto"/>
              </w:rPr>
            </w:pPr>
          </w:p>
        </w:tc>
      </w:tr>
      <w:tr>
        <w:trPr>
          <w:trHeight w:val="128"/>
        </w:trPr>
        <w:tc>
          <w:tcPr>
            <w:tcW w:w="2580" w:type="dxa"/>
            <w:vAlign w:val="bottom"/>
            <w:tcBorders>
              <w:top w:val="single" w:sz="8" w:color="CCEEFF"/>
            </w:tcBorders>
            <w:gridSpan w:val="4"/>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8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March 31, 2025</w:t>
            </w:r>
          </w:p>
        </w:tc>
        <w:tc>
          <w:tcPr>
            <w:tcW w:w="5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$ 8,651</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5,515</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$ 16,160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(87)</w:t>
            </w:r>
          </w:p>
        </w:tc>
        <w:tc>
          <w:tcPr>
            <w:tcW w:w="66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(227,911)</w:t>
            </w:r>
          </w:p>
        </w:tc>
        <w:tc>
          <w:tcPr>
            <w:tcW w:w="70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 (12,944)</w:t>
            </w: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727</w:t>
            </w: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726</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8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 of</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w:t>
            </w: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 $0.825 per</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(333)</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(333)</w:t>
            </w:r>
          </w:p>
        </w:tc>
        <w:tc>
          <w:tcPr>
            <w:tcW w:w="18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common share</w:t>
            </w:r>
          </w:p>
        </w:tc>
        <w:tc>
          <w:tcPr>
            <w:tcW w:w="58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Equity-based compensation transactions,</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Borders>
              <w:top w:val="single" w:sz="8" w:color="CCEEFF"/>
              <w:bottom w:val="single" w:sz="8" w:color="CCEEFF"/>
            </w:tcBorders>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June 30, 2025</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$ 9,202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5,566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$ 16,553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(227,680)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(12,933)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March 31, 2024</w:t>
            </w: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$ 7,078</w:t>
            </w:r>
          </w:p>
        </w:tc>
        <w:tc>
          <w:tcPr>
            <w:tcW w:w="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Pr>
          <w:p>
            <w:pPr>
              <w:spacing w:after="0"/>
              <w:rPr>
                <w:sz w:val="12"/>
                <w:szCs w:val="12"/>
                <w:color w:val="auto"/>
              </w:rPr>
            </w:pPr>
          </w:p>
        </w:tc>
        <w:tc>
          <w:tcPr>
            <w:tcW w:w="2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12"/>
                <w:szCs w:val="12"/>
                <w:color w:val="auto"/>
              </w:rPr>
            </w:pPr>
          </w:p>
        </w:tc>
        <w:tc>
          <w:tcPr>
            <w:tcW w:w="1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5,352</w:t>
            </w:r>
          </w:p>
        </w:tc>
        <w:tc>
          <w:tcPr>
            <w:tcW w:w="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$ 14,738</w:t>
            </w:r>
          </w:p>
        </w:tc>
        <w:tc>
          <w:tcPr>
            <w:tcW w:w="60" w:type="dxa"/>
            <w:vAlign w:val="bottom"/>
          </w:tcPr>
          <w:p>
            <w:pPr>
              <w:spacing w:after="0"/>
              <w:rPr>
                <w:sz w:val="12"/>
                <w:szCs w:val="12"/>
                <w:color w:val="auto"/>
              </w:rPr>
            </w:pPr>
          </w:p>
        </w:tc>
        <w:tc>
          <w:tcPr>
            <w:tcW w:w="1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(60)</w:t>
            </w:r>
          </w:p>
        </w:tc>
        <w:tc>
          <w:tcPr>
            <w:tcW w:w="6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(228,980)</w:t>
            </w:r>
          </w:p>
        </w:tc>
        <w:tc>
          <w:tcPr>
            <w:tcW w:w="70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 (12,954)</w:t>
            </w: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8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 of</w:t>
            </w: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(13)</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(13)</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tax</w:t>
            </w:r>
          </w:p>
        </w:tc>
        <w:tc>
          <w:tcPr>
            <w:tcW w:w="58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 $0.75 per</w:t>
            </w: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(301)</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(301)</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w:t>
            </w:r>
          </w:p>
        </w:tc>
        <w:tc>
          <w:tcPr>
            <w:tcW w:w="58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Equity-based compensation transactions,</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tcPr>
          <w:p>
            <w:pPr>
              <w:spacing w:after="0"/>
              <w:rPr>
                <w:sz w:val="10"/>
                <w:szCs w:val="10"/>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10"/>
                <w:szCs w:val="10"/>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repurchase program</w:t>
            </w:r>
          </w:p>
        </w:tc>
        <w:tc>
          <w:tcPr>
            <w:tcW w:w="5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(266)</w:t>
            </w:r>
          </w:p>
        </w:tc>
        <w:tc>
          <w:tcPr>
            <w:tcW w:w="7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Adoption of new accounting standard</w:t>
            </w:r>
          </w:p>
        </w:tc>
        <w:tc>
          <w:tcPr>
            <w:tcW w:w="5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6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5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June 30, 2024</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$ 7,451</w:t>
            </w:r>
          </w:p>
        </w:tc>
        <w:tc>
          <w:tcPr>
            <w:tcW w:w="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5,433</w:t>
            </w:r>
          </w:p>
        </w:tc>
        <w:tc>
          <w:tcPr>
            <w:tcW w:w="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$ 15,104</w:t>
            </w:r>
          </w:p>
        </w:tc>
        <w:tc>
          <w:tcPr>
            <w:tcW w:w="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(229,183)</w:t>
            </w:r>
          </w:p>
        </w:tc>
        <w:tc>
          <w:tcPr>
            <w:tcW w:w="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(13,013)</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5" w:name="page6"/>
    <w:bookmarkEnd w:id="5"/>
    <w:p>
      <w:pPr>
        <w:ind w:left="326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 (Continued)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1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Waste Management, Inc. Stockholders’ Equity</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9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360" w:type="dxa"/>
            <w:vAlign w:val="bottom"/>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64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5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Amounts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6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98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68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Interests</w:t>
            </w:r>
          </w:p>
        </w:tc>
        <w:tc>
          <w:tcPr>
            <w:tcW w:w="0" w:type="dxa"/>
            <w:vAlign w:val="bottom"/>
          </w:tcPr>
          <w:p>
            <w:pPr>
              <w:spacing w:after="0"/>
              <w:rPr>
                <w:sz w:val="1"/>
                <w:szCs w:val="1"/>
                <w:color w:val="auto"/>
              </w:rPr>
            </w:pPr>
          </w:p>
        </w:tc>
      </w:tr>
      <w:tr>
        <w:trPr>
          <w:trHeight w:val="128"/>
        </w:trPr>
        <w:tc>
          <w:tcPr>
            <w:tcW w:w="2540" w:type="dxa"/>
            <w:vAlign w:val="bottom"/>
            <w:tcBorders>
              <w:top w:val="single" w:sz="8" w:color="CCEEFF"/>
            </w:tcBorders>
            <w:gridSpan w:val="4"/>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70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40" w:type="dxa"/>
            <w:vAlign w:val="bottom"/>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December 31, 2024</w:t>
            </w:r>
          </w:p>
        </w:tc>
        <w:tc>
          <w:tcPr>
            <w:tcW w:w="5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$ 8,254</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5,496</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$ 15,858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(115)</w:t>
            </w:r>
          </w:p>
        </w:tc>
        <w:tc>
          <w:tcPr>
            <w:tcW w:w="68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(228,788)</w:t>
            </w:r>
          </w:p>
        </w:tc>
        <w:tc>
          <w:tcPr>
            <w:tcW w:w="6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 (12,993)</w:t>
            </w:r>
          </w:p>
        </w:tc>
        <w:tc>
          <w:tcPr>
            <w:tcW w:w="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1,364</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4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 of</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w:t>
            </w:r>
          </w:p>
        </w:tc>
        <w:tc>
          <w:tcPr>
            <w:tcW w:w="5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 $1.65 per</w:t>
            </w: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(669)</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(669)</w:t>
            </w:r>
          </w:p>
        </w:tc>
        <w:tc>
          <w:tcPr>
            <w:tcW w:w="6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common share</w:t>
            </w:r>
          </w:p>
        </w:tc>
        <w:tc>
          <w:tcPr>
            <w:tcW w:w="56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Equity-based compensation transactions,</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6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5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40" w:type="dxa"/>
            <w:vAlign w:val="bottom"/>
            <w:tcBorders>
              <w:top w:val="single" w:sz="8" w:color="CCEEFF"/>
              <w:bottom w:val="single" w:sz="8" w:color="CCEEFF"/>
            </w:tcBorders>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June 30, 2025</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$ 9,202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5,566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$ 16,553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(227,680)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(12,933)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4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December 31, 2023</w:t>
            </w: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$ 6,896</w:t>
            </w:r>
          </w:p>
        </w:tc>
        <w:tc>
          <w:tcPr>
            <w:tcW w:w="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Pr>
          <w:p>
            <w:pPr>
              <w:spacing w:after="0"/>
              <w:rPr>
                <w:sz w:val="12"/>
                <w:szCs w:val="12"/>
                <w:color w:val="auto"/>
              </w:rPr>
            </w:pPr>
          </w:p>
        </w:tc>
        <w:tc>
          <w:tcPr>
            <w:tcW w:w="2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5,351</w:t>
            </w: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$ 14,334</w:t>
            </w:r>
          </w:p>
        </w:tc>
        <w:tc>
          <w:tcPr>
            <w:tcW w:w="80" w:type="dxa"/>
            <w:vAlign w:val="bottom"/>
          </w:tcPr>
          <w:p>
            <w:pPr>
              <w:spacing w:after="0"/>
              <w:rPr>
                <w:sz w:val="12"/>
                <w:szCs w:val="1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(37)</w:t>
            </w:r>
          </w:p>
        </w:tc>
        <w:tc>
          <w:tcPr>
            <w:tcW w:w="6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(228,827)</w:t>
            </w:r>
          </w:p>
        </w:tc>
        <w:tc>
          <w:tcPr>
            <w:tcW w:w="6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 (12,751)</w:t>
            </w:r>
          </w:p>
        </w:tc>
        <w:tc>
          <w:tcPr>
            <w:tcW w:w="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1,387</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4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 net of</w:t>
            </w: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(36)</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(36)</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tax</w:t>
            </w:r>
          </w:p>
        </w:tc>
        <w:tc>
          <w:tcPr>
            <w:tcW w:w="56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Cash dividends declared of $1.50 per</w:t>
            </w: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(608)</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(608)</w:t>
            </w:r>
          </w:p>
        </w:tc>
        <w:tc>
          <w:tcPr>
            <w:tcW w:w="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w:t>
            </w:r>
          </w:p>
        </w:tc>
        <w:tc>
          <w:tcPr>
            <w:tcW w:w="56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4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Equity-based compensation transactions,</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6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5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repurchase program</w:t>
            </w: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(265)</w:t>
            </w: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(1,494)</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Adoption of new accounting standard</w:t>
            </w: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4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June 30, 2024</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$ 7,451</w:t>
            </w:r>
          </w:p>
        </w:tc>
        <w:tc>
          <w:tcPr>
            <w:tcW w:w="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5,433</w:t>
            </w:r>
          </w:p>
        </w:tc>
        <w:tc>
          <w:tcPr>
            <w:tcW w:w="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$ 15,104</w:t>
            </w: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(229,183)</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(13,013)</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6" w:name="page7"/>
    <w:bookmarkEnd w:id="6"/>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w:t>
        <w:tab/>
        <w:t>Basis of Presentation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13. Waste Management, Inc. is a holding company and all operations are conducted by its subsidiaries. When the terms “the Company,” “we,” “us” or “our” are used in this document, those terms refer to Waste Management, Inc., together with its consolidated subsidiaries and consolidated variable interest entities. When we use the term “WMI,” we are referring only to Waste Management, Inc., the parent holding company.</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recycling and resource recovery services. Through our subsidiaries, including our Waste Management Renewable Energy (“WM Renewable Energy”) segment, we are also a leading developer, operator and owner of landfill gas-to-energy facilities in the U.S. and Canada that produce renewable electricity and renewable natural gas (“RNG”), which is a significant source of fuel that we allocate to our natural gas fleet.</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November 4, 2024, we completed the acquisition of all outstanding shares of Stericycle, Inc. (“Stericycle”), the operations of which are presented in this report as our new WM Healthcare Solutions segment. The acquisition expands our offerings in the U.S. and Canada and adds operations in parts of Western Europe. These businesses provide regulated waste and compliance services and secure information destruction services that protect people and brands, promote health and well-being and safeguard the environment. Refer to Note 8 for further discussion.</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senior management evaluates, oversees and manages the financial performance of our business through five reportable segments, referred to as (i) Collection and Disposal - East Tier (“East Tier”); (ii) Collection and Disposal - West Tier (“West Tier”); (iii) Recycling Processing and Sales; (iv) WM Renewable Energy and (v) WM Healthcare Solutions. Our East and West Tiers along with certain ancillary services (“Other Ancillary”) that are not managed through our Tier segments, but that support our collection and disposal operations, form our “Collection and Disposal” businesses. We also provide additional services not managed through our five reportable segments, which are presented as Corporate and Other. Refer to Note 7 for further discussion.</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as of June 30, 2025 and for the three and six months ended June 30, 2025 and 2024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conjunction with the financial statements included in our Annual Report on Form 10-K for the year ended December 31, 2024.</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Actual results could differ materially from the estimates and assumptions that we use in the preparation of our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7" w:right="1440" w:bottom="1440" w:gutter="0" w:footer="0" w:header="0"/>
        </w:sectPr>
      </w:pPr>
    </w:p>
    <w:bookmarkStart w:id="7" w:name="page8"/>
    <w:bookmarkEnd w:id="7"/>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generally recognize revenue as services are performed or products are delivered. For example, revenue typically is recognized as waste is collected; tons are received at our landfills, transfer stations or processing facilities; or recycling and other commodities, such as RNG, electricity and capacity, Renewable Identification Numbers (“RINs”) and Renewable Energy Credits (“RECs”), are sold. Compliance services revenues are recognized over the contractual service period.</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also bill for certain services prior to performance. Such services include, among others, certain commercial and residential contracts and equipment rentals. These advanced billings are included in deferred revenues and recognized as revenue in the period service is provided. Substantially all our deferred revenues during the reported periods are realized as revenues within one to three months, when the related services are performed.</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Contract Acquisition Costs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incremental direct costs of obtaining a contract, which consist primarily of sales incentives, are generally deferred and amortized to selling, general and administrative expense over the estimated life of the relevant customer relationship, ranging from five to 16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Condensed Consolidated Balance Sheets. As of June 30, 2025 and December 31, 2024, we had $224 million and $218 million, respectively, of deferred contract costs, of which $165 million and $154 million, respectively, were related to deferred sales incentives.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Amounts for our operating lease right-of-use assets are recorded in other long-term assets and the current and long-term portion of our operating lease liabilities are reflected in accrued liabilities and other long-term liabilities, respectively, in our Condensed Consolidated Balance Sheets. Amounts for our financing leases are recorded in property and equipment, net of accumulated depreciation and depletion, and current or long-term debt in our Condensed Consolidated Balance Sheets, as appropriate.</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and cash equivalents, investments held within restricted funds, and accounts receivable.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and diversity of customers we serve.</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When necessary, reclassifications have been made to our prior period financial information to conform to the current year presentation and are not material to our Condensed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8" w:name="page9"/>
    <w:bookmarkEnd w:id="8"/>
    <w:p>
      <w:pPr>
        <w:ind w:left="360" w:hanging="310"/>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Landfill and Environmental Remediation Liabilities</w:t>
      </w:r>
    </w:p>
    <w:p>
      <w:pPr>
        <w:spacing w:after="0" w:line="229"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Liabilities for landfill and environmental remediation costs are presented in the table below (in millions):</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Landfill</w:t>
            </w:r>
          </w:p>
        </w:tc>
        <w:tc>
          <w:tcPr>
            <w:tcW w:w="1080" w:type="dxa"/>
            <w:vAlign w:val="bottom"/>
            <w:gridSpan w:val="3"/>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Environmental</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Landfill</w:t>
            </w:r>
          </w:p>
        </w:tc>
        <w:tc>
          <w:tcPr>
            <w:tcW w:w="1240" w:type="dxa"/>
            <w:vAlign w:val="bottom"/>
            <w:gridSpan w:val="4"/>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Environmental</w:t>
            </w:r>
          </w:p>
        </w:tc>
        <w:tc>
          <w:tcPr>
            <w:tcW w:w="14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 accrued liabilities)</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2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w:t>
            </w: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0" w:type="dxa"/>
            <w:vAlign w:val="bottom"/>
          </w:tcPr>
          <w:p>
            <w:pPr>
              <w:spacing w:after="0"/>
              <w:rPr>
                <w:sz w:val="1"/>
                <w:szCs w:val="1"/>
                <w:color w:val="auto"/>
              </w:rPr>
            </w:pPr>
          </w:p>
        </w:tc>
      </w:tr>
      <w:tr>
        <w:trPr>
          <w:trHeight w:val="210"/>
        </w:trPr>
        <w:tc>
          <w:tcPr>
            <w:tcW w:w="28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changes to landfill and environmental remediation liabilities for the six months ended June 30, 2025 are reflected in the table below (in millions):</w:t>
      </w:r>
    </w:p>
    <w:p>
      <w:pPr>
        <w:spacing w:after="0" w:line="4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18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0" w:type="dxa"/>
            <w:vAlign w:val="bottom"/>
          </w:tcPr>
          <w:p>
            <w:pPr>
              <w:spacing w:after="0"/>
              <w:rPr>
                <w:sz w:val="1"/>
                <w:szCs w:val="1"/>
                <w:color w:val="auto"/>
              </w:rPr>
            </w:pPr>
          </w:p>
        </w:tc>
      </w:tr>
      <w:tr>
        <w:trPr>
          <w:trHeight w:val="173"/>
        </w:trPr>
        <w:tc>
          <w:tcPr>
            <w:tcW w:w="69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Obligations incurred and capitalized</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Obligations settled</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accretion</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Revisions in estimates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6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Acquisitions, divestitures and other adjustments</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At several of our landfills, we provide financial assurance by depositing cash into restricted trust funds for purposes of settling final capping, closure, post-closure and environmental remediation obligations. Generally, these trust funds are established to comply with statutory requirements and operating agreements. See Note 13 for additional information related to these trusts.</w:t>
      </w:r>
    </w:p>
    <w:p>
      <w:pPr>
        <w:spacing w:after="0" w:line="176" w:lineRule="exact"/>
        <w:rPr>
          <w:sz w:val="20"/>
          <w:szCs w:val="20"/>
          <w:color w:val="auto"/>
        </w:rPr>
      </w:pPr>
    </w:p>
    <w:p>
      <w:pPr>
        <w:ind w:left="360" w:hanging="310"/>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debt at principal amounts as of each balance sheet date (in millions) and provides the maturities and interest rate ranges of each major category as of June 30, 2025:</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240" w:type="dxa"/>
            <w:vAlign w:val="bottom"/>
            <w:tcBorders>
              <w:bottom w:val="single" w:sz="8" w:color="CCEEFF"/>
            </w:tcBorders>
          </w:tcPr>
          <w:p>
            <w:pPr>
              <w:spacing w:after="0"/>
              <w:rPr>
                <w:sz w:val="15"/>
                <w:szCs w:val="15"/>
                <w:color w:val="auto"/>
              </w:rPr>
            </w:pPr>
          </w:p>
        </w:tc>
        <w:tc>
          <w:tcPr>
            <w:tcW w:w="47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8"/>
        </w:trPr>
        <w:tc>
          <w:tcPr>
            <w:tcW w:w="698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Commercial paper program (weighted average interest rate of 4.6% as of June 30, 2025 and</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34"/>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 as of December 31,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198"/>
        </w:trPr>
        <w:tc>
          <w:tcPr>
            <w:tcW w:w="69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Senior notes, maturing through 2054, interest rates ranging from 0.75% to 7.75% (weighted</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4"/>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interest rate of 4.2% as of June 30, 2025 and December 31, 2024)</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18,419</w:t>
            </w:r>
          </w:p>
        </w:tc>
      </w:tr>
      <w:tr>
        <w:trPr>
          <w:trHeight w:val="216"/>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Canadian senior notes, C$500 million maturing September 2026, interest rate of 2.6%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198"/>
        </w:trPr>
        <w:tc>
          <w:tcPr>
            <w:tcW w:w="69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Tax-exempt bonds, maturing through 2055, fixed and variable interest rates ranging from</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0.70% to 4.60% (weighted average interest rate of 3.7% as of June 30, 2025 and</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4"/>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w:t>
            </w:r>
          </w:p>
        </w:tc>
      </w:tr>
      <w:tr>
        <w:trPr>
          <w:trHeight w:val="198"/>
        </w:trPr>
        <w:tc>
          <w:tcPr>
            <w:tcW w:w="69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Financing leases and other, maturing through 2082 (weighted average interest rate of 4.9% as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4"/>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June 30, 2025 and December 31, 2024) (a)</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16"/>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issuance costs, discounts and other</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0"/>
        </w:trPr>
        <w:tc>
          <w:tcPr>
            <w:tcW w:w="2240" w:type="dxa"/>
            <w:vAlign w:val="bottom"/>
            <w:tcBorders>
              <w:top w:val="single" w:sz="8" w:color="CCEEFF"/>
            </w:tcBorders>
            <w:shd w:val="clear" w:color="auto" w:fill="CCEEFF"/>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23,900</w:t>
            </w:r>
          </w:p>
        </w:tc>
      </w:tr>
      <w:tr>
        <w:trPr>
          <w:trHeight w:val="216"/>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r>
      <w:tr>
        <w:trPr>
          <w:trHeight w:val="209"/>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23,056</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22,541</w:t>
            </w:r>
          </w:p>
        </w:tc>
      </w:tr>
      <w:tr>
        <w:trPr>
          <w:trHeight w:val="20"/>
        </w:trPr>
        <w:tc>
          <w:tcPr>
            <w:tcW w:w="2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4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our landfill financing leases, the maturities of our financing leases and other debt obligations extend through 2059.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9" w:name="page10"/>
    <w:bookmarkEnd w:id="9"/>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Debt Classification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of June 30, 2025, we had approximately $4.0 billion of debt maturing within the next 12 months, including (i) $1.5 billion of short-term borrowings under our commercial paper program (net of related discount on issuance); (ii) $1.5 billion of tax-exempt bonds with term interest rate periods that expire within the next 12 months, which is prior to their scheduled maturities; (iii) $500 million of 0.75% senior notes that mature in November 2025 and (iv) $464 million of other debt with scheduled maturities within the next 12 months, including $298 million of tax-exempt bonds. As of June 30, 2025, we have classified $3.0 billion of debt maturing in the next 12 months as long-term because we have the intent and ability to refinance these borrowings on a long-term basis as supported by the forecasted available capacity under our $3.5 billion long-term U.S. and Canadian revolving credit facility (“$3.5 billion revolving credit facility”), as discussed below. The remaining $964 million of debt maturing in the next 12 months is classified as current obligations.</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Access to and Utilization of Credit Facilities and Commercial Paper Program</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$3.5 Billion Revolving Credit Facility — </w:t>
      </w:r>
      <w:r>
        <w:rPr>
          <w:rFonts w:ascii="Times New Roman" w:cs="Times New Roman" w:eastAsia="Times New Roman" w:hAnsi="Times New Roman"/>
          <w:sz w:val="18"/>
          <w:szCs w:val="18"/>
          <w:color w:val="auto"/>
        </w:rPr>
        <w:t>Our $3.5 billion revolving credit facility, maturing May 2029, provides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credit capacity to be used for cash borrowings, to support letters of credit and to support our commercial paper program. The interest rates we pay on outstanding U.S. or Canadian loans are based on the Secured Overnight Financing Rate (“SOFR”) administered by the Federal Reserve Bank of New York or the Canadian Overnight Repo Rate Average (“CORRA”) administered by the Bank of Canada, respectively, plus a spread depending on our senior public debt rating assigned by Moody’s Investors Service, Inc. and Standard and Poor’s Global Ratings. The spread above SOFR or CORRA can range from 0.585% to 1.025% per annum, plus applicable credit adjustments. We also pay certain other fees set forth in the $3.5 billion revolving credit facility agreement, including a facility fee based on the aggregate commitment, regardless of usage. As of June 30, 2025, we had no outstanding borrowings under this facility. We had $1.5 billion of outstanding borrowings (net of related discount on issuance) under our commercial paper program and $224 million of letters of credit issued, both supported by the facility, leaving unused and available credit capacity of $1.8 billion as of June 30, 2025. WM Holdings, a wholly-owned subsidiary of WMI, guarantees all of the obligations under the $3.5 billion revolving credit facility.</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 We have a commercial paper program that enables us to borrow funds for up to 397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at competitive interest rates. The rates we pay for outstanding borrowings are based on the term of the notes. The commercial paper program is fully supported by our $3.5 billion revolving credit facility. As of June 30, 2025, we had $1.5 billion of outstanding borrowings (net of related discount on issuance) under our commercial paper program.</w:t>
      </w:r>
    </w:p>
    <w:p>
      <w:pPr>
        <w:spacing w:after="0" w:line="180"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Letter of Credit Lines — </w:t>
      </w:r>
      <w:r>
        <w:rPr>
          <w:rFonts w:ascii="Times New Roman" w:cs="Times New Roman" w:eastAsia="Times New Roman" w:hAnsi="Times New Roman"/>
          <w:sz w:val="18"/>
          <w:szCs w:val="18"/>
          <w:color w:val="auto"/>
        </w:rPr>
        <w:t>As of June 30, 2025, we had utilized $870 million of other uncommitted letter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lines with terms maturing through December 2028.</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Debt Borrowings and Repayments</w:t>
      </w:r>
    </w:p>
    <w:p>
      <w:pPr>
        <w:spacing w:after="0" w:line="227"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 During the six months ended June 30, 2025, we had cash borrowings of $9.0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of related discount on issuance) which were used for general corporate purposes and cash repayments of $8.7 billion.</w:t>
      </w:r>
    </w:p>
    <w:p>
      <w:pPr>
        <w:spacing w:after="0" w:line="158"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 During the six months ended June 30, 2025, we repaid $422 million of 3.125% senior notes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in March 2025.</w:t>
      </w:r>
    </w:p>
    <w:p>
      <w:pPr>
        <w:spacing w:after="0" w:line="15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Senior Notes Exchange Offer </w:t>
      </w:r>
      <w:r>
        <w:rPr>
          <w:rFonts w:ascii="Times New Roman" w:cs="Times New Roman" w:eastAsia="Times New Roman" w:hAnsi="Times New Roman"/>
          <w:sz w:val="18"/>
          <w:szCs w:val="18"/>
          <w:color w:val="auto"/>
        </w:rPr>
        <w:t>– On November 8, 2024, we issued approximately $485 million in aggregate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unregistered 3.875% Senior Notes due 2029 (the “Restricted Notes”) in a private offer (the “SRCL Exchange Offer”) pursuant to which such notes were exchanged for notes of Stericycle. We entered into a registration rights agreement (the “Registration Rights Agreement”) with the dealer managers of the SRCL Exchange Offer pursuant to which we were obligated to use commercially reasonable efforts to file with the SEC and cause to become effective a registration statement with respect to an offer to exchange the Restricted Notes for registered notes with terms that are substantially identical in all material respects to the Restricted Notes.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10" w:name="page11"/>
    <w:bookmarkEnd w:id="10"/>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June 25, 2025, we completed an offer to exchange the outstanding Restricted Notes for new notes registered pursuant to the Securities Act of 1933, as amended (the “Registered Notes”). The terms of the Registered Notes are substantially identical in all material respects to the terms of the Restricted Notes, except that the Registered Notes will not be subject to restrictions on transfer. Approximately $483 million in aggregate principal amount of the Restricted Notes, or 99%, were tendered and accepted, and a like amount of new Registered Notes were issued. The debt exchange is accounted for as a modification of debt, as the financial terms of the Registered Notes do not differ from the Restricted Notes, and there is no substantial difference between the present value of cash flows under each respective set of notes.</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Tax-Exempt Bonds </w:t>
      </w:r>
      <w:r>
        <w:rPr>
          <w:rFonts w:ascii="Times New Roman" w:cs="Times New Roman" w:eastAsia="Times New Roman" w:hAnsi="Times New Roman"/>
          <w:sz w:val="18"/>
          <w:szCs w:val="18"/>
          <w:color w:val="auto"/>
        </w:rPr>
        <w:t>— We issued $130 million of tax-exempt bonds in the three months ended June 30, 2025.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from the issuance of these bonds were deposited directly into a restricted trust fund to be used for the specific purpose for which the money was raised, which is generally to finance expenditures for solid waste disposal and recycling facility construction and development.</w:t>
      </w:r>
    </w:p>
    <w:p>
      <w:pPr>
        <w:spacing w:after="0" w:line="178" w:lineRule="exact"/>
        <w:rPr>
          <w:sz w:val="20"/>
          <w:szCs w:val="20"/>
          <w:color w:val="auto"/>
        </w:rPr>
      </w:pPr>
    </w:p>
    <w:p>
      <w:pPr>
        <w:ind w:left="360" w:hanging="310"/>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Our effective income tax rate was 21.7% and 23.9% for the three months ended June 30, 2025 and 2024, respectively. The decrease in our effective income tax rate was primarily driven by the timing of amortization resulting from our investment in low-income housing investments and an increase in federal tax credits.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effective income tax rate was 20.5% and 21.3% for the six months ended June 30, 2025 and 2024, respectively.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decrease in our effective income tax rate was primarily driven by federal tax credits.</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evaluate our effective income tax rate at each interim period and adjust it as facts and circumstances warrant.</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Investments Qualifying for Federal Tax Credits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Renewable Natural Gas </w:t>
      </w:r>
      <w:r>
        <w:rPr>
          <w:rFonts w:ascii="Times New Roman" w:cs="Times New Roman" w:eastAsia="Times New Roman" w:hAnsi="Times New Roman"/>
          <w:sz w:val="18"/>
          <w:szCs w:val="18"/>
          <w:color w:val="auto"/>
        </w:rPr>
        <w:t>— Through our subsidiaries, including our WM Renewable Energy segment,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invested in building landfill gas-to-energy facilities in the U.S. and Canada that produce renewable electricity and RNG. We expect our new RNG facilities to qualify for federal tax credits and to realize those credits through 2026 under Section 48 of the Internal Revenue Code.</w:t>
      </w:r>
    </w:p>
    <w:p>
      <w:pPr>
        <w:spacing w:after="0" w:line="18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we recognized a reduction in our income tax expense of $43 million and $89 million, respectively, due to federal tax credits expected to be realized from our RNG investments compared with $37 million and $74 million, respectively, for the comparable prior year periods.</w:t>
      </w:r>
    </w:p>
    <w:p>
      <w:pPr>
        <w:spacing w:after="0" w:line="17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Low-Income Housing </w:t>
      </w:r>
      <w:r>
        <w:rPr>
          <w:rFonts w:ascii="Times New Roman" w:cs="Times New Roman" w:eastAsia="Times New Roman" w:hAnsi="Times New Roman"/>
          <w:sz w:val="18"/>
          <w:szCs w:val="18"/>
          <w:color w:val="auto"/>
        </w:rPr>
        <w:t>— We have significant financial interests in entities established to invest in and manage low-income housing properties. We support the operations of these entities in exchange for a pro-rata share of the tax credits they generate. The low-income housing investments qualify for federal tax credits that we expect to realize through 2036 under Section 42 or Section 45D of the Internal Revenue Code.</w:t>
      </w:r>
    </w:p>
    <w:p>
      <w:pPr>
        <w:spacing w:after="0" w:line="182"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Under the proportional amortization method, the equity investment is amortized in proportion to the income tax credits and other income tax benefits received. The amortization expense and the income tax credits are required to be presented on a net basis in income tax expense on the Condensed Consolidated Statements of Operations.</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2025, we recognized income tax expense of $25 million and $45 million, respectively, related to amortization under ASU 2023-02 and a reduction in our income tax expense of $35 million and $62 million, respectively, primarily due to federal tax credits realized from these investments. In addition, during the three and six months ended June 30, 2025, we recognized interest expense of $8 million and $17 million, respectively, associated with our investments in low-income housing properties.</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2024, we recognized income tax expense of $37 million related to amortization under ASU 2023-02 and a reduction in our income tax expense of $22 million and $50 million, respectively, primarily due to federal tax credits realized from these investments. In addition, during the three and six months ended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1" w:name="page12"/>
    <w:bookmarkEnd w:id="11"/>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June 30, 2024, we recognized interest expense of $5 million and $11 million, respectively, associated with our investments in low-income housing properties. See Note 13 for additional information related to these unconsolidated variable interest entities.</w:t>
      </w:r>
    </w:p>
    <w:p>
      <w:pPr>
        <w:spacing w:after="0" w:line="172" w:lineRule="exact"/>
        <w:rPr>
          <w:sz w:val="20"/>
          <w:szCs w:val="20"/>
          <w:color w:val="auto"/>
        </w:rPr>
      </w:pPr>
    </w:p>
    <w:p>
      <w:pPr>
        <w:ind w:left="360" w:hanging="310"/>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Basic and diluted earnings per share for the three and six months ended June 30 were computed using the following common share data (shares in millions):</w:t>
      </w:r>
    </w:p>
    <w:p>
      <w:pPr>
        <w:spacing w:after="0" w:line="4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56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900" w:type="dxa"/>
            <w:vAlign w:val="bottom"/>
          </w:tcPr>
          <w:p>
            <w:pPr>
              <w:spacing w:after="0"/>
              <w:rPr>
                <w:sz w:val="15"/>
                <w:szCs w:val="15"/>
                <w:color w:val="auto"/>
              </w:rPr>
            </w:pPr>
          </w:p>
        </w:tc>
        <w:tc>
          <w:tcPr>
            <w:tcW w:w="940" w:type="dxa"/>
            <w:vAlign w:val="bottom"/>
            <w:tcBorders>
              <w:bottom w:val="single" w:sz="8" w:color="auto"/>
            </w:tcBorders>
            <w:gridSpan w:val="3"/>
          </w:tcPr>
          <w:p>
            <w:pPr>
              <w:jc w:val="center"/>
              <w:ind w:left="3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bottom w:val="single" w:sz="8" w:color="auto"/>
            </w:tcBorders>
            <w:gridSpan w:val="3"/>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common shares outstanding at end of period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401.1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401.1</w:t>
            </w:r>
          </w:p>
        </w:tc>
        <w:tc>
          <w:tcPr>
            <w:tcW w:w="0" w:type="dxa"/>
            <w:vAlign w:val="bottom"/>
          </w:tcPr>
          <w:p>
            <w:pPr>
              <w:spacing w:after="0"/>
              <w:rPr>
                <w:sz w:val="1"/>
                <w:szCs w:val="1"/>
                <w:color w:val="auto"/>
              </w:rPr>
            </w:pPr>
          </w:p>
        </w:tc>
      </w:tr>
      <w:tr>
        <w:trPr>
          <w:trHeight w:val="216"/>
        </w:trPr>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using weighted average common shares outstanding</w:t>
            </w:r>
          </w:p>
        </w:tc>
        <w:tc>
          <w:tcPr>
            <w:tcW w:w="9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401.3</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401.5</w:t>
            </w:r>
          </w:p>
        </w:tc>
        <w:tc>
          <w:tcPr>
            <w:tcW w:w="0" w:type="dxa"/>
            <w:vAlign w:val="bottom"/>
          </w:tcPr>
          <w:p>
            <w:pPr>
              <w:spacing w:after="0"/>
              <w:rPr>
                <w:sz w:val="1"/>
                <w:szCs w:val="1"/>
                <w:color w:val="auto"/>
              </w:rPr>
            </w:pPr>
          </w:p>
        </w:tc>
      </w:tr>
      <w:tr>
        <w:trPr>
          <w:trHeight w:val="198"/>
        </w:trPr>
        <w:tc>
          <w:tcPr>
            <w:tcW w:w="59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Dilutive effect of equity-based compensation awards and other contingently</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issuable shares</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403.2</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403.3</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Potentially issuable shares</w:t>
            </w:r>
          </w:p>
        </w:tc>
        <w:tc>
          <w:tcPr>
            <w:tcW w:w="6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vMerge w:val="continue"/>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60" w:type="dxa"/>
            <w:vAlign w:val="bottom"/>
            <w:vMerge w:val="continue"/>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Number of anti-dilutive potentially issuable shares excluded from diluted</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outstanding</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Refer to the Condensed Consolidated Statements of Operations for net income attributable to Waste Management, Inc.</w:t>
      </w:r>
    </w:p>
    <w:p>
      <w:pPr>
        <w:spacing w:after="0" w:line="221" w:lineRule="exact"/>
        <w:rPr>
          <w:sz w:val="20"/>
          <w:szCs w:val="20"/>
          <w:color w:val="auto"/>
        </w:rPr>
      </w:pPr>
    </w:p>
    <w:p>
      <w:pPr>
        <w:ind w:left="360" w:hanging="310"/>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 </w:t>
      </w:r>
      <w:r>
        <w:rPr>
          <w:rFonts w:ascii="Times New Roman" w:cs="Times New Roman" w:eastAsia="Times New Roman" w:hAnsi="Times New Roman"/>
          <w:sz w:val="18"/>
          <w:szCs w:val="18"/>
          <w:color w:val="auto"/>
        </w:rPr>
        <w:t>We have obtained letters of credit, surety bonds and insurance policies and have established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funds and issued financial guarantees to support tax-exempt bonds, contracts, performance of landfill final capping, closure and post-closure requirements, environmental remediation and other obligations. Letters of credit generally are supported by our $3.5 billion revolving credit facility and other credit lines established for that purpose. These facilities are discussed further in Note 3.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85"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81"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Insurance — </w:t>
      </w:r>
      <w:r>
        <w:rPr>
          <w:rFonts w:ascii="Times New Roman" w:cs="Times New Roman" w:eastAsia="Times New Roman" w:hAnsi="Times New Roman"/>
          <w:sz w:val="18"/>
          <w:szCs w:val="18"/>
          <w:color w:val="auto"/>
        </w:rPr>
        <w:t>We carry insurance coverage for protection of our assets and operations from certain risks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liability, automobile liability, workers’ compensation, real and personal property, directors’ and officers’ liability, pollution legal liability, cyber incident liability and other coverages we believe are customary to the industry. Our exposure to loss for insurance claims is generally limited to the per-incident deductible under the related insurance policy and any amounts that exceed our insured limits. Our exposure could increase if our insurers are unable to meet their commitments on a timely basis.</w:t>
      </w:r>
    </w:p>
    <w:p>
      <w:pPr>
        <w:spacing w:after="0" w:line="18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have retained a significant portion of the risks related to our health and welfare,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2" w:name="page13"/>
    <w:bookmarkEnd w:id="12"/>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occurrences or loss development significantly differ from such valuations and estimates. We use a wholly-owned insurance captive to insure the deductibles for our general liability, automobile liability and workers’ compensation claims programs.</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do not expect the impact of any known casualty, property, environmental or other contingency to have a material impact on our financial condition, results of operations or cash flows.</w:t>
      </w:r>
    </w:p>
    <w:p>
      <w:pPr>
        <w:spacing w:after="0" w:line="16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Guarantees — </w:t>
      </w:r>
      <w:r>
        <w:rPr>
          <w:rFonts w:ascii="Times New Roman" w:cs="Times New Roman" w:eastAsia="Times New Roman" w:hAnsi="Times New Roman"/>
          <w:sz w:val="18"/>
          <w:szCs w:val="18"/>
          <w:color w:val="auto"/>
        </w:rPr>
        <w:t>In the ordinary course of our business, WMI and WM Holdings enter into guarantee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their subsidiaries’ operations. Additionally, WMI and 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18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As of June 30, 2025, we have guaranteed the obligations and certain performance requirements of third parties in connection with both consolidated and unconsolidated entities, including guarantees to cover the difference, if any, between the sale value and the guaranteed market or contractually-determined value of certain homeowner’s properties that are adjacent to or near 18 of our landfills. We have also agreed to indemnify certain third-party purchasers against liabilities associated with divested operations prior to such sale. We do not believe that the remaining contingent obligations will have a material adverse effect on the Company’s business, financial condition, results of operations or cash flows.</w:t>
      </w:r>
    </w:p>
    <w:p>
      <w:pPr>
        <w:spacing w:after="0" w:line="18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Environmental Matters — </w:t>
      </w:r>
      <w:r>
        <w:rPr>
          <w:rFonts w:ascii="Times New Roman" w:cs="Times New Roman" w:eastAsia="Times New Roman" w:hAnsi="Times New Roman"/>
          <w:sz w:val="18"/>
          <w:szCs w:val="18"/>
          <w:color w:val="auto"/>
        </w:rPr>
        <w:t>A significant portion of our operating costs and capital expenditures could be characterized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spacing w:after="0" w:line="187"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(where estimable), our aggregate potential liability would be approximately $9 million higher than the $217 million recorded in the Condensed Consolidated Balance Sheet as of June 30, 2025.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19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of June 30, 2025, we had been notified by the government that we are a PRP in connection with 74 locations listed on the Environmental Protection Agency’s (“EPA’s”) Superfund National Priorities List, or NPL. Of the 74 sites at which claims have been made against us, 14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60 NPL sites, which we do not own, are at various procedural stages under the Comprehensive Environmental Response, Compensation and Liability Act of 1980, as amended, known as CERCLA or Superfund.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3" w:name="page14"/>
    <w:bookmarkEnd w:id="13"/>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9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2018, both of McGinnes Industrial Maintenance Corporation (“MIMC”), a subsidiary of Waste Management of Texas, Inc., and International Paper Company (“IPC”) entered into an Administrative Order on Consent with the EPA as PRPs to develop a remedial design for the San Jacinto River Waste Pits Superfund Site in Harris County, Texas. We recorded a liability for MIMC’s estimated potential share of the EPA’s proposed remedy and related costs, although allocation of responsibility among the PRPs for the proposed remedy has not been established. In November 2024, MIMC and IPC publicly issued a proposed revised full remedial design. The EPA’s comments were received in April 2025, and MIMC and IPC provided responses to those comments later that month. Due to increases in the estimated costs of the remedy to address the EPA’s comments, in the fourth quarter of 2024 we recorded an additional $13 million liability for MIMC’s estimated potential share of such costs. The recorded liability as of June 30, 2025, and December 31, 2024, was approximately $96 and $97 million, respectively. MIMC’s ultimate liability could be materially different from current estimates, including potential increases resulting from MIMC’s continued engagement with the EPA regarding a final remedial design for the site.</w:t>
      </w:r>
    </w:p>
    <w:p>
      <w:pPr>
        <w:spacing w:after="0" w:line="19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below a stated threshold. In accordance with this SEC regulation, the Company uses a threshold of $1 million for purposes of determining whether disclosure of any such environmental proceedings is required. We are not aware of any matters in the second quarter of 2025 that are required to be disclosed pursuant to this standard.</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8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Litigation — </w:t>
      </w:r>
      <w:r>
        <w:rPr>
          <w:rFonts w:ascii="Times New Roman" w:cs="Times New Roman" w:eastAsia="Times New Roman" w:hAnsi="Times New Roman"/>
          <w:sz w:val="18"/>
          <w:szCs w:val="18"/>
          <w:color w:val="auto"/>
        </w:rPr>
        <w:t>We are subject to various proceedings, lawsuits, disputes and claims arising in the ordinary course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4" w:name="page15"/>
    <w:bookmarkEnd w:id="14"/>
    <w:p>
      <w:pPr>
        <w:ind w:left="60" w:right="79"/>
        <w:spacing w:after="0" w:line="282" w:lineRule="auto"/>
        <w:rPr>
          <w:sz w:val="20"/>
          <w:szCs w:val="20"/>
          <w:color w:val="auto"/>
        </w:rPr>
      </w:pPr>
      <w:r>
        <w:rPr>
          <w:rFonts w:ascii="Times New Roman" w:cs="Times New Roman" w:eastAsia="Times New Roman" w:hAnsi="Times New Roman"/>
          <w:sz w:val="18"/>
          <w:szCs w:val="18"/>
          <w:color w:val="auto"/>
        </w:rPr>
        <w:t>actions will have a material adverse effect on the Company’s business, financial condition, results of operations or cash flows.</w:t>
      </w:r>
    </w:p>
    <w:p>
      <w:pPr>
        <w:spacing w:after="0" w:line="162"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On November 4, 2024, the Company acquired Stericycle. At the time of the acquisition, Stericycle was subject to the following legal matters, which are now legal matters of our wholly-owned subsidiary.</w:t>
      </w:r>
    </w:p>
    <w:p>
      <w:pPr>
        <w:spacing w:after="0" w:line="162" w:lineRule="exact"/>
        <w:rPr>
          <w:sz w:val="20"/>
          <w:szCs w:val="20"/>
          <w:color w:val="auto"/>
        </w:rPr>
      </w:pPr>
    </w:p>
    <w:p>
      <w:pPr>
        <w:jc w:val="both"/>
        <w:ind w:left="380" w:right="59"/>
        <w:spacing w:after="0" w:line="254" w:lineRule="auto"/>
        <w:rPr>
          <w:sz w:val="20"/>
          <w:szCs w:val="20"/>
          <w:color w:val="auto"/>
        </w:rPr>
      </w:pPr>
      <w:r>
        <w:rPr>
          <w:rFonts w:ascii="Times New Roman" w:cs="Times New Roman" w:eastAsia="Times New Roman" w:hAnsi="Times New Roman"/>
          <w:sz w:val="18"/>
          <w:szCs w:val="18"/>
          <w:color w:val="auto"/>
        </w:rPr>
        <w:t>Stericycle entered into a deferred prosecution agreement (“DPA”) with the U.S. Department of Justice (“DOJ”) and a cease-and-desist order with the SEC in 2022 relating to Stericycle’s compliance with the U.S. Foreign Corrupt Practices Act and other anti-corruption laws with respect to now-divested operations in Latin America. The DPA and cease-and-desist order required Stericycle to engage an independent compliance monitor for two years, which Stericycle satisfied. Additionally, the DPA required Stericycle to self-report any potential violations of the anti-corruption laws through November 2025. In April 2025, the DOJ filed, and the court granted, a motion for early termination of the DPA, and the deferred charges against Stericycle have been dismissed with prejudice. This matter did not have a material adverse effect on the Company’s business, financial condition, results of operations or cash flows.</w:t>
      </w:r>
    </w:p>
    <w:p>
      <w:pPr>
        <w:spacing w:after="0" w:line="188" w:lineRule="exact"/>
        <w:rPr>
          <w:sz w:val="20"/>
          <w:szCs w:val="20"/>
          <w:color w:val="auto"/>
        </w:rPr>
      </w:pPr>
    </w:p>
    <w:p>
      <w:pPr>
        <w:jc w:val="both"/>
        <w:ind w:left="380" w:right="59"/>
        <w:spacing w:after="0" w:line="252" w:lineRule="auto"/>
        <w:rPr>
          <w:sz w:val="20"/>
          <w:szCs w:val="20"/>
          <w:color w:val="auto"/>
        </w:rPr>
      </w:pPr>
      <w:r>
        <w:rPr>
          <w:rFonts w:ascii="Times New Roman" w:cs="Times New Roman" w:eastAsia="Times New Roman" w:hAnsi="Times New Roman"/>
          <w:sz w:val="18"/>
          <w:szCs w:val="18"/>
          <w:color w:val="auto"/>
        </w:rPr>
        <w:t>On February 11, 2020, Stericycle received an administrative subpoena from the U.S. Drug Enforcement Administration (“DEA”), which executed a search warrant at a facility in Rancho Cordova, California and an administrative inspection warrant at a facility in Indianapolis, Indiana for materials related to Stericycle’s now-divested Domestic Environmental Solutions business of collecting, transporting, and destroying controlled substances from retail customers (the “ESOL Retail Controlled Substances Business”). On that same day, agents from the California Department of Toxic Substances Control executed a separate search warrant at the Rancho Cordova facility. Since that time, the U.S. Attorney’s Office for the Eastern District of California (“USAO EDCA”) has been overseeing criminal and civil investigations of the ESOL Retail Controlled Substances Business. The USAO EDCA informed Stericycle that the investigations relate to Stericycle’s operation and sale of its ESOL Retail Controlled Substances Business that was divested in 2020 and has asserted that Stericycle and some of Stericycle’s current or former employees may have civil and criminal liability under the Controlled Substances Act and other federal statutes related to that business. Stericycle has been cooperating with the ongoing investigations, which are limited to the period of Stericycle’s historical operation and ownership of the ESOL Retail Controlled Substances Business from 2015 through 2020. While the ultimate disposition of this matter remains uncertain, we do not currently believe that it will have a material adverse effect on the Company’s business, financial condition, results of operations or cash flows.</w:t>
      </w:r>
    </w:p>
    <w:p>
      <w:pPr>
        <w:spacing w:after="0" w:line="19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June 2022, we and certain of our officers were named as defendants in a complaint alleging violation of the federal securities laws and seeking certification as a class action in the U.S. District Court for the Southern District of New York. A lead plaintiff was appointed and an amended complaint was filed in January 2023. The amended complaint sought damages on behalf of a putative class of secondary market purchasers of our senior notes with a special mandatory redemption feature issued in May 2019, asserting claims under the Securities Exchange Act of 1934, as amended, based on alleged misrepresentations and omissions concerning the anticipated time for completion of our acquisition of Advanced Disposal. In July 2025, the parties filed a motion for preliminary approval of a settlement that is now pending court approval. The proposed settlement will be covered by insurance, and we do not believe that the eventual outcome of this matter will have a material adverse effect on the Company’s business, financial condition, results of operations or cash flows.</w:t>
      </w:r>
    </w:p>
    <w:p>
      <w:pPr>
        <w:spacing w:after="0" w:line="19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WMI’s charter and bylaws provide that WMI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WMI’s Board of Directors and each of WMI’s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5" w:name="page16"/>
    <w:bookmarkEnd w:id="15"/>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Multiemployer Defined Benefit Pension Plans — </w:t>
      </w:r>
      <w:r>
        <w:rPr>
          <w:rFonts w:ascii="Times New Roman" w:cs="Times New Roman" w:eastAsia="Times New Roman" w:hAnsi="Times New Roman"/>
          <w:sz w:val="18"/>
          <w:szCs w:val="18"/>
          <w:color w:val="auto"/>
        </w:rPr>
        <w:t>About 20% of our workforce is covered by collective bargaining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with various local unions across the U.S. and Canada, and certain parts of Europe. As a result of some of these agreements, certain of our subsidiaries are participating employers in a number of trustee-managed multiemployer defined benefit pension plans (“Multiemployer Pension Plans”) for the covered employees.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8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Tax Matters — </w:t>
      </w:r>
      <w:r>
        <w:rPr>
          <w:rFonts w:ascii="Times New Roman" w:cs="Times New Roman" w:eastAsia="Times New Roman" w:hAnsi="Times New Roman"/>
          <w:sz w:val="18"/>
          <w:szCs w:val="18"/>
          <w:color w:val="auto"/>
        </w:rPr>
        <w:t>We maintain a liability for uncertain tax positions, the balance of which management believes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adequate. Results of audit assessments by taxing authorities are not currently expected to have a material adverse effect on our financial condition, results of operations or cash flows. We participate in the IRS’s Compliance Assurance Process, which means we work with the IRS throughout the year towards resolving any material issues prior to the filing of our annual tax return. Any unresolved issues as of the tax return filing date are subject to routine examination procedures. In the fourth quarter of 2022, the Company received a notice of tax due for the 2017 tax year related to a remaining disagreement with the IRS. In response to the notice, the Company made a deposit of approximately $103 million with the IRS. In the fourth quarter of 2024, the Company filed a claim for refund of the entire amount deposited with the IRS. We expect to litigate any denial of the claim for refund. As of June 30, 2025 and December 31, 2024, the IRS deposit, net of reserve for uncertain tax positions, was classified as a component of other long-term assets in the Company’s Condensed Consolidated Balance Sheets.</w:t>
      </w:r>
    </w:p>
    <w:p>
      <w:pPr>
        <w:spacing w:after="0" w:line="190" w:lineRule="exact"/>
        <w:rPr>
          <w:sz w:val="20"/>
          <w:szCs w:val="20"/>
          <w:color w:val="auto"/>
        </w:rPr>
      </w:pPr>
    </w:p>
    <w:p>
      <w:pPr>
        <w:ind w:left="360" w:hanging="310"/>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Related Information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senior management evaluates, oversees and manages the financial performance of our business through five reportable segments, referred to as (i) East Tier; (ii) West Tier; (iii) Recycling Processing and Sales; (iv) WM Renewable Energy and (v) WM Healthcare Solutions. Our East and West Tiers along with Other Ancillary services that are not managed through our Tier segments, but that support our collection and disposal operations, form our “Collection and Disposal” businesses. We also provide additional services not managed through our five reportable segments, which are presented as Corporate and Other.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sectPr>
      </w:pPr>
    </w:p>
    <w:bookmarkStart w:id="16" w:name="page17"/>
    <w:bookmarkEnd w:id="16"/>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concerning our reportable segments for the three and six months ended June 30 is shown in the following table (in millions):</w:t>
      </w:r>
    </w:p>
    <w:p>
      <w:pPr>
        <w:spacing w:after="0" w:line="51" w:lineRule="exact"/>
        <w:rPr>
          <w:sz w:val="20"/>
          <w:szCs w:val="20"/>
          <w:color w:val="auto"/>
        </w:rPr>
      </w:pPr>
    </w:p>
    <w:tbl>
      <w:tblPr>
        <w:tblLayout w:type="fixed"/>
        <w:tblInd w:w="50" w:type="dxa"/>
        <w:tblCellMar>
          <w:top w:w="0" w:type="dxa"/>
          <w:left w:w="0" w:type="dxa"/>
          <w:bottom w:w="0" w:type="dxa"/>
          <w:right w:w="0" w:type="dxa"/>
        </w:tblCellMar>
      </w:tblPr>
      <w:tr>
        <w:trPr>
          <w:trHeight w:val="149"/>
        </w:trPr>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Net</w:t>
            </w: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Intercompany</w:t>
            </w:r>
          </w:p>
        </w:tc>
        <w:tc>
          <w:tcPr>
            <w:tcW w:w="6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Selling,</w:t>
            </w:r>
          </w:p>
        </w:tc>
        <w:tc>
          <w:tcPr>
            <w:tcW w:w="100" w:type="dxa"/>
            <w:vAlign w:val="bottom"/>
          </w:tcPr>
          <w:p>
            <w:pPr>
              <w:spacing w:after="0"/>
              <w:rPr>
                <w:sz w:val="12"/>
                <w:szCs w:val="12"/>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Depreciation,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Pr>
          <w:p>
            <w:pPr>
              <w:spacing w:after="0"/>
              <w:rPr>
                <w:sz w:val="12"/>
                <w:szCs w:val="12"/>
                <w:color w:val="auto"/>
              </w:rPr>
            </w:pPr>
          </w:p>
        </w:tc>
        <w:tc>
          <w:tcPr>
            <w:tcW w:w="62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Capital</w:t>
            </w:r>
          </w:p>
        </w:tc>
      </w:tr>
      <w:tr>
        <w:trPr>
          <w:trHeight w:val="135"/>
        </w:trPr>
        <w:tc>
          <w:tcPr>
            <w:tcW w:w="1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Operating</w:t>
            </w:r>
          </w:p>
        </w:tc>
        <w:tc>
          <w:tcPr>
            <w:tcW w:w="6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6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1"/>
                <w:szCs w:val="11"/>
                <w:color w:val="auto"/>
              </w:rPr>
            </w:pPr>
          </w:p>
        </w:tc>
        <w:tc>
          <w:tcPr>
            <w:tcW w:w="82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General and</w:t>
            </w:r>
          </w:p>
        </w:tc>
        <w:tc>
          <w:tcPr>
            <w:tcW w:w="100" w:type="dxa"/>
            <w:vAlign w:val="bottom"/>
          </w:tcPr>
          <w:p>
            <w:pPr>
              <w:spacing w:after="0"/>
              <w:rPr>
                <w:sz w:val="11"/>
                <w:szCs w:val="11"/>
                <w:color w:val="auto"/>
              </w:rPr>
            </w:pPr>
          </w:p>
        </w:tc>
        <w:tc>
          <w:tcPr>
            <w:tcW w:w="54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Depletion and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from</w:t>
            </w:r>
          </w:p>
        </w:tc>
        <w:tc>
          <w:tcPr>
            <w:tcW w:w="7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Expenditures</w:t>
            </w:r>
          </w:p>
        </w:tc>
      </w:tr>
      <w:tr>
        <w:trPr>
          <w:trHeight w:val="155"/>
        </w:trPr>
        <w:tc>
          <w:tcPr>
            <w:tcW w:w="1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Revenues(a)</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Administrative</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3"/>
              </w:rPr>
              <w:t>Expenses(f)</w:t>
            </w:r>
          </w:p>
        </w:tc>
        <w:tc>
          <w:tcPr>
            <w:tcW w:w="60" w:type="dxa"/>
            <w:vAlign w:val="bottom"/>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60" w:type="dxa"/>
            <w:vAlign w:val="bottom"/>
          </w:tcPr>
          <w:p>
            <w:pPr>
              <w:spacing w:after="0"/>
              <w:rPr>
                <w:sz w:val="13"/>
                <w:szCs w:val="13"/>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Operations(b)</w:t>
            </w:r>
          </w:p>
        </w:tc>
        <w:tc>
          <w:tcPr>
            <w:tcW w:w="120" w:type="dxa"/>
            <w:vAlign w:val="bottom"/>
          </w:tcPr>
          <w:p>
            <w:pPr>
              <w:spacing w:after="0"/>
              <w:rPr>
                <w:sz w:val="13"/>
                <w:szCs w:val="13"/>
                <w:color w:val="auto"/>
              </w:rPr>
            </w:pPr>
          </w:p>
        </w:tc>
        <w:tc>
          <w:tcPr>
            <w:tcW w:w="62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(c)</w:t>
            </w:r>
          </w:p>
        </w:tc>
      </w:tr>
      <w:tr>
        <w:trPr>
          <w:trHeight w:val="196"/>
        </w:trPr>
        <w:tc>
          <w:tcPr>
            <w:tcW w:w="2200" w:type="dxa"/>
            <w:vAlign w:val="bottom"/>
            <w:tcBorders>
              <w:top w:val="single" w:sz="8" w:color="CCEEFF"/>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r>
      <w:tr>
        <w:trPr>
          <w:trHeight w:val="20"/>
        </w:trPr>
        <w:tc>
          <w:tcPr>
            <w:tcW w:w="1640" w:type="dxa"/>
            <w:vAlign w:val="bottom"/>
            <w:tcBorders>
              <w:left w:val="single" w:sz="8" w:color="CCEEFF"/>
            </w:tcBorders>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r>
      <w:tr>
        <w:trPr>
          <w:trHeight w:val="209"/>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35"/>
        </w:trPr>
        <w:tc>
          <w:tcPr>
            <w:tcW w:w="2200" w:type="dxa"/>
            <w:vAlign w:val="bottom"/>
            <w:tcBorders>
              <w:left w:val="single" w:sz="8" w:color="CCEEFF"/>
            </w:tcBorders>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Collection and Disposal:</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35"/>
        </w:trPr>
        <w:tc>
          <w:tcPr>
            <w:tcW w:w="220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East Tier</w:t>
            </w:r>
          </w:p>
        </w:tc>
        <w:tc>
          <w:tcPr>
            <w:tcW w:w="1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2,292</w:t>
            </w:r>
          </w:p>
        </w:tc>
        <w:tc>
          <w:tcPr>
            <w:tcW w:w="8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630</w:t>
            </w: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2,922</w:t>
            </w: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1,833</w:t>
            </w:r>
          </w:p>
        </w:tc>
        <w:tc>
          <w:tcPr>
            <w:tcW w:w="6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6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20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272</w:t>
            </w:r>
          </w:p>
        </w:tc>
        <w:tc>
          <w:tcPr>
            <w:tcW w:w="1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721</w:t>
            </w:r>
          </w:p>
        </w:tc>
        <w:tc>
          <w:tcPr>
            <w:tcW w:w="6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360</w:t>
            </w:r>
          </w:p>
        </w:tc>
      </w:tr>
      <w:tr>
        <w:trPr>
          <w:trHeight w:val="135"/>
        </w:trPr>
        <w:tc>
          <w:tcPr>
            <w:tcW w:w="2200" w:type="dxa"/>
            <w:vAlign w:val="bottom"/>
            <w:tcBorders>
              <w:left w:val="single" w:sz="8" w:color="CCEEFF"/>
            </w:tcBorders>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West Tier</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2,251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2,805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1,721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335</w:t>
            </w:r>
          </w:p>
        </w:tc>
      </w:tr>
      <w:tr>
        <w:trPr>
          <w:trHeight w:val="135"/>
        </w:trPr>
        <w:tc>
          <w:tcPr>
            <w:tcW w:w="220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Ancillary</w:t>
            </w:r>
          </w:p>
        </w:tc>
        <w:tc>
          <w:tcPr>
            <w:tcW w:w="1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r>
      <w:tr>
        <w:trPr>
          <w:trHeight w:val="128"/>
        </w:trPr>
        <w:tc>
          <w:tcPr>
            <w:tcW w:w="2200" w:type="dxa"/>
            <w:vAlign w:val="bottom"/>
            <w:tcBorders>
              <w:top w:val="single" w:sz="8" w:color="CCEEFF"/>
              <w:left w:val="single" w:sz="8" w:color="CCEEFF"/>
            </w:tcBorders>
            <w:gridSpan w:val="2"/>
            <w:shd w:val="clear" w:color="auto" w:fill="CCEEFF"/>
          </w:tcPr>
          <w:p>
            <w:pPr>
              <w:ind w:left="340"/>
              <w:spacing w:after="0" w:line="129" w:lineRule="exact"/>
              <w:rPr>
                <w:sz w:val="20"/>
                <w:szCs w:val="20"/>
                <w:color w:val="auto"/>
              </w:rPr>
            </w:pPr>
            <w:r>
              <w:rPr>
                <w:rFonts w:ascii="Times New Roman" w:cs="Times New Roman" w:eastAsia="Times New Roman" w:hAnsi="Times New Roman"/>
                <w:sz w:val="13"/>
                <w:szCs w:val="13"/>
                <w:color w:val="auto"/>
              </w:rPr>
              <w:t>Collection and Disposal(d)(e)</w:t>
            </w:r>
          </w:p>
        </w:tc>
        <w:tc>
          <w:tcPr>
            <w:tcW w:w="1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5,281</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1,235</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6,516</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4,307</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205</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517</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1,461</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707</w:t>
            </w:r>
          </w:p>
        </w:tc>
      </w:tr>
      <w:tr>
        <w:trPr>
          <w:trHeight w:val="135"/>
        </w:trPr>
        <w:tc>
          <w:tcPr>
            <w:tcW w:w="22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Recycling Processing and Sales(d)</w:t>
            </w:r>
          </w:p>
        </w:tc>
        <w:tc>
          <w:tcPr>
            <w:tcW w:w="1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w:t>
            </w:r>
          </w:p>
        </w:tc>
      </w:tr>
      <w:tr>
        <w:trPr>
          <w:trHeight w:val="135"/>
        </w:trPr>
        <w:tc>
          <w:tcPr>
            <w:tcW w:w="2200" w:type="dxa"/>
            <w:vAlign w:val="bottom"/>
            <w:tcBorders>
              <w:left w:val="single" w:sz="8" w:color="CCEEFF"/>
            </w:tcBorders>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WM Renewable Energy(e)</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115</w:t>
            </w:r>
          </w:p>
        </w:tc>
      </w:tr>
      <w:tr>
        <w:trPr>
          <w:trHeight w:val="135"/>
        </w:trPr>
        <w:tc>
          <w:tcPr>
            <w:tcW w:w="22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WM Healthcare Solutions</w:t>
            </w:r>
          </w:p>
        </w:tc>
        <w:tc>
          <w:tcPr>
            <w:tcW w:w="1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r>
      <w:tr>
        <w:trPr>
          <w:trHeight w:val="135"/>
        </w:trPr>
        <w:tc>
          <w:tcPr>
            <w:tcW w:w="2200" w:type="dxa"/>
            <w:vAlign w:val="bottom"/>
            <w:tcBorders>
              <w:left w:val="single" w:sz="8" w:color="CCEEFF"/>
            </w:tcBorders>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Corporate and Other(e)</w:t>
            </w: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(349)</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(123)</w:t>
            </w:r>
          </w:p>
        </w:tc>
      </w:tr>
      <w:tr>
        <w:trPr>
          <w:trHeight w:val="169"/>
        </w:trPr>
        <w:tc>
          <w:tcPr>
            <w:tcW w:w="2200" w:type="dxa"/>
            <w:vAlign w:val="bottom"/>
            <w:tcBorders>
              <w:bottom w:val="single" w:sz="8" w:color="CCEEFF"/>
            </w:tcBorders>
            <w:gridSpan w:val="2"/>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6,430</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1,345</w:t>
            </w:r>
          </w:p>
        </w:tc>
        <w:tc>
          <w:tcPr>
            <w:tcW w:w="8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7,775</w:t>
            </w:r>
          </w:p>
        </w:tc>
        <w:tc>
          <w:tcPr>
            <w:tcW w:w="8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5,177</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703</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36</w:t>
            </w:r>
          </w:p>
        </w:tc>
        <w:tc>
          <w:tcPr>
            <w:tcW w:w="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708</w:t>
            </w: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1,151</w:t>
            </w: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815</w:t>
            </w:r>
          </w:p>
        </w:tc>
      </w:tr>
      <w:tr>
        <w:trPr>
          <w:trHeight w:val="115"/>
        </w:trPr>
        <w:tc>
          <w:tcPr>
            <w:tcW w:w="1640" w:type="dxa"/>
            <w:vAlign w:val="bottom"/>
            <w:tcBorders>
              <w:lef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135"/>
        </w:trPr>
        <w:tc>
          <w:tcPr>
            <w:tcW w:w="22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Intercompany Elimination</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(1,345)</w:t>
            </w:r>
          </w:p>
        </w:tc>
        <w:tc>
          <w:tcPr>
            <w:tcW w:w="60" w:type="dxa"/>
            <w:vAlign w:val="bottom"/>
          </w:tcPr>
          <w:p>
            <w:pPr>
              <w:spacing w:after="0"/>
              <w:rPr>
                <w:sz w:val="11"/>
                <w:szCs w:val="11"/>
                <w:color w:val="auto"/>
              </w:rPr>
            </w:pPr>
          </w:p>
        </w:tc>
        <w:tc>
          <w:tcPr>
            <w:tcW w:w="5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(1,338)</w:t>
            </w:r>
          </w:p>
        </w:tc>
        <w:tc>
          <w:tcPr>
            <w:tcW w:w="80" w:type="dxa"/>
            <w:vAlign w:val="bottom"/>
          </w:tcPr>
          <w:p>
            <w:pPr>
              <w:spacing w:after="0"/>
              <w:rPr>
                <w:sz w:val="11"/>
                <w:szCs w:val="11"/>
                <w:color w:val="auto"/>
              </w:rPr>
            </w:pPr>
          </w:p>
        </w:tc>
        <w:tc>
          <w:tcPr>
            <w:tcW w:w="82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28"/>
        </w:trPr>
        <w:tc>
          <w:tcPr>
            <w:tcW w:w="2200" w:type="dxa"/>
            <w:vAlign w:val="bottom"/>
            <w:tcBorders>
              <w:top w:val="single" w:sz="8" w:color="CCEEFF"/>
              <w:left w:val="single" w:sz="8" w:color="CCEEFF"/>
              <w:bottom w:val="single" w:sz="8" w:color="CCEEFF"/>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4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6,430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3,839</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696</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708</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1,151</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7"/>
        </w:trPr>
        <w:tc>
          <w:tcPr>
            <w:tcW w:w="1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164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bl>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Net</w:t>
            </w:r>
          </w:p>
        </w:tc>
        <w:tc>
          <w:tcPr>
            <w:tcW w:w="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Intercompany</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Selling,</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6"/>
              </w:rPr>
              <w:t>Depreciation,</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Capital</w:t>
            </w:r>
          </w:p>
        </w:tc>
      </w:tr>
      <w:tr>
        <w:trPr>
          <w:trHeight w:val="135"/>
        </w:trPr>
        <w:tc>
          <w:tcPr>
            <w:tcW w:w="2200" w:type="dxa"/>
            <w:vAlign w:val="bottom"/>
          </w:tcPr>
          <w:p>
            <w:pPr>
              <w:spacing w:after="0"/>
              <w:rPr>
                <w:sz w:val="11"/>
                <w:szCs w:val="11"/>
                <w:color w:val="auto"/>
              </w:rPr>
            </w:pPr>
          </w:p>
        </w:tc>
        <w:tc>
          <w:tcPr>
            <w:tcW w:w="6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Operating</w:t>
            </w:r>
          </w:p>
        </w:tc>
        <w:tc>
          <w:tcPr>
            <w:tcW w:w="6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6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1"/>
                <w:szCs w:val="11"/>
                <w:color w:val="auto"/>
              </w:rPr>
            </w:pPr>
          </w:p>
        </w:tc>
        <w:tc>
          <w:tcPr>
            <w:tcW w:w="82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General and</w:t>
            </w:r>
          </w:p>
        </w:tc>
        <w:tc>
          <w:tcPr>
            <w:tcW w:w="100" w:type="dxa"/>
            <w:vAlign w:val="bottom"/>
          </w:tcPr>
          <w:p>
            <w:pPr>
              <w:spacing w:after="0"/>
              <w:rPr>
                <w:sz w:val="11"/>
                <w:szCs w:val="11"/>
                <w:color w:val="auto"/>
              </w:rPr>
            </w:pPr>
          </w:p>
        </w:tc>
        <w:tc>
          <w:tcPr>
            <w:tcW w:w="54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Depletion and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from</w:t>
            </w:r>
          </w:p>
        </w:tc>
        <w:tc>
          <w:tcPr>
            <w:tcW w:w="7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Expenditures</w:t>
            </w:r>
          </w:p>
        </w:tc>
      </w:tr>
      <w:tr>
        <w:trPr>
          <w:trHeight w:val="148"/>
        </w:trPr>
        <w:tc>
          <w:tcPr>
            <w:tcW w:w="22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84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Revenues(a)</w:t>
            </w: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Administrative</w:t>
            </w:r>
          </w:p>
        </w:tc>
        <w:tc>
          <w:tcPr>
            <w:tcW w:w="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w w:val="93"/>
              </w:rPr>
              <w:t>Expenses(f)</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Operations(b)</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(c)</w:t>
            </w:r>
          </w:p>
        </w:tc>
      </w:tr>
      <w:tr>
        <w:trPr>
          <w:trHeight w:val="128"/>
        </w:trPr>
        <w:tc>
          <w:tcPr>
            <w:tcW w:w="22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r>
      <w:tr>
        <w:trPr>
          <w:trHeight w:val="135"/>
        </w:trPr>
        <w:tc>
          <w:tcPr>
            <w:tcW w:w="2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Collection and Disposal:</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35"/>
        </w:trPr>
        <w:tc>
          <w:tcPr>
            <w:tcW w:w="220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East Tier</w:t>
            </w: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2,178</w:t>
            </w:r>
          </w:p>
        </w:tc>
        <w:tc>
          <w:tcPr>
            <w:tcW w:w="8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566</w:t>
            </w: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2,744</w:t>
            </w: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1,708</w:t>
            </w:r>
          </w:p>
        </w:tc>
        <w:tc>
          <w:tcPr>
            <w:tcW w:w="6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89</w:t>
            </w:r>
          </w:p>
        </w:tc>
        <w:tc>
          <w:tcPr>
            <w:tcW w:w="6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253</w:t>
            </w:r>
          </w:p>
        </w:tc>
        <w:tc>
          <w:tcPr>
            <w:tcW w:w="1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692</w:t>
            </w:r>
          </w:p>
        </w:tc>
        <w:tc>
          <w:tcPr>
            <w:tcW w:w="6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245</w:t>
            </w:r>
          </w:p>
        </w:tc>
      </w:tr>
      <w:tr>
        <w:trPr>
          <w:trHeight w:val="135"/>
        </w:trPr>
        <w:tc>
          <w:tcPr>
            <w:tcW w:w="22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West Tier</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2,076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2,594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1,614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218</w:t>
            </w:r>
          </w:p>
        </w:tc>
      </w:tr>
      <w:tr>
        <w:trPr>
          <w:trHeight w:val="135"/>
        </w:trPr>
        <w:tc>
          <w:tcPr>
            <w:tcW w:w="220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Ancillary</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r>
      <w:tr>
        <w:trPr>
          <w:trHeight w:val="128"/>
        </w:trPr>
        <w:tc>
          <w:tcPr>
            <w:tcW w:w="2200" w:type="dxa"/>
            <w:vAlign w:val="bottom"/>
            <w:tcBorders>
              <w:top w:val="single" w:sz="8" w:color="CCEEFF"/>
            </w:tcBorders>
            <w:shd w:val="clear" w:color="auto" w:fill="CCEEFF"/>
          </w:tcPr>
          <w:p>
            <w:pPr>
              <w:ind w:left="340"/>
              <w:spacing w:after="0" w:line="129" w:lineRule="exact"/>
              <w:rPr>
                <w:sz w:val="20"/>
                <w:szCs w:val="20"/>
                <w:color w:val="auto"/>
              </w:rPr>
            </w:pPr>
            <w:r>
              <w:rPr>
                <w:rFonts w:ascii="Times New Roman" w:cs="Times New Roman" w:eastAsia="Times New Roman" w:hAnsi="Times New Roman"/>
                <w:sz w:val="13"/>
                <w:szCs w:val="13"/>
                <w:color w:val="auto"/>
              </w:rPr>
              <w:t>Collection and Disposal(d)(e)</w:t>
            </w: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4,922</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1,129</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6,051</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4,005</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210</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475</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1,359</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474</w:t>
            </w:r>
          </w:p>
        </w:tc>
      </w:tr>
      <w:tr>
        <w:trPr>
          <w:trHeight w:val="135"/>
        </w:trPr>
        <w:tc>
          <w:tcPr>
            <w:tcW w:w="22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Recycling Processing and Sales(d)</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w:t>
            </w:r>
          </w:p>
        </w:tc>
      </w:tr>
      <w:tr>
        <w:trPr>
          <w:trHeight w:val="135"/>
        </w:trPr>
        <w:tc>
          <w:tcPr>
            <w:tcW w:w="2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WM Renewable Energy(e)</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123</w:t>
            </w:r>
          </w:p>
        </w:tc>
      </w:tr>
      <w:tr>
        <w:trPr>
          <w:trHeight w:val="135"/>
        </w:trPr>
        <w:tc>
          <w:tcPr>
            <w:tcW w:w="22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Corporate and Other(e)</w:t>
            </w: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277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(397)</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w:t>
            </w:r>
          </w:p>
        </w:tc>
      </w:tr>
      <w:tr>
        <w:trPr>
          <w:trHeight w:val="168"/>
        </w:trPr>
        <w:tc>
          <w:tcPr>
            <w:tcW w:w="2200" w:type="dxa"/>
            <w:vAlign w:val="bottom"/>
            <w:tcBorders>
              <w:top w:val="single" w:sz="8" w:color="CCEEFF"/>
              <w:bottom w:val="single" w:sz="8" w:color="CCEEFF"/>
            </w:tcBorders>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5,402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1,208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6,610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4,494</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506</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58</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543</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1,009</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776</w:t>
            </w:r>
          </w:p>
        </w:tc>
      </w:tr>
      <w:tr>
        <w:trPr>
          <w:trHeight w:val="115"/>
        </w:trPr>
        <w:tc>
          <w:tcPr>
            <w:tcW w:w="2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r>
      <w:tr>
        <w:trPr>
          <w:trHeight w:val="135"/>
        </w:trPr>
        <w:tc>
          <w:tcPr>
            <w:tcW w:w="2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Intercompany Elimination</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(1,208)</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(1,203)</w:t>
            </w:r>
          </w:p>
        </w:tc>
        <w:tc>
          <w:tcPr>
            <w:tcW w:w="8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69"/>
        </w:trPr>
        <w:tc>
          <w:tcPr>
            <w:tcW w:w="220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Net</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5,402</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3,291</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501</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58</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543</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1,009</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r>
      <w:tr>
        <w:trPr>
          <w:trHeight w:val="183"/>
        </w:trPr>
        <w:tc>
          <w:tcPr>
            <w:tcW w:w="2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17" w:name="page18"/>
    <w:bookmarkEnd w:id="17"/>
    <w:tbl>
      <w:tblPr>
        <w:tblLayout w:type="fixed"/>
        <w:tblInd w:w="50" w:type="dxa"/>
        <w:tblCellMar>
          <w:top w:w="0" w:type="dxa"/>
          <w:left w:w="0" w:type="dxa"/>
          <w:bottom w:w="0" w:type="dxa"/>
          <w:right w:w="0" w:type="dxa"/>
        </w:tblCellMar>
      </w:tblPr>
      <w:tr>
        <w:trPr>
          <w:trHeight w:val="149"/>
        </w:trPr>
        <w:tc>
          <w:tcPr>
            <w:tcW w:w="1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Net</w:t>
            </w: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Intercompany</w:t>
            </w:r>
          </w:p>
        </w:tc>
        <w:tc>
          <w:tcPr>
            <w:tcW w:w="6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Selling,</w:t>
            </w:r>
          </w:p>
        </w:tc>
        <w:tc>
          <w:tcPr>
            <w:tcW w:w="100" w:type="dxa"/>
            <w:vAlign w:val="bottom"/>
          </w:tcPr>
          <w:p>
            <w:pPr>
              <w:spacing w:after="0"/>
              <w:rPr>
                <w:sz w:val="12"/>
                <w:szCs w:val="12"/>
                <w:color w:val="auto"/>
              </w:rPr>
            </w:pPr>
          </w:p>
        </w:tc>
        <w:tc>
          <w:tcPr>
            <w:tcW w:w="5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0" w:type="dxa"/>
            <w:vAlign w:val="bottom"/>
          </w:tcPr>
          <w:p>
            <w:pPr>
              <w:spacing w:after="0"/>
              <w:rPr>
                <w:sz w:val="12"/>
                <w:szCs w:val="12"/>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6"/>
              </w:rPr>
              <w:t>Depreciation,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Pr>
          <w:p>
            <w:pPr>
              <w:spacing w:after="0"/>
              <w:rPr>
                <w:sz w:val="12"/>
                <w:szCs w:val="12"/>
                <w:color w:val="auto"/>
              </w:rPr>
            </w:pPr>
          </w:p>
        </w:tc>
        <w:tc>
          <w:tcPr>
            <w:tcW w:w="62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Capital</w:t>
            </w:r>
          </w:p>
        </w:tc>
      </w:tr>
      <w:tr>
        <w:trPr>
          <w:trHeight w:val="135"/>
        </w:trPr>
        <w:tc>
          <w:tcPr>
            <w:tcW w:w="1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Operating</w:t>
            </w:r>
          </w:p>
        </w:tc>
        <w:tc>
          <w:tcPr>
            <w:tcW w:w="6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6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1"/>
                <w:szCs w:val="11"/>
                <w:color w:val="auto"/>
              </w:rPr>
            </w:pPr>
          </w:p>
        </w:tc>
        <w:tc>
          <w:tcPr>
            <w:tcW w:w="82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General and</w:t>
            </w:r>
          </w:p>
        </w:tc>
        <w:tc>
          <w:tcPr>
            <w:tcW w:w="100" w:type="dxa"/>
            <w:vAlign w:val="bottom"/>
          </w:tcPr>
          <w:p>
            <w:pPr>
              <w:spacing w:after="0"/>
              <w:rPr>
                <w:sz w:val="11"/>
                <w:szCs w:val="11"/>
                <w:color w:val="auto"/>
              </w:rPr>
            </w:pPr>
          </w:p>
        </w:tc>
        <w:tc>
          <w:tcPr>
            <w:tcW w:w="54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Depletion and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from</w:t>
            </w:r>
          </w:p>
        </w:tc>
        <w:tc>
          <w:tcPr>
            <w:tcW w:w="7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Expenditures</w:t>
            </w:r>
          </w:p>
        </w:tc>
      </w:tr>
      <w:tr>
        <w:trPr>
          <w:trHeight w:val="155"/>
        </w:trPr>
        <w:tc>
          <w:tcPr>
            <w:tcW w:w="1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Revenues(a)</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Administrative</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3"/>
              </w:rPr>
              <w:t>Expenses(f)</w:t>
            </w:r>
          </w:p>
        </w:tc>
        <w:tc>
          <w:tcPr>
            <w:tcW w:w="60" w:type="dxa"/>
            <w:vAlign w:val="bottom"/>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60" w:type="dxa"/>
            <w:vAlign w:val="bottom"/>
          </w:tcPr>
          <w:p>
            <w:pPr>
              <w:spacing w:after="0"/>
              <w:rPr>
                <w:sz w:val="13"/>
                <w:szCs w:val="13"/>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Operations(b)</w:t>
            </w:r>
          </w:p>
        </w:tc>
        <w:tc>
          <w:tcPr>
            <w:tcW w:w="120" w:type="dxa"/>
            <w:vAlign w:val="bottom"/>
          </w:tcPr>
          <w:p>
            <w:pPr>
              <w:spacing w:after="0"/>
              <w:rPr>
                <w:sz w:val="13"/>
                <w:szCs w:val="13"/>
                <w:color w:val="auto"/>
              </w:rPr>
            </w:pPr>
          </w:p>
        </w:tc>
        <w:tc>
          <w:tcPr>
            <w:tcW w:w="62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(c)</w:t>
            </w:r>
          </w:p>
        </w:tc>
      </w:tr>
      <w:tr>
        <w:trPr>
          <w:trHeight w:val="196"/>
        </w:trPr>
        <w:tc>
          <w:tcPr>
            <w:tcW w:w="2200" w:type="dxa"/>
            <w:vAlign w:val="bottom"/>
            <w:tcBorders>
              <w:top w:val="single" w:sz="8" w:color="CCEEFF"/>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r>
      <w:tr>
        <w:trPr>
          <w:trHeight w:val="20"/>
        </w:trPr>
        <w:tc>
          <w:tcPr>
            <w:tcW w:w="1500" w:type="dxa"/>
            <w:vAlign w:val="bottom"/>
            <w:tcBorders>
              <w:left w:val="single" w:sz="8" w:color="CCEEFF"/>
            </w:tcBorders>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r>
      <w:tr>
        <w:trPr>
          <w:trHeight w:val="209"/>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135"/>
        </w:trPr>
        <w:tc>
          <w:tcPr>
            <w:tcW w:w="2200" w:type="dxa"/>
            <w:vAlign w:val="bottom"/>
            <w:tcBorders>
              <w:left w:val="single" w:sz="8" w:color="CCEEFF"/>
            </w:tcBorders>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Collection and Disposal:</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35"/>
        </w:trPr>
        <w:tc>
          <w:tcPr>
            <w:tcW w:w="220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East Tier</w:t>
            </w:r>
          </w:p>
        </w:tc>
        <w:tc>
          <w:tcPr>
            <w:tcW w:w="1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4,432</w:t>
            </w:r>
          </w:p>
        </w:tc>
        <w:tc>
          <w:tcPr>
            <w:tcW w:w="8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1,188</w:t>
            </w: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5,620</w:t>
            </w: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3,523</w:t>
            </w:r>
          </w:p>
        </w:tc>
        <w:tc>
          <w:tcPr>
            <w:tcW w:w="6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176</w:t>
            </w:r>
          </w:p>
        </w:tc>
        <w:tc>
          <w:tcPr>
            <w:tcW w:w="6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2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523</w:t>
            </w:r>
          </w:p>
        </w:tc>
        <w:tc>
          <w:tcPr>
            <w:tcW w:w="1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1,390</w:t>
            </w:r>
          </w:p>
        </w:tc>
        <w:tc>
          <w:tcPr>
            <w:tcW w:w="6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557</w:t>
            </w:r>
          </w:p>
        </w:tc>
      </w:tr>
      <w:tr>
        <w:trPr>
          <w:trHeight w:val="135"/>
        </w:trPr>
        <w:tc>
          <w:tcPr>
            <w:tcW w:w="2200" w:type="dxa"/>
            <w:vAlign w:val="bottom"/>
            <w:tcBorders>
              <w:left w:val="single" w:sz="8" w:color="CCEEFF"/>
            </w:tcBorders>
            <w:gridSpan w:val="2"/>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West Tier</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4,333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1,060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5,393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3,328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1,436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557</w:t>
            </w:r>
          </w:p>
        </w:tc>
      </w:tr>
      <w:tr>
        <w:trPr>
          <w:trHeight w:val="135"/>
        </w:trPr>
        <w:tc>
          <w:tcPr>
            <w:tcW w:w="220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Ancillary</w:t>
            </w:r>
          </w:p>
        </w:tc>
        <w:tc>
          <w:tcPr>
            <w:tcW w:w="1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1,438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1,541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1,471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r>
      <w:tr>
        <w:trPr>
          <w:trHeight w:val="129"/>
        </w:trPr>
        <w:tc>
          <w:tcPr>
            <w:tcW w:w="2200" w:type="dxa"/>
            <w:vAlign w:val="bottom"/>
            <w:tcBorders>
              <w:top w:val="single" w:sz="8" w:color="CCEEFF"/>
              <w:left w:val="single" w:sz="8" w:color="CCEEFF"/>
            </w:tcBorders>
            <w:gridSpan w:val="2"/>
            <w:shd w:val="clear" w:color="auto" w:fill="CCEEFF"/>
          </w:tcPr>
          <w:p>
            <w:pPr>
              <w:ind w:left="340"/>
              <w:spacing w:after="0" w:line="129" w:lineRule="exact"/>
              <w:rPr>
                <w:sz w:val="20"/>
                <w:szCs w:val="20"/>
                <w:color w:val="auto"/>
              </w:rPr>
            </w:pPr>
            <w:r>
              <w:rPr>
                <w:rFonts w:ascii="Times New Roman" w:cs="Times New Roman" w:eastAsia="Times New Roman" w:hAnsi="Times New Roman"/>
                <w:sz w:val="13"/>
                <w:szCs w:val="13"/>
                <w:color w:val="auto"/>
              </w:rPr>
              <w:t>Collection and Disposal(d)(e)</w:t>
            </w:r>
          </w:p>
        </w:tc>
        <w:tc>
          <w:tcPr>
            <w:tcW w:w="1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10,203</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2,351</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12,554</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8,322</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406</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994</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2,806</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1,143</w:t>
            </w:r>
          </w:p>
        </w:tc>
      </w:tr>
      <w:tr>
        <w:trPr>
          <w:trHeight w:val="135"/>
        </w:trPr>
        <w:tc>
          <w:tcPr>
            <w:tcW w:w="22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Recycling Processing and Sales(d)</w:t>
            </w:r>
          </w:p>
        </w:tc>
        <w:tc>
          <w:tcPr>
            <w:tcW w:w="1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947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w:t>
            </w:r>
          </w:p>
        </w:tc>
      </w:tr>
      <w:tr>
        <w:trPr>
          <w:trHeight w:val="135"/>
        </w:trPr>
        <w:tc>
          <w:tcPr>
            <w:tcW w:w="2200" w:type="dxa"/>
            <w:vAlign w:val="bottom"/>
            <w:tcBorders>
              <w:left w:val="single" w:sz="8" w:color="CCEEFF"/>
            </w:tcBorders>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WM Renewable Energy(e)</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237</w:t>
            </w:r>
          </w:p>
        </w:tc>
      </w:tr>
      <w:tr>
        <w:trPr>
          <w:trHeight w:val="135"/>
        </w:trPr>
        <w:tc>
          <w:tcPr>
            <w:tcW w:w="22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WM Healthcare Solutions</w:t>
            </w:r>
          </w:p>
        </w:tc>
        <w:tc>
          <w:tcPr>
            <w:tcW w:w="1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1,265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1,274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305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r>
      <w:tr>
        <w:trPr>
          <w:trHeight w:val="135"/>
        </w:trPr>
        <w:tc>
          <w:tcPr>
            <w:tcW w:w="2200" w:type="dxa"/>
            <w:vAlign w:val="bottom"/>
            <w:tcBorders>
              <w:left w:val="single" w:sz="8" w:color="CCEEFF"/>
            </w:tcBorders>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Corporate and Other(e)</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(697)</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(112)</w:t>
            </w:r>
          </w:p>
        </w:tc>
      </w:tr>
      <w:tr>
        <w:trPr>
          <w:trHeight w:val="168"/>
        </w:trPr>
        <w:tc>
          <w:tcPr>
            <w:tcW w:w="2200" w:type="dxa"/>
            <w:vAlign w:val="bottom"/>
            <w:tcBorders>
              <w:bottom w:val="single" w:sz="8" w:color="CCEEFF"/>
            </w:tcBorders>
            <w:gridSpan w:val="2"/>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12,448</w:t>
            </w:r>
          </w:p>
        </w:tc>
        <w:tc>
          <w:tcPr>
            <w:tcW w:w="8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2,559</w:t>
            </w:r>
          </w:p>
        </w:tc>
        <w:tc>
          <w:tcPr>
            <w:tcW w:w="8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15,007</w:t>
            </w:r>
          </w:p>
        </w:tc>
        <w:tc>
          <w:tcPr>
            <w:tcW w:w="8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10,033</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1,395</w:t>
            </w: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51</w:t>
            </w:r>
          </w:p>
        </w:tc>
        <w:tc>
          <w:tcPr>
            <w:tcW w:w="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1,364</w:t>
            </w: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2,164</w:t>
            </w: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1,456</w:t>
            </w:r>
          </w:p>
        </w:tc>
      </w:tr>
      <w:tr>
        <w:trPr>
          <w:trHeight w:val="115"/>
        </w:trPr>
        <w:tc>
          <w:tcPr>
            <w:tcW w:w="1500" w:type="dxa"/>
            <w:vAlign w:val="bottom"/>
            <w:tcBorders>
              <w:left w:val="single" w:sz="8" w:color="CCEEFF"/>
            </w:tcBorders>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135"/>
        </w:trPr>
        <w:tc>
          <w:tcPr>
            <w:tcW w:w="22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Intercompany Elimination</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(2,559)</w:t>
            </w:r>
          </w:p>
        </w:tc>
        <w:tc>
          <w:tcPr>
            <w:tcW w:w="60" w:type="dxa"/>
            <w:vAlign w:val="bottom"/>
          </w:tcPr>
          <w:p>
            <w:pPr>
              <w:spacing w:after="0"/>
              <w:rPr>
                <w:sz w:val="11"/>
                <w:szCs w:val="11"/>
                <w:color w:val="auto"/>
              </w:rPr>
            </w:pPr>
          </w:p>
        </w:tc>
        <w:tc>
          <w:tcPr>
            <w:tcW w:w="5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(2,547)</w:t>
            </w:r>
          </w:p>
        </w:tc>
        <w:tc>
          <w:tcPr>
            <w:tcW w:w="80" w:type="dxa"/>
            <w:vAlign w:val="bottom"/>
          </w:tcPr>
          <w:p>
            <w:pPr>
              <w:spacing w:after="0"/>
              <w:rPr>
                <w:sz w:val="11"/>
                <w:szCs w:val="11"/>
                <w:color w:val="auto"/>
              </w:rPr>
            </w:pPr>
          </w:p>
        </w:tc>
        <w:tc>
          <w:tcPr>
            <w:tcW w:w="82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28"/>
        </w:trPr>
        <w:tc>
          <w:tcPr>
            <w:tcW w:w="2200" w:type="dxa"/>
            <w:vAlign w:val="bottom"/>
            <w:tcBorders>
              <w:top w:val="single" w:sz="8" w:color="CCEEFF"/>
              <w:left w:val="single" w:sz="8" w:color="CCEEFF"/>
              <w:bottom w:val="single" w:sz="8" w:color="CCEEFF"/>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Net</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4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12,448</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7,486</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1,383</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51</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1,364</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2,164</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7"/>
        </w:trPr>
        <w:tc>
          <w:tcPr>
            <w:tcW w:w="1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150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bl>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Net</w:t>
            </w:r>
          </w:p>
        </w:tc>
        <w:tc>
          <w:tcPr>
            <w:tcW w:w="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Intercompany</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Selling,</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6"/>
              </w:rPr>
              <w:t>Depreciation,</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Capital</w:t>
            </w:r>
          </w:p>
        </w:tc>
      </w:tr>
      <w:tr>
        <w:trPr>
          <w:trHeight w:val="135"/>
        </w:trPr>
        <w:tc>
          <w:tcPr>
            <w:tcW w:w="2200" w:type="dxa"/>
            <w:vAlign w:val="bottom"/>
          </w:tcPr>
          <w:p>
            <w:pPr>
              <w:spacing w:after="0"/>
              <w:rPr>
                <w:sz w:val="11"/>
                <w:szCs w:val="11"/>
                <w:color w:val="auto"/>
              </w:rPr>
            </w:pPr>
          </w:p>
        </w:tc>
        <w:tc>
          <w:tcPr>
            <w:tcW w:w="62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Operating</w:t>
            </w:r>
          </w:p>
        </w:tc>
        <w:tc>
          <w:tcPr>
            <w:tcW w:w="6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6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1"/>
                <w:szCs w:val="11"/>
                <w:color w:val="auto"/>
              </w:rPr>
            </w:pPr>
          </w:p>
        </w:tc>
        <w:tc>
          <w:tcPr>
            <w:tcW w:w="82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General and</w:t>
            </w:r>
          </w:p>
        </w:tc>
        <w:tc>
          <w:tcPr>
            <w:tcW w:w="100" w:type="dxa"/>
            <w:vAlign w:val="bottom"/>
          </w:tcPr>
          <w:p>
            <w:pPr>
              <w:spacing w:after="0"/>
              <w:rPr>
                <w:sz w:val="11"/>
                <w:szCs w:val="11"/>
                <w:color w:val="auto"/>
              </w:rPr>
            </w:pPr>
          </w:p>
        </w:tc>
        <w:tc>
          <w:tcPr>
            <w:tcW w:w="60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7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Depletion and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from</w:t>
            </w:r>
          </w:p>
        </w:tc>
        <w:tc>
          <w:tcPr>
            <w:tcW w:w="7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Expenditures</w:t>
            </w:r>
          </w:p>
        </w:tc>
      </w:tr>
      <w:tr>
        <w:trPr>
          <w:trHeight w:val="148"/>
        </w:trPr>
        <w:tc>
          <w:tcPr>
            <w:tcW w:w="2200" w:type="dxa"/>
            <w:vAlign w:val="bottom"/>
            <w:shd w:val="clear" w:color="auto" w:fill="CCEEFF"/>
          </w:tcPr>
          <w:p>
            <w:pPr>
              <w:spacing w:after="0"/>
              <w:rPr>
                <w:sz w:val="12"/>
                <w:szCs w:val="12"/>
                <w:color w:val="auto"/>
              </w:rPr>
            </w:pPr>
          </w:p>
        </w:tc>
        <w:tc>
          <w:tcPr>
            <w:tcW w:w="6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84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Revenues(a)</w:t>
            </w: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Administrative</w:t>
            </w:r>
          </w:p>
        </w:tc>
        <w:tc>
          <w:tcPr>
            <w:tcW w:w="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Expenses(f)</w:t>
            </w:r>
          </w:p>
        </w:tc>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Operations(b)</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(c)</w:t>
            </w:r>
          </w:p>
        </w:tc>
      </w:tr>
      <w:tr>
        <w:trPr>
          <w:trHeight w:val="128"/>
        </w:trPr>
        <w:tc>
          <w:tcPr>
            <w:tcW w:w="22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r>
      <w:tr>
        <w:trPr>
          <w:trHeight w:val="135"/>
        </w:trPr>
        <w:tc>
          <w:tcPr>
            <w:tcW w:w="2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Collection and Disposal:</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35"/>
        </w:trPr>
        <w:tc>
          <w:tcPr>
            <w:tcW w:w="220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East Tier</w:t>
            </w:r>
          </w:p>
        </w:tc>
        <w:tc>
          <w:tcPr>
            <w:tcW w:w="1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4,259</w:t>
            </w:r>
          </w:p>
        </w:tc>
        <w:tc>
          <w:tcPr>
            <w:tcW w:w="8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1,093</w:t>
            </w: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5,352</w:t>
            </w: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3,332</w:t>
            </w:r>
          </w:p>
        </w:tc>
        <w:tc>
          <w:tcPr>
            <w:tcW w:w="6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178</w:t>
            </w:r>
          </w:p>
        </w:tc>
        <w:tc>
          <w:tcPr>
            <w:tcW w:w="6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494</w:t>
            </w:r>
          </w:p>
        </w:tc>
        <w:tc>
          <w:tcPr>
            <w:tcW w:w="1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1,346</w:t>
            </w:r>
          </w:p>
        </w:tc>
        <w:tc>
          <w:tcPr>
            <w:tcW w:w="6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421</w:t>
            </w:r>
          </w:p>
        </w:tc>
      </w:tr>
      <w:tr>
        <w:trPr>
          <w:trHeight w:val="135"/>
        </w:trPr>
        <w:tc>
          <w:tcPr>
            <w:tcW w:w="22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West Tier</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4,069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5,074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3,172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1,301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419</w:t>
            </w:r>
          </w:p>
        </w:tc>
      </w:tr>
      <w:tr>
        <w:trPr>
          <w:trHeight w:val="135"/>
        </w:trPr>
        <w:tc>
          <w:tcPr>
            <w:tcW w:w="220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Ancillary</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1,399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1,339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r>
      <w:tr>
        <w:trPr>
          <w:trHeight w:val="128"/>
        </w:trPr>
        <w:tc>
          <w:tcPr>
            <w:tcW w:w="2200" w:type="dxa"/>
            <w:vAlign w:val="bottom"/>
            <w:tcBorders>
              <w:top w:val="single" w:sz="8" w:color="CCEEFF"/>
            </w:tcBorders>
            <w:shd w:val="clear" w:color="auto" w:fill="CCEEFF"/>
          </w:tcPr>
          <w:p>
            <w:pPr>
              <w:ind w:left="340"/>
              <w:spacing w:after="0" w:line="129" w:lineRule="exact"/>
              <w:rPr>
                <w:sz w:val="20"/>
                <w:szCs w:val="20"/>
                <w:color w:val="auto"/>
              </w:rPr>
            </w:pPr>
            <w:r>
              <w:rPr>
                <w:rFonts w:ascii="Times New Roman" w:cs="Times New Roman" w:eastAsia="Times New Roman" w:hAnsi="Times New Roman"/>
                <w:sz w:val="13"/>
                <w:szCs w:val="13"/>
                <w:color w:val="auto"/>
              </w:rPr>
              <w:t>Collection and Disposal(d)(e)</w:t>
            </w: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9,638</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2,187</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11,825</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7,843</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419</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925</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2,638</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863</w:t>
            </w:r>
          </w:p>
        </w:tc>
      </w:tr>
      <w:tr>
        <w:trPr>
          <w:trHeight w:val="135"/>
        </w:trPr>
        <w:tc>
          <w:tcPr>
            <w:tcW w:w="22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Recycling Processing and Sales(d)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911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227</w:t>
            </w:r>
          </w:p>
        </w:tc>
      </w:tr>
      <w:tr>
        <w:trPr>
          <w:trHeight w:val="135"/>
        </w:trPr>
        <w:tc>
          <w:tcPr>
            <w:tcW w:w="2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WM Renewable Energy(e)</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214</w:t>
            </w:r>
          </w:p>
        </w:tc>
      </w:tr>
      <w:tr>
        <w:trPr>
          <w:trHeight w:val="135"/>
        </w:trPr>
        <w:tc>
          <w:tcPr>
            <w:tcW w:w="22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Corporate and Other(e)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548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(700)</w:t>
            </w: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r>
      <w:tr>
        <w:trPr>
          <w:trHeight w:val="128"/>
        </w:trPr>
        <w:tc>
          <w:tcPr>
            <w:tcW w:w="2200" w:type="dxa"/>
            <w:vAlign w:val="bottom"/>
            <w:tcBorders>
              <w:top w:val="single" w:sz="8" w:color="CCEEFF"/>
              <w:bottom w:val="single" w:sz="8" w:color="CCEEFF"/>
            </w:tcBorders>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top w:val="single" w:sz="8" w:color="auto"/>
              <w:bottom w:val="single" w:sz="8" w:color="auto"/>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10,561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2,340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12,901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8,761</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1,002</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1,057</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2,025</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1,329</w:t>
            </w:r>
          </w:p>
        </w:tc>
      </w:tr>
      <w:tr>
        <w:trPr>
          <w:trHeight w:val="20"/>
        </w:trPr>
        <w:tc>
          <w:tcPr>
            <w:tcW w:w="2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16"/>
        </w:trPr>
        <w:tc>
          <w:tcPr>
            <w:tcW w:w="2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5"/>
        </w:trPr>
        <w:tc>
          <w:tcPr>
            <w:tcW w:w="2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Intercompany Elimination</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(2,340)</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(2,330)</w:t>
            </w:r>
          </w:p>
        </w:tc>
        <w:tc>
          <w:tcPr>
            <w:tcW w:w="8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68"/>
        </w:trPr>
        <w:tc>
          <w:tcPr>
            <w:tcW w:w="220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Net</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10,561</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6,431</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992</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56</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1,057</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2,025</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r>
      <w:tr>
        <w:trPr>
          <w:trHeight w:val="183"/>
        </w:trPr>
        <w:tc>
          <w:tcPr>
            <w:tcW w:w="2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338"/>
        </w:trPr>
        <w:tc>
          <w:tcPr>
            <w:tcW w:w="2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76" w:lineRule="exact"/>
        <w:rPr>
          <w:sz w:val="20"/>
          <w:szCs w:val="20"/>
          <w:color w:val="auto"/>
        </w:rPr>
      </w:pPr>
    </w:p>
    <w:p>
      <w:pPr>
        <w:jc w:val="both"/>
        <w:ind w:left="380" w:right="79" w:hanging="330"/>
        <w:spacing w:after="0" w:line="266"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67"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those items included in the determination of income from operations, the accounting policies of the segments are the same as those described in Note 1.</w:t>
      </w:r>
    </w:p>
    <w:p>
      <w:pPr>
        <w:spacing w:after="0" w:line="53" w:lineRule="exact"/>
        <w:rPr>
          <w:rFonts w:ascii="Times New Roman" w:cs="Times New Roman" w:eastAsia="Times New Roman" w:hAnsi="Times New Roman"/>
          <w:sz w:val="18"/>
          <w:szCs w:val="18"/>
          <w:color w:val="auto"/>
        </w:rPr>
      </w:pPr>
    </w:p>
    <w:p>
      <w:pPr>
        <w:jc w:val="both"/>
        <w:ind w:left="380" w:right="79" w:hanging="330"/>
        <w:spacing w:after="0" w:line="261"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items. Additionally, our Corporate and Other business recognizes construction work in progress for fleet purchases during the period. Capital expenditures are reported in our reportable segments at the time they are recorded within the segments’ property and equipment balances and, therefore, include timing differences for amounts accrued but not yet paid as well as amounts transferred from Corporate and Other for fleet placed in service.</w:t>
      </w:r>
    </w:p>
    <w:p>
      <w:pPr>
        <w:spacing w:after="0" w:line="71" w:lineRule="exact"/>
        <w:rPr>
          <w:rFonts w:ascii="Times New Roman" w:cs="Times New Roman" w:eastAsia="Times New Roman" w:hAnsi="Times New Roman"/>
          <w:sz w:val="18"/>
          <w:szCs w:val="18"/>
          <w:color w:val="auto"/>
        </w:rPr>
      </w:pPr>
    </w:p>
    <w:p>
      <w:pPr>
        <w:jc w:val="both"/>
        <w:ind w:left="380" w:right="79" w:hanging="330"/>
        <w:spacing w:after="0" w:line="261"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fees related to the processing of recyclable material we collect are included within our Collection and Disposal businesses. The amounts in income from operations for the three and six months ended June 30, 2025 are $20 million and $40 million, respectively. The amounts in income from operations for three and six months ended June 30, 2024, are $26 million and $48 million, respectively.</w:t>
      </w:r>
    </w:p>
    <w:p>
      <w:pPr>
        <w:spacing w:after="0" w:line="71" w:lineRule="exact"/>
        <w:rPr>
          <w:rFonts w:ascii="Times New Roman" w:cs="Times New Roman" w:eastAsia="Times New Roman" w:hAnsi="Times New Roman"/>
          <w:sz w:val="18"/>
          <w:szCs w:val="18"/>
          <w:color w:val="auto"/>
        </w:rPr>
      </w:pPr>
    </w:p>
    <w:p>
      <w:pPr>
        <w:jc w:val="both"/>
        <w:ind w:left="380" w:right="79" w:hanging="330"/>
        <w:spacing w:after="0" w:line="256"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Renewable Energy pays a 15% intercompany royalty to our Collection and Disposal and Corporate and Other businesses for landfill gas. The total amount of royalties in gross and intercompany operating revenues for the East Tier, West Tier, and Corporate and Other and in operating expenses for WM Renewable Energy for the three and six months ended June 30, 2025 are $17 million and $31 million, respectively. The total amount of royalties in gross and intercompany operating revenues for the East Tier, West Tier, and Corporate and Other and in operating expenses for WM Renewable Energy for the three and six months ended June 30, 2024 are $11 million and $21 million,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18" w:name="page19"/>
    <w:bookmarkEnd w:id="18"/>
    <w:p>
      <w:pPr>
        <w:ind w:left="380" w:right="79"/>
        <w:spacing w:after="0" w:line="282" w:lineRule="auto"/>
        <w:rPr>
          <w:sz w:val="20"/>
          <w:szCs w:val="20"/>
          <w:color w:val="auto"/>
        </w:rPr>
      </w:pPr>
      <w:r>
        <w:rPr>
          <w:rFonts w:ascii="Times New Roman" w:cs="Times New Roman" w:eastAsia="Times New Roman" w:hAnsi="Times New Roman"/>
          <w:sz w:val="18"/>
          <w:szCs w:val="18"/>
          <w:color w:val="auto"/>
        </w:rPr>
        <w:t>respectively. Prior to the fourth quarter of 2024, amounts related to intercompany royalty payments were adjusted through income from operations. Prior periods have been recast to conform to current year presentation.</w:t>
      </w:r>
    </w:p>
    <w:p>
      <w:pPr>
        <w:spacing w:after="0" w:line="54" w:lineRule="exact"/>
        <w:rPr>
          <w:sz w:val="20"/>
          <w:szCs w:val="20"/>
          <w:color w:val="auto"/>
        </w:rPr>
      </w:pPr>
    </w:p>
    <w:p>
      <w:pPr>
        <w:ind w:left="380" w:right="79" w:hanging="330"/>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net expenses include restructuring expenses, (gain) loss from divestitures, and asset impairments and unusual items, net.</w:t>
      </w:r>
    </w:p>
    <w:p>
      <w:pPr>
        <w:spacing w:after="0" w:line="53"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by reportable segment are presented in the table below as follows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gridSpan w:val="2"/>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34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 and Disposal:</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East Tier</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15,875</w:t>
            </w:r>
          </w:p>
        </w:tc>
        <w:tc>
          <w:tcPr>
            <w:tcW w:w="1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West Tier</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Ancillary</w:t>
            </w:r>
          </w:p>
        </w:tc>
        <w:tc>
          <w:tcPr>
            <w:tcW w:w="1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Collection and Disposal</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28,627</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 Healthcare Solutions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9,218</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 of intercompany investments and advances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 per Condensed Consolidated Balance Sheet</w:t>
            </w: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45,722</w:t>
            </w: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16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34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77" w:right="1440" w:bottom="1440" w:gutter="0" w:footer="0" w:header="0"/>
        </w:sectPr>
      </w:pPr>
    </w:p>
    <w:bookmarkStart w:id="19" w:name="page20"/>
    <w:bookmarkEnd w:id="19"/>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The mix of operating revenues from our major lines of business for the three and six months ended June 30 are as follows (in millions):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20" w:type="dxa"/>
            <w:vAlign w:val="bottom"/>
          </w:tcPr>
          <w:p>
            <w:pPr>
              <w:spacing w:after="0"/>
              <w:rPr>
                <w:sz w:val="13"/>
                <w:szCs w:val="13"/>
                <w:color w:val="auto"/>
              </w:rPr>
            </w:pPr>
          </w:p>
        </w:tc>
        <w:tc>
          <w:tcPr>
            <w:tcW w:w="5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2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6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8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Revenues (a)(b)</w:t>
            </w: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55"/>
        </w:trPr>
        <w:tc>
          <w:tcPr>
            <w:tcW w:w="3380" w:type="dxa"/>
            <w:vAlign w:val="bottom"/>
            <w:tcBorders>
              <w:top w:val="single" w:sz="8" w:color="CCEEFF"/>
            </w:tcBorders>
            <w:gridSpan w:val="3"/>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9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auto"/>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2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2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29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 Healthcare Solutions</w:t>
            </w:r>
          </w:p>
        </w:tc>
        <w:tc>
          <w:tcPr>
            <w:tcW w:w="2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3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29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2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2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2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3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vMerge w:val="restart"/>
          </w:tcPr>
          <w:p>
            <w:pPr>
              <w:jc w:val="right"/>
              <w:ind w:right="163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77" w:right="1440" w:bottom="1440" w:gutter="0" w:footer="0" w:header="0"/>
        </w:sectPr>
      </w:pPr>
    </w:p>
    <w:bookmarkStart w:id="20" w:name="page21"/>
    <w:bookmarkEnd w:id="2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20" w:type="dxa"/>
            <w:vAlign w:val="bottom"/>
          </w:tcPr>
          <w:p>
            <w:pPr>
              <w:spacing w:after="0"/>
              <w:rPr>
                <w:sz w:val="13"/>
                <w:szCs w:val="13"/>
                <w:color w:val="auto"/>
              </w:rPr>
            </w:pPr>
          </w:p>
        </w:tc>
        <w:tc>
          <w:tcPr>
            <w:tcW w:w="58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Gross</w:t>
            </w:r>
          </w:p>
        </w:tc>
      </w:tr>
      <w:tr>
        <w:trPr>
          <w:trHeight w:val="148"/>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Revenues (a)(b)</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r>
      <w:tr>
        <w:trPr>
          <w:trHeight w:val="155"/>
        </w:trPr>
        <w:tc>
          <w:tcPr>
            <w:tcW w:w="6240" w:type="dxa"/>
            <w:vAlign w:val="bottom"/>
            <w:tcBorders>
              <w:top w:val="single" w:sz="8" w:color="CCEEFF"/>
            </w:tcBorders>
            <w:gridSpan w:val="4"/>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r>
      <w:tr>
        <w:trPr>
          <w:trHeight w:val="216"/>
        </w:trPr>
        <w:tc>
          <w:tcPr>
            <w:tcW w:w="6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r>
      <w:tr>
        <w:trPr>
          <w:trHeight w:val="216"/>
        </w:trPr>
        <w:tc>
          <w:tcPr>
            <w:tcW w:w="6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r>
      <w:tr>
        <w:trPr>
          <w:trHeight w:val="216"/>
        </w:trPr>
        <w:tc>
          <w:tcPr>
            <w:tcW w:w="62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w:t>
            </w:r>
          </w:p>
        </w:tc>
      </w:tr>
      <w:tr>
        <w:trPr>
          <w:trHeight w:val="209"/>
        </w:trPr>
        <w:tc>
          <w:tcPr>
            <w:tcW w:w="20" w:type="dxa"/>
            <w:vAlign w:val="bottom"/>
            <w:shd w:val="clear" w:color="auto" w:fill="CCEEFF"/>
          </w:tcPr>
          <w:p>
            <w:pPr>
              <w:spacing w:after="0"/>
              <w:rPr>
                <w:sz w:val="18"/>
                <w:szCs w:val="18"/>
                <w:color w:val="auto"/>
              </w:rPr>
            </w:pPr>
          </w:p>
        </w:tc>
        <w:tc>
          <w:tcPr>
            <w:tcW w:w="62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w:t>
            </w:r>
          </w:p>
        </w:tc>
      </w:tr>
      <w:tr>
        <w:trPr>
          <w:trHeight w:val="216"/>
        </w:trPr>
        <w:tc>
          <w:tcPr>
            <w:tcW w:w="6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r>
      <w:tr>
        <w:trPr>
          <w:trHeight w:val="216"/>
        </w:trPr>
        <w:tc>
          <w:tcPr>
            <w:tcW w:w="6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10"/>
        </w:trPr>
        <w:tc>
          <w:tcPr>
            <w:tcW w:w="20" w:type="dxa"/>
            <w:vAlign w:val="bottom"/>
          </w:tcPr>
          <w:p>
            <w:pPr>
              <w:spacing w:after="0"/>
              <w:rPr>
                <w:sz w:val="18"/>
                <w:szCs w:val="18"/>
                <w:color w:val="auto"/>
              </w:rPr>
            </w:pPr>
          </w:p>
        </w:tc>
        <w:tc>
          <w:tcPr>
            <w:tcW w:w="62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12,554</w:t>
            </w:r>
          </w:p>
        </w:tc>
      </w:tr>
      <w:tr>
        <w:trPr>
          <w:trHeight w:val="216"/>
        </w:trPr>
        <w:tc>
          <w:tcPr>
            <w:tcW w:w="6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16"/>
        </w:trPr>
        <w:tc>
          <w:tcPr>
            <w:tcW w:w="6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6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 Healthcare Solutions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16"/>
        </w:trPr>
        <w:tc>
          <w:tcPr>
            <w:tcW w:w="62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22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15,007</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6"/>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6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w:t>
            </w:r>
          </w:p>
        </w:tc>
      </w:tr>
      <w:tr>
        <w:trPr>
          <w:trHeight w:val="216"/>
        </w:trPr>
        <w:tc>
          <w:tcPr>
            <w:tcW w:w="6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r>
      <w:tr>
        <w:trPr>
          <w:trHeight w:val="216"/>
        </w:trPr>
        <w:tc>
          <w:tcPr>
            <w:tcW w:w="6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r>
      <w:tr>
        <w:trPr>
          <w:trHeight w:val="216"/>
        </w:trPr>
        <w:tc>
          <w:tcPr>
            <w:tcW w:w="6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r>
      <w:tr>
        <w:trPr>
          <w:trHeight w:val="209"/>
        </w:trPr>
        <w:tc>
          <w:tcPr>
            <w:tcW w:w="20" w:type="dxa"/>
            <w:vAlign w:val="bottom"/>
          </w:tcPr>
          <w:p>
            <w:pPr>
              <w:spacing w:after="0"/>
              <w:rPr>
                <w:sz w:val="18"/>
                <w:szCs w:val="18"/>
                <w:color w:val="auto"/>
              </w:rPr>
            </w:pPr>
          </w:p>
        </w:tc>
        <w:tc>
          <w:tcPr>
            <w:tcW w:w="62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8,233</w:t>
            </w:r>
          </w:p>
        </w:tc>
      </w:tr>
      <w:tr>
        <w:trPr>
          <w:trHeight w:val="216"/>
        </w:trPr>
        <w:tc>
          <w:tcPr>
            <w:tcW w:w="6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r>
      <w:tr>
        <w:trPr>
          <w:trHeight w:val="216"/>
        </w:trPr>
        <w:tc>
          <w:tcPr>
            <w:tcW w:w="62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09"/>
        </w:trPr>
        <w:tc>
          <w:tcPr>
            <w:tcW w:w="20" w:type="dxa"/>
            <w:vAlign w:val="bottom"/>
            <w:shd w:val="clear" w:color="auto" w:fill="CCEEFF"/>
          </w:tcPr>
          <w:p>
            <w:pPr>
              <w:spacing w:after="0"/>
              <w:rPr>
                <w:sz w:val="18"/>
                <w:szCs w:val="18"/>
                <w:color w:val="auto"/>
              </w:rPr>
            </w:pPr>
          </w:p>
        </w:tc>
        <w:tc>
          <w:tcPr>
            <w:tcW w:w="62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11,825</w:t>
            </w:r>
          </w:p>
        </w:tc>
      </w:tr>
      <w:tr>
        <w:trPr>
          <w:trHeight w:val="216"/>
        </w:trPr>
        <w:tc>
          <w:tcPr>
            <w:tcW w:w="6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16"/>
        </w:trPr>
        <w:tc>
          <w:tcPr>
            <w:tcW w:w="6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62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22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76" w:lineRule="exact"/>
        <w:rPr>
          <w:sz w:val="20"/>
          <w:szCs w:val="20"/>
          <w:color w:val="auto"/>
        </w:rPr>
      </w:pPr>
    </w:p>
    <w:p>
      <w:pPr>
        <w:jc w:val="both"/>
        <w:ind w:left="380" w:right="79" w:hanging="330"/>
        <w:spacing w:after="0" w:line="266"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61"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2024 Form 10-K, the Company adjusted gross and intercompany operating revenues to reflect the 15% royalty paid by WM Renewable Energy to our Collection and Disposal and Corporate and Other businesses for the purchase of landfill gas. There was no change to net operating revenues. Prior periods have been recast to conform to current presentation.</w:t>
      </w:r>
    </w:p>
    <w:p>
      <w:pPr>
        <w:spacing w:after="0" w:line="7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financial and operating results may fluctuate for many reasons, including period-to-period changes in the relative contribution of revenue by each line of business, changes in commodity prices and general economic conditions. Our operating revenues and volumes typically experience seasonal increases in the summer months that are reflected in second and third quarter revenues and results of operations.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Conversely, certain destructive weather and climate conditions, such as wildfires in the Western U.S. and hurricanes that most often impact our operations in the Southern and Eastern U.S. during the second half of the year, can increase our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21" w:name="page22"/>
    <w:bookmarkEnd w:id="21"/>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172" w:lineRule="exact"/>
        <w:rPr>
          <w:sz w:val="20"/>
          <w:szCs w:val="20"/>
          <w:color w:val="auto"/>
        </w:rPr>
      </w:pPr>
    </w:p>
    <w:p>
      <w:pPr>
        <w:ind w:left="420" w:hanging="370"/>
        <w:spacing w:after="0"/>
        <w:tabs>
          <w:tab w:leader="none" w:pos="4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Divestitures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Stericycle Acquisition</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June 3, 2024, we entered into an Agreement and Plan of Merger (the “Merger Agreement”) to acquire all outstanding shares of Stericycle for $62.00 per share in cash, representing a total enterprise value of approximately $7.2 billion (net of cash acquired) when including the assumption of $0.5 billion of debt and the repayment of approximately $0.8 billion of net debt. The acquisition expands our offerings in the U.S., Canada and parts of Western Europe by providing regulated waste and compliance services and secure information destruction services that protect people and brands, promote health and well-being and safeguard the environment. The transaction closed on November 4, 2024 and was funded using borrowings under a term credit agreement, commercial paper program and available cash on hand. Shortly thereafter, we repaid all outstanding borrowings under the term credit agreement with net proceeds from our November 2024 issuance of $5.2 billion of senior notes.</w:t>
      </w:r>
    </w:p>
    <w:p>
      <w:pPr>
        <w:spacing w:after="0" w:line="18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Condensed Consolidated Financial Statements have not been retroactively restated to include Stericycle’s historical financial position or results of operations. The acquisition is accounted for as a business combination. In accordance with the purchase method of accounting, the purchase price paid has been allocated to the assets and liabilities acquired based upon their estimated fair values as of the acquisition date, with the excess of the purchase price over the net assets acquired recorded as goodwill.</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estimates and assumptions are subject to change during the measurement period, not to exceed one year from the acquisition date. The areas of acquisition accounting that are not yet finalized primarily relate to (i) finalizing the review and valuation of trade names, permits, customer relationships and certain property plant and equipment and other intangibles (including the models, key assumptions, estimates and inputs used) and assignment of remaining useful lives associated with the depreciable and amortizable assets and (ii) finalizing the review and valuation of accounts receivable, accrued expenses, contingent liabilities, deferred taxes and goodwill (including key assumptions, inputs and estimates).</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Goodwill of $3.8 billion was calculated as the excess of the consideration paid over the net assets recognized and represents the future economic benefits expected to arise from other assets acquired that could not be individually identified and separately recognized and from synergies of the combination. In the first quarter of 2025, we finalized the determination of our reporting units related to the Stericycle acquisition and allocated the goodwill balance to two reporting units within our WM Healthcare Solutions segment using a relative fair value allocation method. Substantially all of the goodwill is not deductible for income tax purposes.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2" w:name="page23"/>
    <w:bookmarkEnd w:id="22"/>
    <w:p>
      <w:pPr>
        <w:ind w:left="380"/>
        <w:spacing w:after="0"/>
        <w:rPr>
          <w:sz w:val="20"/>
          <w:szCs w:val="20"/>
          <w:color w:val="auto"/>
        </w:rPr>
      </w:pPr>
      <w:r>
        <w:rPr>
          <w:rFonts w:ascii="Times New Roman" w:cs="Times New Roman" w:eastAsia="Times New Roman" w:hAnsi="Times New Roman"/>
          <w:sz w:val="18"/>
          <w:szCs w:val="18"/>
          <w:color w:val="auto"/>
        </w:rPr>
        <w:t>The following table shows the preliminary purchase price allocation as of the date acquired and adjustments to</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30, 2025 (in millions):</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November 4, 2024</w:t>
            </w:r>
          </w:p>
        </w:tc>
        <w:tc>
          <w:tcPr>
            <w:tcW w:w="14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5"/>
                <w:szCs w:val="15"/>
                <w:color w:val="auto"/>
              </w:rPr>
            </w:pPr>
          </w:p>
        </w:tc>
        <w:tc>
          <w:tcPr>
            <w:tcW w:w="12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20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tcBorders>
              <w:top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 and supplies</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held for sale (a)</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revenues</w:t>
            </w:r>
          </w:p>
        </w:tc>
        <w:tc>
          <w:tcPr>
            <w:tcW w:w="4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held for sale (a)</w:t>
            </w:r>
          </w:p>
        </w:tc>
        <w:tc>
          <w:tcPr>
            <w:tcW w:w="4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4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(884)</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09"/>
        </w:trPr>
        <w:tc>
          <w:tcPr>
            <w:tcW w:w="4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purchase price</w:t>
            </w:r>
          </w:p>
        </w:tc>
        <w:tc>
          <w:tcPr>
            <w:tcW w:w="44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6,907</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w:t>
            </w:r>
          </w:p>
        </w:tc>
      </w:tr>
      <w:tr>
        <w:trPr>
          <w:trHeight w:val="20"/>
        </w:trPr>
        <w:tc>
          <w:tcPr>
            <w:tcW w:w="4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Represents Stericycle’s Spain and Portugal subsidiaries. See “Divestitures” below for additional information.</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preliminary allocation of $3,465 million for other intangible assets includes $2,279 million for customer relationships with a weighted average amortization period of 15 years, $610 million for indefinite lived trade names, $319 million for indefinite lived permits, $114 million for finite lived trade names with a weighted average amortization period of 2.9 years, $138 million for ERP software with a weighted average amortization period of 4.7 years and $5 million for developed technology with an amortization period of 17 years.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2025 Acquisitions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we completed solid waste and recycling acquisitions with total consideration of $411 million, which included $370 million in net cash paid and $41 million of other consideration, specifically purchase price holdbacks. In addition, we paid $8 million of holdbacks related to prior year acquisitions.</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Total consideration for our 2025 acquisitions was primarily allocated to $79 million of property and equipment, $34 million of other intangible assets, primarily customer relationships, and $313 million of goodwill. The goodwill was primarily a result of expected synergies from combining the acquired businesses with our existing operations and substantially all was tax deductible. We remain in the measurement period for most of our acquisitions, and adjustments to our preliminary purchase price allocation may occur.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January 2, 2025, we completed the sale of our WM Healthcare Solutions’ Spain and Portugal subsidiaries. As the fair value of consideration transferred was equal to the carrying value of the divested subsidiaries, no gain or loss was recognized.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b w:val="1"/>
          <w:bCs w:val="1"/>
          <w:color w:val="auto"/>
        </w:rPr>
        <w:t>9. (Gain) Loss from Divestitures, Asset Impairments and Unusual Items, Net</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(Gain) loss from divestitures, asset impairments and unusual items, net for the three and six months ended June 30, 2025, primarily relates to a $16 million goodwill impairment charge to a business engaged in oil recovery and sludge processing services. This charge is reflected in Other Ancillary within our Collection and Disposal businesses.</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(Gain) loss from divestitures, asset impairments and unusual items, net for the three and six months ended June 30, 2024 primarily relates to a $54 million charge required to increase the estimated fair value of a liability associated with the expected disposition of an investment the Company holds in a waste diversion technology business. This charge is reflected in our Corporate and Other measures within our segment reporting.</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Accumulated Other Comprehensive Income (Loss)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changes in the balances of each component of accumulated other comprehensive income (loss), net of tax, which is included as a component of Waste Management, Inc. stockholders’ equity, are as follows (in millions, with amounts in parentheses representing decreases to accumulated other comprehensive income):</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10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3"/>
                <w:szCs w:val="13"/>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Post-</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2480" w:type="dxa"/>
            <w:vAlign w:val="bottom"/>
            <w:gridSpan w:val="9"/>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Derivative   for-Sale   Translation</w:t>
            </w: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00" w:type="dxa"/>
            <w:vAlign w:val="bottom"/>
          </w:tcPr>
          <w:p>
            <w:pPr>
              <w:spacing w:after="0"/>
              <w:rPr>
                <w:sz w:val="12"/>
                <w:szCs w:val="12"/>
                <w:color w:val="auto"/>
              </w:rPr>
            </w:pPr>
          </w:p>
        </w:tc>
        <w:tc>
          <w:tcPr>
            <w:tcW w:w="44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98"/>
        </w:trPr>
        <w:tc>
          <w:tcPr>
            <w:tcW w:w="50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tax expense (benefit) of $(1), $3, $0 and $0, respectively</w:t>
            </w:r>
          </w:p>
        </w:tc>
        <w:tc>
          <w:tcPr>
            <w:tcW w:w="3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8"/>
        </w:trPr>
        <w:tc>
          <w:tcPr>
            <w:tcW w:w="50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loss, net of tax (expense) benefit of $(1), $0, $0 and $0,</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3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2025</w:t>
            </w: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Common Stock Repurchase Program</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repurchases shares of its common stock as part of capital allocation programs authorized by our Board of Directors.</w:t>
      </w:r>
    </w:p>
    <w:p>
      <w:pPr>
        <w:spacing w:after="0" w:line="162"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There were no common stock repurchases during the six months ended June 30, 2025. As a result of the Stericycle acquisition, the Company has temporarily suspended share repurchases. We expect to resume share repurchase once the Company’s leverage returns to targeted levels.</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12. Fair Value Measurements</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Accounted for at Fair Value</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Our assets and liabilities that are measured at fair value on a recurring basis include the following (in millions):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240" w:type="dxa"/>
            <w:vAlign w:val="bottom"/>
            <w:tcBorders>
              <w:bottom w:val="single" w:sz="8" w:color="CCEEFF"/>
            </w:tcBorders>
          </w:tcPr>
          <w:p>
            <w:pPr>
              <w:spacing w:after="0"/>
              <w:rPr>
                <w:sz w:val="15"/>
                <w:szCs w:val="15"/>
                <w:color w:val="auto"/>
              </w:rPr>
            </w:pPr>
          </w:p>
        </w:tc>
        <w:tc>
          <w:tcPr>
            <w:tcW w:w="45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68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Quoted prices in active markets (Level 1):</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equivalents and 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Significant other observable inputs (Level 2):</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Available-for-sale securities (a)</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09"/>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0"/>
        </w:trPr>
        <w:tc>
          <w:tcPr>
            <w:tcW w:w="22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4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76" w:lineRule="exact"/>
        <w:rPr>
          <w:sz w:val="20"/>
          <w:szCs w:val="20"/>
          <w:color w:val="auto"/>
        </w:rPr>
      </w:pPr>
    </w:p>
    <w:p>
      <w:pPr>
        <w:ind w:left="4420" w:right="1059" w:hanging="4370"/>
        <w:spacing w:after="0" w:line="783"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available-for-sale securities primarily relate to debt securities with maturities over the next ten years.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4" w:name="page25"/>
    <w:bookmarkEnd w:id="24"/>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Fair Value of Debt</w:t>
      </w:r>
    </w:p>
    <w:p>
      <w:pPr>
        <w:spacing w:after="0" w:line="189" w:lineRule="exact"/>
        <w:rPr>
          <w:sz w:val="20"/>
          <w:szCs w:val="20"/>
          <w:color w:val="auto"/>
        </w:rPr>
      </w:pPr>
    </w:p>
    <w:p>
      <w:pPr>
        <w:jc w:val="both"/>
        <w:ind w:left="60" w:right="59" w:firstLine="324"/>
        <w:spacing w:after="0" w:line="265" w:lineRule="auto"/>
        <w:rPr>
          <w:sz w:val="20"/>
          <w:szCs w:val="20"/>
          <w:color w:val="auto"/>
        </w:rPr>
      </w:pPr>
      <w:r>
        <w:rPr>
          <w:rFonts w:ascii="Times New Roman" w:cs="Times New Roman" w:eastAsia="Times New Roman" w:hAnsi="Times New Roman"/>
          <w:sz w:val="17"/>
          <w:szCs w:val="17"/>
          <w:color w:val="auto"/>
        </w:rPr>
        <w:t>As of June 30, 2025 and December 31, 2024, the carrying value of our debt was $24.0 billion and $23.9 billion, respectively. The estimated fair value of our debt was approximately $23.4 billion and $22.9 billion as of June 30, 2025 and December 31, 2024, respectively.</w:t>
      </w:r>
    </w:p>
    <w:p>
      <w:pPr>
        <w:spacing w:after="0" w:line="14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7"/>
          <w:szCs w:val="17"/>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June 30, 2025 and December 31, 2024. These amounts have not been revalued since those dates, and current estimates of fair value could differ significantly from the amounts presented.</w:t>
      </w:r>
    </w:p>
    <w:p>
      <w:pPr>
        <w:spacing w:after="0" w:line="145" w:lineRule="exact"/>
        <w:rPr>
          <w:sz w:val="20"/>
          <w:szCs w:val="20"/>
          <w:color w:val="auto"/>
        </w:rPr>
      </w:pPr>
    </w:p>
    <w:p>
      <w:pPr>
        <w:jc w:val="both"/>
        <w:ind w:left="60" w:right="59" w:firstLine="324"/>
        <w:spacing w:after="0" w:line="281" w:lineRule="auto"/>
        <w:rPr>
          <w:sz w:val="20"/>
          <w:szCs w:val="20"/>
          <w:color w:val="auto"/>
        </w:rPr>
      </w:pPr>
      <w:r>
        <w:rPr>
          <w:rFonts w:ascii="Times New Roman" w:cs="Times New Roman" w:eastAsia="Times New Roman" w:hAnsi="Times New Roman"/>
          <w:sz w:val="17"/>
          <w:szCs w:val="17"/>
          <w:color w:val="auto"/>
        </w:rPr>
        <w:t>See Note 8 for information related to the nonrecurring fair value measurement of assets and liabilities acquired in connection with our acquisition of Stericycle. See Note 9 for information related to our nonrecurring fair value measurements.</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13. Variable Interest Entities</w:t>
      </w:r>
    </w:p>
    <w:p>
      <w:pPr>
        <w:spacing w:after="0" w:line="200" w:lineRule="exact"/>
        <w:rPr>
          <w:sz w:val="20"/>
          <w:szCs w:val="20"/>
          <w:color w:val="auto"/>
        </w:rPr>
      </w:pPr>
    </w:p>
    <w:p>
      <w:pPr>
        <w:jc w:val="both"/>
        <w:ind w:left="60" w:right="79" w:firstLine="324"/>
        <w:spacing w:after="0" w:line="281" w:lineRule="auto"/>
        <w:rPr>
          <w:sz w:val="20"/>
          <w:szCs w:val="20"/>
          <w:color w:val="auto"/>
        </w:rPr>
      </w:pPr>
      <w:r>
        <w:rPr>
          <w:rFonts w:ascii="Times New Roman" w:cs="Times New Roman" w:eastAsia="Times New Roman" w:hAnsi="Times New Roman"/>
          <w:sz w:val="17"/>
          <w:szCs w:val="17"/>
          <w:color w:val="auto"/>
        </w:rPr>
        <w:t>The following is a description of our financial interests in unconsolidated and consolidated variable interest entities that we consider significant:</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Low-Income Housing Properties</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7"/>
          <w:szCs w:val="17"/>
          <w:color w:val="auto"/>
        </w:rPr>
        <w:t>We do not consolidate our investments in entities established to manage low-income housing properties because we are not the primary beneficiary of these entities as we do not have the power to individually direct the activities of these entities. Our aggregate investment balance in these entities was $660 million and $707 million as of June 30, 2025 and December 31, 2024, respectively. The debt balance related to our investments in low-income housing properties was $640 million and $670 million as of June 30, 2025 and December 31, 2024, respectively. Additional information related to these investments is discussed in Note 4.</w:t>
      </w:r>
    </w:p>
    <w:p>
      <w:pPr>
        <w:spacing w:after="0" w:line="1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Trust Funds for Final Capping, Closure, Post-Closure or Environmental Remediation Obligations</w:t>
      </w:r>
    </w:p>
    <w:p>
      <w:pPr>
        <w:spacing w:after="0" w:line="18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Unconsolidated Variable Interest Entities — </w:t>
      </w:r>
      <w:r>
        <w:rPr>
          <w:rFonts w:ascii="Times New Roman" w:cs="Times New Roman" w:eastAsia="Times New Roman" w:hAnsi="Times New Roman"/>
          <w:sz w:val="17"/>
          <w:szCs w:val="17"/>
          <w:color w:val="auto"/>
        </w:rPr>
        <w:t>Trust funds that are established for both the benefit of the Company and the host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community in which we operate are not consolidated because we are not the primary beneficiary of these entities as (i) we do not have the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other long-term assets in our Condensed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$117 million and $111 million as of June 30, 2025 and December 31, 2024, respectively.</w:t>
      </w:r>
    </w:p>
    <w:p>
      <w:pPr>
        <w:spacing w:after="0" w:line="14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Consolidated Variable Interest Entities — </w:t>
      </w:r>
      <w:r>
        <w:rPr>
          <w:rFonts w:ascii="Times New Roman" w:cs="Times New Roman" w:eastAsia="Times New Roman" w:hAnsi="Times New Roman"/>
          <w:sz w:val="17"/>
          <w:szCs w:val="17"/>
          <w:color w:val="auto"/>
        </w:rPr>
        <w:t>Trust funds for which we are the sole beneficiary are consolidated because we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primary beneficiary. These trust funds are recorded in restricted funds in our Condensed Consolidated Balance Sheets. Unrealized gains and losses on available-for-sale securities held by these trusts are recorded as a component of accumulated other comprehensive income (loss). These trusts had a fair value of $135 million and $128 million as of June 30, 2025 and December 31, 2024, respectively.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68" w:right="1440" w:bottom="1440" w:gutter="0" w:footer="0" w:header="0"/>
        </w:sectPr>
      </w:pPr>
    </w:p>
    <w:bookmarkStart w:id="25" w:name="page26"/>
    <w:bookmarkEnd w:id="25"/>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389"/>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2024.</w:t>
      </w:r>
    </w:p>
    <w:p>
      <w:pPr>
        <w:spacing w:after="0" w:line="180" w:lineRule="exact"/>
        <w:rPr>
          <w:sz w:val="20"/>
          <w:szCs w:val="20"/>
          <w:color w:val="auto"/>
        </w:rPr>
      </w:pPr>
    </w:p>
    <w:p>
      <w:pPr>
        <w:jc w:val="both"/>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certain forward-looking statements that are made subject to the safe harbor protections provided by the Private Securities Litigation Reform Act of 1995. Forward-looking statements are often identified by the words, “will,” “may,” “should,” “continue,” “anticipate,” “believe,” “expect,” “plan,” “forecast,” “project,” “estimate,” “intend,” and words of a similar nature and include estimates or projections of financial and other data; comments on expectations relating to future periods; plans or objectives for the future; and statements of opinions, views or beliefs about current and future events, circumstances or performance. You should view these statements with caution. They are based on the facts and circumstances known to us as of the date the statements are made. These forward looking statements are subject to risks and uncertainties that could cause actual results to be materially different from those set forth in such forward-looking statements, including but not limited to failure to implement our optimization, automation, growth and cost savings initiatives and overall business strategy; failure to obtain the results anticipated from strategic initiatives, investments, acquisitions or new lines of business; failure to identify acquisition targets, consummate and integrate acquisitions, including our ability to integrate the acquisition of Stericycle and achieve the anticipated benefits therefrom, including synergies; legal, regulatory and other matters that may affect the costs and timing of our ability to integrate and deliver all of the expected benefits of the Stericycle acquisition; failure to maintain an effective system of internal control over financial reporting; existing or new environmental and other regulations, including developments related to emerging contaminants, gas emissions, renewable energy, extended producer responsibility and our natural gas fleet;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exposure to different regulatory, legal, financial and economic conditions in international jurisdictions; failure to attract, hire and retain key team members and a high quality workforce; increases in labor costs due to union organizing activities or changes in wage and labor related regulations; disruption and costs resulting from severe weather and destructive climate events; failure to achieve our sustainability goals or execute on our sustainability-related strategy and initiatives, including within planned timelines or anticipated budgets due to disruptions, delays, cost increases or changes in environmental or tax regulations and incentives; focus on and regulation of, environmental and sustainability-related disclosures, which could lead to increased costs, risk of non-compliance, brand damage and litigation risk related to our sustainability efforts; macroeconomic conditions, geopolitical conflict and large-scale market disruption resulting in labor, supply chain and transportation constraints, inflationary cost pressures and fluctuations in commodity prices, fuel and other energy costs; increased competition; pricing actions; impacts from international trade restrictions and tariffs; competitive disposal alternatives, diversion of waste from landfills and declining waste volumes; changing conditions in the healthcare industry; weakness in general economic conditions and capital markets; instability of financial institutions; adoption of new tax legislation; fuel shortages; failure to develop and protect new technology; failure of technology to perform as expected; failure to prevent, detect and address cybersecurity incidents or comply with privacy regulations; inability to adapt and manage the benefits and risks of artificial intelligence; negative outcomes of litigation or governmental proceedings, including those acquired through transactions; and operational or management decisions or developments that result in impairment charges and other risks discussed in our filings with the SEC, including Part I, Item 1A of our Annual Report on Form 10-K for the year ended December 31, 2024. We assume no obligation to update any forward-looking statement, including financial estimates and forecasts, whether as a result of future events, circumstances or developments or otherwise.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 renewable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05" w:right="1440" w:bottom="1440" w:gutter="0" w:footer="0" w:header="0"/>
        </w:sectPr>
      </w:pPr>
    </w:p>
    <w:bookmarkStart w:id="26" w:name="page27"/>
    <w:bookmarkEnd w:id="26"/>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energy. We own or operate the largest network of landfills throughout the U.S. and Canada. In order to make disposal more practical for larger urban markets, where the distance to landfills is typically farther, we manage transfer stations that consolidate, compact and transport waste efficiently and economically. Our solid waste business is operated and managed locally by our subsidiaries that focus on distinct geographic areas and provide collection, transfer, disposal, recycling and resource recovery services. Through our subsidiaries, including our Waste Management Renewable Energy (“WM Renewable Energy”) segment, we are also a leading developer, operator and owner of landfill gas-to-energy facilities in the U.S. and Canada that produce renewable electricity and renewable natural gas (“RNG”), which is a significant source of fuel that we allocate to our natural gas fleet. Additionally, we are a leading recycler in the U.S. and Canada, handling materials that include paper, cardboard, glass, plastic and metal.</w:t>
      </w:r>
    </w:p>
    <w:p>
      <w:pPr>
        <w:spacing w:after="0" w:line="188" w:lineRule="exact"/>
        <w:rPr>
          <w:sz w:val="20"/>
          <w:szCs w:val="20"/>
          <w:color w:val="auto"/>
        </w:rPr>
      </w:pPr>
    </w:p>
    <w:p>
      <w:pPr>
        <w:jc w:val="both"/>
        <w:ind w:left="60" w:right="59" w:firstLine="324"/>
        <w:spacing w:after="0" w:line="274" w:lineRule="auto"/>
        <w:rPr>
          <w:sz w:val="20"/>
          <w:szCs w:val="20"/>
          <w:color w:val="auto"/>
        </w:rPr>
      </w:pPr>
      <w:r>
        <w:rPr>
          <w:rFonts w:ascii="Times New Roman" w:cs="Times New Roman" w:eastAsia="Times New Roman" w:hAnsi="Times New Roman"/>
          <w:sz w:val="17"/>
          <w:szCs w:val="17"/>
          <w:color w:val="auto"/>
        </w:rPr>
        <w:t>Our senior management evaluates, oversees and manages the financial performance of our business through five reportable segments, referred to as (i) Collection and Disposal - East Tier (“East Tier”); (ii) Collection and Disposal - West Tier (“West Tier”); (iii) Recycling Processing and Sales; (iv) WM Renewable Energy and (v) WM Healthcare Solutions. Our East and West Tiers, along with certain ancillary services (“Other Ancillary”) that are not managed through our Tier segments, but that support our collection and disposal operations, form our “Collection and Disposal” businesses. We also provide additional services not managed through our five reportable segments, which are presented as Corporate and Other.</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Stericycle Acquisition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November 4, 2024, we completed our acquisition of all outstanding shares of Stericycle, Inc., a provider of regulated waste and compliance services and secure information destruction services that protect people and brands, promote health and well-being and safeguard the environment. The post-closing operating results of Stericycle have been included in our Condensed Consolidated Financial Statements as a new reportable segment referred to as WM Healthcare Solutions. During the first half of 2025, we continued to prioritize service delivery for our customers and the integration of operations into WM’s organizational structure, ensuring business alignment with WM’s core values and capturing synergies through reduction of duplicative processes and costs. Additional efforts focused on business integration and process optimization through technological enhancements, establishing a performance management approach aimed at accountability and improving utilization of the asset portfolio.</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216" w:lineRule="exact"/>
        <w:rPr>
          <w:sz w:val="20"/>
          <w:szCs w:val="20"/>
          <w:color w:val="auto"/>
        </w:rPr>
      </w:pPr>
    </w:p>
    <w:p>
      <w:pPr>
        <w:jc w:val="both"/>
        <w:ind w:left="60" w:right="59" w:firstLine="324"/>
        <w:spacing w:after="0" w:line="233" w:lineRule="auto"/>
        <w:rPr>
          <w:sz w:val="20"/>
          <w:szCs w:val="20"/>
          <w:color w:val="auto"/>
        </w:rPr>
      </w:pPr>
      <w:r>
        <w:rPr>
          <w:rFonts w:ascii="Times New Roman" w:cs="Times New Roman" w:eastAsia="Times New Roman" w:hAnsi="Times New Roman"/>
          <w:sz w:val="18"/>
          <w:szCs w:val="18"/>
          <w:color w:val="auto"/>
        </w:rPr>
        <w:t>Our fundamental strategy has not changed; we remain dedicated to providing long-term value to our stockholders by successfully executing our core strategy of focused differentiation and continuous improvement. We have enabled a people-first, technology-led focus to drive our mission to maximize resource value, while minimizing environmental impact, and sustainability and environmental stewardship is embedded in all that we do. Our strategy leverages and sustains the strongest asset network in the industry to drive best-in-class customer experience and growth.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that investing in automation to improve processes and drive operational efficiency combined with a focus on the cost to serve our customers will yield an attractive profit margin and enhanced service quality. We are furthering our strategy of focused differentiation and continuous improvement beyond our traditional waste operations through our sustainability growth strategy that includes significant investments in our WM Renewable Energy and Recycling Processing and Sales segments, while increasing automation and reducing labor dependency. In addition, with our acquisition of Stericycle, we have advanced our growth strategy and built upon our sustainability initiatives. The acquisition provides a complementary business platform in regulated waste and compliance services involving medical waste, a sector with attractive near- and long-term growth dynamics and in secure information destruction services to further our leading suite of comprehensive waste and environmental solutions. Furthermore, we are also evaluating and pursuing emerging diversion technologies that may generate additional value.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7" w:name="page28"/>
    <w:bookmarkEnd w:id="27"/>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Business Environment</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waste industry is a comparatively mature and stable industry. However, customers increasingly expect more of their waste materials to be recovered and those waste streams are becoming more complex. In addition, many state and local governments mandate diversion, recycling and waste reduction at the source and prohibit the disposal of certain types of waste at landfills. We monitor these developments to adapt our service offerings. As companies, individuals and communities look for ways to be more sustainable, we promote our comprehensive services that go beyond our core business of collecting and disposing of waste in order to meet their needs. This includes expanding traditional recycling services, increasing organics collection and processing, providing regulated waste and compliance services and secure information destruction and expanding our renewable energy projects to meet the evolving needs of our diverse customer base. As North America’s leading provider of comprehensive environmental solutions, we are taking big, bold steps to catalyze positive change – change that will impact our Company as well as the communities we serve. Consistent with our Company’s long-standing commitment to sustainability and environmental stewardship, we have published our 2025 Sustainability Report providing details on our sustainability-related performance and outlining progress towards our 2030 sustainability goals. The Sustainability Report conveys the strong linkage between the Company’s sustainability goals and our growth strategy, inclusive of the planned and ongoing expansion of the Company’s Recycling Processing and Sales and WM Renewable Energy segments. The information in this report can be found at sustainability.wm.com but it does not constitute a part of, and is not incorporated by reference into, this Quarterly Report on Form 10-Q.</w:t>
      </w:r>
    </w:p>
    <w:p>
      <w:pPr>
        <w:spacing w:after="0" w:line="195"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encounter intense competition from governmental, quasi-governmental and private service providers based on pricing, and to a much lesser extent, the nature of service offerings, particularly in the residential line of business. Our industry is directly affected by changes in general economic factors, including increases and decreases in consumer spending, business expansions and construction activity. These factors generally correlate to volumes of waste generated and impact our revenue. Negative economic conditions and other macroeconomic trends can and have caused customers to reduce their service needs. Such negative economic conditions, in addition to competitor actions, can impact our strategy to negotiate, renew, or expand service contracts and grow our business. We also encounter competition for acquisitions and growth opportunities. General economic factors and the market for consumer goods, in addition to regulatory developments, can also significantly impact commodity prices for the recyclable materials we sell. Significant components of our operating expenses vary directly as we experience changes in revenue due to volume and inflation. Volume changes can fluctuate significantly by line of business and volume changes in higher margin businesses can impact key financial metrics. We must dynamically manage our cost structure in response to volume changes and cost inflation.</w:t>
      </w:r>
    </w:p>
    <w:p>
      <w:pPr>
        <w:spacing w:after="0" w:line="19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believe the Company’s industry-leading asset network and strategic focus on investing in our people and our digital platform will give the Company the necessary tools to address the evolving challenges impacting the Company and our industry. In line with our commitment to continuous improvement and a differentiated customer experience, we remain focused on our automation and optimization investments to enhance our operational efficiency and change the way we interact with our customers. Advancements made through these initiatives are intended to seamlessly and digitally connect all enterprise functions required to service customers and provide the best experience. We have made significant progress in executing this technology enablement strategy to automate and optimize certain elements of our service delivery model. The key benefits are reduced labor dependency for certain high-turnover positions, particularly in customer experience, recycling and residential collection, while further elevating our customer self-service through digitalization and implementation of technologies to enhance the safety, reliability and efficiency within our collection operations.</w:t>
      </w:r>
    </w:p>
    <w:p>
      <w:pPr>
        <w:spacing w:after="0" w:line="19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sometimes experience margin pressures and variability in earnings and margins from our commodity-driven businesses, specifically within our Recycling Processing and Sales and WM Renewable Energy segments. During the first half of 2025, we experienced decreases in market prices for recycled commodities when compared to the prior year period, particularly in our recycling brokerage business. While the combined impacts of commodity price fluctuations from the prior year had a modestly favorable impact on the WM Renewable Energy segment in the first half of 2025, we may experience more significant impacts from fluctuations in the prices of renewable identification numbers (“RINs”) and natural gas as we continue to make investments to grow that segment in the future.</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Variability in economic conditions, including inflation, interest rates, employment trends and supply chain reliability, can create risk and uncertainty in financial outlook. We take proactive steps to recover and mitigate inflationary cost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28" w:name="page29"/>
    <w:bookmarkEnd w:id="28"/>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pressures through our overall pricing efforts and by managing our costs through efficiency, labor productivity and investments in technology to automate certain aspects of our business. We remain committed to putting our people first to ensure that they are well positioned to execute our daily operations diligently and safely. We remain focused on delivering outstanding customer service, managing our variable costs with changing volumes and investing in technology that will enhance our customers’ experience and provide operating efficiencies intended to reduce our cost to serve our customers.</w:t>
      </w:r>
    </w:p>
    <w:p>
      <w:pPr>
        <w:spacing w:after="0" w:line="1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Current Quarter Financial Results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During the second quarter of 2025, we continued to focus on our priorities to advance our strategy – enhancing employee engagement, permanently reducing our cost to serve our customers through the use of technology and automation, investing in growth through our Recycling Processing and Sales and WM Renewable Energy segments and integrating the Stericycle business. We continue to invest in our people through paying a competitive market wage, investing in our digital platform and providing training for our team members. We also continue to make investments in automation and optimization to enhance our operational efficiency and improve labor productivity for all lines of business. As part of the integration of Stericycle, which constitutes our new WM Healthcare Solutions segment, we achieved synergies by reducing costs of duplicative business processes, focused on service delivery for our customers and aligned team members and business processes with WM’s core values.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Key elements of our financial results for the second quarter include:</w:t>
      </w:r>
    </w:p>
    <w:p>
      <w:pPr>
        <w:spacing w:after="0" w:line="117" w:lineRule="exact"/>
        <w:rPr>
          <w:sz w:val="20"/>
          <w:szCs w:val="20"/>
          <w:color w:val="auto"/>
        </w:rPr>
      </w:pPr>
    </w:p>
    <w:p>
      <w:pPr>
        <w:jc w:val="both"/>
        <w:ind w:left="720" w:right="79" w:hanging="319"/>
        <w:spacing w:after="0" w:line="258"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$6,430 million, compared with $5,402 million in the prior year period, an increase of $1,028 million, or 19.0%. The increase is primarily attributable to (i) our recent acquisitions, particularly Stericycle; (ii) higher yield in our Collection and Disposal businesses and (iii) higher volumes primarily in our landfill, recycling and WM Renewable Energy businesses. These increases were partially offset by (i) lower residential and temporary industrial collection volumes and (ii) a reduction in single-stream and brokerage recycled commodity prices;</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of $3,839 million, or 59.7% of revenues, compared with $3,291 million, or 60.9% of revenues, in the prior year period. The $548 million increase in operating expenses is primarily attributable to (i) our recent acquisitions; (ii) increased post-collection volumes and (iii) moderate inflationary pressures. These increases were partially offset by (i) lower residential and temporary industrial business volumes and (ii) operating efficiency and cost control initiatives which positioned us to reduce our operating expenses as a percentage of revenue when compared with the prior year period;</w:t>
      </w:r>
    </w:p>
    <w:p>
      <w:pPr>
        <w:spacing w:after="0" w:line="79"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were $696 million, or 10.8% of revenues, compared with $501 million, or 9.3% of revenues, in the prior year period. The $195 million increase is primarily attributable to</w:t>
      </w:r>
    </w:p>
    <w:p>
      <w:pPr>
        <w:ind w:left="940" w:hanging="215"/>
        <w:spacing w:after="0"/>
        <w:tabs>
          <w:tab w:leader="none" w:pos="9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labor costs from acquisitions and (ii) consulting costs incurred to support the integration of Stericycle;</w:t>
      </w:r>
    </w:p>
    <w:p>
      <w:pPr>
        <w:spacing w:after="0" w:line="98"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was $1,151 million, or 17.9% of revenues, compared with $1,009 million, or 18.7% of revenues, in the prior year period. The $142 million increase in the current year earnings was primarily driven by</w:t>
      </w:r>
    </w:p>
    <w:p>
      <w:pPr>
        <w:jc w:val="both"/>
        <w:ind w:left="720" w:right="79" w:firstLine="5"/>
        <w:spacing w:after="0" w:line="252" w:lineRule="auto"/>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our Collection and Disposal business; (ii) a $54 million charge recognized in the prior year to increase the estimated fair value of a liability associated with the expected disposition of an investment we hold in a waste diversion technology business and (iii) higher volumes in our WM Renewable Energy business due to the completion of projects that increase the beneficial use of landfill gas sold to third parties. This growth was partially offset by (i) higher depreciation and amortization costs and integration related expenses arising from our Stericycle acquisition and (ii) lower recycled commodity prices;</w:t>
      </w:r>
    </w:p>
    <w:p>
      <w:pPr>
        <w:spacing w:after="0" w:line="81"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Waste Management, Inc. was $726 million, or $1.80 per diluted share, compared with $680 million, or $1.69 per diluted share, in the prior year period. The $46 million increase was primarily driven by an increase in income from operations, discussed above, and to a lesser extent a reduction in income tax expense. These increases were partially offset by increased interest expense related to the additional debt incurred to finance our Stericycle acquisition;</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$1,545 million compared with $1,154 million in the prior year period, with the increase driven by (i) higher earnings in the majority of our segments, including the contributions from our recent acquisitions and (ii) favorable changes in working capital, net of effects of acquisitions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9" w:name="page30"/>
    <w:bookmarkEnd w:id="29"/>
    <w:p>
      <w:pPr>
        <w:ind w:left="720" w:right="79"/>
        <w:spacing w:after="0" w:line="282" w:lineRule="auto"/>
        <w:rPr>
          <w:sz w:val="20"/>
          <w:szCs w:val="20"/>
          <w:color w:val="auto"/>
        </w:rPr>
      </w:pPr>
      <w:r>
        <w:rPr>
          <w:rFonts w:ascii="Times New Roman" w:cs="Times New Roman" w:eastAsia="Times New Roman" w:hAnsi="Times New Roman"/>
          <w:sz w:val="18"/>
          <w:szCs w:val="18"/>
          <w:color w:val="auto"/>
        </w:rPr>
        <w:t>divestitures. This increase was partially offset by higher cash interest primarily due to additional debt incurred to fund our acquisition of Stericycle.</w:t>
      </w:r>
    </w:p>
    <w:p>
      <w:pPr>
        <w:spacing w:after="0" w:line="54" w:lineRule="exact"/>
        <w:rPr>
          <w:sz w:val="20"/>
          <w:szCs w:val="20"/>
          <w:color w:val="auto"/>
        </w:rPr>
      </w:pPr>
    </w:p>
    <w:p>
      <w:pPr>
        <w:jc w:val="both"/>
        <w:ind w:left="720" w:right="79" w:hanging="319"/>
        <w:spacing w:after="0" w:line="254"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was $818 million compared with $530 million in the prior year period. The increase in free cash flow is attributable to the increase in net cash provided by operating activities discussed above. These increases were partially offset by (i) increased capital spending, which was driven by investments in capital assets such as trucks, landfills and equipment and capital expenditures within our WM Healthcare Solutions segment to support the business and (ii) lower proceeds from divestitures of non-strategic assets and businesses. Free cash flow is a non-GAAP measure of liquidity. Refer to Free Cash Flow below for our definition of free cash flow, additional information about our use of this measure, and a reconciliation to net cash provided by operating activities, which is the most comparable GAAP measure.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Revenues</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mix of operating revenues from our major lines of business for the three and six months ended June 30 are as follows (in millions):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51"/>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120" w:type="dxa"/>
            <w:vAlign w:val="bottom"/>
            <w:gridSpan w:val="3"/>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Revenues (a)(b)</w:t>
            </w:r>
          </w:p>
        </w:tc>
        <w:tc>
          <w:tcPr>
            <w:tcW w:w="160" w:type="dxa"/>
            <w:vAlign w:val="bottom"/>
          </w:tcPr>
          <w:p>
            <w:pPr>
              <w:spacing w:after="0"/>
              <w:rPr>
                <w:sz w:val="15"/>
                <w:szCs w:val="15"/>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6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9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30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w:t>
            </w: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2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29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2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Landfill</w:t>
            </w: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29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WM Healthcare Solutions</w:t>
            </w:r>
          </w:p>
        </w:tc>
        <w:tc>
          <w:tcPr>
            <w:tcW w:w="2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9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9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w:t>
            </w:r>
          </w:p>
        </w:tc>
        <w:tc>
          <w:tcPr>
            <w:tcW w:w="30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2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w:t>
            </w: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29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w:t>
            </w:r>
          </w:p>
        </w:tc>
        <w:tc>
          <w:tcPr>
            <w:tcW w:w="2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Transfer</w:t>
            </w:r>
          </w:p>
        </w:tc>
        <w:tc>
          <w:tcPr>
            <w:tcW w:w="29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2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2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9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9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20" w:type="dxa"/>
            <w:vAlign w:val="bottom"/>
            <w:vMerge w:val="restart"/>
          </w:tcPr>
          <w:p>
            <w:pPr>
              <w:jc w:val="right"/>
              <w:ind w:right="165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77" w:right="1440" w:bottom="1440" w:gutter="0" w:footer="0" w:header="0"/>
        </w:sectPr>
      </w:pPr>
    </w:p>
    <w:bookmarkStart w:id="30" w:name="page31"/>
    <w:bookmarkEnd w:id="3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20" w:type="dxa"/>
            <w:vAlign w:val="bottom"/>
          </w:tcPr>
          <w:p>
            <w:pPr>
              <w:spacing w:after="0"/>
              <w:rPr>
                <w:sz w:val="13"/>
                <w:szCs w:val="13"/>
                <w:color w:val="auto"/>
              </w:rPr>
            </w:pPr>
          </w:p>
        </w:tc>
        <w:tc>
          <w:tcPr>
            <w:tcW w:w="58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Gross</w:t>
            </w: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Revenues (a)(b)</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r>
      <w:tr>
        <w:trPr>
          <w:trHeight w:val="156"/>
        </w:trPr>
        <w:tc>
          <w:tcPr>
            <w:tcW w:w="6240" w:type="dxa"/>
            <w:vAlign w:val="bottom"/>
            <w:tcBorders>
              <w:top w:val="single" w:sz="8" w:color="CCEEFF"/>
            </w:tcBorders>
            <w:gridSpan w:val="4"/>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r>
      <w:tr>
        <w:trPr>
          <w:trHeight w:val="216"/>
        </w:trPr>
        <w:tc>
          <w:tcPr>
            <w:tcW w:w="6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r>
      <w:tr>
        <w:trPr>
          <w:trHeight w:val="216"/>
        </w:trPr>
        <w:tc>
          <w:tcPr>
            <w:tcW w:w="6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r>
      <w:tr>
        <w:trPr>
          <w:trHeight w:val="216"/>
        </w:trPr>
        <w:tc>
          <w:tcPr>
            <w:tcW w:w="62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w:t>
            </w:r>
          </w:p>
        </w:tc>
      </w:tr>
      <w:tr>
        <w:trPr>
          <w:trHeight w:val="209"/>
        </w:trPr>
        <w:tc>
          <w:tcPr>
            <w:tcW w:w="20" w:type="dxa"/>
            <w:vAlign w:val="bottom"/>
            <w:shd w:val="clear" w:color="auto" w:fill="CCEEFF"/>
          </w:tcPr>
          <w:p>
            <w:pPr>
              <w:spacing w:after="0"/>
              <w:rPr>
                <w:sz w:val="18"/>
                <w:szCs w:val="18"/>
                <w:color w:val="auto"/>
              </w:rPr>
            </w:pPr>
          </w:p>
        </w:tc>
        <w:tc>
          <w:tcPr>
            <w:tcW w:w="62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w:t>
            </w:r>
          </w:p>
        </w:tc>
      </w:tr>
      <w:tr>
        <w:trPr>
          <w:trHeight w:val="216"/>
        </w:trPr>
        <w:tc>
          <w:tcPr>
            <w:tcW w:w="6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r>
      <w:tr>
        <w:trPr>
          <w:trHeight w:val="216"/>
        </w:trPr>
        <w:tc>
          <w:tcPr>
            <w:tcW w:w="6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09"/>
        </w:trPr>
        <w:tc>
          <w:tcPr>
            <w:tcW w:w="20" w:type="dxa"/>
            <w:vAlign w:val="bottom"/>
          </w:tcPr>
          <w:p>
            <w:pPr>
              <w:spacing w:after="0"/>
              <w:rPr>
                <w:sz w:val="18"/>
                <w:szCs w:val="18"/>
                <w:color w:val="auto"/>
              </w:rPr>
            </w:pPr>
          </w:p>
        </w:tc>
        <w:tc>
          <w:tcPr>
            <w:tcW w:w="62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12,554</w:t>
            </w:r>
          </w:p>
        </w:tc>
      </w:tr>
      <w:tr>
        <w:trPr>
          <w:trHeight w:val="216"/>
        </w:trPr>
        <w:tc>
          <w:tcPr>
            <w:tcW w:w="6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16"/>
        </w:trPr>
        <w:tc>
          <w:tcPr>
            <w:tcW w:w="6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6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 Healthcare Solutions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16"/>
        </w:trPr>
        <w:tc>
          <w:tcPr>
            <w:tcW w:w="62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22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15,007</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6"/>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6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w:t>
            </w:r>
          </w:p>
        </w:tc>
      </w:tr>
      <w:tr>
        <w:trPr>
          <w:trHeight w:val="216"/>
        </w:trPr>
        <w:tc>
          <w:tcPr>
            <w:tcW w:w="6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r>
      <w:tr>
        <w:trPr>
          <w:trHeight w:val="216"/>
        </w:trPr>
        <w:tc>
          <w:tcPr>
            <w:tcW w:w="6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r>
      <w:tr>
        <w:trPr>
          <w:trHeight w:val="216"/>
        </w:trPr>
        <w:tc>
          <w:tcPr>
            <w:tcW w:w="6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collection</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r>
      <w:tr>
        <w:trPr>
          <w:trHeight w:val="209"/>
        </w:trPr>
        <w:tc>
          <w:tcPr>
            <w:tcW w:w="20" w:type="dxa"/>
            <w:vAlign w:val="bottom"/>
          </w:tcPr>
          <w:p>
            <w:pPr>
              <w:spacing w:after="0"/>
              <w:rPr>
                <w:sz w:val="18"/>
                <w:szCs w:val="18"/>
                <w:color w:val="auto"/>
              </w:rPr>
            </w:pPr>
          </w:p>
        </w:tc>
        <w:tc>
          <w:tcPr>
            <w:tcW w:w="62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collection</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8,233</w:t>
            </w:r>
          </w:p>
        </w:tc>
      </w:tr>
      <w:tr>
        <w:trPr>
          <w:trHeight w:val="216"/>
        </w:trPr>
        <w:tc>
          <w:tcPr>
            <w:tcW w:w="6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r>
      <w:tr>
        <w:trPr>
          <w:trHeight w:val="216"/>
        </w:trPr>
        <w:tc>
          <w:tcPr>
            <w:tcW w:w="62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10"/>
        </w:trPr>
        <w:tc>
          <w:tcPr>
            <w:tcW w:w="20" w:type="dxa"/>
            <w:vAlign w:val="bottom"/>
            <w:shd w:val="clear" w:color="auto" w:fill="CCEEFF"/>
          </w:tcPr>
          <w:p>
            <w:pPr>
              <w:spacing w:after="0"/>
              <w:rPr>
                <w:sz w:val="18"/>
                <w:szCs w:val="18"/>
                <w:color w:val="auto"/>
              </w:rPr>
            </w:pPr>
          </w:p>
        </w:tc>
        <w:tc>
          <w:tcPr>
            <w:tcW w:w="62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11,825</w:t>
            </w:r>
          </w:p>
        </w:tc>
      </w:tr>
      <w:tr>
        <w:trPr>
          <w:trHeight w:val="216"/>
        </w:trPr>
        <w:tc>
          <w:tcPr>
            <w:tcW w:w="62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16"/>
        </w:trPr>
        <w:tc>
          <w:tcPr>
            <w:tcW w:w="62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 Renewable Energy</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62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22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76" w:lineRule="exact"/>
        <w:rPr>
          <w:sz w:val="20"/>
          <w:szCs w:val="20"/>
          <w:color w:val="auto"/>
        </w:rPr>
      </w:pPr>
    </w:p>
    <w:p>
      <w:pPr>
        <w:jc w:val="both"/>
        <w:ind w:left="380" w:right="79" w:hanging="330"/>
        <w:spacing w:after="0" w:line="266"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61"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2024 Form 10-K, the Company adjusted gross and intercompany operating revenues to reflect the 15% royalty paid by WM Renewable Energy to our Collection and Disposal and Corporate and Other businesses for the purchase of landfill gas. There was no change to net operating revenues. Prior periods have been recast to conform to current presentation.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31" w:name="page32"/>
    <w:bookmarkEnd w:id="31"/>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details associated with the period-to-period change in revenues and average yield (dollars in millions):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60" w:type="dxa"/>
            <w:vAlign w:val="bottom"/>
            <w:gridSpan w:val="10"/>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780" w:type="dxa"/>
            <w:vAlign w:val="bottom"/>
            <w:gridSpan w:val="10"/>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6"/>
          </w:tcPr>
          <w:p>
            <w:pPr>
              <w:jc w:val="center"/>
              <w:ind w:left="85"/>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6"/>
          </w:tcPr>
          <w:p>
            <w:pPr>
              <w:jc w:val="center"/>
              <w:ind w:left="145"/>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6"/>
          </w:tcPr>
          <w:p>
            <w:pPr>
              <w:jc w:val="center"/>
              <w:ind w:left="85"/>
              <w:spacing w:after="0"/>
              <w:rPr>
                <w:sz w:val="20"/>
                <w:szCs w:val="20"/>
                <w:color w:val="auto"/>
              </w:rPr>
            </w:pPr>
            <w:r>
              <w:rPr>
                <w:rFonts w:ascii="Times New Roman" w:cs="Times New Roman" w:eastAsia="Times New Roman" w:hAnsi="Times New Roman"/>
                <w:sz w:val="14"/>
                <w:szCs w:val="14"/>
                <w:b w:val="1"/>
                <w:bCs w:val="1"/>
                <w:color w:val="auto"/>
              </w:rPr>
              <w:t>June 30, 2025 vs. 2024</w:t>
            </w: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6"/>
          </w:tcPr>
          <w:p>
            <w:pPr>
              <w:jc w:val="center"/>
              <w:ind w:left="165"/>
              <w:spacing w:after="0"/>
              <w:rPr>
                <w:sz w:val="20"/>
                <w:szCs w:val="20"/>
                <w:color w:val="auto"/>
              </w:rPr>
            </w:pPr>
            <w:r>
              <w:rPr>
                <w:rFonts w:ascii="Times New Roman" w:cs="Times New Roman" w:eastAsia="Times New Roman" w:hAnsi="Times New Roman"/>
                <w:sz w:val="14"/>
                <w:szCs w:val="14"/>
                <w:b w:val="1"/>
                <w:bCs w:val="1"/>
                <w:color w:val="auto"/>
              </w:rPr>
              <w:t>June 30, 2025 vs. 2024</w:t>
            </w: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jc w:val="center"/>
              <w:ind w:right="130"/>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110"/>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900" w:type="dxa"/>
            <w:vAlign w:val="bottom"/>
            <w:gridSpan w:val="2"/>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40" w:type="dxa"/>
            <w:vAlign w:val="bottom"/>
          </w:tcPr>
          <w:p>
            <w:pPr>
              <w:spacing w:after="0"/>
              <w:rPr>
                <w:sz w:val="12"/>
                <w:szCs w:val="12"/>
                <w:color w:val="auto"/>
              </w:rPr>
            </w:pPr>
          </w:p>
        </w:tc>
        <w:tc>
          <w:tcPr>
            <w:tcW w:w="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Pr>
          <w:p>
            <w:pPr>
              <w:spacing w:after="0"/>
              <w:rPr>
                <w:sz w:val="12"/>
                <w:szCs w:val="12"/>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88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60" w:type="dxa"/>
            <w:vAlign w:val="bottom"/>
          </w:tcPr>
          <w:p>
            <w:pPr>
              <w:spacing w:after="0"/>
              <w:rPr>
                <w:sz w:val="12"/>
                <w:szCs w:val="12"/>
                <w:color w:val="auto"/>
              </w:rPr>
            </w:pPr>
          </w:p>
        </w:tc>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Business(a)</w:t>
            </w:r>
          </w:p>
        </w:tc>
        <w:tc>
          <w:tcPr>
            <w:tcW w:w="4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Company(b)</w:t>
            </w:r>
          </w:p>
        </w:tc>
        <w:tc>
          <w:tcPr>
            <w:tcW w:w="8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Business(a)</w:t>
            </w:r>
          </w:p>
        </w:tc>
        <w:tc>
          <w:tcPr>
            <w:tcW w:w="6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Company(b)</w:t>
            </w:r>
          </w:p>
        </w:tc>
        <w:tc>
          <w:tcPr>
            <w:tcW w:w="0" w:type="dxa"/>
            <w:vAlign w:val="bottom"/>
          </w:tcPr>
          <w:p>
            <w:pPr>
              <w:spacing w:after="0"/>
              <w:rPr>
                <w:sz w:val="1"/>
                <w:szCs w:val="1"/>
                <w:color w:val="auto"/>
              </w:rPr>
            </w:pPr>
          </w:p>
        </w:tc>
      </w:tr>
      <w:tr>
        <w:trPr>
          <w:trHeight w:val="209"/>
        </w:trPr>
        <w:tc>
          <w:tcPr>
            <w:tcW w:w="2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Recycling Processing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Sales and WM Renewable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Energy (c)</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Energy surcharge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mandated fees</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average yield (d)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Volume (e)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Internal revenue growth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Acquisitions</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Divestitures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4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translation</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80" w:type="dxa"/>
            <w:vAlign w:val="bottom"/>
          </w:tcPr>
          <w:p>
            <w:pPr>
              <w:spacing w:after="0"/>
              <w:rPr>
                <w:sz w:val="24"/>
                <w:szCs w:val="24"/>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19.0 %</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tcPr>
          <w:p>
            <w:pPr>
              <w:spacing w:after="0"/>
              <w:rPr>
                <w:sz w:val="24"/>
                <w:szCs w:val="24"/>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17.9 %</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related business revenues adjusted to exclude the impacts of divestitures for the current year period.</w:t>
      </w:r>
    </w:p>
    <w:p>
      <w:pPr>
        <w:spacing w:after="0" w:line="5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total Company revenues adjusted to exclude the impacts of divestitures for the current year period.</w:t>
      </w:r>
    </w:p>
    <w:p>
      <w:pPr>
        <w:spacing w:after="0" w:line="53"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combined impact of commodity price variability in both our Recycling Processing and Sales and WM Renewable Energy segments, as well as changes in certain recycling fees charged by our collection and disposal operations.</w:t>
      </w:r>
    </w:p>
    <w:p>
      <w:pPr>
        <w:spacing w:after="0" w:line="6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herein represent the changes in our revenues attributable to average yield for the total Company.</w:t>
      </w:r>
    </w:p>
    <w:p>
      <w:pPr>
        <w:spacing w:after="0" w:line="11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activities from our Corporate and Other businesses.</w:t>
      </w:r>
    </w:p>
    <w:p>
      <w:pPr>
        <w:spacing w:after="0" w:line="117"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provides further details about our period-to-period change in revenues: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Average Yield</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Collection and Disposal Average Yield </w:t>
      </w:r>
      <w:r>
        <w:rPr>
          <w:rFonts w:ascii="Times New Roman" w:cs="Times New Roman" w:eastAsia="Times New Roman" w:hAnsi="Times New Roman"/>
          <w:sz w:val="18"/>
          <w:szCs w:val="18"/>
          <w:color w:val="auto"/>
        </w:rPr>
        <w:t>— This measure reflects the effect on our revenues from the pricing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collection, transfer and landfill operations, exclusive of volume changes. Revenue growth from Collection and Disposal average yield includes not only base rate changes and environmental and service fee fluctuations, but also</w:t>
      </w:r>
    </w:p>
    <w:p>
      <w:pPr>
        <w:spacing w:after="0" w:line="1" w:lineRule="exact"/>
        <w:rPr>
          <w:sz w:val="20"/>
          <w:szCs w:val="20"/>
          <w:color w:val="auto"/>
        </w:rPr>
      </w:pPr>
    </w:p>
    <w:p>
      <w:pPr>
        <w:ind w:left="280" w:hanging="230"/>
        <w:spacing w:after="0"/>
        <w:tabs>
          <w:tab w:leader="none" w:pos="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average price changes related to the overall mix of services, which are due to the types of services provided;</w:t>
      </w:r>
    </w:p>
    <w:p>
      <w:pPr>
        <w:spacing w:after="0" w:line="9" w:lineRule="exact"/>
        <w:rPr>
          <w:rFonts w:ascii="Times New Roman" w:cs="Times New Roman" w:eastAsia="Times New Roman" w:hAnsi="Times New Roman"/>
          <w:sz w:val="18"/>
          <w:szCs w:val="18"/>
          <w:color w:val="auto"/>
        </w:rPr>
      </w:pPr>
    </w:p>
    <w:p>
      <w:pPr>
        <w:ind w:left="320" w:hanging="270"/>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average price from new and lost business and (iii) price decreases to retain customers.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2" w:name="page33"/>
    <w:bookmarkEnd w:id="32"/>
    <w:p>
      <w:pPr>
        <w:ind w:left="380"/>
        <w:spacing w:after="0"/>
        <w:rPr>
          <w:sz w:val="20"/>
          <w:szCs w:val="20"/>
          <w:color w:val="auto"/>
        </w:rPr>
      </w:pPr>
      <w:r>
        <w:rPr>
          <w:rFonts w:ascii="Times New Roman" w:cs="Times New Roman" w:eastAsia="Times New Roman" w:hAnsi="Times New Roman"/>
          <w:sz w:val="18"/>
          <w:szCs w:val="18"/>
          <w:color w:val="auto"/>
        </w:rPr>
        <w:t>The details of our revenue growth from Collection and Disposal average yield are as follows (dollars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2380" w:type="dxa"/>
            <w:vAlign w:val="bottom"/>
            <w:gridSpan w:val="5"/>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2280" w:type="dxa"/>
            <w:vAlign w:val="bottom"/>
            <w:gridSpan w:val="5"/>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r>
      <w:tr>
        <w:trPr>
          <w:trHeight w:val="148"/>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20" w:type="dxa"/>
            <w:vAlign w:val="bottom"/>
            <w:gridSpan w:val="4"/>
          </w:tcPr>
          <w:p>
            <w:pPr>
              <w:jc w:val="center"/>
              <w:ind w:right="31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2"/>
                <w:szCs w:val="12"/>
                <w:color w:val="auto"/>
              </w:rPr>
            </w:pPr>
          </w:p>
        </w:tc>
        <w:tc>
          <w:tcPr>
            <w:tcW w:w="2140" w:type="dxa"/>
            <w:vAlign w:val="bottom"/>
            <w:gridSpan w:val="4"/>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gridSpan w:val="4"/>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June 30, 2025 vs. 2024</w:t>
            </w:r>
          </w:p>
        </w:tc>
        <w:tc>
          <w:tcPr>
            <w:tcW w:w="140" w:type="dxa"/>
            <w:vAlign w:val="bottom"/>
          </w:tcPr>
          <w:p>
            <w:pPr>
              <w:spacing w:after="0"/>
              <w:rPr>
                <w:sz w:val="15"/>
                <w:szCs w:val="15"/>
                <w:color w:val="auto"/>
              </w:rPr>
            </w:pPr>
          </w:p>
        </w:tc>
        <w:tc>
          <w:tcPr>
            <w:tcW w:w="2140" w:type="dxa"/>
            <w:vAlign w:val="bottom"/>
            <w:gridSpan w:val="4"/>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June 30, 2025 vs. 2024</w:t>
            </w:r>
          </w:p>
        </w:tc>
      </w:tr>
      <w:tr>
        <w:trPr>
          <w:trHeight w:val="117"/>
        </w:trPr>
        <w:tc>
          <w:tcPr>
            <w:tcW w:w="4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60" w:type="dxa"/>
            <w:vAlign w:val="bottom"/>
          </w:tcPr>
          <w:p>
            <w:pPr>
              <w:spacing w:after="0"/>
              <w:rPr>
                <w:sz w:val="10"/>
                <w:szCs w:val="10"/>
                <w:color w:val="auto"/>
              </w:rPr>
            </w:pPr>
          </w:p>
        </w:tc>
      </w:tr>
      <w:tr>
        <w:trPr>
          <w:trHeight w:val="162"/>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Related</w:t>
            </w:r>
          </w:p>
        </w:tc>
      </w:tr>
      <w:tr>
        <w:trPr>
          <w:trHeight w:val="173"/>
        </w:trPr>
        <w:tc>
          <w:tcPr>
            <w:tcW w:w="4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5"/>
                <w:szCs w:val="15"/>
                <w:color w:val="auto"/>
              </w:rPr>
            </w:pPr>
          </w:p>
        </w:tc>
        <w:tc>
          <w:tcPr>
            <w:tcW w:w="118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40" w:type="dxa"/>
            <w:vAlign w:val="bottom"/>
          </w:tcPr>
          <w:p>
            <w:pPr>
              <w:spacing w:after="0"/>
              <w:rPr>
                <w:sz w:val="15"/>
                <w:szCs w:val="15"/>
                <w:color w:val="auto"/>
              </w:rPr>
            </w:pPr>
          </w:p>
        </w:tc>
        <w:tc>
          <w:tcPr>
            <w:tcW w:w="7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5"/>
                <w:szCs w:val="15"/>
                <w:color w:val="auto"/>
              </w:rPr>
            </w:pPr>
          </w:p>
        </w:tc>
        <w:tc>
          <w:tcPr>
            <w:tcW w:w="108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Business</w:t>
            </w:r>
          </w:p>
        </w:tc>
      </w:tr>
      <w:tr>
        <w:trPr>
          <w:trHeight w:val="209"/>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8"/>
                <w:szCs w:val="18"/>
                <w:color w:val="auto"/>
              </w:rPr>
            </w:pPr>
          </w:p>
        </w:tc>
      </w:tr>
      <w:tr>
        <w:trPr>
          <w:trHeight w:val="210"/>
        </w:trPr>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collection</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8"/>
                <w:szCs w:val="18"/>
                <w:color w:val="auto"/>
              </w:rPr>
            </w:pPr>
          </w:p>
        </w:tc>
      </w:tr>
      <w:tr>
        <w:trPr>
          <w:trHeight w:val="216"/>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20" w:type="dxa"/>
            <w:vAlign w:val="bottom"/>
            <w:tcBorders>
              <w:bottom w:val="single" w:sz="8" w:color="CCEEFF"/>
            </w:tcBorders>
            <w:gridSpan w:val="2"/>
          </w:tcPr>
          <w:p>
            <w:pPr>
              <w:ind w:left="960"/>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20" w:type="dxa"/>
            <w:vAlign w:val="bottom"/>
            <w:tcBorders>
              <w:bottom w:val="single" w:sz="8" w:color="CCEEFF"/>
            </w:tcBorders>
            <w:gridSpan w:val="2"/>
          </w:tcPr>
          <w:p>
            <w:pPr>
              <w:ind w:left="94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Borders>
              <w:bottom w:val="single" w:sz="8" w:color="CCEEFF"/>
            </w:tcBorders>
          </w:tcPr>
          <w:p>
            <w:pPr>
              <w:spacing w:after="0"/>
              <w:rPr>
                <w:sz w:val="18"/>
                <w:szCs w:val="18"/>
                <w:color w:val="auto"/>
              </w:rPr>
            </w:pPr>
          </w:p>
        </w:tc>
      </w:tr>
      <w:tr>
        <w:trPr>
          <w:trHeight w:val="210"/>
        </w:trPr>
        <w:tc>
          <w:tcPr>
            <w:tcW w:w="4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80" w:type="dxa"/>
            <w:vAlign w:val="bottom"/>
            <w:tcBorders>
              <w:bottom w:val="single" w:sz="8" w:color="CCEEFF"/>
            </w:tcBorders>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4.1 %</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380" w:type="dxa"/>
            <w:vAlign w:val="bottom"/>
            <w:tcBorders>
              <w:bottom w:val="single" w:sz="8" w:color="CCEEFF"/>
            </w:tcBorders>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4.0 %</w:t>
            </w: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overall pricing efforts are focused on keeping pace with the increasing costs and capital intensity of our business. We continue to see yield growth in our landfill business primarily driven by municipal solid waste landfills, which achieved average yield of 7.0% and 5.6% for the three and six months ended June 30, 2025, respectively, led by strong performance in our West Tier.</w:t>
      </w:r>
    </w:p>
    <w:p>
      <w:pPr>
        <w:spacing w:after="0" w:line="178"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Recycling Processing and Sales and WM Renewable Energy </w:t>
      </w:r>
      <w:r>
        <w:rPr>
          <w:rFonts w:ascii="Times New Roman" w:cs="Times New Roman" w:eastAsia="Times New Roman" w:hAnsi="Times New Roman"/>
          <w:sz w:val="18"/>
          <w:szCs w:val="18"/>
          <w:color w:val="auto"/>
        </w:rPr>
        <w:t>— Recycling Processing and Sales revenues attributable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yield decreased $33 million and $41 million for the three and six months ended June 30, 2025, respectively, as compared with the prior year periods. Average market prices for single-stream recycled commodities declined nearly 15% and 5% for the three and six months ended June 30, 2025, respectively, as compared with the prior year periods. Revenues attributable to yield in our WM Renewable Energy segment increased $8 million and $16 million for the three and six months ended June 30, 2025, respectively, as compared with the prior year periods, primarily driven by an increase in natural gas and electricity pricing. While there may be short-term fluctuations in our commodity-driven businesses as prices change, we continue to take proactive steps to adjust our business models to protect against the downside risk of changes in commodity prices.</w:t>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Energy Surcharge and Mandated Fees — </w:t>
      </w:r>
      <w:r>
        <w:rPr>
          <w:rFonts w:ascii="Times New Roman" w:cs="Times New Roman" w:eastAsia="Times New Roman" w:hAnsi="Times New Roman"/>
          <w:sz w:val="18"/>
          <w:szCs w:val="18"/>
          <w:color w:val="auto"/>
        </w:rPr>
        <w:t>These fees increased $9 million and $7 million for the three and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2025, respectively, as compared with the prior year periods. The increase was primarily due to higher mandated fees of $18 million and $25 million for the three and six months ended June 30, 2025, respectively, as compared with the prior year periods. The mandated fees are primarily related to fees and taxes assessed by various state, county and municipal government agencies at our landfills and transfer stations, particularly in our West Tier. Partially offsetting the increase was a decline in our energy surcharge revenues of $9 million and $18 million for the three and six months ended June 30, 2025, respectively, as compared with the prior year periods, primarily due to a decline in the market prices for diesel fuel of approximately 8% for the three and six months ended June 30, 2025.</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Volume</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revenues from volume (excluding volumes from acquisitions and divestitures) increased $115 million and $119 million for the three and six months ended June 30, 2025, respectively, as compared with the prior year periods. Special waste volume in our West Tier was favorably impacted by the wildfire clean-up activities that began in the first quarter of 2025. Additionally, volumes increased in both our WM Renewable Energy and Recycling Processing and Sales segments primarily due to contributions from growth projects. Furthermore, volumes increased in our Strategic Business Solutions business due to our focus on a differentiated service model for national account customers. These volume increases were partially offset by declines in industrial and residential collection volume primarily due to lower contributions from temporary industrial business and intentional shedding of lower-margin residential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3" w:name="page34"/>
    <w:bookmarkEnd w:id="33"/>
    <w:p>
      <w:pPr>
        <w:ind w:left="380"/>
        <w:spacing w:after="0"/>
        <w:rPr>
          <w:sz w:val="20"/>
          <w:szCs w:val="20"/>
          <w:color w:val="auto"/>
        </w:rPr>
      </w:pPr>
      <w:r>
        <w:rPr>
          <w:rFonts w:ascii="Times New Roman" w:cs="Times New Roman" w:eastAsia="Times New Roman" w:hAnsi="Times New Roman"/>
          <w:sz w:val="18"/>
          <w:szCs w:val="18"/>
          <w:i w:val="1"/>
          <w:iCs w:val="1"/>
          <w:color w:val="auto"/>
        </w:rPr>
        <w:t>Acquisitions and Divestitures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Acquisitions and divestitures resulted in a net increase in revenues of $740 million, or 13.6%, and $1,430 million, or 13.5%, respectively, for the three and six months ended June 30, 2025, as compared with the prior year periods. This increase was primarily due to our acquisition of Stericycle in November 2024. The remaining increase was related to our ongoing investment in tuck-in collection and disposal businesses.</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major components of our operating expenses for the three and six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30 (in millions of dollars and as a percentage of revenues):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6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29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29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$ 1,129</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$ 2,203</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and disposal costs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8"/>
                <w:szCs w:val="18"/>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and repairs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shd w:val="clear" w:color="auto" w:fill="CCEEFF"/>
          </w:tcPr>
          <w:p>
            <w:pPr>
              <w:spacing w:after="0"/>
              <w:rPr>
                <w:sz w:val="18"/>
                <w:szCs w:val="18"/>
                <w:color w:val="auto"/>
              </w:rPr>
            </w:pPr>
          </w:p>
        </w:tc>
      </w:tr>
      <w:tr>
        <w:trPr>
          <w:trHeight w:val="216"/>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Subcontractor costs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18"/>
                <w:szCs w:val="18"/>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CEEFF"/>
          </w:tcPr>
          <w:p>
            <w:pPr>
              <w:spacing w:after="0"/>
              <w:rPr>
                <w:sz w:val="18"/>
                <w:szCs w:val="18"/>
                <w:color w:val="auto"/>
              </w:rPr>
            </w:pPr>
          </w:p>
        </w:tc>
      </w:tr>
      <w:tr>
        <w:trPr>
          <w:trHeight w:val="216"/>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Disposal and franchise fees and taxes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8"/>
                <w:szCs w:val="18"/>
                <w:color w:val="auto"/>
              </w:rPr>
            </w:pPr>
          </w:p>
        </w:tc>
      </w:tr>
      <w:tr>
        <w:trPr>
          <w:trHeight w:val="216"/>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 operating costs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management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r>
      <w:tr>
        <w:trPr>
          <w:trHeight w:val="216"/>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8"/>
                <w:szCs w:val="18"/>
                <w:color w:val="auto"/>
              </w:rPr>
            </w:pPr>
          </w:p>
        </w:tc>
      </w:tr>
      <w:tr>
        <w:trPr>
          <w:trHeight w:val="210"/>
        </w:trPr>
        <w:tc>
          <w:tcPr>
            <w:tcW w:w="29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$ 3,839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30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32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$ 7,486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30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2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operating expenses for the three and six months ended June 30, 2025 increased as compared with the three and six months ended June 30, 2024, primarily due to (i) our recent acquisitions; (ii) increased post-collection volumes and (iii) moderate inflationary pressures. These increases were offset, in part, by (i) lower residential and temporary industrial business volumes and (ii) continued operating efficiency and cost control initiatives in our Collection and Disposal businesses. Despite the overall increase in operating expenses, efficiency gains, improved turnover and momentum in truck deliveries, combined with the benefit of price increases and high margin special waste volumes, positioned us to reduce our operating expenses as a percentage of revenue when compared with the prior year period.</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Significant items affecting the comparison of operating expenses for the reported periods include:</w:t>
      </w:r>
    </w:p>
    <w:p>
      <w:pPr>
        <w:spacing w:after="0" w:line="115"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Labor and Related Benefits </w:t>
      </w:r>
      <w:r>
        <w:rPr>
          <w:rFonts w:ascii="Times New Roman" w:cs="Times New Roman" w:eastAsia="Times New Roman" w:hAnsi="Times New Roman"/>
          <w:sz w:val="18"/>
          <w:szCs w:val="18"/>
          <w:color w:val="auto"/>
        </w:rPr>
        <w:t>— The increase in labor and related benefits costs was largely driven by (i) the addition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as a result of our recent acquisitions and (ii) annual employee wage increases. The increase was offset, in part, by (i) residential collection efficiency improvements; (ii) lower residential volumes attributable to intentional shedding of lower margin contracts and (iii) improved driver retention.</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Transfer and Disposal Costs </w:t>
      </w:r>
      <w:r>
        <w:rPr>
          <w:rFonts w:ascii="Times New Roman" w:cs="Times New Roman" w:eastAsia="Times New Roman" w:hAnsi="Times New Roman"/>
          <w:sz w:val="18"/>
          <w:szCs w:val="18"/>
          <w:color w:val="auto"/>
        </w:rPr>
        <w:t>— The increase in transfer and disposal costs was primarily due to our recent acquisitions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inflationary cost pressures, which includes increased disposal fees at third-party sites and higher rates from our third-party haulers. This increase was partially offset by lower residential volumes attributable to intentional shedding of lower margin contracts.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Maintenance and Repairs </w:t>
      </w:r>
      <w:r>
        <w:rPr>
          <w:rFonts w:ascii="Times New Roman" w:cs="Times New Roman" w:eastAsia="Times New Roman" w:hAnsi="Times New Roman"/>
          <w:sz w:val="18"/>
          <w:szCs w:val="18"/>
          <w:color w:val="auto"/>
        </w:rPr>
        <w:t>— The increase in maintenance and repairs costs was largely driven by (i) additional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as a part of our recent acquisitions; (ii) inflation in parts, supplies and third-party services and (iii) annual employee wage increases. These increases were offset, in part, by new truck deliveries, which lowered average fleet age and reduced demand for parts, supplies and third-party services.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sectPr>
      </w:pPr>
    </w:p>
    <w:bookmarkStart w:id="34" w:name="page35"/>
    <w:bookmarkEnd w:id="34"/>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Subcontractor Costs </w:t>
      </w:r>
      <w:r>
        <w:rPr>
          <w:rFonts w:ascii="Times New Roman" w:cs="Times New Roman" w:eastAsia="Times New Roman" w:hAnsi="Times New Roman"/>
          <w:sz w:val="18"/>
          <w:szCs w:val="18"/>
          <w:color w:val="auto"/>
        </w:rPr>
        <w:t>— The increase in subcontractor costs was primarily due to (i) additional costs incurred as a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recent acquisitions and (ii) continued inflationary cost pressures, particularly labor costs from third-party haulers. These increases were offset, in part, by the impact of lower fuel prices on third-party subcontracted hauling and services as compared with the three and six months ended June 30, 2024.</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 The decrease in cost of goods sold was primarily driven by a 15% and 5% decrease in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prices for single-stream recycled commodities for the three and six months ended June 30, 2025, respectively, as compared with the prior year periods. This decrease was partially offset by additional pipeline transportation costs attributable to new RNG facilities brought on-line since the prior year periods.</w:t>
      </w:r>
    </w:p>
    <w:p>
      <w:pPr>
        <w:spacing w:after="0" w:line="180"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Fuel </w:t>
      </w:r>
      <w:r>
        <w:rPr>
          <w:rFonts w:ascii="Times New Roman" w:cs="Times New Roman" w:eastAsia="Times New Roman" w:hAnsi="Times New Roman"/>
          <w:sz w:val="18"/>
          <w:szCs w:val="18"/>
          <w:color w:val="auto"/>
        </w:rPr>
        <w:t>— The increase in fuel costs was primarily due to (i) our recent acquisitions and (ii) the expiration of the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alternative fuel tax credit on December 31, 2024. These increases were offset, in part, by a decline in the market prices for diesel fuel of approximately 8% as compared to the prior year periods.</w:t>
      </w:r>
    </w:p>
    <w:p>
      <w:pPr>
        <w:spacing w:after="0" w:line="173"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Disposal and Franchise Fees and Taxes </w:t>
      </w:r>
      <w:r>
        <w:rPr>
          <w:rFonts w:ascii="Times New Roman" w:cs="Times New Roman" w:eastAsia="Times New Roman" w:hAnsi="Times New Roman"/>
          <w:sz w:val="18"/>
          <w:szCs w:val="18"/>
          <w:color w:val="auto"/>
        </w:rPr>
        <w:t>— The increase in disposal and franchise fees and taxes was primarily driven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increased landfill volumes in our West Tier.</w:t>
      </w:r>
    </w:p>
    <w:p>
      <w:pPr>
        <w:spacing w:after="0" w:line="15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Landfill Operating Costs </w:t>
      </w:r>
      <w:r>
        <w:rPr>
          <w:rFonts w:ascii="Times New Roman" w:cs="Times New Roman" w:eastAsia="Times New Roman" w:hAnsi="Times New Roman"/>
          <w:sz w:val="18"/>
          <w:szCs w:val="18"/>
          <w:color w:val="auto"/>
        </w:rPr>
        <w:t>— The increase in landfill operating costs for the three and six months ended June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the three and six months ended June 30, 2024, was primarily due to an increase in volumes and higher leachate treatment costs in our West Tier. Partially offsetting the increase for the six months ended June 30, 2025 were certain adjustments to increase our environmental remediation reserve during the first quarter of 2024.</w:t>
      </w:r>
    </w:p>
    <w:p>
      <w:pPr>
        <w:spacing w:after="0" w:line="180" w:lineRule="exact"/>
        <w:rPr>
          <w:sz w:val="20"/>
          <w:szCs w:val="20"/>
          <w:color w:val="auto"/>
        </w:rPr>
      </w:pPr>
    </w:p>
    <w:p>
      <w:pPr>
        <w:jc w:val="both"/>
        <w:ind w:left="60" w:right="59" w:firstLine="324"/>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Risk Management </w:t>
      </w:r>
      <w:r>
        <w:rPr>
          <w:rFonts w:ascii="Times New Roman" w:cs="Times New Roman" w:eastAsia="Times New Roman" w:hAnsi="Times New Roman"/>
          <w:sz w:val="17"/>
          <w:szCs w:val="17"/>
          <w:color w:val="auto"/>
        </w:rPr>
        <w:t>— Risk management costs decreased for the three months ended June 30, 2025, as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three months ended June 30, 2024, primarily due to improved claims experience offset, in part, by (i) additional claims and premiums attributable to our recent acquisitions and (ii) prior year quarter insurance recoveries for property claims associated with a hurricane in 2023. The increase for the six months ended June 30, 2025, as compared to the six months ended June 30, 2024, was due to (i) additional claims and premiums attributable to our recent acquisitions and (ii) increases in claims costs due to negative claim development on a limited population of severe cases during the first quarter of 2025.</w:t>
      </w:r>
    </w:p>
    <w:p>
      <w:pPr>
        <w:spacing w:after="0" w:line="168" w:lineRule="exact"/>
        <w:rPr>
          <w:sz w:val="20"/>
          <w:szCs w:val="20"/>
          <w:color w:val="auto"/>
        </w:rPr>
      </w:pPr>
    </w:p>
    <w:p>
      <w:pPr>
        <w:jc w:val="both"/>
        <w:ind w:left="60" w:right="7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 Other operating cost increases were primarily due to (i) additional expenses attributable to our recent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(ii) gains on the sale of real estate in 2024 and, to a much lesser extent, (iii) increased utility costs largely attributable to new RNG plants brought on-line since the prior year periods and increased power prices.</w:t>
      </w:r>
    </w:p>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our selling, general and administrative expenses for the three and six months ended June 30 (in millions of dollars and as a percentage of revenues):</w:t>
      </w:r>
    </w:p>
    <w:p>
      <w:pPr>
        <w:spacing w:after="0" w:line="4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0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2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282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425"/>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$ 412</w:t>
            </w: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$ 316</w:t>
            </w:r>
          </w:p>
        </w:tc>
        <w:tc>
          <w:tcPr>
            <w:tcW w:w="1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5.9 %</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$ 637</w:t>
            </w:r>
          </w:p>
        </w:tc>
        <w:tc>
          <w:tcPr>
            <w:tcW w:w="160" w:type="dxa"/>
            <w:vAlign w:val="bottom"/>
            <w:shd w:val="clear" w:color="auto" w:fill="CCEEFF"/>
          </w:tcPr>
          <w:p>
            <w:pPr>
              <w:spacing w:after="0"/>
              <w:rPr>
                <w:sz w:val="24"/>
                <w:szCs w:val="24"/>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6.0 %</w:t>
            </w:r>
          </w:p>
        </w:tc>
      </w:tr>
      <w:tr>
        <w:trPr>
          <w:trHeight w:val="43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4"/>
                <w:szCs w:val="24"/>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bad debts</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r>
      <w:tr>
        <w:trPr>
          <w:trHeight w:val="432"/>
        </w:trPr>
        <w:tc>
          <w:tcPr>
            <w:tcW w:w="2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bottom w:val="single" w:sz="8" w:color="CCEEFF"/>
            </w:tcBorders>
          </w:tcPr>
          <w:p>
            <w:pPr>
              <w:spacing w:after="0"/>
              <w:rPr>
                <w:sz w:val="24"/>
                <w:szCs w:val="24"/>
                <w:color w:val="auto"/>
              </w:rPr>
            </w:pPr>
          </w:p>
        </w:tc>
      </w:tr>
      <w:tr>
        <w:trPr>
          <w:trHeight w:val="425"/>
        </w:trPr>
        <w:tc>
          <w:tcPr>
            <w:tcW w:w="28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$ 696</w:t>
            </w: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10.8 %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$ 501</w:t>
            </w:r>
          </w:p>
        </w:tc>
        <w:tc>
          <w:tcPr>
            <w:tcW w:w="1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9.3 %</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1,383</w:t>
            </w: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$ 992</w:t>
            </w:r>
          </w:p>
        </w:tc>
        <w:tc>
          <w:tcPr>
            <w:tcW w:w="160" w:type="dxa"/>
            <w:vAlign w:val="bottom"/>
            <w:shd w:val="clear" w:color="auto" w:fill="CCEEFF"/>
          </w:tcPr>
          <w:p>
            <w:pPr>
              <w:spacing w:after="0"/>
              <w:rPr>
                <w:sz w:val="24"/>
                <w:szCs w:val="24"/>
                <w:color w:val="auto"/>
              </w:rPr>
            </w:pPr>
          </w:p>
        </w:tc>
        <w:tc>
          <w:tcPr>
            <w:tcW w:w="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9.4 %</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increased for the three and six months ended June 30, 2025 primarily due to higher labor costs from acquisitions as well as consulting costs incurred to support the integration of Stericycle.</w:t>
      </w:r>
    </w:p>
    <w:p>
      <w:pPr>
        <w:spacing w:after="0" w:line="54"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Significant items affecting the comparison of our selling, general and administrative expenses for the reported periods include: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sectPr>
      </w:pPr>
    </w:p>
    <w:bookmarkStart w:id="35" w:name="page36"/>
    <w:bookmarkEnd w:id="35"/>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Labor and Related Benefits — </w:t>
      </w:r>
      <w:r>
        <w:rPr>
          <w:rFonts w:ascii="Times New Roman" w:cs="Times New Roman" w:eastAsia="Times New Roman" w:hAnsi="Times New Roman"/>
          <w:sz w:val="18"/>
          <w:szCs w:val="18"/>
          <w:color w:val="auto"/>
        </w:rPr>
        <w:t>The increase in labor and related benefits costs was primarily related to (i) our recent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particularly Stericycle; (ii) higher long-term incentive compensation costs and (iii) annual employee wage increases.</w:t>
      </w:r>
    </w:p>
    <w:p>
      <w:pPr>
        <w:spacing w:after="0" w:line="173"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Professional Fees </w:t>
      </w:r>
      <w:r>
        <w:rPr>
          <w:rFonts w:ascii="Times New Roman" w:cs="Times New Roman" w:eastAsia="Times New Roman" w:hAnsi="Times New Roman"/>
          <w:sz w:val="18"/>
          <w:szCs w:val="18"/>
          <w:color w:val="auto"/>
        </w:rPr>
        <w:t>— The increase in professional fees was primarily attributable to our acquisition of Stericycle,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integration, business optimization and system development costs.</w:t>
      </w:r>
    </w:p>
    <w:p>
      <w:pPr>
        <w:spacing w:after="0" w:line="158"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Provision for Bad Debts </w:t>
      </w:r>
      <w:r>
        <w:rPr>
          <w:rFonts w:ascii="Times New Roman" w:cs="Times New Roman" w:eastAsia="Times New Roman" w:hAnsi="Times New Roman"/>
          <w:sz w:val="18"/>
          <w:szCs w:val="18"/>
          <w:color w:val="auto"/>
        </w:rPr>
        <w:t>— The increase in provision for bad debts was primarily attributable to our WM Healthcare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segment.</w:t>
      </w:r>
    </w:p>
    <w:p>
      <w:pPr>
        <w:spacing w:after="0" w:line="158"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 </w:t>
      </w:r>
      <w:r>
        <w:rPr>
          <w:rFonts w:ascii="Times New Roman" w:cs="Times New Roman" w:eastAsia="Times New Roman" w:hAnsi="Times New Roman"/>
          <w:sz w:val="18"/>
          <w:szCs w:val="18"/>
          <w:color w:val="auto"/>
        </w:rPr>
        <w:t>The increase in other expenses was primarily related to increased spend across multiple cost categories,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technology, risk management and travel, largely driven by the acquisition of Stericycle.</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Depreciation, Depletion and Amortization Expenses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our depreciation, depletion and amortization expenses for the three and six months ended June 30 (in millions of dollars and as a percentage of revenues):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4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34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34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r>
      <w:tr>
        <w:trPr>
          <w:trHeight w:val="191"/>
        </w:trPr>
        <w:tc>
          <w:tcPr>
            <w:tcW w:w="344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Depreciation of tangible property and</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4"/>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$ 386</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$ 312</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432"/>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Depletion of landfill airspace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24"/>
                <w:szCs w:val="24"/>
                <w:color w:val="auto"/>
              </w:rPr>
            </w:pPr>
          </w:p>
        </w:tc>
      </w:tr>
      <w:tr>
        <w:trPr>
          <w:trHeight w:val="432"/>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24"/>
                <w:szCs w:val="24"/>
                <w:color w:val="auto"/>
              </w:rPr>
            </w:pPr>
          </w:p>
        </w:tc>
      </w:tr>
      <w:tr>
        <w:trPr>
          <w:trHeight w:val="426"/>
        </w:trPr>
        <w:tc>
          <w:tcPr>
            <w:tcW w:w="34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$ 708</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11.0 %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$ 543</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10.1 %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6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1,057</w:t>
            </w:r>
          </w:p>
        </w:tc>
        <w:tc>
          <w:tcPr>
            <w:tcW w:w="1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3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increase in depreciation of tangible property and equipment for the three and six months ended June 30, 2025, as compared to the prior year periods, was driven by (i) our recent acquisitions and (ii) investments in capital assets such as trucks, landfills and equipment. The increase in depletion of landfill airspace for the three and six months ended June 30, 2025, as compared to the prior year periods, was primarily driven by volume increases, particularly at sites within our West Tier. The increase in amortization of intangible assets for the three and sixth months ended June 30, 2025 was primarily driven by the amortization of customer relationships and other intangibles acquired as part of the Stericycle acquisition.</w:t>
      </w:r>
    </w:p>
    <w:p>
      <w:pPr>
        <w:spacing w:after="0" w:line="1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29" w:lineRule="exact"/>
        <w:rPr>
          <w:sz w:val="20"/>
          <w:szCs w:val="20"/>
          <w:color w:val="auto"/>
        </w:rPr>
      </w:pPr>
    </w:p>
    <w:p>
      <w:pPr>
        <w:jc w:val="both"/>
        <w:ind w:left="60" w:right="59" w:firstLine="162"/>
        <w:spacing w:after="0" w:line="282" w:lineRule="auto"/>
        <w:rPr>
          <w:sz w:val="20"/>
          <w:szCs w:val="20"/>
          <w:color w:val="auto"/>
        </w:rPr>
      </w:pPr>
      <w:r>
        <w:rPr>
          <w:rFonts w:ascii="Times New Roman" w:cs="Times New Roman" w:eastAsia="Times New Roman" w:hAnsi="Times New Roman"/>
          <w:sz w:val="18"/>
          <w:szCs w:val="18"/>
          <w:color w:val="auto"/>
        </w:rPr>
        <w:t>The increase in restructuring charges during the three and six months ended June 30, 2025 was primarily driven by employee costs related to our acquisition of Stericycle.</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(Gain) Loss from Divestitures, Asset Impairments and Unusual Items, Net</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(Gain) loss from divestitures, asset impairments and unusual items, net for the three and six months ended June 30, 2025, primarily relates to a $16 million goodwill impairment charge to a business engaged in oil recovery and sludge processing services. This charge is reflected in Other Ancillary within our Collection and Disposal businesses.</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(Gain) loss from divestitures, asset impairments and unusual items, net for the three and six months ended June 30, 2024 primarily relates to a $54 million charge required to increase the estimated fair value of a liability associated with the expected disposition of an investment the Company holds in a waste diversion technology business. This charge is reflected in our Corporate and Other measures within our segment reporting.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sectPr>
      </w:pPr>
    </w:p>
    <w:bookmarkStart w:id="36" w:name="page37"/>
    <w:bookmarkEnd w:id="36"/>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income from operations for our reportable segments for the three and six months ended June 30 (dollars in millions):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138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20" w:type="dxa"/>
            <w:vAlign w:val="bottom"/>
          </w:tcPr>
          <w:p>
            <w:pPr>
              <w:spacing w:after="0"/>
              <w:rPr>
                <w:sz w:val="13"/>
                <w:szCs w:val="13"/>
                <w:color w:val="auto"/>
              </w:rPr>
            </w:pPr>
          </w:p>
        </w:tc>
        <w:tc>
          <w:tcPr>
            <w:tcW w:w="1500" w:type="dxa"/>
            <w:vAlign w:val="bottom"/>
            <w:gridSpan w:val="5"/>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3"/>
                <w:szCs w:val="13"/>
                <w:color w:val="auto"/>
              </w:rPr>
            </w:pPr>
          </w:p>
        </w:tc>
        <w:tc>
          <w:tcPr>
            <w:tcW w:w="124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6"/>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5"/>
                <w:szCs w:val="15"/>
                <w:color w:val="auto"/>
              </w:rPr>
            </w:pPr>
          </w:p>
        </w:tc>
        <w:tc>
          <w:tcPr>
            <w:tcW w:w="138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5"/>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5"/>
                <w:szCs w:val="15"/>
                <w:color w:val="auto"/>
              </w:rPr>
            </w:pPr>
          </w:p>
        </w:tc>
        <w:tc>
          <w:tcPr>
            <w:tcW w:w="12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East Tier</w:t>
            </w:r>
          </w:p>
        </w:tc>
        <w:tc>
          <w:tcPr>
            <w:tcW w:w="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4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4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$ 1,390</w:t>
            </w:r>
          </w:p>
        </w:tc>
        <w:tc>
          <w:tcPr>
            <w:tcW w:w="1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$ 1,346</w:t>
            </w:r>
          </w:p>
        </w:tc>
        <w:tc>
          <w:tcPr>
            <w:tcW w:w="14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West Tier</w:t>
            </w: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Ancillary</w:t>
            </w:r>
          </w:p>
        </w:tc>
        <w:tc>
          <w:tcPr>
            <w:tcW w:w="4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Healthcare Solutions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7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4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4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$ 2,164</w:t>
            </w:r>
          </w:p>
        </w:tc>
        <w:tc>
          <w:tcPr>
            <w:tcW w:w="1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$ 2,025</w:t>
            </w:r>
          </w:p>
        </w:tc>
        <w:tc>
          <w:tcPr>
            <w:tcW w:w="14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70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Percentage of revenues</w:t>
            </w:r>
          </w:p>
        </w:tc>
        <w:tc>
          <w:tcPr>
            <w:tcW w:w="4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17.9</w:t>
            </w:r>
          </w:p>
        </w:tc>
        <w:tc>
          <w:tcPr>
            <w:tcW w:w="1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18.7</w:t>
            </w:r>
          </w:p>
        </w:tc>
        <w:tc>
          <w:tcPr>
            <w:tcW w:w="1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spacing w:after="0"/>
              <w:rPr>
                <w:sz w:val="17"/>
                <w:szCs w:val="17"/>
                <w:color w:val="auto"/>
              </w:rPr>
            </w:pPr>
          </w:p>
        </w:tc>
        <w:tc>
          <w:tcPr>
            <w:tcW w:w="6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c>
          <w:tcPr>
            <w:tcW w:w="14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19.2</w:t>
            </w:r>
          </w:p>
        </w:tc>
        <w:tc>
          <w:tcPr>
            <w:tcW w:w="1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6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*Percentage change does not provide a meaningful comparison.</w:t>
      </w:r>
    </w:p>
    <w:p>
      <w:pPr>
        <w:spacing w:after="0" w:line="11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significant items affecting income from operations for our segments during the three and six months ended June 30, 2025, as compared with the prior year periods, are summarized below:</w:t>
      </w:r>
    </w:p>
    <w:p>
      <w:pPr>
        <w:spacing w:after="0" w:line="52" w:lineRule="exact"/>
        <w:rPr>
          <w:sz w:val="20"/>
          <w:szCs w:val="20"/>
          <w:color w:val="auto"/>
        </w:rPr>
      </w:pPr>
    </w:p>
    <w:p>
      <w:pPr>
        <w:jc w:val="both"/>
        <w:ind w:left="720" w:right="79" w:hanging="319"/>
        <w:spacing w:after="0" w:line="257"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Collection and Disposal </w:t>
      </w:r>
      <w:r>
        <w:rPr>
          <w:rFonts w:ascii="Times New Roman" w:cs="Times New Roman" w:eastAsia="Times New Roman" w:hAnsi="Times New Roman"/>
          <w:sz w:val="18"/>
          <w:szCs w:val="18"/>
          <w:color w:val="auto"/>
        </w:rPr>
        <w:t>— Income from operations in our Collection and Disposal businesses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primarily due to (i) revenue growth from price increases, which translate into increased yield or average unit price; (ii) special waste volume in our West Tier, which was favorably impacted by the wildfire clean-up activities and (iii) actions to improve the efficiency and operating costs incurred to serve our customers. These increases were partially offset by higher depreciation and depletion costs as discussed in </w:t>
      </w:r>
      <w:r>
        <w:rPr>
          <w:rFonts w:ascii="Times New Roman" w:cs="Times New Roman" w:eastAsia="Times New Roman" w:hAnsi="Times New Roman"/>
          <w:sz w:val="18"/>
          <w:szCs w:val="18"/>
          <w:i w:val="1"/>
          <w:iCs w:val="1"/>
          <w:color w:val="auto"/>
        </w:rPr>
        <w:t>Depreciation, Depletion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Amortization Expenses </w:t>
      </w:r>
      <w:r>
        <w:rPr>
          <w:rFonts w:ascii="Times New Roman" w:cs="Times New Roman" w:eastAsia="Times New Roman" w:hAnsi="Times New Roman"/>
          <w:sz w:val="18"/>
          <w:szCs w:val="18"/>
          <w:color w:val="auto"/>
        </w:rPr>
        <w:t>above.</w:t>
      </w:r>
    </w:p>
    <w:p>
      <w:pPr>
        <w:spacing w:after="0" w:line="74"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Recycling Processing and Sales </w:t>
      </w:r>
      <w:r>
        <w:rPr>
          <w:rFonts w:ascii="Times New Roman" w:cs="Times New Roman" w:eastAsia="Times New Roman" w:hAnsi="Times New Roman"/>
          <w:sz w:val="18"/>
          <w:szCs w:val="18"/>
          <w:color w:val="auto"/>
        </w:rPr>
        <w:t>— The decline in income from operations in Recycling Processing and Sales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(i) a gain on sale of a non-strategic asset in 2024; (ii) declining commodity prices compared to the prior year periods and (iii) lease termination costs. These decreases were partially offset by increased volumes, which can be attributed to the improved throughput of our facilities and the addition of new market facilities, and improved operating costs from the automation of our recycling facilities.</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67"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WM Renewable Energy </w:t>
      </w:r>
      <w:r>
        <w:rPr>
          <w:rFonts w:ascii="Times New Roman" w:cs="Times New Roman" w:eastAsia="Times New Roman" w:hAnsi="Times New Roman"/>
          <w:sz w:val="18"/>
          <w:szCs w:val="18"/>
          <w:color w:val="auto"/>
        </w:rPr>
        <w:t>— The increase in income from operations in WM Renewable Energy was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higher volumes resulting from the completion of projects that increase the beneficial use of landfill gas sold to third parties.</w:t>
      </w:r>
    </w:p>
    <w:p>
      <w:pPr>
        <w:spacing w:after="0" w:line="6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WM Healthcare Solutions </w:t>
      </w:r>
      <w:r>
        <w:rPr>
          <w:rFonts w:ascii="Times New Roman" w:cs="Times New Roman" w:eastAsia="Times New Roman" w:hAnsi="Times New Roman"/>
          <w:sz w:val="18"/>
          <w:szCs w:val="18"/>
          <w:color w:val="auto"/>
        </w:rPr>
        <w:t>— The loss generated during the three months and six months ended June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was largely attributable to (i) depreciation and amortization expenses and (ii) integration related expenses. There was no activity for this segment during the first half of 2024, as Stericycle was acquired in November 2024.</w:t>
      </w:r>
    </w:p>
    <w:p>
      <w:pPr>
        <w:spacing w:after="0" w:line="71" w:lineRule="exact"/>
        <w:rPr>
          <w:rFonts w:ascii="Times New Roman" w:cs="Times New Roman" w:eastAsia="Times New Roman" w:hAnsi="Times New Roman"/>
          <w:sz w:val="18"/>
          <w:szCs w:val="18"/>
          <w:color w:val="auto"/>
        </w:rPr>
      </w:pPr>
    </w:p>
    <w:p>
      <w:pPr>
        <w:jc w:val="both"/>
        <w:ind w:left="720" w:right="79" w:hanging="319"/>
        <w:spacing w:after="0" w:line="257"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 The increase in income from operations was primarily driven by (i) a $54 million charge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prior year to increase the estimated fair value of a liability associated with the expected disposition of an investment we hold in a waste diversion technology business and (ii) an improvement in risk management expenses. These increases were partially offset by (i) integration-related consulting fees in connection with our Stericycle acquisition; (ii) higher labor costs resulting from long-term incentive compensation costs and annual employee wage increases and (iii) professional services supporting business optimization.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7" w:name="page38"/>
    <w:bookmarkEnd w:id="37"/>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Net</w:t>
      </w:r>
    </w:p>
    <w:p>
      <w:pPr>
        <w:spacing w:after="0" w:line="229" w:lineRule="exact"/>
        <w:rPr>
          <w:sz w:val="20"/>
          <w:szCs w:val="20"/>
          <w:color w:val="auto"/>
        </w:rPr>
      </w:pPr>
    </w:p>
    <w:p>
      <w:pPr>
        <w:jc w:val="both"/>
        <w:ind w:left="60" w:right="59" w:firstLine="259"/>
        <w:spacing w:after="0" w:line="261" w:lineRule="auto"/>
        <w:rPr>
          <w:sz w:val="20"/>
          <w:szCs w:val="20"/>
          <w:color w:val="auto"/>
        </w:rPr>
      </w:pPr>
      <w:r>
        <w:rPr>
          <w:rFonts w:ascii="Times New Roman" w:cs="Times New Roman" w:eastAsia="Times New Roman" w:hAnsi="Times New Roman"/>
          <w:sz w:val="18"/>
          <w:szCs w:val="18"/>
          <w:color w:val="auto"/>
        </w:rPr>
        <w:t>Our interest expense, net was $232 million and $464 million for the three and six months ended June 30, 2025, respectively, compared to $136 million and $266 million for the three and six months ended June 30, 2024, respectively. The increase is primarily related to an increase in our average debt balances to fund our November 2024 acquisition of Stericycle.</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Our income tax expense and effective income tax rate was $201 million, or 21.7%, and $352 million, or 20.5%, for the three and six months ended June 30, 2025, respectively, compared to $214 million, or 23.9%, and $376 million, or 21.3%, for the three and six months ended June 30, 2024, respectively. See Note 4 to the Condensed Consolidated Financial Statements for more information related to income taxes.</w:t>
      </w:r>
    </w:p>
    <w:p>
      <w:pPr>
        <w:spacing w:after="0" w:line="17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Tax Legislation </w:t>
      </w:r>
      <w:r>
        <w:rPr>
          <w:rFonts w:ascii="Times New Roman" w:cs="Times New Roman" w:eastAsia="Times New Roman" w:hAnsi="Times New Roman"/>
          <w:sz w:val="18"/>
          <w:szCs w:val="18"/>
          <w:color w:val="auto"/>
        </w:rPr>
        <w:t>— On July 4, 2025, President Trump signed the One Big Beautiful Bill Act into law. We are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evaluating several business tax provisions in the legislation, none of which are expected to have a material impact on our effective tax rate. However, the permanent reinstatement of 100% bonus depreciation is expected to reduce our cash taxes by approximately $125 million in 2025.</w:t>
      </w:r>
    </w:p>
    <w:p>
      <w:pPr>
        <w:spacing w:after="0" w:line="18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Inflation Reduction Act of 2022 (“IRA”) contains several tax-related provisions, including with respect to (i) alternative fuel tax credits; (ii) tax incentives for investments in renewable energy production, carbon capture and other climate actions and (iii) the overall measurement of corporate income taxes. Given the complexity and uncertainty around the applicability of the legislation to our specific facts and circumstances, we continue to analyze the IRA provisions to identify and quantify potential opportunities and applicable benefits included in the legislation. The provisions of the IRA concerning investment tax credits are expected to generate a cumulative benefit of approximately $400 million, $145 million of which was recognized in 2023 and 2024 with the remainder anticipated to be realized in 2025 and 2026. The expected benefit from the investment tax credit for 2025 and 2026 is dependent on a number of estimates and assumptions, including the timing of project completion. Additionally, we expect that the production tax credit incentives for investments in renewable energy and carbon capture, as expanded by the IRA, could result in an incremental benefit to the Company, although at this time, the anticipated amount of such benefit has not been quantified due, in part, to the lack of regulatory guidance.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consistently generates cash flow from operations that meets and exceeds our working capital needs, allows for payment of our dividends, investment in the business through capital expenditures and tuck-in acquisitions and funding of strategic sustainability growth investments. We continually monitor our actual and forecasted cash flows, our liquidity and our capital resources, enabling us to plan for our present needs and fund unbudgeted business requirements that may arise during the year. The Company believes that its investment grade credit ratings, diverse investor base, large value of unencumbered assets and modest leverage enable it to obtain adequate financing, and refinance upcoming maturities, as necessary to meet its ongoing capital, operating, strategic and other liquidity requirements. We also have the ability to manage liquidity during periods of significant financial market disruption through temporary modification of our capital expenditure and share repurchase plans.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38" w:name="page39"/>
    <w:bookmarkEnd w:id="38"/>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and Cash Equivalents, Restricted Funds and Debt Obligations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our cash and cash equivalents, restricted funds and debt balances (in millions):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396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Restricted funds and other:</w:t>
            </w: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Insurance reserves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Final capping, closure, post-closure and environmental remediation funds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1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restricted funds and other (a)</w:t>
            </w:r>
          </w:p>
        </w:tc>
        <w:tc>
          <w:tcPr>
            <w:tcW w:w="7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Debt:</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portion</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8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portion</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7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9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82"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2025 and December 31, 2024, $104 million and $100 million, respectively, of these account balances were included in other current assets in our Condensed Consolidated Balance Sheets.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As of June 30, 2025, we had approximately $4.0 billion of debt maturing within the next 12 months, including</w:t>
      </w:r>
    </w:p>
    <w:p>
      <w:pPr>
        <w:spacing w:after="0" w:line="29" w:lineRule="exact"/>
        <w:rPr>
          <w:sz w:val="20"/>
          <w:szCs w:val="20"/>
          <w:color w:val="auto"/>
        </w:rPr>
      </w:pPr>
    </w:p>
    <w:p>
      <w:pPr>
        <w:jc w:val="both"/>
        <w:ind w:left="60" w:right="59" w:hanging="10"/>
        <w:spacing w:after="0" w:line="251" w:lineRule="auto"/>
        <w:tabs>
          <w:tab w:leader="none" w:pos="29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billion of short-term borrowings under our commercial paper program (net of related discount on issuance); (ii) $1.5 billion of tax-exempt bonds with term interest rate periods that expire within the next 12 months, which is prior to their scheduled maturities; (iii) $500 million of 0.75% senior notes that mature in November 2025 and (iv) $464 million of other debt with scheduled maturities within the next 12 months, including $298 million of tax-exempt bonds. As of June 30, 2025, we have classified $3.0 billion of debt maturing in the next 12 months as long term because we have the intent and ability to refinance these borrowings on a long-term basis as supported by the forecasted available capacity under our $3.5 billion long-term U.S. and Canadian revolving credit facility. The remaining $964 million of debt maturing in the next 12 months is classified as current obligations.</w:t>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Guarantor Financial Information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WM Holdings has fully and unconditionally guaranteed all of WMI’s senior indebtedness. WMI has fully and unconditionally guaranteed all of WM Holdings’ senior indebtedness. None of WMI’s other subsidiaries have guaranteed any of WMI’s or WM Holdings’ debt. In lieu of providing separate financial statements for the subsidiary issuer and guarantor (WMI and WM Holdings), we have presented the accompanying supplemental summarized combined balance sheet and income statement information for WMI and WM Holdings on a combined basis after elimination of intercompany transactions between WMI and WM Holdings and amounts related to investments in any subsidiary that is a non-guarantor (in millions):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260" w:type="dxa"/>
            <w:vAlign w:val="bottom"/>
            <w:tcBorders>
              <w:bottom w:val="single" w:sz="8" w:color="CCEEFF"/>
            </w:tcBorders>
          </w:tcPr>
          <w:p>
            <w:pPr>
              <w:spacing w:after="0"/>
              <w:rPr>
                <w:sz w:val="15"/>
                <w:szCs w:val="15"/>
                <w:color w:val="auto"/>
              </w:rPr>
            </w:pPr>
          </w:p>
        </w:tc>
        <w:tc>
          <w:tcPr>
            <w:tcW w:w="35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r>
      <w:tr>
        <w:trPr>
          <w:trHeight w:val="21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Information:</w:t>
            </w:r>
          </w:p>
        </w:tc>
        <w:tc>
          <w:tcPr>
            <w:tcW w:w="3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r>
      <w:tr>
        <w:trPr>
          <w:trHeight w:val="216"/>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0" w:type="dxa"/>
            <w:vAlign w:val="bottom"/>
          </w:tcPr>
          <w:p>
            <w:pPr>
              <w:spacing w:after="0"/>
              <w:rPr>
                <w:sz w:val="18"/>
                <w:szCs w:val="18"/>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Advances due to affiliates</w:t>
            </w:r>
          </w:p>
        </w:tc>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15,328</w:t>
            </w:r>
          </w:p>
        </w:tc>
        <w:tc>
          <w:tcPr>
            <w:tcW w:w="20" w:type="dxa"/>
            <w:vAlign w:val="bottom"/>
          </w:tcPr>
          <w:p>
            <w:pPr>
              <w:spacing w:after="0"/>
              <w:rPr>
                <w:sz w:val="18"/>
                <w:szCs w:val="18"/>
                <w:color w:val="auto"/>
              </w:rPr>
            </w:pPr>
          </w:p>
        </w:tc>
      </w:tr>
      <w:tr>
        <w:trPr>
          <w:trHeight w:val="216"/>
        </w:trPr>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20,140</w:t>
            </w:r>
          </w:p>
        </w:tc>
        <w:tc>
          <w:tcPr>
            <w:tcW w:w="20" w:type="dxa"/>
            <w:vAlign w:val="bottom"/>
          </w:tcPr>
          <w:p>
            <w:pPr>
              <w:spacing w:after="0"/>
              <w:rPr>
                <w:sz w:val="18"/>
                <w:szCs w:val="18"/>
                <w:color w:val="auto"/>
              </w:rPr>
            </w:pPr>
          </w:p>
        </w:tc>
      </w:tr>
      <w:tr>
        <w:trPr>
          <w:trHeight w:val="864"/>
        </w:trPr>
        <w:tc>
          <w:tcPr>
            <w:tcW w:w="3260" w:type="dxa"/>
            <w:vAlign w:val="bottom"/>
          </w:tcPr>
          <w:p>
            <w:pPr>
              <w:spacing w:after="0"/>
              <w:rPr>
                <w:sz w:val="24"/>
                <w:szCs w:val="24"/>
                <w:color w:val="auto"/>
              </w:rPr>
            </w:pPr>
          </w:p>
        </w:tc>
        <w:tc>
          <w:tcPr>
            <w:tcW w:w="354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32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73" w:right="1440" w:bottom="1440" w:gutter="0" w:footer="0" w:header="0"/>
        </w:sectPr>
      </w:pPr>
    </w:p>
    <w:bookmarkStart w:id="39" w:name="page40"/>
    <w:bookmarkEnd w:id="3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76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20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 Information:</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34"/>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r>
    </w:tbl>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our cash flows for the six months ended June 30 (in millions):</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9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(1,915)</w:t>
            </w:r>
          </w:p>
        </w:tc>
        <w:tc>
          <w:tcPr>
            <w:tcW w:w="1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(2,359)</w:t>
            </w:r>
          </w:p>
        </w:tc>
        <w:tc>
          <w:tcPr>
            <w:tcW w:w="0" w:type="dxa"/>
            <w:vAlign w:val="bottom"/>
          </w:tcPr>
          <w:p>
            <w:pPr>
              <w:spacing w:after="0"/>
              <w:rPr>
                <w:sz w:val="1"/>
                <w:szCs w:val="1"/>
                <w:color w:val="auto"/>
              </w:rPr>
            </w:pPr>
          </w:p>
        </w:tc>
      </w:tr>
      <w:tr>
        <w:trPr>
          <w:trHeight w:val="197"/>
        </w:trPr>
        <w:tc>
          <w:tcPr>
            <w:tcW w:w="69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(781)</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 </w:t>
      </w:r>
      <w:r>
        <w:rPr>
          <w:rFonts w:ascii="Times New Roman" w:cs="Times New Roman" w:eastAsia="Times New Roman" w:hAnsi="Times New Roman"/>
          <w:sz w:val="18"/>
          <w:szCs w:val="18"/>
          <w:color w:val="auto"/>
        </w:rPr>
        <w:t>Our operating cash flows increased by $232 million for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2025, as compared with the prior year period, driven by higher earnings in the majority of our segments, including the contributions from our recent acquisitions. These increases were partially offset by (i) higher cash interest primarily due to additional debt incurred to fund our acquisition of Stericycle; (ii) unfavorable changes in working capital, net of effects of acquisitions and divestitures, primarily driven by timing of cash collections and (iii) higher annual incentive compensation payments.</w:t>
      </w:r>
    </w:p>
    <w:p>
      <w:pPr>
        <w:spacing w:after="0" w:line="182"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 </w:t>
      </w:r>
      <w:r>
        <w:rPr>
          <w:rFonts w:ascii="Times New Roman" w:cs="Times New Roman" w:eastAsia="Times New Roman" w:hAnsi="Times New Roman"/>
          <w:sz w:val="18"/>
          <w:szCs w:val="18"/>
          <w:color w:val="auto"/>
        </w:rPr>
        <w:t>The most significant items included in our investing cash flows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2025 and 2024 are summarized below:</w:t>
      </w:r>
    </w:p>
    <w:p>
      <w:pPr>
        <w:spacing w:after="0" w:line="50" w:lineRule="exact"/>
        <w:rPr>
          <w:sz w:val="20"/>
          <w:szCs w:val="20"/>
          <w:color w:val="auto"/>
        </w:rPr>
      </w:pPr>
    </w:p>
    <w:p>
      <w:pPr>
        <w:jc w:val="both"/>
        <w:ind w:left="720" w:right="79" w:hanging="319"/>
        <w:spacing w:after="0" w:line="261"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Expenditures — </w:t>
      </w:r>
      <w:r>
        <w:rPr>
          <w:rFonts w:ascii="Times New Roman" w:cs="Times New Roman" w:eastAsia="Times New Roman" w:hAnsi="Times New Roman"/>
          <w:sz w:val="18"/>
          <w:szCs w:val="18"/>
          <w:color w:val="auto"/>
        </w:rPr>
        <w:t>We used $1,563 million and $1,335 million for capital expenditures during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2025 and 2024, respectively. The increase in capital spending is primarily driven by (i) investments in capital assets such as trucks, landfills and equipment and (ii) capital expenditures within our WM Healthcare Solutions segment to support the business.</w:t>
      </w:r>
    </w:p>
    <w:p>
      <w:pPr>
        <w:spacing w:after="0" w:line="71"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Acquisitions — </w:t>
      </w:r>
      <w:r>
        <w:rPr>
          <w:rFonts w:ascii="Times New Roman" w:cs="Times New Roman" w:eastAsia="Times New Roman" w:hAnsi="Times New Roman"/>
          <w:sz w:val="18"/>
          <w:szCs w:val="18"/>
          <w:color w:val="auto"/>
        </w:rPr>
        <w:t>Our spending on acquisitions was $374 million and $250 million during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2025 and 2024, respectively, of which $366 million and $243 million, respectively, are considered cash used in investing activities. The remaining spend is cash used in financing activities related to the timing of contingent consideration paid. Substantially all of these acquisitions are related to our solid waste and recycling businesses.</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Divestitures </w:t>
      </w:r>
      <w:r>
        <w:rPr>
          <w:rFonts w:ascii="Times New Roman" w:cs="Times New Roman" w:eastAsia="Times New Roman" w:hAnsi="Times New Roman"/>
          <w:sz w:val="18"/>
          <w:szCs w:val="18"/>
          <w:color w:val="auto"/>
        </w:rPr>
        <w:t>— Proceeds from divestitures of businesses and other assets, net of cash divested were $103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$58 million for the six months ended June 30, 2025 and 2024, respectively. Proceeds in 2025 primarily related to the sale of our WM Healthcare Solutions’ Spain and Portugal subsidiaries. The remaining 2025 and 2024 proceeds were from the sale of certain non-strategic assets.</w:t>
      </w:r>
    </w:p>
    <w:p>
      <w:pPr>
        <w:spacing w:after="0" w:line="71"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Net </w:t>
      </w:r>
      <w:r>
        <w:rPr>
          <w:rFonts w:ascii="Times New Roman" w:cs="Times New Roman" w:eastAsia="Times New Roman" w:hAnsi="Times New Roman"/>
          <w:sz w:val="18"/>
          <w:szCs w:val="18"/>
          <w:color w:val="auto"/>
        </w:rPr>
        <w:t>— The year-over-year changes in other investing activities were primarily driven by our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of $778 million in certain WM tax-exempt bonds. The remaining year-over-year changes in other investing activities are primarily driven by changes in our investment portfolio associated with a wholly-owned insurance captive. During the six months ended June 30, 2025 and 2024, we used $87 million and $61 million, respectively, of cash from restricted cash and cash equivalents to invest in available-for-sale securities.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2" w:right="1440" w:bottom="1440" w:gutter="0" w:footer="0" w:header="0"/>
        </w:sectPr>
      </w:pPr>
    </w:p>
    <w:bookmarkStart w:id="40" w:name="page41"/>
    <w:bookmarkEnd w:id="40"/>
    <w:p>
      <w:pPr>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 </w:t>
      </w:r>
      <w:r>
        <w:rPr>
          <w:rFonts w:ascii="Times New Roman" w:cs="Times New Roman" w:eastAsia="Times New Roman" w:hAnsi="Times New Roman"/>
          <w:sz w:val="18"/>
          <w:szCs w:val="18"/>
          <w:color w:val="auto"/>
        </w:rPr>
        <w:t>The most significant items affecting the comparison of our financing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for the six months ended June 30, 2025 and 2024 are summarized below:</w:t>
      </w:r>
    </w:p>
    <w:p>
      <w:pPr>
        <w:spacing w:after="0" w:line="50" w:lineRule="exact"/>
        <w:rPr>
          <w:sz w:val="20"/>
          <w:szCs w:val="20"/>
          <w:color w:val="auto"/>
        </w:rPr>
      </w:pPr>
    </w:p>
    <w:p>
      <w:pPr>
        <w:ind w:left="720" w:right="79" w:hanging="319"/>
        <w:spacing w:after="0" w:line="284"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Borrowings and Repayments — </w:t>
      </w:r>
      <w:r>
        <w:rPr>
          <w:rFonts w:ascii="Times New Roman" w:cs="Times New Roman" w:eastAsia="Times New Roman" w:hAnsi="Times New Roman"/>
          <w:sz w:val="18"/>
          <w:szCs w:val="18"/>
          <w:color w:val="auto"/>
        </w:rPr>
        <w:t>The following summarizes our cash borrowings and repayments of debt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(in millions):</w:t>
      </w:r>
    </w:p>
    <w:p>
      <w:pPr>
        <w:spacing w:after="0" w:line="59"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60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w:t>
            </w:r>
          </w:p>
        </w:tc>
      </w:tr>
      <w:tr>
        <w:trPr>
          <w:trHeight w:val="216"/>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Tax-exempt bonds</w:t>
            </w: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0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9,180</w:t>
            </w: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Repayments</w:t>
            </w: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(8,744)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(8,496)</w:t>
            </w:r>
          </w:p>
        </w:tc>
      </w:tr>
      <w:tr>
        <w:trPr>
          <w:trHeight w:val="216"/>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notes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Tax-exempt bonds</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debt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9"/>
        </w:trPr>
        <w:tc>
          <w:tcPr>
            <w:tcW w:w="60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(9,234)</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(8,752)</w:t>
            </w:r>
          </w:p>
        </w:tc>
      </w:tr>
      <w:tr>
        <w:trPr>
          <w:trHeight w:val="210"/>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Net cash borrowings (repayments)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0"/>
        </w:trPr>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right="59"/>
        <w:spacing w:after="0" w:line="282" w:lineRule="auto"/>
        <w:rPr>
          <w:sz w:val="20"/>
          <w:szCs w:val="20"/>
          <w:color w:val="auto"/>
        </w:rPr>
      </w:pPr>
      <w:r>
        <w:rPr>
          <w:rFonts w:ascii="Times New Roman" w:cs="Times New Roman" w:eastAsia="Times New Roman" w:hAnsi="Times New Roman"/>
          <w:sz w:val="18"/>
          <w:szCs w:val="18"/>
          <w:color w:val="auto"/>
        </w:rPr>
        <w:t>Refer to Note 3 to the Condensed Consolidated Financial Statements for additional information related to our debt borrowings and repayments.</w:t>
      </w:r>
    </w:p>
    <w:p>
      <w:pPr>
        <w:spacing w:after="0" w:line="52" w:lineRule="exact"/>
        <w:rPr>
          <w:sz w:val="20"/>
          <w:szCs w:val="20"/>
          <w:color w:val="auto"/>
        </w:rPr>
      </w:pPr>
    </w:p>
    <w:p>
      <w:pPr>
        <w:jc w:val="both"/>
        <w:ind w:left="720" w:right="79" w:hanging="319"/>
        <w:spacing w:after="0" w:line="258"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Common Stock Repurchase Program — </w:t>
      </w:r>
      <w:r>
        <w:rPr>
          <w:rFonts w:ascii="Times New Roman" w:cs="Times New Roman" w:eastAsia="Times New Roman" w:hAnsi="Times New Roman"/>
          <w:sz w:val="18"/>
          <w:szCs w:val="18"/>
          <w:color w:val="auto"/>
        </w:rPr>
        <w:t>During the six months ended June 30, 2024, we used $262 million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shares of our common stock under accelerated share repurchase agreements. In the fourth quarter of 2024, we announced our temporary suspension of share repurchase activity as a result of the acquisition of Stericycle. We expect to resume share repurchases once the Company’s leverage returns to targeted levels, which is currently projected to be the second quarter of 2026.</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Dividends — </w:t>
      </w:r>
      <w:r>
        <w:rPr>
          <w:rFonts w:ascii="Times New Roman" w:cs="Times New Roman" w:eastAsia="Times New Roman" w:hAnsi="Times New Roman"/>
          <w:sz w:val="18"/>
          <w:szCs w:val="18"/>
          <w:color w:val="auto"/>
        </w:rPr>
        <w:t>For the periods presented, all dividends have been declared by our Board of Directors.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cash dividends of $669 million and $608 million during the six months ended June 30, 2025 and 2024, respectively. The increase in dividend payments is primarily due to our quarterly per share dividend increasing from $0.75 in 2024 to $0.825 in 2025.</w:t>
      </w:r>
    </w:p>
    <w:p>
      <w:pPr>
        <w:spacing w:after="0" w:line="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5" w:right="1440" w:bottom="1440" w:gutter="0" w:footer="0" w:header="0"/>
        </w:sectPr>
      </w:pPr>
    </w:p>
    <w:bookmarkStart w:id="41" w:name="page42"/>
    <w:bookmarkEnd w:id="41"/>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calculation of free cash flow and reconciliation to net cash provided by operating activities for the three and six months ended June 30, 2025 and 2024 is shown in the table below (in millions) and may not be calculated the same as similarly-titled measures presented by other companies: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5"/>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r>
      <w:tr>
        <w:trPr>
          <w:trHeight w:val="216"/>
        </w:trPr>
        <w:tc>
          <w:tcPr>
            <w:tcW w:w="20" w:type="dxa"/>
            <w:vAlign w:val="bottom"/>
          </w:tcPr>
          <w:p>
            <w:pPr>
              <w:spacing w:after="0"/>
              <w:rPr>
                <w:sz w:val="18"/>
                <w:szCs w:val="18"/>
                <w:color w:val="auto"/>
              </w:rPr>
            </w:pP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Capital expenditures to support the business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 expenditures - sustainability growth investments (a)</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09"/>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r>
      <w:tr>
        <w:trPr>
          <w:trHeight w:val="198"/>
        </w:trPr>
        <w:tc>
          <w:tcPr>
            <w:tcW w:w="20" w:type="dxa"/>
            <w:vAlign w:val="bottom"/>
          </w:tcPr>
          <w:p>
            <w:pPr>
              <w:spacing w:after="0"/>
              <w:rPr>
                <w:sz w:val="17"/>
                <w:szCs w:val="17"/>
                <w:color w:val="auto"/>
              </w:rPr>
            </w:pPr>
          </w:p>
        </w:tc>
        <w:tc>
          <w:tcPr>
            <w:tcW w:w="4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divestitures of businesses and other assets, net of</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divested</w:t>
            </w:r>
          </w:p>
        </w:tc>
        <w:tc>
          <w:tcPr>
            <w:tcW w:w="3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9"/>
        </w:trPr>
        <w:tc>
          <w:tcPr>
            <w:tcW w:w="20" w:type="dxa"/>
            <w:vAlign w:val="bottom"/>
          </w:tcPr>
          <w:p>
            <w:pPr>
              <w:spacing w:after="0"/>
              <w:rPr>
                <w:sz w:val="18"/>
                <w:szCs w:val="18"/>
                <w:color w:val="auto"/>
              </w:rPr>
            </w:pPr>
          </w:p>
        </w:tc>
        <w:tc>
          <w:tcPr>
            <w:tcW w:w="4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r>
    </w:tbl>
    <w:p>
      <w:pPr>
        <w:spacing w:after="0" w:line="76" w:lineRule="exact"/>
        <w:rPr>
          <w:sz w:val="20"/>
          <w:szCs w:val="20"/>
          <w:color w:val="auto"/>
        </w:rPr>
      </w:pPr>
    </w:p>
    <w:p>
      <w:pPr>
        <w:jc w:val="both"/>
        <w:ind w:left="380" w:right="79" w:hanging="330"/>
        <w:spacing w:after="0" w:line="266"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growth investments are intended to further our sustainability leadership position by increasing recycling volumes and growing renewable natural gas generation. We expect they will deliver circular solutions for our customers and drive environmental value to the communities we serve.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 and Assumptions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intangible asset impairments and the fair value of assets and liabilities acquired in business combinations, as described in Item 7 of our Annual Report on Form 10-K for the year ended December 31, 2024. Actual results could differ materially from the estimates and assumptions that we use in the preparation of our financial statements.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 Trends</w:t>
      </w:r>
    </w:p>
    <w:p>
      <w:pPr>
        <w:spacing w:after="0" w:line="216" w:lineRule="exact"/>
        <w:rPr>
          <w:sz w:val="20"/>
          <w:szCs w:val="20"/>
          <w:color w:val="auto"/>
        </w:rPr>
      </w:pPr>
    </w:p>
    <w:p>
      <w:pPr>
        <w:jc w:val="both"/>
        <w:ind w:left="80" w:right="59" w:firstLine="324"/>
        <w:spacing w:after="0"/>
        <w:rPr>
          <w:sz w:val="20"/>
          <w:szCs w:val="20"/>
          <w:color w:val="auto"/>
        </w:rPr>
      </w:pPr>
      <w:r>
        <w:rPr>
          <w:rFonts w:ascii="Times New Roman" w:cs="Times New Roman" w:eastAsia="Times New Roman" w:hAnsi="Times New Roman"/>
          <w:sz w:val="18"/>
          <w:szCs w:val="18"/>
          <w:color w:val="auto"/>
        </w:rPr>
        <w:t>Our financial and operating results may fluctuate for many reasons, including period-to-period changes in the relative contribution of revenue by each line of business, changes in commodity prices and general economic conditions. Our operating revenues and volumes typically experience seasonal increases in the summer months that are reflected in second and third quarter revenues and results of operations.</w:t>
      </w:r>
    </w:p>
    <w:p>
      <w:pPr>
        <w:spacing w:after="0" w:line="185" w:lineRule="exact"/>
        <w:rPr>
          <w:sz w:val="20"/>
          <w:szCs w:val="20"/>
          <w:color w:val="auto"/>
        </w:rPr>
      </w:pPr>
    </w:p>
    <w:p>
      <w:pPr>
        <w:jc w:val="both"/>
        <w:ind w:left="80" w:right="59" w:firstLine="324"/>
        <w:spacing w:after="0"/>
        <w:rPr>
          <w:sz w:val="20"/>
          <w:szCs w:val="20"/>
          <w:color w:val="auto"/>
        </w:rPr>
      </w:pPr>
      <w:r>
        <w:rPr>
          <w:rFonts w:ascii="Times New Roman" w:cs="Times New Roman" w:eastAsia="Times New Roman" w:hAnsi="Times New Roman"/>
          <w:sz w:val="18"/>
          <w:szCs w:val="18"/>
          <w:color w:val="auto"/>
        </w:rPr>
        <w:t>Service or operational disruptions caused by severe storms, extended periods of inclement weather or climate events can significantly affect the operating results of the geographic areas affected. Extreme weather events may also lead to supply chain disruption and delayed project development, or disruption of our customers’ businesses, reducing the amount of waste generated by their operations.</w:t>
      </w:r>
    </w:p>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Conversely, certain destructive weather and climate conditions, such as wildfires in the Western U.S. and hurricanes that most often impact our operations in the Southern and Eastern U.S. during the second half of the year, can increase our revenues in the geographic areas affected as a result of the waste volumes generated by these events. While weather-related and other event-driven special projects can boost revenues through additional work for a limited time, due to significant start-up costs and other factors, such revenue can generate earnings at comparatively lower margins.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Variability in economic conditions, including inflation, interest rates, employment trends, and supply chain reliability, can create risk and uncertainty in financial outlook. We take proactive steps to recover and mitigate inflationary cost pressures through our overall pricing efforts and by managing our costs through efficiency, labor productivity and investments in technology to automate certain aspects of our business. These efforts may not be successful for various reasons including the pace of inflation, operating cost inefficiencies, market responses and contractual limitations, such as the timing lag in our ability to recover increased costs under certain contracts that are tied to a price escalation index with a lookback provision.</w:t>
      </w:r>
    </w:p>
    <w:p>
      <w:pPr>
        <w:spacing w:after="0" w:line="185"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Information about market risks as of June 30, 2025 does not materially differ from that discussed under Item 7A in our Annual Report on Form 10-K for the year ended December 31, 2024.</w:t>
      </w:r>
    </w:p>
    <w:p>
      <w:pPr>
        <w:spacing w:after="0" w:line="158"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Effectiveness of Disclosure Controls and Procedures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(as defined in Rules 13a-15(e) and 15d-15(e) of the Securities Exchange Act of 1934, as amended (the “Exchange Act”)) in ensuring that the information required to be disclosed in reports that we file or submit under the Exchange Act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June 30, 2025 (the end of the period covered by this Quarterly Report on Form 10-Q) at a reasonable assurance level.</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Management, together with our CEO and CFO, evaluated the changes in our internal control over financial reporting during the quarter ended June 30, 2025. We determined that there were no changes in our internal control over financial reporting during the quarter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our legal proceedings can be found under the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sections of Note 6 to the Condensed Consolidated Financial Statements.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Part I, Item 1A of our Annual Report on Form 10-K for the year ended December 31,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May 20, 2025, Tara J. Hemmer, Senior Vice President and Chief Sustainability Officer, adopted a written net share settlement plan (the “Hemmer Plan”). The Hemmer Plan went into effect on the date of adoption and was not intended to satisfy the affirmative defense of Rule 10b5-1(c) under the Exchange Act. The Hemmer Plan provided that, upon our common stock reaching specified market prices on or before June 5, 2025, the Company would exercise up to 53,429 stock options and withhold shares of common stock necessary to cover the option exercise price and tax obligations. The options were automatically exercised pursuant to the terms of the Hemmer Plan and all remaining shares of common stock resulting from the option exercises after the net share settlement process were delivered to Ms. Hemmer.</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May 30, 2025, Charles Boettcher, Executive Vice President and Chief Legal Officer, adopted a written net share settlement plan (the “Boettcher Plan”). The Boettcher Plan went into effect on the date of adoption and was not intended to satisfy the affirmative defense of Rule 10b5-1(c) under the Exchange Act. The Boettcher Plan provided that, upon our common stock reaching specified market prices on or before June 6, 2025, the Company would exercise up to 15,072 stock options and withhold shares of common stock necessary to cover the option exercise price and tax obligations. The options were automatically exercised pursuant to the terms of the Boettcher Plan and all remaining shares of common stock resulting from the option exercises after the net share settlement process were delivered to Mr. Boettcher.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920" w:type="dxa"/>
            <w:vAlign w:val="bottom"/>
            <w:gridSpan w:val="9"/>
          </w:tcPr>
          <w:p>
            <w:pPr>
              <w:ind w:left="5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8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760" w:type="dxa"/>
            <w:vAlign w:val="bottom"/>
            <w:tcBorders>
              <w:top w:val="single" w:sz="8" w:color="auto"/>
              <w:bottom w:val="single" w:sz="8" w:color="0000EE"/>
            </w:tcBorders>
            <w:gridSpan w:val="14"/>
          </w:tcPr>
          <w:p>
            <w:pPr>
              <w:spacing w:after="0" w:line="169"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Indenture for Senior Debt Securities dated September 10, 1997, among the Registrant and The Bank of</w:t>
              </w:r>
            </w:hyperlink>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gridSpan w:val="15"/>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New York Mellon Trust Company, N.A. (the current successor to Texas Commerce Bank National</w:t>
              </w:r>
            </w:hyperlink>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4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Association), as trustee [incorporated by reference to Exhibit 4.1 to Form 8-K dated September 10, 1997].</w:t>
              </w:r>
            </w:hyperlink>
          </w:p>
        </w:tc>
        <w:tc>
          <w:tcPr>
            <w:tcW w:w="12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28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Form of 3.875% Senior Note due 2029.</w:t>
            </w:r>
          </w:p>
        </w:tc>
        <w:tc>
          <w:tcPr>
            <w:tcW w:w="4920" w:type="dxa"/>
            <w:vAlign w:val="bottom"/>
            <w:gridSpan w:val="9"/>
          </w:tcPr>
          <w:p>
            <w:pPr>
              <w:spacing w:after="0"/>
              <w:rPr>
                <w:sz w:val="24"/>
                <w:szCs w:val="24"/>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77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First Amendment to First Amended and Restated Employment Agreement by and between USA Waste-</w:t>
            </w: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Management Resources, LLC and John J. Morris, Jr.</w:t>
            </w:r>
          </w:p>
        </w:tc>
        <w:tc>
          <w:tcPr>
            <w:tcW w:w="20" w:type="dxa"/>
            <w:vAlign w:val="bottom"/>
          </w:tcPr>
          <w:p>
            <w:pPr>
              <w:spacing w:after="0"/>
              <w:rPr>
                <w:sz w:val="17"/>
                <w:szCs w:val="17"/>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Pr>
          <w:p>
            <w:pPr>
              <w:spacing w:after="0"/>
              <w:rPr>
                <w:sz w:val="24"/>
                <w:szCs w:val="24"/>
                <w:color w:val="auto"/>
              </w:rPr>
            </w:pPr>
          </w:p>
        </w:tc>
        <w:tc>
          <w:tcPr>
            <w:tcW w:w="38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Guarantor Subsidiary.</w:t>
            </w:r>
          </w:p>
        </w:tc>
        <w:tc>
          <w:tcPr>
            <w:tcW w:w="3980" w:type="dxa"/>
            <w:vAlign w:val="bottom"/>
            <w:gridSpan w:val="8"/>
          </w:tcPr>
          <w:p>
            <w:pPr>
              <w:spacing w:after="0"/>
              <w:rPr>
                <w:sz w:val="24"/>
                <w:szCs w:val="24"/>
                <w:color w:val="auto"/>
              </w:rPr>
            </w:pPr>
          </w:p>
        </w:tc>
      </w:tr>
      <w:tr>
        <w:trPr>
          <w:trHeight w:val="20"/>
        </w:trPr>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76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Pursuant to Rules 13a-14(a) and 15d-14(a) under the Securities Exchange Act of 1934 James</w:t>
            </w:r>
          </w:p>
        </w:tc>
        <w:tc>
          <w:tcPr>
            <w:tcW w:w="120" w:type="dxa"/>
            <w:vAlign w:val="bottom"/>
            <w:gridSpan w:val="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C. Fish, Jr., Chief Executive Officer.</w:t>
            </w:r>
          </w:p>
        </w:tc>
        <w:tc>
          <w:tcPr>
            <w:tcW w:w="5140" w:type="dxa"/>
            <w:vAlign w:val="bottom"/>
            <w:gridSpan w:val="10"/>
          </w:tcPr>
          <w:p>
            <w:pPr>
              <w:spacing w:after="0"/>
              <w:rPr>
                <w:sz w:val="17"/>
                <w:szCs w:val="17"/>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77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Certification Pursuant to Rules 13a-14(a) and 15d-14(a) under the Securities Exchange Act of 1934 Devina</w:t>
            </w:r>
          </w:p>
        </w:tc>
        <w:tc>
          <w:tcPr>
            <w:tcW w:w="4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A. Rankin, Executive Vice President and Chief Financial Officer.</w:t>
            </w:r>
          </w:p>
        </w:tc>
      </w:tr>
      <w:tr>
        <w:trPr>
          <w:trHeight w:val="20"/>
        </w:trPr>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80" w:type="dxa"/>
            <w:vAlign w:val="bottom"/>
            <w:gridSpan w:val="4"/>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r>
      <w:tr>
        <w:trPr>
          <w:trHeight w:val="31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63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§1350 of James C. Fish, Jr., Chief Executive Officer.</w:t>
            </w:r>
          </w:p>
        </w:tc>
        <w:tc>
          <w:tcPr>
            <w:tcW w:w="1400" w:type="dxa"/>
            <w:vAlign w:val="bottom"/>
            <w:gridSpan w:val="6"/>
          </w:tcPr>
          <w:p>
            <w:pPr>
              <w:spacing w:after="0"/>
              <w:rPr>
                <w:sz w:val="24"/>
                <w:szCs w:val="24"/>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4"/>
                <w:szCs w:val="24"/>
                <w:color w:val="auto"/>
              </w:rPr>
            </w:pPr>
          </w:p>
        </w:tc>
        <w:tc>
          <w:tcPr>
            <w:tcW w:w="72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§1350 of Devina A. Rankin, Executive Vice President and Chief</w:t>
            </w:r>
          </w:p>
        </w:tc>
        <w:tc>
          <w:tcPr>
            <w:tcW w:w="560" w:type="dxa"/>
            <w:vAlign w:val="bottom"/>
            <w:gridSpan w:val="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Officer.</w:t>
            </w:r>
          </w:p>
        </w:tc>
        <w:tc>
          <w:tcPr>
            <w:tcW w:w="6500" w:type="dxa"/>
            <w:vAlign w:val="bottom"/>
            <w:gridSpan w:val="13"/>
          </w:tcPr>
          <w:p>
            <w:pPr>
              <w:spacing w:after="0"/>
              <w:rPr>
                <w:sz w:val="17"/>
                <w:szCs w:val="17"/>
                <w:color w:val="auto"/>
              </w:rPr>
            </w:pP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24"/>
                <w:szCs w:val="24"/>
                <w:color w:val="auto"/>
              </w:rPr>
            </w:pPr>
          </w:p>
        </w:tc>
        <w:tc>
          <w:tcPr>
            <w:tcW w:w="77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Mine Safety Disclosures.</w:t>
            </w:r>
          </w:p>
        </w:tc>
      </w:tr>
      <w:tr>
        <w:trPr>
          <w:trHeight w:val="35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24"/>
                <w:szCs w:val="24"/>
                <w:color w:val="auto"/>
              </w:rPr>
            </w:pPr>
          </w:p>
        </w:tc>
        <w:tc>
          <w:tcPr>
            <w:tcW w:w="18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Inline XBRL Instance.</w:t>
            </w:r>
          </w:p>
        </w:tc>
        <w:tc>
          <w:tcPr>
            <w:tcW w:w="5960" w:type="dxa"/>
            <w:vAlign w:val="bottom"/>
            <w:gridSpan w:val="11"/>
          </w:tcPr>
          <w:p>
            <w:pPr>
              <w:spacing w:after="0"/>
              <w:rPr>
                <w:sz w:val="24"/>
                <w:szCs w:val="24"/>
                <w:color w:val="auto"/>
              </w:rPr>
            </w:pPr>
          </w:p>
        </w:tc>
      </w:tr>
      <w:tr>
        <w:trPr>
          <w:trHeight w:val="3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24"/>
                <w:szCs w:val="24"/>
                <w:color w:val="auto"/>
              </w:rPr>
            </w:pPr>
          </w:p>
        </w:tc>
        <w:tc>
          <w:tcPr>
            <w:tcW w:w="77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3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24"/>
                <w:szCs w:val="24"/>
                <w:color w:val="auto"/>
              </w:rPr>
            </w:pPr>
          </w:p>
        </w:tc>
        <w:tc>
          <w:tcPr>
            <w:tcW w:w="77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3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24"/>
                <w:szCs w:val="24"/>
                <w:color w:val="auto"/>
              </w:rPr>
            </w:pPr>
          </w:p>
        </w:tc>
        <w:tc>
          <w:tcPr>
            <w:tcW w:w="77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r>
      <w:tr>
        <w:trPr>
          <w:trHeight w:val="33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24"/>
                <w:szCs w:val="24"/>
                <w:color w:val="auto"/>
              </w:rPr>
            </w:pPr>
          </w:p>
        </w:tc>
        <w:tc>
          <w:tcPr>
            <w:tcW w:w="77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r>
        <w:trPr>
          <w:trHeight w:val="3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24"/>
                <w:szCs w:val="24"/>
                <w:color w:val="auto"/>
              </w:rPr>
            </w:pPr>
          </w:p>
        </w:tc>
        <w:tc>
          <w:tcPr>
            <w:tcW w:w="77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r>
      <w:tr>
        <w:trPr>
          <w:trHeight w:val="3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77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77470</wp:posOffset>
            </wp:positionV>
            <wp:extent cx="14141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87" w:lineRule="exact"/>
        <w:rPr>
          <w:sz w:val="20"/>
          <w:szCs w:val="20"/>
          <w:color w:val="auto"/>
        </w:rPr>
      </w:pPr>
    </w:p>
    <w:p>
      <w:pPr>
        <w:ind w:left="300" w:hanging="250"/>
        <w:spacing w:after="0"/>
        <w:tabs>
          <w:tab w:leader="none" w:pos="3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76" w:right="1440"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DEVINA A. RANKIN</w:t>
            </w:r>
          </w:p>
        </w:tc>
      </w:tr>
      <w:tr>
        <w:trPr>
          <w:trHeight w:val="189"/>
        </w:trPr>
        <w:tc>
          <w:tcPr>
            <w:tcW w:w="340" w:type="dxa"/>
            <w:vAlign w:val="bottom"/>
          </w:tcPr>
          <w:p>
            <w:pPr>
              <w:spacing w:after="0"/>
              <w:rPr>
                <w:sz w:val="16"/>
                <w:szCs w:val="16"/>
                <w:color w:val="auto"/>
              </w:rPr>
            </w:pPr>
          </w:p>
        </w:tc>
        <w:tc>
          <w:tcPr>
            <w:tcW w:w="4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Devina A. Rankin</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432"/>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CARROLL</w:t>
            </w:r>
          </w:p>
        </w:tc>
      </w:tr>
      <w:tr>
        <w:trPr>
          <w:trHeight w:val="189"/>
        </w:trPr>
        <w:tc>
          <w:tcPr>
            <w:tcW w:w="340" w:type="dxa"/>
            <w:vAlign w:val="bottom"/>
          </w:tcPr>
          <w:p>
            <w:pPr>
              <w:spacing w:after="0"/>
              <w:rPr>
                <w:sz w:val="16"/>
                <w:szCs w:val="16"/>
                <w:color w:val="auto"/>
              </w:rPr>
            </w:pPr>
          </w:p>
        </w:tc>
        <w:tc>
          <w:tcPr>
            <w:tcW w:w="4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John Carroll</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Vice President and</w:t>
            </w:r>
          </w:p>
        </w:tc>
      </w:tr>
      <w:tr>
        <w:trPr>
          <w:trHeight w:val="216"/>
        </w:trPr>
        <w:tc>
          <w:tcPr>
            <w:tcW w:w="34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Accounting Officer</w:t>
            </w:r>
          </w:p>
        </w:tc>
      </w:tr>
      <w:tr>
        <w:trPr>
          <w:trHeight w:val="236"/>
        </w:trPr>
        <w:tc>
          <w:tcPr>
            <w:tcW w:w="34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July 29,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3" w:right="1440" w:bottom="1440" w:gutter="0" w:footer="0" w:header="0"/>
        </w:sectPr>
      </w:pPr>
    </w:p>
    <w:bookmarkStart w:id="46" w:name="page47"/>
    <w:bookmarkEnd w:id="46"/>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4.2</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BOOK-ENTRY SECURITY</w:t>
      </w:r>
    </w:p>
    <w:p>
      <w:pPr>
        <w:spacing w:after="0" w:line="220"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21"/>
          <w:szCs w:val="21"/>
          <w:color w:val="auto"/>
        </w:rPr>
        <w:t>THIS SECURITY IS A BOOK-ENTRY SECURITY WITHIN THE MEANING OF THE INDENTURE HEREINAFTER REFERRED TO AND IS REGISTERED IN THE NAME OF A</w:t>
      </w:r>
    </w:p>
    <w:p>
      <w:pPr>
        <w:spacing w:after="0" w:line="2"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86" w:lineRule="exact"/>
        <w:rPr>
          <w:sz w:val="20"/>
          <w:szCs w:val="20"/>
          <w:color w:val="auto"/>
        </w:rPr>
      </w:pPr>
    </w:p>
    <w:p>
      <w:pPr>
        <w:jc w:val="both"/>
        <w:ind w:left="200" w:right="219" w:firstLine="667"/>
        <w:spacing w:after="0" w:line="247" w:lineRule="auto"/>
        <w:rPr>
          <w:sz w:val="20"/>
          <w:szCs w:val="20"/>
          <w:color w:val="auto"/>
        </w:rPr>
      </w:pPr>
      <w:r>
        <w:rPr>
          <w:rFonts w:ascii="Times New Roman" w:cs="Times New Roman" w:eastAsia="Times New Roman" w:hAnsi="Times New Roman"/>
          <w:sz w:val="22"/>
          <w:szCs w:val="22"/>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7" w:lineRule="exact"/>
        <w:rPr>
          <w:sz w:val="20"/>
          <w:szCs w:val="20"/>
          <w:color w:val="auto"/>
        </w:rPr>
      </w:pPr>
    </w:p>
    <w:p>
      <w:pPr>
        <w:jc w:val="both"/>
        <w:ind w:left="200" w:right="219" w:firstLine="667"/>
        <w:spacing w:after="0" w:line="248" w:lineRule="auto"/>
        <w:rPr>
          <w:sz w:val="20"/>
          <w:szCs w:val="20"/>
          <w:color w:val="auto"/>
        </w:rPr>
      </w:pPr>
      <w:r>
        <w:rPr>
          <w:rFonts w:ascii="Times New Roman" w:cs="Times New Roman" w:eastAsia="Times New Roman" w:hAnsi="Times New Roman"/>
          <w:sz w:val="22"/>
          <w:szCs w:val="22"/>
          <w:color w:val="auto"/>
        </w:rPr>
        <w:t>TRANSFERS OF THIS GLOBAL SECURITY SHALL BE LIMITED TO TRANSFERS IN WHOLE, BUT NOT IN PART, TO NOMINEES OF DTC OR TO A SUCCESSOR THEREOF OR SUCH SUCCESSOR’S NOMINEE AND TRANSFERS OF INTERESTS IN THIS GLOBAL SECURITY SHALL BE LIMITED TO TRANSFERS MADE IN ACCORDANCE WITH THE RESTRICTIONS SET FORTH IN THE INDENTURE REFERRED TO ON THE REVERSE HEREOF AND IN THIS CERTIFICATE.</w:t>
      </w:r>
    </w:p>
    <w:p>
      <w:pPr>
        <w:spacing w:after="0" w:line="187" w:lineRule="exact"/>
        <w:rPr>
          <w:sz w:val="20"/>
          <w:szCs w:val="20"/>
          <w:color w:val="auto"/>
        </w:rPr>
      </w:pPr>
    </w:p>
    <w:p>
      <w:pPr>
        <w:jc w:val="both"/>
        <w:ind w:left="200" w:right="219" w:firstLine="729"/>
        <w:spacing w:after="0" w:line="250" w:lineRule="auto"/>
        <w:rPr>
          <w:sz w:val="20"/>
          <w:szCs w:val="20"/>
          <w:color w:val="auto"/>
        </w:rPr>
      </w:pPr>
      <w:r>
        <w:rPr>
          <w:rFonts w:ascii="Times New Roman" w:cs="Times New Roman" w:eastAsia="Times New Roman" w:hAnsi="Times New Roman"/>
          <w:sz w:val="22"/>
          <w:szCs w:val="22"/>
          <w:color w:val="auto"/>
        </w:rPr>
        <w:t>IN CONNECTION WITH ANY TRANSFER, THE HOLDER WILL DELIVER TO THE SECURITY REGISTRAR AND TRANSFER AGENT SUCH CERTIFICATES AND OTHER INFORMATION AS SUCH SECURITY REGISTRAR AND TRANSFER AGENT MAY REASONABLY REQUIRE TO CONFIRM THAT THE TRANSFER COMPLIES WITH THE FOREGOING RESTRICTIONS.</w:t>
      </w:r>
    </w:p>
    <w:p>
      <w:pPr>
        <w:spacing w:after="0" w:line="181" w:lineRule="exact"/>
        <w:rPr>
          <w:sz w:val="20"/>
          <w:szCs w:val="20"/>
          <w:color w:val="auto"/>
        </w:rPr>
      </w:pPr>
    </w:p>
    <w:p>
      <w:pPr>
        <w:jc w:val="both"/>
        <w:ind w:left="200" w:right="219" w:firstLine="667"/>
        <w:spacing w:after="0" w:line="248" w:lineRule="auto"/>
        <w:rPr>
          <w:sz w:val="20"/>
          <w:szCs w:val="20"/>
          <w:color w:val="auto"/>
        </w:rPr>
      </w:pPr>
      <w:r>
        <w:rPr>
          <w:rFonts w:ascii="Times New Roman" w:cs="Times New Roman" w:eastAsia="Times New Roman" w:hAnsi="Times New Roman"/>
          <w:sz w:val="22"/>
          <w:szCs w:val="22"/>
          <w:color w:val="auto"/>
        </w:rPr>
        <w:t>BY ITS ACQUISITION HEREOF, THE HOLDER WILL BE DEEMED TO HAVE REPRESENTED AND WARRANTED THAT EITHER (A) NO PORTION OF THE ASSETS USED BY SUCH HOLDER TO ACQUIRE AND HOLD THIS SECURITY CONSTITUTES ASSETS OF AN “EMPLOYEE BENEFIT PLAN” AS DEFINED IN SECTION 3(3) OF THE U.S. EMPLOYEE RETIREMENT INCOME SECURITY ACT OF 1974, AS AMENDED (“ERISA”) THAT IS SUBJECT TO TITLE I OF ERISA, OF ANY PLAN, ACCOUNT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495935</wp:posOffset>
            </wp:positionV>
            <wp:extent cx="545211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7" w:name="page48"/>
    <w:bookmarkEnd w:id="47"/>
    <w:p>
      <w:pPr>
        <w:jc w:val="both"/>
        <w:ind w:left="200" w:right="219"/>
        <w:spacing w:after="0" w:line="246" w:lineRule="auto"/>
        <w:rPr>
          <w:sz w:val="20"/>
          <w:szCs w:val="20"/>
          <w:color w:val="auto"/>
        </w:rPr>
      </w:pPr>
      <w:r>
        <w:rPr>
          <w:rFonts w:ascii="Times New Roman" w:cs="Times New Roman" w:eastAsia="Times New Roman" w:hAnsi="Times New Roman"/>
          <w:sz w:val="22"/>
          <w:szCs w:val="22"/>
          <w:color w:val="auto"/>
        </w:rPr>
        <w:t>OTHER ARRANGEMENT THAT IS SUBJECT TO SECTION 4975 OF THE U.S. INTERNAL REVENUE CODE OF 1986, AS AMENDED (THE “CODE”) OR ANY PROVISIONS UNDER ANY FEDERAL, STATE, LOCAL, NON-U.S. OR OTHER LAWS OR REGULATIONS THAT ARE SIMILAR TO SUCH PROVISIONS OF ERISA OR THE CODE (“SIMILAR LAWS”), OR OF ANY ENTITY WHOSE UNDERLYING ASSETS ARE CONSIDERED TO INCLUDE “PLAN ASSETS” OF ANY SUCH PLAN, ACCOUNT OR ARRANGEMENT, OR (B) THE PURCHASE AND HOLDING OF THIS SECURITY BY SUCH HOLDER WILL NOT CONSTITUTE A NONEXEMPT PROHIBITED TRANSACTION UNDER SECTION 406 OF ERISA OR SECTION 4975 OF THE CODE OR A VIOLATION UNDER ANY APPLICABLE SIMILAR LAWS.</w:t>
      </w:r>
    </w:p>
    <w:p>
      <w:pPr>
        <w:spacing w:after="0" w:line="188" w:lineRule="exact"/>
        <w:rPr>
          <w:sz w:val="20"/>
          <w:szCs w:val="20"/>
          <w:color w:val="auto"/>
        </w:rPr>
      </w:pPr>
    </w:p>
    <w:p>
      <w:pPr>
        <w:jc w:val="both"/>
        <w:ind w:left="200" w:right="219" w:firstLine="648"/>
        <w:spacing w:after="0" w:line="259" w:lineRule="auto"/>
        <w:rPr>
          <w:sz w:val="20"/>
          <w:szCs w:val="20"/>
          <w:color w:val="auto"/>
        </w:rPr>
      </w:pPr>
      <w:r>
        <w:rPr>
          <w:rFonts w:ascii="Times New Roman" w:cs="Times New Roman" w:eastAsia="Times New Roman" w:hAnsi="Times New Roman"/>
          <w:sz w:val="21"/>
          <w:szCs w:val="21"/>
          <w:color w:val="auto"/>
        </w:rPr>
        <w:t>THIS NOTE HAS BEEN ISSUED WITH “ORIGINAL ISSUE DISCOUNT” (WITHIN THE MEANING OF SECTION 1273 OF THE INTERNAL REVENUE CODE OF 1986, AS AMENDED) FOR U.S. FEDERAL INCOME TAX PURPOSES. UPON WRITTEN REQUEST, THE COMPANY WILL PROMPTLY MAKE AVAILABLE TO ANY HOLDER OF THIS NOTE THE FOLLOWING INFORMATION: (1) THE ISSUE PRICE AND DATE OF THE NOTE,</w:t>
      </w:r>
    </w:p>
    <w:p>
      <w:pPr>
        <w:spacing w:after="0" w:line="4" w:lineRule="exact"/>
        <w:rPr>
          <w:sz w:val="20"/>
          <w:szCs w:val="20"/>
          <w:color w:val="auto"/>
        </w:rPr>
      </w:pPr>
    </w:p>
    <w:p>
      <w:pPr>
        <w:jc w:val="both"/>
        <w:ind w:left="200" w:right="219" w:firstLine="9"/>
        <w:spacing w:after="0" w:line="252" w:lineRule="auto"/>
        <w:tabs>
          <w:tab w:leader="none" w:pos="51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ORIGINAL ISSUE DISCOUNT ON THE NOTE AND (3) THE YIELD TO MATURITY OF THE NOTE. HOLDERS SHOULD CONTACT THE TREASURER OF THE COMPANY AT 800 CAPITOL STREET, SUITE 3000, HOUSTON, TEXAS 77002.</w:t>
      </w:r>
    </w:p>
    <w:p>
      <w:pPr>
        <w:sectPr>
          <w:pgSz w:w="11900" w:h="16838" w:orient="portrait"/>
          <w:cols w:equalWidth="0" w:num="1">
            <w:col w:w="9019"/>
          </w:cols>
          <w:pgMar w:left="1440" w:top="1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Principal Amount</w:t>
      </w:r>
    </w:p>
    <w:p>
      <w:pPr>
        <w:spacing w:after="0" w:line="200" w:lineRule="exact"/>
        <w:rPr>
          <w:sz w:val="20"/>
          <w:szCs w:val="20"/>
          <w:color w:val="auto"/>
        </w:rPr>
      </w:pPr>
    </w:p>
    <w:p>
      <w:pPr>
        <w:sectPr>
          <w:pgSz w:w="11900" w:h="16838" w:orient="portrait"/>
          <w:cols w:equalWidth="0" w:num="2">
            <w:col w:w="6440" w:space="720"/>
            <w:col w:w="1859"/>
          </w:cols>
          <w:pgMar w:left="1440" w:top="126" w:right="1440" w:bottom="1440" w:gutter="0" w:footer="0" w:header="0"/>
          <w:type w:val="continuous"/>
        </w:sectPr>
      </w:pPr>
    </w:p>
    <w:p>
      <w:pPr>
        <w:spacing w:after="0" w:line="31" w:lineRule="exact"/>
        <w:rPr>
          <w:sz w:val="20"/>
          <w:szCs w:val="20"/>
          <w:color w:val="auto"/>
        </w:rPr>
      </w:pPr>
    </w:p>
    <w:p>
      <w:pPr>
        <w:ind w:left="6960"/>
        <w:spacing w:after="0"/>
        <w:tabs>
          <w:tab w:leader="none" w:pos="856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26" w:right="1440" w:bottom="1440" w:gutter="0" w:footer="0" w:header="0"/>
          <w:type w:val="continuous"/>
        </w:sectPr>
      </w:pPr>
    </w:p>
    <w:p>
      <w:pPr>
        <w:spacing w:after="0" w:line="2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which may be decreased</w:t>
      </w:r>
    </w:p>
    <w:tbl>
      <w:tblPr>
        <w:tblLayout w:type="fixed"/>
        <w:tblInd w:w="262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540" w:type="dxa"/>
            <w:vAlign w:val="bottom"/>
          </w:tcPr>
          <w:p>
            <w:pPr>
              <w:jc w:val="right"/>
              <w:spacing w:after="0" w:line="235" w:lineRule="exact"/>
              <w:rPr>
                <w:sz w:val="20"/>
                <w:szCs w:val="20"/>
                <w:color w:val="auto"/>
              </w:rPr>
            </w:pPr>
            <w:r>
              <w:rPr>
                <w:rFonts w:ascii="Times New Roman" w:cs="Times New Roman" w:eastAsia="Times New Roman" w:hAnsi="Times New Roman"/>
                <w:sz w:val="22"/>
                <w:szCs w:val="22"/>
                <w:color w:val="auto"/>
              </w:rPr>
              <w:t>by the Schedule of</w:t>
            </w:r>
          </w:p>
        </w:tc>
        <w:tc>
          <w:tcPr>
            <w:tcW w:w="0" w:type="dxa"/>
            <w:vAlign w:val="bottom"/>
          </w:tcPr>
          <w:p>
            <w:pPr>
              <w:spacing w:after="0"/>
              <w:rPr>
                <w:sz w:val="1"/>
                <w:szCs w:val="1"/>
                <w:color w:val="auto"/>
              </w:rPr>
            </w:pPr>
          </w:p>
        </w:tc>
      </w:tr>
      <w:tr>
        <w:trPr>
          <w:trHeight w:val="256"/>
        </w:trPr>
        <w:tc>
          <w:tcPr>
            <w:tcW w:w="3540" w:type="dxa"/>
            <w:vAlign w:val="bottom"/>
            <w:vMerge w:val="restart"/>
          </w:tcPr>
          <w:p>
            <w:pPr>
              <w:jc w:val="center"/>
              <w:ind w:right="212"/>
              <w:spacing w:after="0"/>
              <w:rPr>
                <w:sz w:val="20"/>
                <w:szCs w:val="20"/>
                <w:color w:val="auto"/>
              </w:rPr>
            </w:pPr>
            <w:r>
              <w:rPr>
                <w:rFonts w:ascii="Times New Roman" w:cs="Times New Roman" w:eastAsia="Times New Roman" w:hAnsi="Times New Roman"/>
                <w:sz w:val="22"/>
                <w:szCs w:val="22"/>
                <w:color w:val="auto"/>
                <w:w w:val="97"/>
              </w:rPr>
              <w:t>WASTE MANAGEMENT, INC.</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Exchanges of Definitive</w:t>
            </w:r>
          </w:p>
        </w:tc>
        <w:tc>
          <w:tcPr>
            <w:tcW w:w="0" w:type="dxa"/>
            <w:vAlign w:val="bottom"/>
          </w:tcPr>
          <w:p>
            <w:pPr>
              <w:spacing w:after="0"/>
              <w:rPr>
                <w:sz w:val="1"/>
                <w:szCs w:val="1"/>
                <w:color w:val="auto"/>
              </w:rPr>
            </w:pPr>
          </w:p>
        </w:tc>
      </w:tr>
      <w:tr>
        <w:trPr>
          <w:trHeight w:val="201"/>
        </w:trPr>
        <w:tc>
          <w:tcPr>
            <w:tcW w:w="3540" w:type="dxa"/>
            <w:vAlign w:val="bottom"/>
            <w:vMerge w:val="continue"/>
          </w:tcPr>
          <w:p>
            <w:pPr>
              <w:spacing w:after="0"/>
              <w:rPr>
                <w:sz w:val="17"/>
                <w:szCs w:val="17"/>
                <w:color w:val="auto"/>
              </w:rPr>
            </w:pPr>
          </w:p>
        </w:tc>
        <w:tc>
          <w:tcPr>
            <w:tcW w:w="25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Security attached hereto</w:t>
            </w:r>
          </w:p>
        </w:tc>
        <w:tc>
          <w:tcPr>
            <w:tcW w:w="0" w:type="dxa"/>
            <w:vAlign w:val="bottom"/>
          </w:tcPr>
          <w:p>
            <w:pPr>
              <w:spacing w:after="0"/>
              <w:rPr>
                <w:sz w:val="1"/>
                <w:szCs w:val="1"/>
                <w:color w:val="auto"/>
              </w:rPr>
            </w:pPr>
          </w:p>
        </w:tc>
      </w:tr>
      <w:tr>
        <w:trPr>
          <w:trHeight w:val="81"/>
        </w:trPr>
        <w:tc>
          <w:tcPr>
            <w:tcW w:w="3540" w:type="dxa"/>
            <w:vAlign w:val="bottom"/>
          </w:tcPr>
          <w:p>
            <w:pPr>
              <w:spacing w:after="0"/>
              <w:rPr>
                <w:sz w:val="7"/>
                <w:szCs w:val="7"/>
                <w:color w:val="auto"/>
              </w:rPr>
            </w:pPr>
          </w:p>
        </w:tc>
        <w:tc>
          <w:tcPr>
            <w:tcW w:w="2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3"/>
        </w:trPr>
        <w:tc>
          <w:tcPr>
            <w:tcW w:w="3540" w:type="dxa"/>
            <w:vAlign w:val="bottom"/>
          </w:tcPr>
          <w:p>
            <w:pPr>
              <w:jc w:val="center"/>
              <w:ind w:right="212"/>
              <w:spacing w:after="0"/>
              <w:rPr>
                <w:sz w:val="20"/>
                <w:szCs w:val="20"/>
                <w:color w:val="auto"/>
              </w:rPr>
            </w:pPr>
            <w:r>
              <w:rPr>
                <w:rFonts w:ascii="Times New Roman" w:cs="Times New Roman" w:eastAsia="Times New Roman" w:hAnsi="Times New Roman"/>
                <w:sz w:val="22"/>
                <w:szCs w:val="22"/>
                <w:color w:val="auto"/>
                <w:w w:val="97"/>
              </w:rPr>
              <w:t>3.875% SENIOR NOTES DUE 2029</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3540" w:type="dxa"/>
            <w:vAlign w:val="bottom"/>
          </w:tcPr>
          <w:p>
            <w:pPr>
              <w:spacing w:after="0"/>
              <w:rPr>
                <w:sz w:val="24"/>
                <w:szCs w:val="24"/>
                <w:color w:val="auto"/>
              </w:rPr>
            </w:pPr>
          </w:p>
        </w:tc>
        <w:tc>
          <w:tcPr>
            <w:tcW w:w="2540" w:type="dxa"/>
            <w:vAlign w:val="bottom"/>
          </w:tcPr>
          <w:p>
            <w:pPr>
              <w:jc w:val="right"/>
              <w:ind w:right="1512"/>
              <w:spacing w:after="0"/>
              <w:rPr>
                <w:sz w:val="20"/>
                <w:szCs w:val="20"/>
                <w:color w:val="auto"/>
              </w:rPr>
            </w:pPr>
            <w:r>
              <w:rPr>
                <w:rFonts w:ascii="Times New Roman" w:cs="Times New Roman" w:eastAsia="Times New Roman" w:hAnsi="Times New Roman"/>
                <w:sz w:val="22"/>
                <w:szCs w:val="22"/>
                <w:color w:val="auto"/>
              </w:rPr>
              <w:t>CUSIP</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both"/>
        <w:ind w:left="200" w:right="219" w:firstLine="667"/>
        <w:spacing w:after="0" w:line="262" w:lineRule="auto"/>
        <w:rPr>
          <w:sz w:val="20"/>
          <w:szCs w:val="20"/>
          <w:color w:val="auto"/>
        </w:rPr>
      </w:pPr>
      <w:r>
        <w:rPr>
          <w:rFonts w:ascii="Times New Roman" w:cs="Times New Roman" w:eastAsia="Times New Roman" w:hAnsi="Times New Roman"/>
          <w:sz w:val="21"/>
          <w:szCs w:val="21"/>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w:t>
      </w:r>
    </w:p>
    <w:p>
      <w:pPr>
        <w:spacing w:after="0" w:line="3"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principal sum of Million ($ ) U.S. dollars, or such lesser principal sum as is shown on the attached Schedule of Exchanges of Definitive Security, on January 15, 2029 in such coin or currency of the United States of America as at the time of payment shall be legal tender for the payment of public and private debts, and to pay interest at an annual rate of 3.875% payable on January 15 and July 15 of each year, to the person in whose name this Security is registered at the close of business on the record date for such interest, which shall be the preceding January 1 or July 1, respectively, payable commencing July 15, 2025, with interest accruing from January 15, 2025, or the most recent date to which interest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495935</wp:posOffset>
            </wp:positionV>
            <wp:extent cx="545211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type w:val="continuous"/>
        </w:sectPr>
      </w:pPr>
    </w:p>
    <w:bookmarkStart w:id="48" w:name="page49"/>
    <w:bookmarkEnd w:id="48"/>
    <w:p>
      <w:pPr>
        <w:jc w:val="both"/>
        <w:ind w:left="200" w:right="219" w:firstLine="667"/>
        <w:spacing w:after="0" w:line="257" w:lineRule="auto"/>
        <w:rPr>
          <w:sz w:val="20"/>
          <w:szCs w:val="20"/>
          <w:color w:val="auto"/>
        </w:rPr>
      </w:pPr>
      <w:r>
        <w:rPr>
          <w:rFonts w:ascii="Times New Roman" w:cs="Times New Roman" w:eastAsia="Times New Roman" w:hAnsi="Times New Roman"/>
          <w:sz w:val="22"/>
          <w:szCs w:val="22"/>
          <w:color w:val="auto"/>
        </w:rPr>
        <w:t>Reference is made to the further provisions of this Security set forth on the reverse hereof. Such further provisions shall for all purposes have the same effect as though fully set forth at this place.</w:t>
      </w:r>
    </w:p>
    <w:p>
      <w:pPr>
        <w:spacing w:after="0" w:line="173"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2"/>
          <w:szCs w:val="22"/>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73"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This Security is issued in respect of a series of Securities of an initial aggregate of $485,084,000 in principal amount designated as the 3.875% Senior Notes due 2029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91" w:lineRule="exact"/>
        <w:rPr>
          <w:sz w:val="20"/>
          <w:szCs w:val="20"/>
          <w:color w:val="auto"/>
        </w:rPr>
      </w:pPr>
    </w:p>
    <w:p>
      <w:pPr>
        <w:jc w:val="both"/>
        <w:ind w:left="200" w:right="219" w:firstLine="667"/>
        <w:spacing w:after="0" w:line="256" w:lineRule="auto"/>
        <w:rPr>
          <w:sz w:val="20"/>
          <w:szCs w:val="20"/>
          <w:color w:val="auto"/>
        </w:rPr>
      </w:pPr>
      <w:r>
        <w:rPr>
          <w:rFonts w:ascii="Times New Roman" w:cs="Times New Roman" w:eastAsia="Times New Roman" w:hAnsi="Times New Roman"/>
          <w:sz w:val="22"/>
          <w:szCs w:val="22"/>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76" w:lineRule="exact"/>
        <w:rPr>
          <w:sz w:val="20"/>
          <w:szCs w:val="20"/>
          <w:color w:val="auto"/>
        </w:rPr>
      </w:pPr>
    </w:p>
    <w:p>
      <w:pPr>
        <w:jc w:val="both"/>
        <w:ind w:left="200" w:right="239" w:firstLine="667"/>
        <w:spacing w:after="0" w:line="271" w:lineRule="auto"/>
        <w:rPr>
          <w:sz w:val="20"/>
          <w:szCs w:val="20"/>
          <w:color w:val="auto"/>
        </w:rPr>
      </w:pPr>
      <w:r>
        <w:rPr>
          <w:rFonts w:ascii="Times New Roman" w:cs="Times New Roman" w:eastAsia="Times New Roman" w:hAnsi="Times New Roman"/>
          <w:sz w:val="22"/>
          <w:szCs w:val="22"/>
          <w:color w:val="auto"/>
        </w:rPr>
        <w:t>The Company hereby irrevocably undertakes to the Holder hereof to exchange this Security in accordance with the terms of the Indenture without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477520</wp:posOffset>
            </wp:positionV>
            <wp:extent cx="545211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49" w:name="page50"/>
    <w:bookmarkEnd w:id="49"/>
    <w:p>
      <w:pPr>
        <w:ind w:left="200" w:right="239" w:firstLine="667"/>
        <w:spacing w:after="0" w:line="271" w:lineRule="auto"/>
        <w:rPr>
          <w:sz w:val="20"/>
          <w:szCs w:val="20"/>
          <w:color w:val="auto"/>
        </w:rPr>
      </w:pPr>
      <w:r>
        <w:rPr>
          <w:rFonts w:ascii="Times New Roman" w:cs="Times New Roman" w:eastAsia="Times New Roman" w:hAnsi="Times New Roman"/>
          <w:sz w:val="22"/>
          <w:szCs w:val="22"/>
          <w:color w:val="auto"/>
        </w:rPr>
        <w:t>This Security shall not be valid or become obligatory for any purpose until the Certificate of Authentication hereon shall have been manually signed by the Trustee under the Indenture.</w:t>
      </w:r>
    </w:p>
    <w:p>
      <w:pPr>
        <w:spacing w:after="0" w:line="158" w:lineRule="exact"/>
        <w:rPr>
          <w:sz w:val="20"/>
          <w:szCs w:val="20"/>
          <w:color w:val="auto"/>
        </w:rPr>
      </w:pPr>
    </w:p>
    <w:p>
      <w:pPr>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IN WITNESS WHEREOF, the Company has caused this instrument to be duly executed under its corporate seal.</w:t>
      </w:r>
    </w:p>
    <w:p>
      <w:pPr>
        <w:spacing w:after="0" w:line="158" w:lineRule="exact"/>
        <w:rPr>
          <w:sz w:val="20"/>
          <w:szCs w:val="20"/>
          <w:color w:val="auto"/>
        </w:rPr>
      </w:pPr>
    </w:p>
    <w:p>
      <w:pPr>
        <w:ind w:left="300"/>
        <w:spacing w:after="0"/>
        <w:tabs>
          <w:tab w:leader="none" w:pos="4520" w:val="left"/>
        </w:tabs>
        <w:rPr>
          <w:sz w:val="20"/>
          <w:szCs w:val="20"/>
          <w:color w:val="auto"/>
        </w:rPr>
      </w:pPr>
      <w:r>
        <w:rPr>
          <w:rFonts w:ascii="Times New Roman" w:cs="Times New Roman" w:eastAsia="Times New Roman" w:hAnsi="Times New Roman"/>
          <w:sz w:val="22"/>
          <w:szCs w:val="22"/>
          <w:color w:val="auto"/>
        </w:rPr>
        <w:t>Dated:</w:t>
      </w:r>
      <w:r>
        <w:rPr>
          <w:sz w:val="20"/>
          <w:szCs w:val="20"/>
          <w:color w:val="auto"/>
        </w:rPr>
        <w:tab/>
      </w:r>
      <w:r>
        <w:rPr>
          <w:rFonts w:ascii="Times New Roman" w:cs="Times New Roman" w:eastAsia="Times New Roman" w:hAnsi="Times New Roman"/>
          <w:sz w:val="22"/>
          <w:szCs w:val="22"/>
          <w:color w:val="auto"/>
        </w:rPr>
        <w:t>WASTE MANAGEMENT, INC.,</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6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3235325</wp:posOffset>
            </wp:positionH>
            <wp:positionV relativeFrom="paragraph">
              <wp:posOffset>-13970</wp:posOffset>
            </wp:positionV>
            <wp:extent cx="15773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Leslie K. Nagy</w:t>
      </w:r>
    </w:p>
    <w:p>
      <w:pPr>
        <w:spacing w:after="0" w:line="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Vice President and Treasurer</w:t>
      </w:r>
    </w:p>
    <w:p>
      <w:pPr>
        <w:spacing w:after="0" w:line="200" w:lineRule="exact"/>
        <w:rPr>
          <w:sz w:val="20"/>
          <w:szCs w:val="20"/>
          <w:color w:val="auto"/>
        </w:rPr>
      </w:pPr>
    </w:p>
    <w:p>
      <w:pPr>
        <w:spacing w:after="0" w:line="29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Attest:</w:t>
      </w:r>
    </w:p>
    <w:p>
      <w:pPr>
        <w:spacing w:after="0" w:line="26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-13970</wp:posOffset>
            </wp:positionV>
            <wp:extent cx="15430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Courtney A. Tippy</w:t>
      </w:r>
    </w:p>
    <w:p>
      <w:pPr>
        <w:spacing w:after="0" w:line="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Vice President and Corporate Secretary</w:t>
      </w: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CERTIFICATE OF AUTHENTICATION</w:t>
      </w:r>
    </w:p>
    <w:p>
      <w:pPr>
        <w:spacing w:after="0" w:line="233" w:lineRule="exact"/>
        <w:rPr>
          <w:sz w:val="20"/>
          <w:szCs w:val="20"/>
          <w:color w:val="auto"/>
        </w:rPr>
      </w:pPr>
    </w:p>
    <w:p>
      <w:pPr>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This is one of the Securities of the series designated therein referred to in the within-mentioned Indenture.</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257"/>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Date of Authentication:</w:t>
            </w:r>
          </w:p>
        </w:tc>
        <w:tc>
          <w:tcPr>
            <w:tcW w:w="5240" w:type="dxa"/>
            <w:vAlign w:val="bottom"/>
            <w:gridSpan w:val="3"/>
          </w:tcPr>
          <w:p>
            <w:pPr>
              <w:ind w:left="1100"/>
              <w:spacing w:after="0"/>
              <w:rPr>
                <w:sz w:val="20"/>
                <w:szCs w:val="20"/>
                <w:color w:val="auto"/>
              </w:rPr>
            </w:pPr>
            <w:r>
              <w:rPr>
                <w:rFonts w:ascii="Times New Roman" w:cs="Times New Roman" w:eastAsia="Times New Roman" w:hAnsi="Times New Roman"/>
                <w:sz w:val="22"/>
                <w:szCs w:val="22"/>
                <w:color w:val="auto"/>
                <w:w w:val="96"/>
              </w:rPr>
              <w:t>The Bank of New York Mellon Trust Company,</w:t>
            </w:r>
          </w:p>
        </w:tc>
      </w:tr>
      <w:tr>
        <w:trPr>
          <w:trHeight w:val="282"/>
        </w:trPr>
        <w:tc>
          <w:tcPr>
            <w:tcW w:w="3140" w:type="dxa"/>
            <w:vAlign w:val="bottom"/>
          </w:tcPr>
          <w:p>
            <w:pPr>
              <w:spacing w:after="0"/>
              <w:rPr>
                <w:sz w:val="24"/>
                <w:szCs w:val="24"/>
                <w:color w:val="auto"/>
              </w:rPr>
            </w:pPr>
          </w:p>
        </w:tc>
        <w:tc>
          <w:tcPr>
            <w:tcW w:w="5240" w:type="dxa"/>
            <w:vAlign w:val="bottom"/>
            <w:gridSpan w:val="3"/>
          </w:tcPr>
          <w:p>
            <w:pPr>
              <w:ind w:left="1100"/>
              <w:spacing w:after="0"/>
              <w:rPr>
                <w:sz w:val="20"/>
                <w:szCs w:val="20"/>
                <w:color w:val="auto"/>
              </w:rPr>
            </w:pPr>
            <w:r>
              <w:rPr>
                <w:rFonts w:ascii="Times New Roman" w:cs="Times New Roman" w:eastAsia="Times New Roman" w:hAnsi="Times New Roman"/>
                <w:sz w:val="22"/>
                <w:szCs w:val="22"/>
                <w:color w:val="auto"/>
              </w:rPr>
              <w:t>N.A., as Trustee</w:t>
            </w:r>
          </w:p>
        </w:tc>
      </w:tr>
      <w:tr>
        <w:trPr>
          <w:trHeight w:val="460"/>
        </w:trPr>
        <w:tc>
          <w:tcPr>
            <w:tcW w:w="3140" w:type="dxa"/>
            <w:vAlign w:val="bottom"/>
          </w:tcPr>
          <w:p>
            <w:pPr>
              <w:spacing w:after="0"/>
              <w:rPr>
                <w:sz w:val="24"/>
                <w:szCs w:val="24"/>
                <w:color w:val="auto"/>
              </w:rPr>
            </w:pPr>
          </w:p>
        </w:tc>
        <w:tc>
          <w:tcPr>
            <w:tcW w:w="5240" w:type="dxa"/>
            <w:vAlign w:val="bottom"/>
            <w:gridSpan w:val="3"/>
          </w:tcPr>
          <w:p>
            <w:pPr>
              <w:ind w:left="1100"/>
              <w:spacing w:after="0"/>
              <w:rPr>
                <w:sz w:val="20"/>
                <w:szCs w:val="20"/>
                <w:color w:val="auto"/>
              </w:rPr>
            </w:pPr>
            <w:r>
              <w:rPr>
                <w:rFonts w:ascii="Times New Roman" w:cs="Times New Roman" w:eastAsia="Times New Roman" w:hAnsi="Times New Roman"/>
                <w:sz w:val="22"/>
                <w:szCs w:val="22"/>
                <w:color w:val="auto"/>
              </w:rPr>
              <w:t>By: ​</w:t>
            </w:r>
          </w:p>
        </w:tc>
      </w:tr>
      <w:tr>
        <w:trPr>
          <w:trHeight w:val="289"/>
        </w:trPr>
        <w:tc>
          <w:tcPr>
            <w:tcW w:w="3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5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Authorized Officer</w:t>
            </w:r>
          </w:p>
        </w:tc>
        <w:tc>
          <w:tcPr>
            <w:tcW w:w="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Global Note</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(3.875%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93" w:right="1440"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22"/>
          <w:szCs w:val="22"/>
          <w:color w:val="auto"/>
        </w:rPr>
        <w:t>REVERSE OF BOOK-ENTRY SECURITY</w:t>
      </w:r>
    </w:p>
    <w:p>
      <w:pPr>
        <w:spacing w:after="0" w:line="24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WASTE MANAGEMENT, INC.</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3.875% SENIOR NOTES DUE 2029</w:t>
      </w:r>
    </w:p>
    <w:p>
      <w:pPr>
        <w:spacing w:after="0" w:line="247"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3.875% Senior Notes due 2029 of the Company, in initial aggregate principal amount of $485,084,000 (the “Securities”).</w:t>
      </w:r>
    </w:p>
    <w:p>
      <w:pPr>
        <w:spacing w:after="0" w:line="181" w:lineRule="exact"/>
        <w:rPr>
          <w:sz w:val="20"/>
          <w:szCs w:val="20"/>
          <w:color w:val="auto"/>
        </w:rPr>
      </w:pPr>
    </w:p>
    <w:p>
      <w:pPr>
        <w:ind w:left="1500" w:hanging="643"/>
        <w:spacing w:after="0"/>
        <w:tabs>
          <w:tab w:leader="none" w:pos="15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Interest.</w:t>
      </w:r>
    </w:p>
    <w:p>
      <w:pPr>
        <w:spacing w:after="0" w:line="251"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The Company promises to pay interest on the principal amount of this Security at the rate of 3.875% per annum.</w:t>
      </w:r>
    </w:p>
    <w:p>
      <w:pPr>
        <w:spacing w:after="0" w:line="158"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The Company will pay interest semi-annually on January 15 and July 15 of each year (each an “Interest Payment Date”), commencing July 15, 2025. Interest on the Securities will accrue from the most recent date to which interest has been paid or, if no interest has been paid on the Securities, from January 15, 2025.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3.875% per annum, in each case to the extent lawful.</w:t>
      </w:r>
    </w:p>
    <w:p>
      <w:pPr>
        <w:spacing w:after="0" w:line="187" w:lineRule="exact"/>
        <w:rPr>
          <w:sz w:val="20"/>
          <w:szCs w:val="20"/>
          <w:color w:val="auto"/>
        </w:rPr>
      </w:pPr>
    </w:p>
    <w:p>
      <w:pPr>
        <w:ind w:left="1500" w:hanging="643"/>
        <w:spacing w:after="0"/>
        <w:tabs>
          <w:tab w:leader="none" w:pos="15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Method of Payment.</w:t>
      </w:r>
    </w:p>
    <w:p>
      <w:pPr>
        <w:spacing w:after="0" w:line="237" w:lineRule="exact"/>
        <w:rPr>
          <w:sz w:val="20"/>
          <w:szCs w:val="20"/>
          <w:color w:val="auto"/>
        </w:rPr>
      </w:pPr>
    </w:p>
    <w:p>
      <w:pPr>
        <w:jc w:val="both"/>
        <w:ind w:left="200" w:right="219" w:firstLine="667"/>
        <w:spacing w:after="0" w:line="259" w:lineRule="auto"/>
        <w:rPr>
          <w:sz w:val="20"/>
          <w:szCs w:val="20"/>
          <w:color w:val="auto"/>
        </w:rPr>
      </w:pPr>
      <w:r>
        <w:rPr>
          <w:rFonts w:ascii="Times New Roman" w:cs="Times New Roman" w:eastAsia="Times New Roman" w:hAnsi="Times New Roman"/>
          <w:sz w:val="21"/>
          <w:szCs w:val="21"/>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516890</wp:posOffset>
            </wp:positionV>
            <wp:extent cx="545211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93" w:right="1440" w:bottom="1440" w:gutter="0" w:footer="0" w:header="0"/>
        </w:sectPr>
      </w:pPr>
    </w:p>
    <w:bookmarkStart w:id="51" w:name="page52"/>
    <w:bookmarkEnd w:id="51"/>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178" w:lineRule="exact"/>
        <w:rPr>
          <w:sz w:val="20"/>
          <w:szCs w:val="20"/>
          <w:color w:val="auto"/>
        </w:rPr>
      </w:pPr>
    </w:p>
    <w:p>
      <w:pPr>
        <w:ind w:left="1500" w:hanging="643"/>
        <w:spacing w:after="0"/>
        <w:tabs>
          <w:tab w:leader="none" w:pos="15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Paying Agent and Registrar.</w:t>
      </w:r>
    </w:p>
    <w:p>
      <w:pPr>
        <w:spacing w:after="0" w:line="251" w:lineRule="exact"/>
        <w:rPr>
          <w:sz w:val="20"/>
          <w:szCs w:val="20"/>
          <w:color w:val="auto"/>
        </w:rPr>
      </w:pPr>
    </w:p>
    <w:p>
      <w:pPr>
        <w:jc w:val="both"/>
        <w:ind w:left="200" w:right="219" w:firstLine="667"/>
        <w:spacing w:after="0" w:line="252" w:lineRule="auto"/>
        <w:rPr>
          <w:sz w:val="20"/>
          <w:szCs w:val="20"/>
          <w:color w:val="auto"/>
        </w:rPr>
      </w:pPr>
      <w:r>
        <w:rPr>
          <w:rFonts w:ascii="Times New Roman" w:cs="Times New Roman" w:eastAsia="Times New Roman" w:hAnsi="Times New Roman"/>
          <w:sz w:val="22"/>
          <w:szCs w:val="22"/>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75" w:lineRule="exact"/>
        <w:rPr>
          <w:sz w:val="20"/>
          <w:szCs w:val="20"/>
          <w:color w:val="auto"/>
        </w:rPr>
      </w:pPr>
    </w:p>
    <w:p>
      <w:pPr>
        <w:ind w:left="1500" w:hanging="643"/>
        <w:spacing w:after="0"/>
        <w:tabs>
          <w:tab w:leader="none" w:pos="15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Indenture.</w:t>
      </w:r>
    </w:p>
    <w:p>
      <w:pPr>
        <w:spacing w:after="0" w:line="237"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This Security is one of a duly authorized issue of Debt Securities of the Company issued and to be issued in one or more series under the Indenture.</w:t>
      </w:r>
    </w:p>
    <w:p>
      <w:pPr>
        <w:spacing w:after="0" w:line="158" w:lineRule="exact"/>
        <w:rPr>
          <w:sz w:val="20"/>
          <w:szCs w:val="20"/>
          <w:color w:val="auto"/>
        </w:rPr>
      </w:pPr>
    </w:p>
    <w:p>
      <w:pPr>
        <w:jc w:val="both"/>
        <w:ind w:left="200" w:right="219" w:firstLine="667"/>
        <w:spacing w:after="0" w:line="247" w:lineRule="auto"/>
        <w:rPr>
          <w:sz w:val="20"/>
          <w:szCs w:val="20"/>
          <w:color w:val="auto"/>
        </w:rPr>
      </w:pPr>
      <w:r>
        <w:rPr>
          <w:rFonts w:ascii="Times New Roman" w:cs="Times New Roman" w:eastAsia="Times New Roman" w:hAnsi="Times New Roman"/>
          <w:sz w:val="22"/>
          <w:szCs w:val="22"/>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August 26, 2024 and October 3, 2024 (the “Resolutions”) and the written consent of the Sole Director of Waste Management Holdings, Inc. on September 5, 2024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$485,084,000.</w:t>
      </w:r>
    </w:p>
    <w:p>
      <w:pPr>
        <w:spacing w:after="0" w:line="183" w:lineRule="exact"/>
        <w:rPr>
          <w:sz w:val="20"/>
          <w:szCs w:val="20"/>
          <w:color w:val="auto"/>
        </w:rPr>
      </w:pPr>
    </w:p>
    <w:p>
      <w:pPr>
        <w:ind w:left="1500" w:hanging="643"/>
        <w:spacing w:after="0"/>
        <w:tabs>
          <w:tab w:leader="none" w:pos="15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Redemption.</w:t>
      </w:r>
    </w:p>
    <w:p>
      <w:pPr>
        <w:spacing w:after="0" w:line="237"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2"/>
          <w:szCs w:val="22"/>
          <w:color w:val="auto"/>
        </w:rPr>
        <w:t>Prior to the Par Call Date, the Company may redeem the Securities at its option, in whole or in part, at any time and from time to time, at a Redemption Price (expressed as a percentage of principal amount and rounded to three decimal places) equal to the greater of:</w:t>
      </w:r>
    </w:p>
    <w:p>
      <w:pPr>
        <w:spacing w:after="0" w:line="173" w:lineRule="exact"/>
        <w:rPr>
          <w:sz w:val="20"/>
          <w:szCs w:val="20"/>
          <w:color w:val="auto"/>
        </w:rPr>
      </w:pPr>
    </w:p>
    <w:p>
      <w:pPr>
        <w:jc w:val="both"/>
        <w:ind w:left="860" w:right="219" w:firstLine="15"/>
        <w:spacing w:after="0" w:line="250" w:lineRule="auto"/>
        <w:tabs>
          <w:tab w:leader="none" w:pos="119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10 basis points,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(b) interest accrued to the Redemption Date, and</w:t>
      </w:r>
    </w:p>
    <w:p>
      <w:pPr>
        <w:spacing w:after="0" w:line="180" w:lineRule="exact"/>
        <w:rPr>
          <w:rFonts w:ascii="Times New Roman" w:cs="Times New Roman" w:eastAsia="Times New Roman" w:hAnsi="Times New Roman"/>
          <w:sz w:val="22"/>
          <w:szCs w:val="22"/>
          <w:color w:val="auto"/>
        </w:rPr>
      </w:pPr>
    </w:p>
    <w:p>
      <w:pPr>
        <w:ind w:left="1180" w:hanging="305"/>
        <w:spacing w:after="0"/>
        <w:tabs>
          <w:tab w:leader="none" w:pos="11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principal amount of the Securities to be redeemed,</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plus, in either case, accrued and unpaid interest thereon to the Redemption Date.</w:t>
      </w:r>
    </w:p>
    <w:p>
      <w:pPr>
        <w:spacing w:after="0" w:line="13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516890</wp:posOffset>
            </wp:positionV>
            <wp:extent cx="545211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52" w:name="page53"/>
    <w:bookmarkEnd w:id="52"/>
    <w:p>
      <w:pPr>
        <w:jc w:val="both"/>
        <w:ind w:left="200" w:right="219" w:firstLine="667"/>
        <w:spacing w:after="0" w:line="252" w:lineRule="auto"/>
        <w:rPr>
          <w:sz w:val="20"/>
          <w:szCs w:val="20"/>
          <w:color w:val="auto"/>
        </w:rPr>
      </w:pPr>
      <w:r>
        <w:rPr>
          <w:rFonts w:ascii="Times New Roman" w:cs="Times New Roman" w:eastAsia="Times New Roman" w:hAnsi="Times New Roman"/>
          <w:sz w:val="22"/>
          <w:szCs w:val="22"/>
          <w:color w:val="auto"/>
        </w:rPr>
        <w:t>On or after the Par Call Date, the Company may redeem the Securities at its option, in whole or in part, at any time and from time to time, at a Redemption Price equal to 100% of the principal amount of the Securities to be redeemed, plus accrued and unpaid interest thereon to the Redemption Date.</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“Par Call Date” means December 15, 2028.</w:t>
      </w:r>
    </w:p>
    <w:p>
      <w:pPr>
        <w:spacing w:after="0" w:line="220"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“Treasury Rate” means, with respect to any Redemption Date, the yield determined by the Company in accordance with the following two paragraphs.</w:t>
      </w:r>
    </w:p>
    <w:p>
      <w:pPr>
        <w:spacing w:after="0" w:line="158"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1"/>
          <w:szCs w:val="21"/>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 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8"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1"/>
          <w:szCs w:val="21"/>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516890</wp:posOffset>
            </wp:positionV>
            <wp:extent cx="545211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53" w:name="page54"/>
    <w:bookmarkEnd w:id="53"/>
    <w:p>
      <w:pPr>
        <w:jc w:val="both"/>
        <w:ind w:left="200" w:right="219"/>
        <w:spacing w:after="0" w:line="257" w:lineRule="auto"/>
        <w:rPr>
          <w:sz w:val="20"/>
          <w:szCs w:val="20"/>
          <w:color w:val="auto"/>
        </w:rPr>
      </w:pPr>
      <w:r>
        <w:rPr>
          <w:rFonts w:ascii="Times New Roman" w:cs="Times New Roman" w:eastAsia="Times New Roman" w:hAnsi="Times New Roman"/>
          <w:sz w:val="22"/>
          <w:szCs w:val="22"/>
          <w:color w:val="auto"/>
        </w:rPr>
        <w:t>security shall be based upon the average of the bid and asked prices (expressed as a percentage of principal amount) at 11:00 a.m., New York City time, of such United States Treasury security, and rounded to three decimal places.</w:t>
      </w:r>
    </w:p>
    <w:p>
      <w:pPr>
        <w:spacing w:after="0" w:line="173" w:lineRule="exact"/>
        <w:rPr>
          <w:sz w:val="20"/>
          <w:szCs w:val="20"/>
          <w:color w:val="auto"/>
        </w:rPr>
      </w:pPr>
    </w:p>
    <w:p>
      <w:pPr>
        <w:jc w:val="both"/>
        <w:ind w:left="200" w:right="219" w:firstLine="667"/>
        <w:spacing w:after="0" w:line="250" w:lineRule="auto"/>
        <w:rPr>
          <w:sz w:val="20"/>
          <w:szCs w:val="20"/>
          <w:color w:val="auto"/>
        </w:rPr>
      </w:pPr>
      <w:r>
        <w:rPr>
          <w:rFonts w:ascii="Times New Roman" w:cs="Times New Roman" w:eastAsia="Times New Roman" w:hAnsi="Times New Roman"/>
          <w:sz w:val="22"/>
          <w:szCs w:val="22"/>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81" w:lineRule="exact"/>
        <w:rPr>
          <w:sz w:val="20"/>
          <w:szCs w:val="20"/>
          <w:color w:val="auto"/>
        </w:rPr>
      </w:pPr>
    </w:p>
    <w:p>
      <w:pPr>
        <w:jc w:val="both"/>
        <w:ind w:left="200" w:right="219" w:firstLine="667"/>
        <w:spacing w:after="0" w:line="259" w:lineRule="auto"/>
        <w:rPr>
          <w:sz w:val="20"/>
          <w:szCs w:val="20"/>
          <w:color w:val="auto"/>
        </w:rPr>
      </w:pPr>
      <w:r>
        <w:rPr>
          <w:rFonts w:ascii="Times New Roman" w:cs="Times New Roman" w:eastAsia="Times New Roman" w:hAnsi="Times New Roman"/>
          <w:sz w:val="21"/>
          <w:szCs w:val="21"/>
          <w:color w:val="auto"/>
        </w:rPr>
        <w:t>Securities called for redemption become due on the Redemption Date. Notices of redemption will be mailed or electronically delivered (or otherwise transmitted in accordance with the Depositary’s procedures)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Redemption Price and the place(s) that payment will be made upon presentation and surrender of Securities to be redeemed. Unless the Company defaults in payment of the Redemption Price, interest will cease to accrue on any Securities that have been called for redemption at the Redemption Date. If less than all the Securities are redeemed at any time, the Trustee will select the Securities to be redeemed on a pro rata basis, by lot or by such other method as the Trustee in its sole discretion deems appropriate and fair. In the case of Securities in global form, the Depositary will determine the allocation of the Redemption Price among beneficial owners in such global Securities in accordance with the Depositary’s applicable procedures.</w:t>
      </w:r>
    </w:p>
    <w:p>
      <w:pPr>
        <w:spacing w:after="0" w:line="172"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Except as set forth above, the Securities will not be redeemable prior to their Stated Maturity and will not be entitled to the benefit of any sinking fund.</w:t>
      </w:r>
    </w:p>
    <w:p>
      <w:pPr>
        <w:spacing w:after="0" w:line="158"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The Securities may be redeemed in part in a minimum principal amount of $2,000, or any integral multiple of $1,000 in excess thereof.</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Any such redemption will also comply with Article Eleven of the Indenture.</w:t>
      </w:r>
    </w:p>
    <w:p>
      <w:pPr>
        <w:spacing w:after="0" w:line="216" w:lineRule="exact"/>
        <w:rPr>
          <w:sz w:val="20"/>
          <w:szCs w:val="20"/>
          <w:color w:val="auto"/>
        </w:rPr>
      </w:pPr>
    </w:p>
    <w:p>
      <w:pPr>
        <w:ind w:left="1500" w:hanging="643"/>
        <w:spacing w:after="0"/>
        <w:tabs>
          <w:tab w:leader="none" w:pos="15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of Control Offer.</w:t>
      </w:r>
    </w:p>
    <w:p>
      <w:pPr>
        <w:spacing w:after="0" w:line="237"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22"/>
          <w:szCs w:val="22"/>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190" w:lineRule="exact"/>
        <w:rPr>
          <w:sz w:val="20"/>
          <w:szCs w:val="20"/>
          <w:color w:val="auto"/>
        </w:rPr>
      </w:pPr>
    </w:p>
    <w:p>
      <w:pPr>
        <w:jc w:val="both"/>
        <w:ind w:left="200" w:right="239" w:firstLine="648"/>
        <w:spacing w:after="0" w:line="284" w:lineRule="auto"/>
        <w:rPr>
          <w:sz w:val="20"/>
          <w:szCs w:val="20"/>
          <w:color w:val="auto"/>
        </w:rPr>
      </w:pPr>
      <w:r>
        <w:rPr>
          <w:rFonts w:ascii="Times New Roman" w:cs="Times New Roman" w:eastAsia="Times New Roman" w:hAnsi="Times New Roman"/>
          <w:sz w:val="22"/>
          <w:szCs w:val="22"/>
          <w:color w:val="auto"/>
        </w:rPr>
        <w:t>Within 30 days following any Change of Control Triggering Event or, at the Company’s option, prior to any Change of Control, but after public announcement of the transaction that</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516890</wp:posOffset>
            </wp:positionV>
            <wp:extent cx="545211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54" w:name="page55"/>
    <w:bookmarkEnd w:id="54"/>
    <w:p>
      <w:pPr>
        <w:jc w:val="both"/>
        <w:ind w:left="200" w:right="219"/>
        <w:spacing w:after="0" w:line="265" w:lineRule="auto"/>
        <w:rPr>
          <w:sz w:val="20"/>
          <w:szCs w:val="20"/>
          <w:color w:val="auto"/>
        </w:rPr>
      </w:pPr>
      <w:r>
        <w:rPr>
          <w:rFonts w:ascii="Times New Roman" w:cs="Times New Roman" w:eastAsia="Times New Roman" w:hAnsi="Times New Roman"/>
          <w:sz w:val="22"/>
          <w:szCs w:val="22"/>
          <w:color w:val="auto"/>
        </w:rPr>
        <w:t>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Upon the Change of Control Payment Date, the Company shall, to the extent lawful:</w:t>
      </w:r>
    </w:p>
    <w:p>
      <w:pPr>
        <w:spacing w:after="0" w:line="233" w:lineRule="exact"/>
        <w:rPr>
          <w:sz w:val="20"/>
          <w:szCs w:val="20"/>
          <w:color w:val="auto"/>
        </w:rPr>
      </w:pPr>
    </w:p>
    <w:p>
      <w:pPr>
        <w:ind w:left="1500" w:right="219" w:hanging="643"/>
        <w:spacing w:after="0" w:line="271" w:lineRule="auto"/>
        <w:tabs>
          <w:tab w:leader="none" w:pos="117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accept for payment all Securities or portions of Securities properly tendered and not withdrawn pursuant to the Change of Control Offer;</w:t>
      </w:r>
    </w:p>
    <w:p>
      <w:pPr>
        <w:spacing w:after="0" w:line="157" w:lineRule="exact"/>
        <w:rPr>
          <w:rFonts w:ascii="Times New Roman" w:cs="Times New Roman" w:eastAsia="Times New Roman" w:hAnsi="Times New Roman"/>
          <w:sz w:val="18"/>
          <w:szCs w:val="18"/>
          <w:color w:val="auto"/>
        </w:rPr>
      </w:pPr>
    </w:p>
    <w:p>
      <w:pPr>
        <w:ind w:left="1500" w:right="219" w:hanging="643"/>
        <w:spacing w:after="0" w:line="271" w:lineRule="auto"/>
        <w:tabs>
          <w:tab w:leader="none" w:pos="117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deposit with the Paying Agent an amount equal to the Change of Control Payment in respect of all Securities or portions of Securities properly tendered; and</w:t>
      </w:r>
    </w:p>
    <w:p>
      <w:pPr>
        <w:spacing w:after="0" w:line="157" w:lineRule="exact"/>
        <w:rPr>
          <w:rFonts w:ascii="Times New Roman" w:cs="Times New Roman" w:eastAsia="Times New Roman" w:hAnsi="Times New Roman"/>
          <w:sz w:val="18"/>
          <w:szCs w:val="18"/>
          <w:color w:val="auto"/>
        </w:rPr>
      </w:pPr>
    </w:p>
    <w:p>
      <w:pPr>
        <w:ind w:left="1500" w:right="219" w:hanging="643"/>
        <w:spacing w:after="0" w:line="257" w:lineRule="auto"/>
        <w:tabs>
          <w:tab w:leader="none" w:pos="117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deliver or cause to be delivered to the Trustee the Securities properly accepted together with an Officers’ Certificate stating the aggregate principal amount of Securities or portions of Securities being repurchased.</w:t>
      </w:r>
    </w:p>
    <w:p>
      <w:pPr>
        <w:spacing w:after="0" w:line="173" w:lineRule="exact"/>
        <w:rPr>
          <w:sz w:val="20"/>
          <w:szCs w:val="20"/>
          <w:color w:val="auto"/>
        </w:rPr>
      </w:pPr>
    </w:p>
    <w:p>
      <w:pPr>
        <w:jc w:val="both"/>
        <w:ind w:left="200" w:right="219" w:firstLine="648"/>
        <w:spacing w:after="0" w:line="267" w:lineRule="auto"/>
        <w:rPr>
          <w:sz w:val="20"/>
          <w:szCs w:val="20"/>
          <w:color w:val="auto"/>
        </w:rPr>
      </w:pPr>
      <w:r>
        <w:rPr>
          <w:rFonts w:ascii="Times New Roman" w:cs="Times New Roman" w:eastAsia="Times New Roman" w:hAnsi="Times New Roman"/>
          <w:sz w:val="22"/>
          <w:szCs w:val="22"/>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90" w:lineRule="exact"/>
        <w:rPr>
          <w:sz w:val="20"/>
          <w:szCs w:val="20"/>
          <w:color w:val="auto"/>
        </w:rPr>
      </w:pPr>
    </w:p>
    <w:p>
      <w:pPr>
        <w:jc w:val="both"/>
        <w:ind w:left="200" w:right="219" w:firstLine="648"/>
        <w:spacing w:after="0" w:line="265" w:lineRule="auto"/>
        <w:rPr>
          <w:sz w:val="20"/>
          <w:szCs w:val="20"/>
          <w:color w:val="auto"/>
        </w:rPr>
      </w:pPr>
      <w:r>
        <w:rPr>
          <w:rFonts w:ascii="Times New Roman" w:cs="Times New Roman" w:eastAsia="Times New Roman" w:hAnsi="Times New Roman"/>
          <w:sz w:val="22"/>
          <w:szCs w:val="22"/>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82" w:lineRule="exact"/>
        <w:rPr>
          <w:sz w:val="20"/>
          <w:szCs w:val="20"/>
          <w:color w:val="auto"/>
        </w:rPr>
      </w:pPr>
    </w:p>
    <w:p>
      <w:pPr>
        <w:jc w:val="both"/>
        <w:ind w:left="200" w:right="219" w:firstLine="648"/>
        <w:spacing w:after="0" w:line="296" w:lineRule="auto"/>
        <w:rPr>
          <w:sz w:val="20"/>
          <w:szCs w:val="20"/>
          <w:color w:val="auto"/>
        </w:rPr>
      </w:pPr>
      <w:r>
        <w:rPr>
          <w:rFonts w:ascii="Times New Roman" w:cs="Times New Roman" w:eastAsia="Times New Roman" w:hAnsi="Times New Roman"/>
          <w:sz w:val="22"/>
          <w:szCs w:val="22"/>
          <w:color w:val="auto"/>
        </w:rPr>
        <w:t>For purposes of the Change of Control Offer provisions of the Securities, the following terms are applicable:</w:t>
      </w:r>
    </w:p>
    <w:p>
      <w:pPr>
        <w:spacing w:after="0" w:line="145" w:lineRule="exact"/>
        <w:rPr>
          <w:sz w:val="20"/>
          <w:szCs w:val="20"/>
          <w:color w:val="auto"/>
        </w:rPr>
      </w:pPr>
    </w:p>
    <w:p>
      <w:pPr>
        <w:jc w:val="both"/>
        <w:ind w:left="200" w:right="219" w:firstLine="667"/>
        <w:spacing w:after="0" w:line="272" w:lineRule="auto"/>
        <w:rPr>
          <w:sz w:val="20"/>
          <w:szCs w:val="20"/>
          <w:color w:val="auto"/>
        </w:rPr>
      </w:pPr>
      <w:r>
        <w:rPr>
          <w:rFonts w:ascii="Times New Roman" w:cs="Times New Roman" w:eastAsia="Times New Roman" w:hAnsi="Times New Roman"/>
          <w:sz w:val="21"/>
          <w:szCs w:val="21"/>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516890</wp:posOffset>
            </wp:positionV>
            <wp:extent cx="545211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55" w:name="page56"/>
    <w:bookmarkEnd w:id="55"/>
    <w:p>
      <w:pPr>
        <w:jc w:val="both"/>
        <w:ind w:left="200" w:right="219"/>
        <w:spacing w:after="0" w:line="245" w:lineRule="auto"/>
        <w:rPr>
          <w:sz w:val="20"/>
          <w:szCs w:val="20"/>
          <w:color w:val="auto"/>
        </w:rPr>
      </w:pPr>
      <w:r>
        <w:rPr>
          <w:rFonts w:ascii="Times New Roman" w:cs="Times New Roman" w:eastAsia="Times New Roman" w:hAnsi="Times New Roman"/>
          <w:sz w:val="22"/>
          <w:szCs w:val="22"/>
          <w:color w:val="auto"/>
        </w:rPr>
        <w:t>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190" w:lineRule="exact"/>
        <w:rPr>
          <w:sz w:val="20"/>
          <w:szCs w:val="20"/>
          <w:color w:val="auto"/>
        </w:rPr>
      </w:pPr>
    </w:p>
    <w:p>
      <w:pPr>
        <w:jc w:val="both"/>
        <w:ind w:left="200" w:right="219" w:firstLine="667"/>
        <w:spacing w:after="0" w:line="248" w:lineRule="auto"/>
        <w:rPr>
          <w:sz w:val="20"/>
          <w:szCs w:val="20"/>
          <w:color w:val="auto"/>
        </w:rPr>
      </w:pPr>
      <w:r>
        <w:rPr>
          <w:rFonts w:ascii="Times New Roman" w:cs="Times New Roman" w:eastAsia="Times New Roman" w:hAnsi="Times New Roman"/>
          <w:sz w:val="22"/>
          <w:szCs w:val="22"/>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85" w:lineRule="exact"/>
        <w:rPr>
          <w:sz w:val="20"/>
          <w:szCs w:val="20"/>
          <w:color w:val="auto"/>
        </w:rPr>
      </w:pPr>
    </w:p>
    <w:p>
      <w:pPr>
        <w:jc w:val="both"/>
        <w:ind w:left="200" w:right="239" w:firstLine="667"/>
        <w:spacing w:after="0" w:line="271" w:lineRule="auto"/>
        <w:rPr>
          <w:sz w:val="20"/>
          <w:szCs w:val="20"/>
          <w:color w:val="auto"/>
        </w:rPr>
      </w:pPr>
      <w:r>
        <w:rPr>
          <w:rFonts w:ascii="Times New Roman" w:cs="Times New Roman" w:eastAsia="Times New Roman" w:hAnsi="Times New Roman"/>
          <w:sz w:val="22"/>
          <w:szCs w:val="22"/>
          <w:color w:val="auto"/>
        </w:rPr>
        <w:t>“Change of Control Triggering Event” means the occurrence of both a Change of Control and a Rating Event.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“Fitch” means Fitch Inc. and its successors.</w:t>
      </w:r>
    </w:p>
    <w:p>
      <w:pPr>
        <w:spacing w:after="0" w:line="220" w:lineRule="exact"/>
        <w:rPr>
          <w:sz w:val="20"/>
          <w:szCs w:val="20"/>
          <w:color w:val="auto"/>
        </w:rPr>
      </w:pPr>
    </w:p>
    <w:p>
      <w:pPr>
        <w:jc w:val="both"/>
        <w:ind w:left="200" w:right="219" w:firstLine="667"/>
        <w:spacing w:after="0" w:line="252" w:lineRule="auto"/>
        <w:rPr>
          <w:sz w:val="20"/>
          <w:szCs w:val="20"/>
          <w:color w:val="auto"/>
        </w:rPr>
      </w:pPr>
      <w:r>
        <w:rPr>
          <w:rFonts w:ascii="Times New Roman" w:cs="Times New Roman" w:eastAsia="Times New Roman" w:hAnsi="Times New Roman"/>
          <w:sz w:val="22"/>
          <w:szCs w:val="22"/>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“Moody’s” means Moody’s Investors Service, Inc. and its successors.</w:t>
      </w:r>
    </w:p>
    <w:p>
      <w:pPr>
        <w:spacing w:after="0" w:line="220" w:lineRule="exact"/>
        <w:rPr>
          <w:sz w:val="20"/>
          <w:szCs w:val="20"/>
          <w:color w:val="auto"/>
        </w:rPr>
      </w:pPr>
    </w:p>
    <w:p>
      <w:pPr>
        <w:jc w:val="both"/>
        <w:ind w:left="200" w:right="219" w:firstLine="667"/>
        <w:spacing w:after="0" w:line="248" w:lineRule="auto"/>
        <w:rPr>
          <w:sz w:val="20"/>
          <w:szCs w:val="20"/>
          <w:color w:val="auto"/>
        </w:rPr>
      </w:pPr>
      <w:r>
        <w:rPr>
          <w:rFonts w:ascii="Times New Roman" w:cs="Times New Roman" w:eastAsia="Times New Roman" w:hAnsi="Times New Roman"/>
          <w:sz w:val="22"/>
          <w:szCs w:val="22"/>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the Board of Directors of the Company) as a replacement agency for Fitch, Moody’s or S&amp;P, or all of them, as the case may be.</w:t>
      </w:r>
    </w:p>
    <w:p>
      <w:pPr>
        <w:spacing w:after="0" w:line="187" w:lineRule="exact"/>
        <w:rPr>
          <w:sz w:val="20"/>
          <w:szCs w:val="20"/>
          <w:color w:val="auto"/>
        </w:rPr>
      </w:pPr>
    </w:p>
    <w:p>
      <w:pPr>
        <w:jc w:val="both"/>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“Rating Event” means the rating on the Securities is lowered by at least two of the three Rating Agencies and the Securities are rated below an Investment Grade Rating by at least two of</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516890</wp:posOffset>
            </wp:positionV>
            <wp:extent cx="545211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56" w:name="page57"/>
    <w:bookmarkEnd w:id="56"/>
    <w:p>
      <w:pPr>
        <w:jc w:val="both"/>
        <w:ind w:left="200" w:right="219"/>
        <w:spacing w:after="0" w:line="250" w:lineRule="auto"/>
        <w:rPr>
          <w:sz w:val="20"/>
          <w:szCs w:val="20"/>
          <w:color w:val="auto"/>
        </w:rPr>
      </w:pPr>
      <w:r>
        <w:rPr>
          <w:rFonts w:ascii="Times New Roman" w:cs="Times New Roman" w:eastAsia="Times New Roman" w:hAnsi="Times New Roman"/>
          <w:sz w:val="22"/>
          <w:szCs w:val="22"/>
          <w:color w:val="auto"/>
        </w:rPr>
        <w:t>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1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“S&amp;P” means S&amp;P Global Ratings, a division of S&amp;P Global Inc., and its successors.</w:t>
      </w:r>
    </w:p>
    <w:p>
      <w:pPr>
        <w:spacing w:after="0" w:line="220"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2"/>
          <w:szCs w:val="22"/>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69" w:lineRule="exact"/>
        <w:rPr>
          <w:sz w:val="20"/>
          <w:szCs w:val="20"/>
          <w:color w:val="auto"/>
        </w:rPr>
      </w:pPr>
    </w:p>
    <w:p>
      <w:pPr>
        <w:ind w:left="1500" w:hanging="643"/>
        <w:spacing w:after="0"/>
        <w:tabs>
          <w:tab w:leader="none" w:pos="15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Denominations; Transfer; Exchange.</w:t>
      </w:r>
    </w:p>
    <w:p>
      <w:pPr>
        <w:spacing w:after="0" w:line="251" w:lineRule="exact"/>
        <w:rPr>
          <w:sz w:val="20"/>
          <w:szCs w:val="20"/>
          <w:color w:val="auto"/>
        </w:rPr>
      </w:pPr>
    </w:p>
    <w:p>
      <w:pPr>
        <w:jc w:val="both"/>
        <w:ind w:left="200" w:right="219" w:firstLine="667"/>
        <w:spacing w:after="0" w:line="248" w:lineRule="auto"/>
        <w:rPr>
          <w:sz w:val="20"/>
          <w:szCs w:val="20"/>
          <w:color w:val="auto"/>
        </w:rPr>
      </w:pPr>
      <w:r>
        <w:rPr>
          <w:rFonts w:ascii="Times New Roman" w:cs="Times New Roman" w:eastAsia="Times New Roman" w:hAnsi="Times New Roman"/>
          <w:sz w:val="22"/>
          <w:szCs w:val="22"/>
          <w:color w:val="auto"/>
        </w:rPr>
        <w:t>The Securities are issued in registered form, without coupons, in a minimum denomination of $2,000 and integral multiples of $1,000 in excess thereof. A Holder may register the transfer of, or exchange, Securities in accordance with the Indenture and the Officers’ Certificate. The Securities Registrar may require a Holder, among other things, to furnish appropriate endorsements and transfer documents and to pay any taxes and fees required by law or permitted by the Indenture.</w:t>
      </w:r>
    </w:p>
    <w:p>
      <w:pPr>
        <w:spacing w:after="0" w:line="183" w:lineRule="exact"/>
        <w:rPr>
          <w:sz w:val="20"/>
          <w:szCs w:val="20"/>
          <w:color w:val="auto"/>
        </w:rPr>
      </w:pPr>
    </w:p>
    <w:p>
      <w:pPr>
        <w:ind w:left="1500" w:hanging="643"/>
        <w:spacing w:after="0"/>
        <w:tabs>
          <w:tab w:leader="none" w:pos="15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Person Deemed Owners.</w:t>
      </w:r>
    </w:p>
    <w:p>
      <w:pPr>
        <w:spacing w:after="0" w:line="2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The registered Holder of a Security may be treated as the owner of it for all purposes.</w:t>
      </w:r>
    </w:p>
    <w:p>
      <w:pPr>
        <w:spacing w:after="0" w:line="216" w:lineRule="exact"/>
        <w:rPr>
          <w:sz w:val="20"/>
          <w:szCs w:val="20"/>
          <w:color w:val="auto"/>
        </w:rPr>
      </w:pPr>
    </w:p>
    <w:p>
      <w:pPr>
        <w:ind w:left="1500" w:hanging="643"/>
        <w:spacing w:after="0"/>
        <w:tabs>
          <w:tab w:leader="none" w:pos="15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 Supplement; Waiver.</w:t>
      </w:r>
    </w:p>
    <w:p>
      <w:pPr>
        <w:spacing w:after="0" w:line="251" w:lineRule="exact"/>
        <w:rPr>
          <w:sz w:val="20"/>
          <w:szCs w:val="20"/>
          <w:color w:val="auto"/>
        </w:rPr>
      </w:pPr>
    </w:p>
    <w:p>
      <w:pPr>
        <w:jc w:val="both"/>
        <w:ind w:left="200" w:right="219" w:firstLine="667"/>
        <w:spacing w:after="0" w:line="246" w:lineRule="auto"/>
        <w:rPr>
          <w:sz w:val="20"/>
          <w:szCs w:val="20"/>
          <w:color w:val="auto"/>
        </w:rPr>
      </w:pPr>
      <w:r>
        <w:rPr>
          <w:rFonts w:ascii="Times New Roman" w:cs="Times New Roman" w:eastAsia="Times New Roman" w:hAnsi="Times New Roman"/>
          <w:sz w:val="22"/>
          <w:szCs w:val="22"/>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81" w:lineRule="exact"/>
        <w:rPr>
          <w:sz w:val="20"/>
          <w:szCs w:val="20"/>
          <w:color w:val="auto"/>
        </w:rPr>
      </w:pPr>
    </w:p>
    <w:p>
      <w:pPr>
        <w:ind w:left="1500" w:hanging="643"/>
        <w:spacing w:after="0"/>
        <w:tabs>
          <w:tab w:leader="none" w:pos="15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Defaults and Remedies.</w:t>
      </w:r>
    </w:p>
    <w:p>
      <w:pPr>
        <w:spacing w:after="0" w:line="251" w:lineRule="exact"/>
        <w:rPr>
          <w:sz w:val="20"/>
          <w:szCs w:val="20"/>
          <w:color w:val="auto"/>
        </w:rPr>
      </w:pPr>
    </w:p>
    <w:p>
      <w:pPr>
        <w:jc w:val="both"/>
        <w:ind w:left="200" w:right="219" w:firstLine="667"/>
        <w:spacing w:after="0" w:line="263" w:lineRule="auto"/>
        <w:rPr>
          <w:sz w:val="20"/>
          <w:szCs w:val="20"/>
          <w:color w:val="auto"/>
        </w:rPr>
      </w:pPr>
      <w:r>
        <w:rPr>
          <w:rFonts w:ascii="Times New Roman" w:cs="Times New Roman" w:eastAsia="Times New Roman" w:hAnsi="Times New Roman"/>
          <w:sz w:val="21"/>
          <w:szCs w:val="21"/>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516890</wp:posOffset>
            </wp:positionV>
            <wp:extent cx="545211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57" w:name="page58"/>
    <w:bookmarkEnd w:id="57"/>
    <w:p>
      <w:pPr>
        <w:jc w:val="both"/>
        <w:ind w:left="200" w:right="219"/>
        <w:spacing w:after="0" w:line="246" w:lineRule="auto"/>
        <w:rPr>
          <w:sz w:val="20"/>
          <w:szCs w:val="20"/>
          <w:color w:val="auto"/>
        </w:rPr>
      </w:pPr>
      <w:r>
        <w:rPr>
          <w:rFonts w:ascii="Times New Roman" w:cs="Times New Roman" w:eastAsia="Times New Roman" w:hAnsi="Times New Roman"/>
          <w:sz w:val="22"/>
          <w:szCs w:val="22"/>
          <w:color w:val="auto"/>
        </w:rPr>
        <w:t>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w:t>
      </w:r>
    </w:p>
    <w:p>
      <w:pPr>
        <w:spacing w:after="0" w:line="4" w:lineRule="exact"/>
        <w:rPr>
          <w:sz w:val="20"/>
          <w:szCs w:val="20"/>
          <w:color w:val="auto"/>
        </w:rPr>
      </w:pPr>
    </w:p>
    <w:p>
      <w:pPr>
        <w:jc w:val="both"/>
        <w:ind w:left="200" w:right="219" w:firstLine="9"/>
        <w:spacing w:after="0" w:line="245" w:lineRule="auto"/>
        <w:tabs>
          <w:tab w:leader="none" w:pos="61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184"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Trustee Dealings with Company.</w:t>
      </w:r>
    </w:p>
    <w:p>
      <w:pPr>
        <w:spacing w:after="0" w:line="237" w:lineRule="exact"/>
        <w:rPr>
          <w:sz w:val="20"/>
          <w:szCs w:val="20"/>
          <w:color w:val="auto"/>
        </w:rPr>
      </w:pPr>
    </w:p>
    <w:p>
      <w:pPr>
        <w:jc w:val="both"/>
        <w:ind w:left="200" w:right="219" w:firstLine="667"/>
        <w:spacing w:after="0" w:line="252" w:lineRule="auto"/>
        <w:rPr>
          <w:sz w:val="20"/>
          <w:szCs w:val="20"/>
          <w:color w:val="auto"/>
        </w:rPr>
      </w:pPr>
      <w:r>
        <w:rPr>
          <w:rFonts w:ascii="Times New Roman" w:cs="Times New Roman" w:eastAsia="Times New Roman" w:hAnsi="Times New Roman"/>
          <w:sz w:val="22"/>
          <w:szCs w:val="22"/>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75" w:lineRule="exact"/>
        <w:rPr>
          <w:sz w:val="20"/>
          <w:szCs w:val="20"/>
          <w:color w:val="auto"/>
        </w:rPr>
      </w:pPr>
    </w:p>
    <w:p>
      <w:pPr>
        <w:ind w:left="1500" w:hanging="643"/>
        <w:spacing w:after="0"/>
        <w:tabs>
          <w:tab w:leader="none" w:pos="15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Authentication.</w:t>
      </w:r>
    </w:p>
    <w:p>
      <w:pPr>
        <w:spacing w:after="0" w:line="251" w:lineRule="exact"/>
        <w:rPr>
          <w:sz w:val="20"/>
          <w:szCs w:val="20"/>
          <w:color w:val="auto"/>
        </w:rPr>
      </w:pPr>
    </w:p>
    <w:p>
      <w:pPr>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This Security shall not be valid until the Trustee or authenticating agent signs the certificate of authentication on the other side of this Security.</w:t>
      </w:r>
    </w:p>
    <w:p>
      <w:pPr>
        <w:spacing w:after="0" w:line="154" w:lineRule="exact"/>
        <w:rPr>
          <w:sz w:val="20"/>
          <w:szCs w:val="20"/>
          <w:color w:val="auto"/>
        </w:rPr>
      </w:pPr>
    </w:p>
    <w:p>
      <w:pPr>
        <w:ind w:left="1500" w:hanging="643"/>
        <w:spacing w:after="0"/>
        <w:tabs>
          <w:tab w:leader="none" w:pos="15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Abbreviations and Defined Terms.</w:t>
      </w:r>
    </w:p>
    <w:p>
      <w:pPr>
        <w:spacing w:after="0" w:line="237" w:lineRule="exact"/>
        <w:rPr>
          <w:sz w:val="20"/>
          <w:szCs w:val="20"/>
          <w:color w:val="auto"/>
        </w:rPr>
      </w:pPr>
    </w:p>
    <w:p>
      <w:pPr>
        <w:jc w:val="both"/>
        <w:ind w:left="200" w:right="219" w:firstLine="667"/>
        <w:spacing w:after="0" w:line="252" w:lineRule="auto"/>
        <w:rPr>
          <w:sz w:val="20"/>
          <w:szCs w:val="20"/>
          <w:color w:val="auto"/>
        </w:rPr>
      </w:pPr>
      <w:r>
        <w:rPr>
          <w:rFonts w:ascii="Times New Roman" w:cs="Times New Roman" w:eastAsia="Times New Roman" w:hAnsi="Times New Roman"/>
          <w:sz w:val="22"/>
          <w:szCs w:val="22"/>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75" w:lineRule="exact"/>
        <w:rPr>
          <w:sz w:val="20"/>
          <w:szCs w:val="20"/>
          <w:color w:val="auto"/>
        </w:rPr>
      </w:pPr>
    </w:p>
    <w:p>
      <w:pPr>
        <w:ind w:left="1500" w:hanging="643"/>
        <w:spacing w:after="0"/>
        <w:tabs>
          <w:tab w:leader="none" w:pos="15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CUSIP Numbers.</w:t>
      </w:r>
    </w:p>
    <w:p>
      <w:pPr>
        <w:spacing w:after="0" w:line="251" w:lineRule="exact"/>
        <w:rPr>
          <w:sz w:val="20"/>
          <w:szCs w:val="20"/>
          <w:color w:val="auto"/>
        </w:rPr>
      </w:pPr>
    </w:p>
    <w:p>
      <w:pPr>
        <w:jc w:val="both"/>
        <w:ind w:left="200" w:right="219" w:firstLine="667"/>
        <w:spacing w:after="0" w:line="250" w:lineRule="auto"/>
        <w:rPr>
          <w:sz w:val="20"/>
          <w:szCs w:val="20"/>
          <w:color w:val="auto"/>
        </w:rPr>
      </w:pPr>
      <w:r>
        <w:rPr>
          <w:rFonts w:ascii="Times New Roman" w:cs="Times New Roman" w:eastAsia="Times New Roman" w:hAnsi="Times New Roman"/>
          <w:sz w:val="22"/>
          <w:szCs w:val="22"/>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516890</wp:posOffset>
            </wp:positionV>
            <wp:extent cx="545211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58" w:name="page59"/>
    <w:bookmarkEnd w:id="58"/>
    <w:p>
      <w:pPr>
        <w:ind w:left="1500" w:hanging="643"/>
        <w:spacing w:after="0"/>
        <w:tabs>
          <w:tab w:leader="none" w:pos="15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Absolute Obligation.</w:t>
      </w:r>
    </w:p>
    <w:p>
      <w:pPr>
        <w:spacing w:after="0" w:line="237" w:lineRule="exact"/>
        <w:rPr>
          <w:sz w:val="20"/>
          <w:szCs w:val="20"/>
          <w:color w:val="auto"/>
        </w:rPr>
      </w:pPr>
    </w:p>
    <w:p>
      <w:pPr>
        <w:jc w:val="both"/>
        <w:ind w:left="200" w:right="219" w:firstLine="667"/>
        <w:spacing w:after="0" w:line="256" w:lineRule="auto"/>
        <w:rPr>
          <w:sz w:val="20"/>
          <w:szCs w:val="20"/>
          <w:color w:val="auto"/>
        </w:rPr>
      </w:pPr>
      <w:r>
        <w:rPr>
          <w:rFonts w:ascii="Times New Roman" w:cs="Times New Roman" w:eastAsia="Times New Roman" w:hAnsi="Times New Roman"/>
          <w:sz w:val="22"/>
          <w:szCs w:val="22"/>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172" w:lineRule="exact"/>
        <w:rPr>
          <w:sz w:val="20"/>
          <w:szCs w:val="20"/>
          <w:color w:val="auto"/>
        </w:rPr>
      </w:pPr>
    </w:p>
    <w:p>
      <w:pPr>
        <w:ind w:left="1500" w:hanging="643"/>
        <w:spacing w:after="0"/>
        <w:tabs>
          <w:tab w:leader="none" w:pos="15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Recourse.</w:t>
      </w:r>
    </w:p>
    <w:p>
      <w:pPr>
        <w:spacing w:after="0" w:line="237" w:lineRule="exact"/>
        <w:rPr>
          <w:sz w:val="20"/>
          <w:szCs w:val="20"/>
          <w:color w:val="auto"/>
        </w:rPr>
      </w:pPr>
    </w:p>
    <w:p>
      <w:pPr>
        <w:jc w:val="both"/>
        <w:ind w:left="200" w:right="219" w:firstLine="667"/>
        <w:spacing w:after="0" w:line="247" w:lineRule="auto"/>
        <w:rPr>
          <w:sz w:val="20"/>
          <w:szCs w:val="20"/>
          <w:color w:val="auto"/>
        </w:rPr>
      </w:pPr>
      <w:r>
        <w:rPr>
          <w:rFonts w:ascii="Times New Roman" w:cs="Times New Roman" w:eastAsia="Times New Roman" w:hAnsi="Times New Roman"/>
          <w:sz w:val="22"/>
          <w:szCs w:val="22"/>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81" w:lineRule="exact"/>
        <w:rPr>
          <w:sz w:val="20"/>
          <w:szCs w:val="20"/>
          <w:color w:val="auto"/>
        </w:rPr>
      </w:pPr>
    </w:p>
    <w:p>
      <w:pPr>
        <w:ind w:left="1500" w:hanging="643"/>
        <w:spacing w:after="0"/>
        <w:tabs>
          <w:tab w:leader="none" w:pos="15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Governing Law.</w:t>
      </w:r>
    </w:p>
    <w:p>
      <w:pPr>
        <w:spacing w:after="0" w:line="251" w:lineRule="exact"/>
        <w:rPr>
          <w:sz w:val="20"/>
          <w:szCs w:val="20"/>
          <w:color w:val="auto"/>
        </w:rPr>
      </w:pPr>
    </w:p>
    <w:p>
      <w:pPr>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This Security shall be construed in accordance with and governed by the laws of the State of New York.</w:t>
      </w:r>
    </w:p>
    <w:p>
      <w:pPr>
        <w:spacing w:after="0" w:line="154" w:lineRule="exact"/>
        <w:rPr>
          <w:sz w:val="20"/>
          <w:szCs w:val="20"/>
          <w:color w:val="auto"/>
        </w:rPr>
      </w:pPr>
    </w:p>
    <w:p>
      <w:pPr>
        <w:ind w:left="1500" w:hanging="643"/>
        <w:spacing w:after="0"/>
        <w:tabs>
          <w:tab w:leader="none" w:pos="150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Guarantee.</w:t>
      </w:r>
    </w:p>
    <w:p>
      <w:pPr>
        <w:spacing w:after="0" w:line="237" w:lineRule="exact"/>
        <w:rPr>
          <w:sz w:val="20"/>
          <w:szCs w:val="20"/>
          <w:color w:val="auto"/>
        </w:rPr>
      </w:pPr>
    </w:p>
    <w:p>
      <w:pPr>
        <w:jc w:val="both"/>
        <w:ind w:left="200" w:right="219" w:firstLine="667"/>
        <w:spacing w:after="0" w:line="250" w:lineRule="auto"/>
        <w:rPr>
          <w:sz w:val="20"/>
          <w:szCs w:val="20"/>
          <w:color w:val="auto"/>
        </w:rPr>
      </w:pPr>
      <w:r>
        <w:rPr>
          <w:rFonts w:ascii="Times New Roman" w:cs="Times New Roman" w:eastAsia="Times New Roman" w:hAnsi="Times New Roman"/>
          <w:sz w:val="22"/>
          <w:szCs w:val="22"/>
          <w:color w:val="auto"/>
        </w:rPr>
        <w:t>The Securities will be fully and unconditionally guaranteed on a senior basis by the Company’s wholly owned subsidiary, Waste Management Holdings, Inc., pursuant to the terms and conditions of a Guarantee, dated as of November 8, 2024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76" w:lineRule="exact"/>
        <w:rPr>
          <w:sz w:val="20"/>
          <w:szCs w:val="20"/>
          <w:color w:val="auto"/>
        </w:rPr>
      </w:pPr>
    </w:p>
    <w:p>
      <w:pPr>
        <w:ind w:left="1500" w:hanging="625"/>
        <w:spacing w:after="0"/>
        <w:tabs>
          <w:tab w:leader="none" w:pos="15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Satisfaction and Discharge.</w:t>
      </w:r>
    </w:p>
    <w:p>
      <w:pPr>
        <w:spacing w:after="0" w:line="224" w:lineRule="exact"/>
        <w:rPr>
          <w:sz w:val="20"/>
          <w:szCs w:val="20"/>
          <w:color w:val="auto"/>
        </w:rPr>
      </w:pPr>
    </w:p>
    <w:p>
      <w:pPr>
        <w:jc w:val="both"/>
        <w:ind w:left="200" w:right="219" w:firstLine="667"/>
        <w:spacing w:after="0" w:line="257" w:lineRule="auto"/>
        <w:rPr>
          <w:sz w:val="20"/>
          <w:szCs w:val="20"/>
          <w:color w:val="auto"/>
        </w:rPr>
      </w:pPr>
      <w:r>
        <w:rPr>
          <w:rFonts w:ascii="Times New Roman" w:cs="Times New Roman" w:eastAsia="Times New Roman" w:hAnsi="Times New Roman"/>
          <w:sz w:val="22"/>
          <w:szCs w:val="22"/>
          <w:color w:val="auto"/>
        </w:rPr>
        <w:t>The Securities will be subject to Section 401 of the Indenture; provided, however, that solely with respect to the Securities, Section 401(1)(B) of the Indenture shall be deleted in its entirety and replaced with the following:</w:t>
      </w:r>
    </w:p>
    <w:p>
      <w:pPr>
        <w:spacing w:after="0" w:line="173" w:lineRule="exact"/>
        <w:rPr>
          <w:sz w:val="20"/>
          <w:szCs w:val="20"/>
          <w:color w:val="auto"/>
        </w:rPr>
      </w:pPr>
    </w:p>
    <w:p>
      <w:pPr>
        <w:ind w:left="860" w:right="239" w:firstLine="19"/>
        <w:spacing w:after="0" w:line="271" w:lineRule="auto"/>
        <w:rPr>
          <w:sz w:val="20"/>
          <w:szCs w:val="20"/>
          <w:color w:val="auto"/>
        </w:rPr>
      </w:pPr>
      <w:r>
        <w:rPr>
          <w:rFonts w:ascii="Times New Roman" w:cs="Times New Roman" w:eastAsia="Times New Roman" w:hAnsi="Times New Roman"/>
          <w:sz w:val="22"/>
          <w:szCs w:val="22"/>
          <w:color w:val="auto"/>
        </w:rPr>
        <w:t>“(B) all such Securities and, in the case of (i) or (ii) below, any coupons appertaining thereto not theretofore delivered to the Trustee for cancellation:</w:t>
      </w:r>
    </w:p>
    <w:p>
      <w:pPr>
        <w:spacing w:after="0" w:line="158" w:lineRule="exact"/>
        <w:rPr>
          <w:sz w:val="20"/>
          <w:szCs w:val="20"/>
          <w:color w:val="auto"/>
        </w:rPr>
      </w:pPr>
    </w:p>
    <w:p>
      <w:pPr>
        <w:ind w:left="2800" w:hanging="647"/>
        <w:spacing w:after="0"/>
        <w:tabs>
          <w:tab w:leader="none" w:pos="28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become due and payable, or</w:t>
      </w:r>
    </w:p>
    <w:p>
      <w:pPr>
        <w:spacing w:after="0" w:line="219"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become due and payable at their Stated Maturity within one</w:t>
      </w:r>
    </w:p>
    <w:p>
      <w:pPr>
        <w:spacing w:after="0" w:line="2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year, or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516890</wp:posOffset>
            </wp:positionV>
            <wp:extent cx="545211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9" w:name="page60"/>
    <w:bookmarkEnd w:id="59"/>
    <w:p>
      <w:pPr>
        <w:jc w:val="both"/>
        <w:ind w:left="860" w:right="219" w:firstLine="1293"/>
        <w:spacing w:after="0" w:line="257" w:lineRule="auto"/>
        <w:tabs>
          <w:tab w:leader="none" w:pos="280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to be called for redemption within one year under arrangements satisfactory to the Trustee for the giving of notice of redemption by the Trustee in the name, and at the expense, of the Company;</w:t>
      </w:r>
    </w:p>
    <w:p>
      <w:pPr>
        <w:spacing w:after="0" w:line="173" w:lineRule="exact"/>
        <w:rPr>
          <w:sz w:val="20"/>
          <w:szCs w:val="20"/>
          <w:color w:val="auto"/>
        </w:rPr>
      </w:pPr>
    </w:p>
    <w:p>
      <w:pPr>
        <w:jc w:val="both"/>
        <w:ind w:left="860" w:right="219"/>
        <w:spacing w:after="0" w:line="259" w:lineRule="auto"/>
        <w:rPr>
          <w:sz w:val="20"/>
          <w:szCs w:val="20"/>
          <w:color w:val="auto"/>
        </w:rPr>
      </w:pPr>
      <w:r>
        <w:rPr>
          <w:rFonts w:ascii="Times New Roman" w:cs="Times New Roman" w:eastAsia="Times New Roman" w:hAnsi="Times New Roman"/>
          <w:sz w:val="21"/>
          <w:szCs w:val="21"/>
          <w:color w:val="auto"/>
        </w:rPr>
        <w:t>and the Company, in the case of (i), (ii) or (iii) above, has deposited or caused to be deposited with the Trustee as trust funds, U.S. Legal Tender, U.S. Governmental Obligations or a combination thereof, an amount sufficient to pay and discharge the entire indebtedness on such Securities and coupons not theretofore delivered to the Trustee for cancellation, for principal (and premium, if any) and any interest to the date of such deposit (in the case of Securities which have become due and payable) or to the Stated Maturity or Redemption Date, as the case may be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 For purposes of this section, “U.S. Governmental Obligations” means direct non-callable obligations of, or guaranteed by, the United States of America for the payment of which guarantee or obligations the full faith and credit of the United States is pledged.”</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516890</wp:posOffset>
            </wp:positionV>
            <wp:extent cx="545211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22"/>
          <w:szCs w:val="22"/>
          <w:color w:val="auto"/>
        </w:rPr>
        <w:t>SCHEDULE OF EXCHANGES OF DEFINITIVE SECURITY</w:t>
      </w:r>
    </w:p>
    <w:p>
      <w:pPr>
        <w:spacing w:after="0" w:line="220" w:lineRule="exact"/>
        <w:rPr>
          <w:sz w:val="20"/>
          <w:szCs w:val="20"/>
          <w:color w:val="auto"/>
        </w:rPr>
      </w:pPr>
    </w:p>
    <w:p>
      <w:pPr>
        <w:ind w:left="200" w:right="219" w:firstLine="667"/>
        <w:spacing w:after="0" w:line="271" w:lineRule="auto"/>
        <w:rPr>
          <w:sz w:val="20"/>
          <w:szCs w:val="20"/>
          <w:color w:val="auto"/>
        </w:rPr>
      </w:pPr>
      <w:r>
        <w:rPr>
          <w:rFonts w:ascii="Times New Roman" w:cs="Times New Roman" w:eastAsia="Times New Roman" w:hAnsi="Times New Roman"/>
          <w:sz w:val="22"/>
          <w:szCs w:val="22"/>
          <w:color w:val="auto"/>
        </w:rPr>
        <w:t>The following exchanges of a part of this Book-Entry Security for definitive Securities have been made:</w:t>
      </w: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257"/>
        </w:trPr>
        <w:tc>
          <w:tcPr>
            <w:tcW w:w="1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Principal</w:t>
            </w:r>
          </w:p>
        </w:tc>
        <w:tc>
          <w:tcPr>
            <w:tcW w:w="1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8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8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Amount of this</w:t>
            </w:r>
          </w:p>
        </w:tc>
        <w:tc>
          <w:tcPr>
            <w:tcW w:w="18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Signature of</w:t>
            </w:r>
          </w:p>
        </w:tc>
        <w:tc>
          <w:tcPr>
            <w:tcW w:w="0" w:type="dxa"/>
            <w:vAlign w:val="bottom"/>
          </w:tcPr>
          <w:p>
            <w:pPr>
              <w:spacing w:after="0"/>
              <w:rPr>
                <w:sz w:val="1"/>
                <w:szCs w:val="1"/>
                <w:color w:val="auto"/>
              </w:rPr>
            </w:pPr>
          </w:p>
        </w:tc>
      </w:tr>
      <w:tr>
        <w:trPr>
          <w:trHeight w:val="257"/>
        </w:trPr>
        <w:tc>
          <w:tcPr>
            <w:tcW w:w="1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decrease in</w:t>
            </w:r>
          </w:p>
        </w:tc>
        <w:tc>
          <w:tcPr>
            <w:tcW w:w="18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increase in</w:t>
            </w:r>
          </w:p>
        </w:tc>
        <w:tc>
          <w:tcPr>
            <w:tcW w:w="18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Book-Entry</w:t>
            </w:r>
          </w:p>
        </w:tc>
        <w:tc>
          <w:tcPr>
            <w:tcW w:w="18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authorized</w:t>
            </w:r>
          </w:p>
        </w:tc>
        <w:tc>
          <w:tcPr>
            <w:tcW w:w="0" w:type="dxa"/>
            <w:vAlign w:val="bottom"/>
          </w:tcPr>
          <w:p>
            <w:pPr>
              <w:spacing w:after="0"/>
              <w:rPr>
                <w:sz w:val="1"/>
                <w:szCs w:val="1"/>
                <w:color w:val="auto"/>
              </w:rPr>
            </w:pPr>
          </w:p>
        </w:tc>
      </w:tr>
      <w:tr>
        <w:trPr>
          <w:trHeight w:val="256"/>
        </w:trPr>
        <w:tc>
          <w:tcPr>
            <w:tcW w:w="1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Principal</w:t>
            </w:r>
          </w:p>
        </w:tc>
        <w:tc>
          <w:tcPr>
            <w:tcW w:w="18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Principal</w:t>
            </w:r>
          </w:p>
        </w:tc>
        <w:tc>
          <w:tcPr>
            <w:tcW w:w="18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Security</w:t>
            </w:r>
          </w:p>
        </w:tc>
        <w:tc>
          <w:tcPr>
            <w:tcW w:w="18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officer of</w:t>
            </w:r>
          </w:p>
        </w:tc>
        <w:tc>
          <w:tcPr>
            <w:tcW w:w="0" w:type="dxa"/>
            <w:vAlign w:val="bottom"/>
          </w:tcPr>
          <w:p>
            <w:pPr>
              <w:spacing w:after="0"/>
              <w:rPr>
                <w:sz w:val="1"/>
                <w:szCs w:val="1"/>
                <w:color w:val="auto"/>
              </w:rPr>
            </w:pPr>
          </w:p>
        </w:tc>
      </w:tr>
      <w:tr>
        <w:trPr>
          <w:trHeight w:val="257"/>
        </w:trPr>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8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Amount of this</w:t>
            </w:r>
          </w:p>
        </w:tc>
        <w:tc>
          <w:tcPr>
            <w:tcW w:w="18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Amount of this</w:t>
            </w:r>
          </w:p>
        </w:tc>
        <w:tc>
          <w:tcPr>
            <w:tcW w:w="18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following such</w:t>
            </w:r>
          </w:p>
        </w:tc>
        <w:tc>
          <w:tcPr>
            <w:tcW w:w="18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Trustee or</w:t>
            </w:r>
          </w:p>
        </w:tc>
        <w:tc>
          <w:tcPr>
            <w:tcW w:w="0" w:type="dxa"/>
            <w:vAlign w:val="bottom"/>
          </w:tcPr>
          <w:p>
            <w:pPr>
              <w:spacing w:after="0"/>
              <w:rPr>
                <w:sz w:val="1"/>
                <w:szCs w:val="1"/>
                <w:color w:val="auto"/>
              </w:rPr>
            </w:pPr>
          </w:p>
        </w:tc>
      </w:tr>
      <w:tr>
        <w:trPr>
          <w:trHeight w:val="257"/>
        </w:trPr>
        <w:tc>
          <w:tcPr>
            <w:tcW w:w="158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Book-Entry</w:t>
            </w:r>
          </w:p>
        </w:tc>
        <w:tc>
          <w:tcPr>
            <w:tcW w:w="18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Book-Entry</w:t>
            </w:r>
          </w:p>
        </w:tc>
        <w:tc>
          <w:tcPr>
            <w:tcW w:w="18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decrease (or</w:t>
            </w:r>
          </w:p>
        </w:tc>
        <w:tc>
          <w:tcPr>
            <w:tcW w:w="18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Security</w:t>
            </w:r>
          </w:p>
        </w:tc>
        <w:tc>
          <w:tcPr>
            <w:tcW w:w="0" w:type="dxa"/>
            <w:vAlign w:val="bottom"/>
          </w:tcPr>
          <w:p>
            <w:pPr>
              <w:spacing w:after="0"/>
              <w:rPr>
                <w:sz w:val="1"/>
                <w:szCs w:val="1"/>
                <w:color w:val="auto"/>
              </w:rPr>
            </w:pPr>
          </w:p>
        </w:tc>
      </w:tr>
      <w:tr>
        <w:trPr>
          <w:trHeight w:val="295"/>
        </w:trPr>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Exchange</w:t>
            </w:r>
          </w:p>
        </w:tc>
        <w:tc>
          <w:tcPr>
            <w:tcW w:w="180" w:type="dxa"/>
            <w:vAlign w:val="bottom"/>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Security</w:t>
            </w:r>
          </w:p>
        </w:tc>
        <w:tc>
          <w:tcPr>
            <w:tcW w:w="180" w:type="dxa"/>
            <w:vAlign w:val="bottom"/>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Security</w:t>
            </w:r>
          </w:p>
        </w:tc>
        <w:tc>
          <w:tcPr>
            <w:tcW w:w="180" w:type="dxa"/>
            <w:vAlign w:val="bottom"/>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increase)</w:t>
            </w:r>
          </w:p>
        </w:tc>
        <w:tc>
          <w:tcPr>
            <w:tcW w:w="18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Custodian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516890</wp:posOffset>
            </wp:positionV>
            <wp:extent cx="545211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61" w:name="page62"/>
    <w:bookmarkEnd w:id="61"/>
    <w:p>
      <w:pPr>
        <w:jc w:val="right"/>
        <w:ind w:right="219"/>
        <w:spacing w:after="0"/>
        <w:rPr>
          <w:sz w:val="20"/>
          <w:szCs w:val="20"/>
          <w:color w:val="auto"/>
        </w:rPr>
      </w:pPr>
      <w:r>
        <w:rPr>
          <w:rFonts w:ascii="Times New Roman" w:cs="Times New Roman" w:eastAsia="Times New Roman" w:hAnsi="Times New Roman"/>
          <w:sz w:val="20"/>
          <w:szCs w:val="20"/>
          <w:b w:val="1"/>
          <w:bCs w:val="1"/>
          <w:color w:val="3B3F3D"/>
        </w:rPr>
        <w:t>Exhibit 10.1</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3B3F3D"/>
        </w:rPr>
        <w:t>FIRST AMENDMENT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1221105</wp:posOffset>
            </wp:positionH>
            <wp:positionV relativeFrom="paragraph">
              <wp:posOffset>-8255</wp:posOffset>
            </wp:positionV>
            <wp:extent cx="32785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278505" cy="8890"/>
                    </a:xfrm>
                    <a:prstGeom prst="rect">
                      <a:avLst/>
                    </a:prstGeom>
                    <a:noFill/>
                  </pic:spPr>
                </pic:pic>
              </a:graphicData>
            </a:graphic>
          </wp:anchor>
        </w:drawing>
      </w:r>
    </w:p>
    <w:p>
      <w:pPr>
        <w:spacing w:after="0" w:line="213"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20"/>
          <w:szCs w:val="20"/>
          <w:color w:val="3B3F3D"/>
        </w:rPr>
        <w:t>This First Amendment to the First Amended and Restated Employment Agreement dated December 22, 2017 (“Agreement”) is made and entered into on this May 14, 2025, by and between USA Waste-Management Resources, LLC, (“UWMR”) for itself and on behalf of Waste Management, Inc. (“WMI”) and its subsidiaries and affiliated entities (collectively, “Company”) and John J. Morris (“Executive”). Executive and the Company are referred to individually herein as a “Party” and collectively as the “Parties.”</w:t>
      </w:r>
    </w:p>
    <w:p>
      <w:pPr>
        <w:spacing w:after="0" w:line="188" w:lineRule="exact"/>
        <w:rPr>
          <w:sz w:val="20"/>
          <w:szCs w:val="20"/>
          <w:color w:val="auto"/>
        </w:rPr>
      </w:pPr>
    </w:p>
    <w:p>
      <w:pPr>
        <w:jc w:val="both"/>
        <w:ind w:left="200" w:right="219" w:firstLine="648"/>
        <w:spacing w:after="0" w:line="287" w:lineRule="auto"/>
        <w:rPr>
          <w:sz w:val="20"/>
          <w:szCs w:val="20"/>
          <w:color w:val="auto"/>
        </w:rPr>
      </w:pPr>
      <w:r>
        <w:rPr>
          <w:rFonts w:ascii="Times New Roman" w:cs="Times New Roman" w:eastAsia="Times New Roman" w:hAnsi="Times New Roman"/>
          <w:sz w:val="20"/>
          <w:szCs w:val="20"/>
          <w:b w:val="1"/>
          <w:bCs w:val="1"/>
          <w:color w:val="3B3F3D"/>
        </w:rPr>
        <w:t>WHEREAS</w:t>
      </w:r>
      <w:r>
        <w:rPr>
          <w:rFonts w:ascii="Times New Roman" w:cs="Times New Roman" w:eastAsia="Times New Roman" w:hAnsi="Times New Roman"/>
          <w:sz w:val="20"/>
          <w:szCs w:val="20"/>
          <w:color w:val="3B3F3D"/>
        </w:rPr>
        <w:t>, the Parties hereto desire to amend the Agreement to reflect Executive’s promotion to</w:t>
      </w:r>
      <w:r>
        <w:rPr>
          <w:rFonts w:ascii="Times New Roman" w:cs="Times New Roman" w:eastAsia="Times New Roman" w:hAnsi="Times New Roman"/>
          <w:sz w:val="20"/>
          <w:szCs w:val="20"/>
          <w:b w:val="1"/>
          <w:bCs w:val="1"/>
          <w:color w:val="3B3F3D"/>
        </w:rPr>
        <w:t xml:space="preserve"> </w:t>
      </w:r>
      <w:r>
        <w:rPr>
          <w:rFonts w:ascii="Times New Roman" w:cs="Times New Roman" w:eastAsia="Times New Roman" w:hAnsi="Times New Roman"/>
          <w:sz w:val="20"/>
          <w:szCs w:val="20"/>
          <w:color w:val="3B3F3D"/>
        </w:rPr>
        <w:t>President of the Company;</w:t>
      </w:r>
    </w:p>
    <w:p>
      <w:pPr>
        <w:spacing w:after="0" w:line="138" w:lineRule="exact"/>
        <w:rPr>
          <w:sz w:val="20"/>
          <w:szCs w:val="20"/>
          <w:color w:val="auto"/>
        </w:rPr>
      </w:pPr>
    </w:p>
    <w:p>
      <w:pPr>
        <w:jc w:val="both"/>
        <w:ind w:left="200" w:right="219" w:firstLine="648"/>
        <w:spacing w:after="0" w:line="270" w:lineRule="auto"/>
        <w:rPr>
          <w:sz w:val="20"/>
          <w:szCs w:val="20"/>
          <w:color w:val="auto"/>
        </w:rPr>
      </w:pPr>
      <w:r>
        <w:rPr>
          <w:rFonts w:ascii="Times New Roman" w:cs="Times New Roman" w:eastAsia="Times New Roman" w:hAnsi="Times New Roman"/>
          <w:sz w:val="20"/>
          <w:szCs w:val="20"/>
          <w:b w:val="1"/>
          <w:bCs w:val="1"/>
          <w:color w:val="3B3F3D"/>
        </w:rPr>
        <w:t>WHEREAS</w:t>
      </w:r>
      <w:r>
        <w:rPr>
          <w:rFonts w:ascii="Times New Roman" w:cs="Times New Roman" w:eastAsia="Times New Roman" w:hAnsi="Times New Roman"/>
          <w:sz w:val="20"/>
          <w:szCs w:val="20"/>
          <w:color w:val="3B3F3D"/>
        </w:rPr>
        <w:t>, the Company desires to continue to employee Executive as President, and Executive</w:t>
      </w:r>
      <w:r>
        <w:rPr>
          <w:rFonts w:ascii="Times New Roman" w:cs="Times New Roman" w:eastAsia="Times New Roman" w:hAnsi="Times New Roman"/>
          <w:sz w:val="20"/>
          <w:szCs w:val="20"/>
          <w:b w:val="1"/>
          <w:bCs w:val="1"/>
          <w:color w:val="3B3F3D"/>
        </w:rPr>
        <w:t xml:space="preserve"> </w:t>
      </w:r>
      <w:r>
        <w:rPr>
          <w:rFonts w:ascii="Times New Roman" w:cs="Times New Roman" w:eastAsia="Times New Roman" w:hAnsi="Times New Roman"/>
          <w:sz w:val="20"/>
          <w:szCs w:val="20"/>
          <w:color w:val="3B3F3D"/>
        </w:rPr>
        <w:t>desires to continue to be employed by the Company as President for the revised consideration set forth herein; and</w:t>
      </w:r>
    </w:p>
    <w:p>
      <w:pPr>
        <w:spacing w:after="0" w:line="155" w:lineRule="exact"/>
        <w:rPr>
          <w:sz w:val="20"/>
          <w:szCs w:val="20"/>
          <w:color w:val="auto"/>
        </w:rPr>
      </w:pPr>
    </w:p>
    <w:p>
      <w:pPr>
        <w:jc w:val="both"/>
        <w:ind w:left="200" w:right="219" w:firstLine="648"/>
        <w:spacing w:after="0" w:line="287" w:lineRule="auto"/>
        <w:rPr>
          <w:sz w:val="20"/>
          <w:szCs w:val="20"/>
          <w:color w:val="auto"/>
        </w:rPr>
      </w:pPr>
      <w:r>
        <w:rPr>
          <w:rFonts w:ascii="Times New Roman" w:cs="Times New Roman" w:eastAsia="Times New Roman" w:hAnsi="Times New Roman"/>
          <w:sz w:val="20"/>
          <w:szCs w:val="20"/>
          <w:b w:val="1"/>
          <w:bCs w:val="1"/>
          <w:color w:val="3B3F3D"/>
        </w:rPr>
        <w:t>WHEREAS</w:t>
      </w:r>
      <w:r>
        <w:rPr>
          <w:rFonts w:ascii="Times New Roman" w:cs="Times New Roman" w:eastAsia="Times New Roman" w:hAnsi="Times New Roman"/>
          <w:sz w:val="20"/>
          <w:szCs w:val="20"/>
          <w:color w:val="3B3F3D"/>
        </w:rPr>
        <w:t>, all provisions and terms and conditions of the Agreement not affected by this First</w:t>
      </w:r>
      <w:r>
        <w:rPr>
          <w:rFonts w:ascii="Times New Roman" w:cs="Times New Roman" w:eastAsia="Times New Roman" w:hAnsi="Times New Roman"/>
          <w:sz w:val="20"/>
          <w:szCs w:val="20"/>
          <w:b w:val="1"/>
          <w:bCs w:val="1"/>
          <w:color w:val="3B3F3D"/>
        </w:rPr>
        <w:t xml:space="preserve"> </w:t>
      </w:r>
      <w:r>
        <w:rPr>
          <w:rFonts w:ascii="Times New Roman" w:cs="Times New Roman" w:eastAsia="Times New Roman" w:hAnsi="Times New Roman"/>
          <w:sz w:val="20"/>
          <w:szCs w:val="20"/>
          <w:color w:val="3B3F3D"/>
        </w:rPr>
        <w:t>Amendment remain in effect and fully enforceable by the Parties.</w:t>
      </w:r>
    </w:p>
    <w:p>
      <w:pPr>
        <w:spacing w:after="0" w:line="152" w:lineRule="exact"/>
        <w:rPr>
          <w:sz w:val="20"/>
          <w:szCs w:val="20"/>
          <w:color w:val="auto"/>
        </w:rPr>
      </w:pPr>
    </w:p>
    <w:p>
      <w:pPr>
        <w:jc w:val="both"/>
        <w:ind w:left="200" w:right="239" w:firstLine="648"/>
        <w:spacing w:after="0" w:line="287" w:lineRule="auto"/>
        <w:rPr>
          <w:sz w:val="20"/>
          <w:szCs w:val="20"/>
          <w:color w:val="auto"/>
        </w:rPr>
      </w:pPr>
      <w:r>
        <w:rPr>
          <w:rFonts w:ascii="Times New Roman" w:cs="Times New Roman" w:eastAsia="Times New Roman" w:hAnsi="Times New Roman"/>
          <w:sz w:val="20"/>
          <w:szCs w:val="20"/>
          <w:b w:val="1"/>
          <w:bCs w:val="1"/>
          <w:color w:val="3B3F3D"/>
        </w:rPr>
        <w:t>NOW, THEREFORE</w:t>
      </w:r>
      <w:r>
        <w:rPr>
          <w:rFonts w:ascii="Times New Roman" w:cs="Times New Roman" w:eastAsia="Times New Roman" w:hAnsi="Times New Roman"/>
          <w:sz w:val="20"/>
          <w:szCs w:val="20"/>
          <w:color w:val="3B3F3D"/>
        </w:rPr>
        <w:t>, for and in consideration of the mutual promises, covenants and obligations</w:t>
      </w:r>
      <w:r>
        <w:rPr>
          <w:rFonts w:ascii="Times New Roman" w:cs="Times New Roman" w:eastAsia="Times New Roman" w:hAnsi="Times New Roman"/>
          <w:sz w:val="20"/>
          <w:szCs w:val="20"/>
          <w:b w:val="1"/>
          <w:bCs w:val="1"/>
          <w:color w:val="3B3F3D"/>
        </w:rPr>
        <w:t xml:space="preserve"> </w:t>
      </w:r>
      <w:r>
        <w:rPr>
          <w:rFonts w:ascii="Times New Roman" w:cs="Times New Roman" w:eastAsia="Times New Roman" w:hAnsi="Times New Roman"/>
          <w:sz w:val="20"/>
          <w:szCs w:val="20"/>
          <w:color w:val="3B3F3D"/>
        </w:rPr>
        <w:t>contained herein and, in the Agreement, the Company and Executive agree as follows:</w:t>
      </w:r>
    </w:p>
    <w:p>
      <w:pPr>
        <w:spacing w:after="0" w:line="14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3B3F3D"/>
        </w:rPr>
        <w:t>The following provisions are amended in their entirety and replaced by the following:</w:t>
      </w:r>
    </w:p>
    <w:p>
      <w:pPr>
        <w:spacing w:after="0" w:line="225"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3B3F3D"/>
        </w:rPr>
        <w:t>“3.</w:t>
      </w:r>
      <w:r>
        <w:rPr>
          <w:sz w:val="20"/>
          <w:szCs w:val="20"/>
          <w:color w:val="auto"/>
        </w:rPr>
        <w:tab/>
      </w:r>
      <w:r>
        <w:rPr>
          <w:rFonts w:ascii="Times New Roman" w:cs="Times New Roman" w:eastAsia="Times New Roman" w:hAnsi="Times New Roman"/>
          <w:sz w:val="20"/>
          <w:szCs w:val="20"/>
          <w:b w:val="1"/>
          <w:bCs w:val="1"/>
          <w:color w:val="3B3F3D"/>
        </w:rPr>
        <w:t>Duties and Responsibilities.</w:t>
      </w:r>
    </w:p>
    <w:p>
      <w:pPr>
        <w:spacing w:after="0" w:line="233" w:lineRule="exact"/>
        <w:rPr>
          <w:sz w:val="20"/>
          <w:szCs w:val="20"/>
          <w:color w:val="auto"/>
        </w:rPr>
      </w:pPr>
    </w:p>
    <w:p>
      <w:pPr>
        <w:jc w:val="both"/>
        <w:ind w:left="1820" w:right="219" w:hanging="315"/>
        <w:spacing w:after="0" w:line="252" w:lineRule="auto"/>
        <w:tabs>
          <w:tab w:leader="none" w:pos="1820" w:val="left"/>
        </w:tabs>
        <w:numPr>
          <w:ilvl w:val="1"/>
          <w:numId w:val="52"/>
        </w:numPr>
        <w:rPr>
          <w:rFonts w:ascii="Times New Roman" w:cs="Times New Roman" w:eastAsia="Times New Roman" w:hAnsi="Times New Roman"/>
          <w:sz w:val="20"/>
          <w:szCs w:val="20"/>
          <w:color w:val="3B3F3D"/>
        </w:rPr>
      </w:pPr>
      <w:r>
        <w:rPr>
          <w:rFonts w:ascii="Times New Roman" w:cs="Times New Roman" w:eastAsia="Times New Roman" w:hAnsi="Times New Roman"/>
          <w:sz w:val="20"/>
          <w:szCs w:val="20"/>
          <w:color w:val="3B3F3D"/>
        </w:rPr>
        <w:t>Executive is employed by UWMR, an entity that provides employee services to WMI and to various subsidiaries and affiliated entities pursuant to one or more master services agreements. Executive shall perform such duties and services as may be assigned to Executive pursuant to such master services agreement. Executive’s employment and the Agreement may be transferred or assigned to another subsidiary or affiliated entity of Company. Among other duties and responsibilities that may be assigned, Executive shall serve as WMI’s President. In such capacity, Executive shall perform such duties and have the power, authority and functions consistent with such position.</w:t>
      </w:r>
    </w:p>
    <w:p>
      <w:pPr>
        <w:spacing w:after="0" w:line="185" w:lineRule="exact"/>
        <w:rPr>
          <w:rFonts w:ascii="Times New Roman" w:cs="Times New Roman" w:eastAsia="Times New Roman" w:hAnsi="Times New Roman"/>
          <w:sz w:val="20"/>
          <w:szCs w:val="20"/>
          <w:color w:val="3B3F3D"/>
        </w:rPr>
      </w:pPr>
    </w:p>
    <w:p>
      <w:pPr>
        <w:ind w:left="1500" w:hanging="643"/>
        <w:spacing w:after="0"/>
        <w:tabs>
          <w:tab w:leader="none" w:pos="1500" w:val="left"/>
        </w:tabs>
        <w:numPr>
          <w:ilvl w:val="0"/>
          <w:numId w:val="53"/>
        </w:numPr>
        <w:rPr>
          <w:rFonts w:ascii="Times New Roman" w:cs="Times New Roman" w:eastAsia="Times New Roman" w:hAnsi="Times New Roman"/>
          <w:sz w:val="20"/>
          <w:szCs w:val="20"/>
          <w:color w:val="3B3F3D"/>
        </w:rPr>
      </w:pPr>
      <w:r>
        <w:rPr>
          <w:rFonts w:ascii="Times New Roman" w:cs="Times New Roman" w:eastAsia="Times New Roman" w:hAnsi="Times New Roman"/>
          <w:sz w:val="20"/>
          <w:szCs w:val="20"/>
          <w:b w:val="1"/>
          <w:bCs w:val="1"/>
          <w:color w:val="3B3F3D"/>
        </w:rPr>
        <w:t>Compensation and Benefits.</w:t>
      </w:r>
    </w:p>
    <w:p>
      <w:pPr>
        <w:spacing w:after="0" w:line="215" w:lineRule="exact"/>
        <w:rPr>
          <w:rFonts w:ascii="Times New Roman" w:cs="Times New Roman" w:eastAsia="Times New Roman" w:hAnsi="Times New Roman"/>
          <w:sz w:val="20"/>
          <w:szCs w:val="20"/>
          <w:color w:val="3B3F3D"/>
        </w:rPr>
      </w:pPr>
    </w:p>
    <w:p>
      <w:pPr>
        <w:ind w:left="1820" w:right="219" w:hanging="315"/>
        <w:spacing w:after="0" w:line="256" w:lineRule="auto"/>
        <w:tabs>
          <w:tab w:leader="none" w:pos="1820" w:val="left"/>
        </w:tabs>
        <w:numPr>
          <w:ilvl w:val="1"/>
          <w:numId w:val="53"/>
        </w:numPr>
        <w:rPr>
          <w:rFonts w:ascii="Times New Roman" w:cs="Times New Roman" w:eastAsia="Times New Roman" w:hAnsi="Times New Roman"/>
          <w:sz w:val="20"/>
          <w:szCs w:val="20"/>
          <w:color w:val="3B3F3D"/>
        </w:rPr>
      </w:pPr>
      <w:r>
        <w:rPr>
          <w:rFonts w:ascii="Times New Roman" w:cs="Times New Roman" w:eastAsia="Times New Roman" w:hAnsi="Times New Roman"/>
          <w:sz w:val="20"/>
          <w:szCs w:val="20"/>
          <w:b w:val="1"/>
          <w:bCs w:val="1"/>
          <w:color w:val="3B3F3D"/>
        </w:rPr>
        <w:t xml:space="preserve">Base Salary. </w:t>
      </w:r>
      <w:r>
        <w:rPr>
          <w:rFonts w:ascii="Times New Roman" w:cs="Times New Roman" w:eastAsia="Times New Roman" w:hAnsi="Times New Roman"/>
          <w:sz w:val="20"/>
          <w:szCs w:val="20"/>
          <w:color w:val="3B3F3D"/>
        </w:rPr>
        <w:t>During the Employment Period, the Company shall pay Executive a base</w:t>
      </w:r>
      <w:r>
        <w:rPr>
          <w:rFonts w:ascii="Times New Roman" w:cs="Times New Roman" w:eastAsia="Times New Roman" w:hAnsi="Times New Roman"/>
          <w:sz w:val="20"/>
          <w:szCs w:val="20"/>
          <w:b w:val="1"/>
          <w:bCs w:val="1"/>
          <w:color w:val="3B3F3D"/>
        </w:rPr>
        <w:t xml:space="preserve"> </w:t>
      </w:r>
      <w:r>
        <w:rPr>
          <w:rFonts w:ascii="Times New Roman" w:cs="Times New Roman" w:eastAsia="Times New Roman" w:hAnsi="Times New Roman"/>
          <w:sz w:val="20"/>
          <w:szCs w:val="20"/>
          <w:color w:val="3B3F3D"/>
        </w:rPr>
        <w:t>salary at the annual rate of One Million Dollars ($1,000,000) per year, or such rate as may be determined from time to time by the Management Development and Compensation Committee (“Compensation Committee”) of the Board (“Base Salary”). Such Base Salary shall be paid in accordance with the Company’s standard payroll practice for its executive officers. Base Salary shall not be reduced except by mutual agreement.</w:t>
      </w:r>
    </w:p>
    <w:p>
      <w:pPr>
        <w:spacing w:after="0" w:line="172" w:lineRule="exact"/>
        <w:rPr>
          <w:rFonts w:ascii="Times New Roman" w:cs="Times New Roman" w:eastAsia="Times New Roman" w:hAnsi="Times New Roman"/>
          <w:sz w:val="20"/>
          <w:szCs w:val="20"/>
          <w:color w:val="3B3F3D"/>
        </w:rPr>
      </w:pPr>
    </w:p>
    <w:p>
      <w:pPr>
        <w:ind w:left="1820" w:hanging="315"/>
        <w:spacing w:after="0"/>
        <w:tabs>
          <w:tab w:leader="none" w:pos="1820" w:val="left"/>
        </w:tabs>
        <w:numPr>
          <w:ilvl w:val="1"/>
          <w:numId w:val="53"/>
        </w:numPr>
        <w:rPr>
          <w:rFonts w:ascii="Times New Roman" w:cs="Times New Roman" w:eastAsia="Times New Roman" w:hAnsi="Times New Roman"/>
          <w:sz w:val="20"/>
          <w:szCs w:val="20"/>
          <w:color w:val="3B3F3D"/>
        </w:rPr>
      </w:pPr>
      <w:r>
        <w:rPr>
          <w:rFonts w:ascii="Times New Roman" w:cs="Times New Roman" w:eastAsia="Times New Roman" w:hAnsi="Times New Roman"/>
          <w:sz w:val="20"/>
          <w:szCs w:val="20"/>
          <w:b w:val="1"/>
          <w:bCs w:val="1"/>
          <w:color w:val="3B3F3D"/>
        </w:rPr>
        <w:t xml:space="preserve">Annual Bonus. </w:t>
      </w:r>
      <w:r>
        <w:rPr>
          <w:rFonts w:ascii="Times New Roman" w:cs="Times New Roman" w:eastAsia="Times New Roman" w:hAnsi="Times New Roman"/>
          <w:sz w:val="20"/>
          <w:szCs w:val="20"/>
          <w:color w:val="3B3F3D"/>
        </w:rPr>
        <w:t>During the Employment Period, Executive will be entitled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368300</wp:posOffset>
            </wp:positionV>
            <wp:extent cx="545211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62" w:name="page63"/>
    <w:bookmarkEnd w:id="62"/>
    <w:p>
      <w:pPr>
        <w:jc w:val="both"/>
        <w:ind w:left="1820" w:right="219"/>
        <w:spacing w:after="0" w:line="238" w:lineRule="auto"/>
        <w:rPr>
          <w:sz w:val="20"/>
          <w:szCs w:val="20"/>
          <w:color w:val="auto"/>
        </w:rPr>
      </w:pPr>
      <w:r>
        <w:rPr>
          <w:rFonts w:ascii="Times New Roman" w:cs="Times New Roman" w:eastAsia="Times New Roman" w:hAnsi="Times New Roman"/>
          <w:sz w:val="20"/>
          <w:szCs w:val="20"/>
          <w:color w:val="3B3F3D"/>
        </w:rPr>
        <w:t>participate in an annual incentive compensation plan of the Company, as established by the Compensation Committee from time to time. Executive’s target annual bonus under this Agreement will be One Hundred Twenty Five Percent (125%) of the Base Salary in effect for such year (“Target Bonus”), and the actual annual bonus will be determined based upon the achievement of certain corporate financial and/or performance goals, as may be established and approved from time to time by the Compensation Committee. The annual bonus will be paid no later than March 15</w:t>
      </w:r>
      <w:r>
        <w:rPr>
          <w:rFonts w:ascii="Times New Roman" w:cs="Times New Roman" w:eastAsia="Times New Roman" w:hAnsi="Times New Roman"/>
          <w:sz w:val="29"/>
          <w:szCs w:val="29"/>
          <w:color w:val="3B3F3D"/>
          <w:vertAlign w:val="superscript"/>
        </w:rPr>
        <w:t>th</w:t>
      </w:r>
      <w:r>
        <w:rPr>
          <w:rFonts w:ascii="Times New Roman" w:cs="Times New Roman" w:eastAsia="Times New Roman" w:hAnsi="Times New Roman"/>
          <w:sz w:val="20"/>
          <w:szCs w:val="20"/>
          <w:color w:val="3B3F3D"/>
        </w:rPr>
        <w:t xml:space="preserve"> of the year following the year with respect to which it was earned.</w:t>
      </w:r>
    </w:p>
    <w:p>
      <w:pPr>
        <w:spacing w:after="0" w:line="201" w:lineRule="exact"/>
        <w:rPr>
          <w:sz w:val="20"/>
          <w:szCs w:val="20"/>
          <w:color w:val="auto"/>
        </w:rPr>
      </w:pPr>
    </w:p>
    <w:p>
      <w:pPr>
        <w:jc w:val="both"/>
        <w:ind w:left="1500" w:right="219" w:hanging="643"/>
        <w:spacing w:after="0" w:line="258" w:lineRule="auto"/>
        <w:tabs>
          <w:tab w:leader="none" w:pos="1500" w:val="left"/>
        </w:tabs>
        <w:numPr>
          <w:ilvl w:val="0"/>
          <w:numId w:val="54"/>
        </w:numPr>
        <w:rPr>
          <w:rFonts w:ascii="Times New Roman" w:cs="Times New Roman" w:eastAsia="Times New Roman" w:hAnsi="Times New Roman"/>
          <w:sz w:val="20"/>
          <w:szCs w:val="20"/>
          <w:color w:val="3B3F3D"/>
        </w:rPr>
      </w:pPr>
      <w:r>
        <w:rPr>
          <w:rFonts w:ascii="Times New Roman" w:cs="Times New Roman" w:eastAsia="Times New Roman" w:hAnsi="Times New Roman"/>
          <w:sz w:val="20"/>
          <w:szCs w:val="20"/>
          <w:b w:val="1"/>
          <w:bCs w:val="1"/>
          <w:color w:val="3B3F3D"/>
        </w:rPr>
        <w:t xml:space="preserve">Notices. </w:t>
      </w:r>
      <w:r>
        <w:rPr>
          <w:rFonts w:ascii="Times New Roman" w:cs="Times New Roman" w:eastAsia="Times New Roman" w:hAnsi="Times New Roman"/>
          <w:sz w:val="20"/>
          <w:szCs w:val="20"/>
          <w:color w:val="3B3F3D"/>
        </w:rPr>
        <w:t>Any notice, consent, request, or other communication made or given in</w:t>
      </w:r>
      <w:r>
        <w:rPr>
          <w:rFonts w:ascii="Times New Roman" w:cs="Times New Roman" w:eastAsia="Times New Roman" w:hAnsi="Times New Roman"/>
          <w:sz w:val="20"/>
          <w:szCs w:val="20"/>
          <w:b w:val="1"/>
          <w:bCs w:val="1"/>
          <w:color w:val="3B3F3D"/>
        </w:rPr>
        <w:t xml:space="preserve"> </w:t>
      </w:r>
      <w:r>
        <w:rPr>
          <w:rFonts w:ascii="Times New Roman" w:cs="Times New Roman" w:eastAsia="Times New Roman" w:hAnsi="Times New Roman"/>
          <w:sz w:val="20"/>
          <w:szCs w:val="20"/>
          <w:color w:val="3B3F3D"/>
        </w:rPr>
        <w:t>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ectPr>
          <w:pgSz w:w="11900" w:h="16838" w:orient="portrait"/>
          <w:cols w:equalWidth="0" w:num="1">
            <w:col w:w="9019"/>
          </w:cols>
          <w:pgMar w:left="1440" w:top="118" w:right="1440" w:bottom="1440" w:gutter="0" w:footer="0" w:header="0"/>
        </w:sectPr>
      </w:pPr>
    </w:p>
    <w:p>
      <w:pPr>
        <w:spacing w:after="0" w:line="18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9"/>
          <w:szCs w:val="19"/>
          <w:color w:val="3B3F3D"/>
        </w:rPr>
        <w:t>To the Company: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3B3F3D"/>
        </w:rPr>
        <w:t>USA Waste-Management Resources, LLC</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3B3F3D"/>
        </w:rPr>
        <w:t>800 Capitol Street</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3B3F3D"/>
        </w:rPr>
        <w:t>Suite 3000</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3B3F3D"/>
        </w:rPr>
        <w:t>Houston, Texas 77002</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3B3F3D"/>
        </w:rPr>
        <w:t>Attention: Chief Legal Officer</w:t>
      </w:r>
    </w:p>
    <w:p>
      <w:pPr>
        <w:spacing w:after="0" w:line="200" w:lineRule="exact"/>
        <w:rPr>
          <w:sz w:val="20"/>
          <w:szCs w:val="20"/>
          <w:color w:val="auto"/>
        </w:rPr>
      </w:pPr>
    </w:p>
    <w:p>
      <w:pPr>
        <w:sectPr>
          <w:pgSz w:w="11900" w:h="16838" w:orient="portrait"/>
          <w:cols w:equalWidth="0" w:num="2">
            <w:col w:w="3520" w:space="560"/>
            <w:col w:w="4939"/>
          </w:cols>
          <w:pgMar w:left="1440" w:top="118" w:right="1440" w:bottom="1440" w:gutter="0" w:footer="0" w:header="0"/>
          <w:type w:val="continuous"/>
        </w:sectPr>
      </w:pPr>
    </w:p>
    <w:p>
      <w:pPr>
        <w:spacing w:after="0" w:line="2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9"/>
          <w:szCs w:val="19"/>
          <w:color w:val="3B3F3D"/>
        </w:rPr>
        <w:t>To Executive: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3B3F3D"/>
        </w:rPr>
        <w:t>At the address for Executive on file with the Company.</w:t>
      </w:r>
    </w:p>
    <w:p>
      <w:pPr>
        <w:spacing w:after="0" w:line="200" w:lineRule="exact"/>
        <w:rPr>
          <w:sz w:val="20"/>
          <w:szCs w:val="20"/>
          <w:color w:val="auto"/>
        </w:rPr>
      </w:pPr>
    </w:p>
    <w:p>
      <w:pPr>
        <w:sectPr>
          <w:pgSz w:w="11900" w:h="16838" w:orient="portrait"/>
          <w:cols w:equalWidth="0" w:num="2">
            <w:col w:w="3360" w:space="720"/>
            <w:col w:w="4939"/>
          </w:cols>
          <w:pgMar w:left="1440" w:top="118" w:right="1440" w:bottom="1440" w:gutter="0" w:footer="0" w:header="0"/>
          <w:type w:val="continuous"/>
        </w:sect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i w:val="1"/>
          <w:iCs w:val="1"/>
          <w:color w:val="3B3F3D"/>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666750</wp:posOffset>
            </wp:positionV>
            <wp:extent cx="545211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type w:val="continuous"/>
        </w:sectPr>
      </w:pPr>
    </w:p>
    <w:bookmarkStart w:id="63" w:name="page64"/>
    <w:bookmarkEnd w:id="63"/>
    <w:p>
      <w:pPr>
        <w:ind w:left="200" w:right="1019"/>
        <w:spacing w:after="0" w:line="294" w:lineRule="auto"/>
        <w:rPr>
          <w:sz w:val="20"/>
          <w:szCs w:val="20"/>
          <w:color w:val="auto"/>
        </w:rPr>
      </w:pPr>
      <w:r>
        <w:rPr>
          <w:rFonts w:ascii="Times New Roman" w:cs="Times New Roman" w:eastAsia="Times New Roman" w:hAnsi="Times New Roman"/>
          <w:sz w:val="19"/>
          <w:szCs w:val="19"/>
          <w:color w:val="3B3F3D"/>
        </w:rPr>
        <w:t>IN WITNESS WHEREOF, this First Amendment to the First Amended and Restated Employment Agreement is EXCECUTED as of the date first set forth above and effective as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200" w:type="dxa"/>
        <w:tblCellMar>
          <w:top w:w="0" w:type="dxa"/>
          <w:left w:w="0" w:type="dxa"/>
          <w:bottom w:w="0" w:type="dxa"/>
          <w:right w:w="0" w:type="dxa"/>
        </w:tblCellMar>
      </w:tblPr>
      <w:tr>
        <w:trPr>
          <w:trHeight w:val="286"/>
        </w:trPr>
        <w:tc>
          <w:tcPr>
            <w:tcW w:w="40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EXECUTIVE:</w:t>
            </w:r>
          </w:p>
        </w:tc>
        <w:tc>
          <w:tcPr>
            <w:tcW w:w="45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WASTE-MANAGEMENT RESOURCES, LLC</w:t>
            </w:r>
          </w:p>
        </w:tc>
      </w:tr>
      <w:tr>
        <w:trPr>
          <w:trHeight w:val="675"/>
        </w:trPr>
        <w:tc>
          <w:tcPr>
            <w:tcW w:w="4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 John J. Morris</w:t>
            </w:r>
          </w:p>
        </w:tc>
        <w:tc>
          <w:tcPr>
            <w:tcW w:w="4560" w:type="dxa"/>
            <w:vAlign w:val="bottom"/>
          </w:tcPr>
          <w:p>
            <w:pPr>
              <w:spacing w:after="0"/>
              <w:rPr>
                <w:sz w:val="20"/>
                <w:szCs w:val="20"/>
                <w:color w:val="auto"/>
              </w:rPr>
            </w:pPr>
            <w:r>
              <w:rPr>
                <w:rFonts w:ascii="Times New Roman" w:cs="Times New Roman" w:eastAsia="Times New Roman" w:hAnsi="Times New Roman"/>
                <w:sz w:val="22"/>
                <w:szCs w:val="22"/>
                <w:color w:val="auto"/>
              </w:rPr>
              <w:t>/s/ Courtney A. Tippy</w:t>
            </w:r>
          </w:p>
        </w:tc>
      </w:tr>
      <w:tr>
        <w:trPr>
          <w:trHeight w:val="251"/>
        </w:trPr>
        <w:tc>
          <w:tcPr>
            <w:tcW w:w="20" w:type="dxa"/>
            <w:vAlign w:val="bottom"/>
          </w:tcPr>
          <w:p>
            <w:pPr>
              <w:spacing w:after="0"/>
              <w:rPr>
                <w:sz w:val="21"/>
                <w:szCs w:val="21"/>
                <w:color w:val="auto"/>
              </w:rPr>
            </w:pPr>
          </w:p>
        </w:tc>
        <w:tc>
          <w:tcPr>
            <w:tcW w:w="3280" w:type="dxa"/>
            <w:vAlign w:val="bottom"/>
            <w:tcBorders>
              <w:top w:val="single" w:sz="8" w:color="auto"/>
            </w:tcBorders>
          </w:tcPr>
          <w:p>
            <w:pPr>
              <w:spacing w:after="0" w:line="251" w:lineRule="exact"/>
              <w:rPr>
                <w:sz w:val="20"/>
                <w:szCs w:val="20"/>
                <w:color w:val="auto"/>
              </w:rPr>
            </w:pPr>
            <w:r>
              <w:rPr>
                <w:rFonts w:ascii="Times New Roman" w:cs="Times New Roman" w:eastAsia="Times New Roman" w:hAnsi="Times New Roman"/>
                <w:sz w:val="22"/>
                <w:szCs w:val="22"/>
                <w:color w:val="auto"/>
              </w:rPr>
              <w:t>John J. Morris</w:t>
            </w:r>
          </w:p>
        </w:tc>
        <w:tc>
          <w:tcPr>
            <w:tcW w:w="740" w:type="dxa"/>
            <w:vAlign w:val="bottom"/>
          </w:tcPr>
          <w:p>
            <w:pPr>
              <w:spacing w:after="0"/>
              <w:rPr>
                <w:sz w:val="21"/>
                <w:szCs w:val="21"/>
                <w:color w:val="auto"/>
              </w:rPr>
            </w:pPr>
          </w:p>
        </w:tc>
        <w:tc>
          <w:tcPr>
            <w:tcW w:w="4560" w:type="dxa"/>
            <w:vAlign w:val="bottom"/>
            <w:tcBorders>
              <w:top w:val="single" w:sz="8" w:color="auto"/>
            </w:tcBorders>
          </w:tcPr>
          <w:p>
            <w:pPr>
              <w:spacing w:after="0" w:line="251" w:lineRule="exact"/>
              <w:rPr>
                <w:sz w:val="20"/>
                <w:szCs w:val="20"/>
                <w:color w:val="auto"/>
              </w:rPr>
            </w:pPr>
            <w:r>
              <w:rPr>
                <w:rFonts w:ascii="Times New Roman" w:cs="Times New Roman" w:eastAsia="Times New Roman" w:hAnsi="Times New Roman"/>
                <w:sz w:val="22"/>
                <w:szCs w:val="22"/>
                <w:color w:val="auto"/>
              </w:rPr>
              <w:t>Courtney A. Tippy</w:t>
            </w:r>
          </w:p>
        </w:tc>
      </w:tr>
      <w:tr>
        <w:trPr>
          <w:trHeight w:val="282"/>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22"/>
                <w:szCs w:val="22"/>
                <w:color w:val="auto"/>
              </w:rPr>
              <w:t>Vice President and Secretary</w:t>
            </w:r>
          </w:p>
        </w:tc>
      </w:tr>
      <w:tr>
        <w:trPr>
          <w:trHeight w:val="819"/>
        </w:trPr>
        <w:tc>
          <w:tcPr>
            <w:tcW w:w="20" w:type="dxa"/>
            <w:vAlign w:val="bottom"/>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GUARANTOR SUBSIDIARY</w:t>
      </w:r>
    </w:p>
    <w:p>
      <w:pPr>
        <w:spacing w:after="0" w:line="20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 of June 30, 2025, Waste Management Holdings, Inc. (“WM Holdings”), a Delaware corporation and a direct wholly-owned subsidiary of Waste Management, Inc. (“WMI”), has fully and unconditionally guaranteed all registered Senior Notes issued by WMI, as listed below. Additionally, WMI has fully and unconditionally guaranteed the 7.10% Senior Notes due 2026 issued by WM Holdings.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38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6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380" w:type="dxa"/>
            <w:vAlign w:val="bottom"/>
            <w:gridSpan w:val="3"/>
          </w:tcPr>
          <w:p>
            <w:pPr>
              <w:jc w:val="center"/>
              <w:ind w:right="12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80" w:type="dxa"/>
            <w:vAlign w:val="bottom"/>
            <w:gridSpan w:val="2"/>
            <w:vMerge w:val="continue"/>
          </w:tcPr>
          <w:p>
            <w:pPr>
              <w:spacing w:after="0"/>
              <w:rPr>
                <w:sz w:val="12"/>
                <w:szCs w:val="12"/>
                <w:color w:val="auto"/>
              </w:rPr>
            </w:pPr>
          </w:p>
        </w:tc>
        <w:tc>
          <w:tcPr>
            <w:tcW w:w="18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860" w:type="dxa"/>
            <w:vAlign w:val="bottom"/>
            <w:vMerge w:val="restart"/>
          </w:tcPr>
          <w:p>
            <w:pPr>
              <w:spacing w:after="0"/>
              <w:rPr>
                <w:sz w:val="12"/>
                <w:szCs w:val="12"/>
                <w:color w:val="auto"/>
              </w:rPr>
            </w:pPr>
          </w:p>
        </w:tc>
        <w:tc>
          <w:tcPr>
            <w:tcW w:w="18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73"/>
        </w:trPr>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9"/>
              </w:rPr>
              <w:t>Issued</w:t>
            </w:r>
          </w:p>
        </w:tc>
        <w:tc>
          <w:tcPr>
            <w:tcW w:w="880" w:type="dxa"/>
            <w:vAlign w:val="bottom"/>
            <w:tcBorders>
              <w:bottom w:val="single" w:sz="8" w:color="CCEEFF"/>
            </w:tcBorders>
            <w:gridSpan w:val="2"/>
          </w:tcPr>
          <w:p>
            <w:pPr>
              <w:spacing w:after="0"/>
              <w:rPr>
                <w:sz w:val="15"/>
                <w:szCs w:val="15"/>
                <w:color w:val="auto"/>
              </w:rPr>
            </w:pPr>
          </w:p>
        </w:tc>
        <w:tc>
          <w:tcPr>
            <w:tcW w:w="18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(per annum)</w:t>
            </w:r>
          </w:p>
        </w:tc>
        <w:tc>
          <w:tcPr>
            <w:tcW w:w="88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CCEEFF"/>
            </w:tcBorders>
            <w:vMerge w:val="continue"/>
          </w:tcPr>
          <w:p>
            <w:pPr>
              <w:spacing w:after="0"/>
              <w:rPr>
                <w:sz w:val="15"/>
                <w:szCs w:val="15"/>
                <w:color w:val="auto"/>
              </w:rPr>
            </w:pPr>
          </w:p>
        </w:tc>
        <w:tc>
          <w:tcPr>
            <w:tcW w:w="1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million</w:t>
            </w: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7/17/1998</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7/15/2028</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250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7.375%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1/21/2000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5/15/2029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7.75%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1/3/2003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600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6.125%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11/17/2009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11/30/2039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450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3.90%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2/26/2015</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3/1/2035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4.10%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2/26/2015</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3/1/2045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3.15%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11/8/2017</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11/15/2027</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4.15%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7/15/2049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0.75%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11/15/2025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1.15%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3/15/2028</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3/15/2031</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11/17/2020</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11/15/2050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475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5/12/2021</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6/1/2029</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475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2.95%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5/12/2021</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6/1/2041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4.15%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5/12/2022</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4/15/2032</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4.625%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2/15/2023</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2/15/2030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4.625%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2/15/2023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2/15/2033</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4.875%</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8/3/2023</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2/15/2029</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1.250 billion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4.875%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8/3/2023</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2/15/2034</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4.950%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7/3/2024</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7/3/2027</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4.950%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7/3/2024</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7/3/2031</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1 billion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4.500%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3/15/2028</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700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4.650%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3/15/2030</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750 million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4.800%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3/15/2032</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1.5 billion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4.950%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3/15/2035</w:t>
            </w:r>
          </w:p>
        </w:tc>
        <w:tc>
          <w:tcPr>
            <w:tcW w:w="0" w:type="dxa"/>
            <w:vAlign w:val="bottom"/>
          </w:tcPr>
          <w:p>
            <w:pPr>
              <w:spacing w:after="0"/>
              <w:rPr>
                <w:sz w:val="1"/>
                <w:szCs w:val="1"/>
                <w:color w:val="auto"/>
              </w:rPr>
            </w:pPr>
          </w:p>
        </w:tc>
      </w:tr>
      <w:tr>
        <w:trPr>
          <w:trHeight w:val="216"/>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1.25 billion</w:t>
            </w:r>
          </w:p>
        </w:tc>
        <w:tc>
          <w:tcPr>
            <w:tcW w:w="26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5.350%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11/4/2024</w:t>
            </w:r>
          </w:p>
        </w:tc>
        <w:tc>
          <w:tcPr>
            <w:tcW w:w="8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10/15/2054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484 million*</w:t>
            </w:r>
          </w:p>
        </w:tc>
        <w:tc>
          <w:tcPr>
            <w:tcW w:w="26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3.875%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6/25/2025</w:t>
            </w:r>
          </w:p>
        </w:tc>
        <w:tc>
          <w:tcPr>
            <w:tcW w:w="86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1/15/2029</w:t>
            </w:r>
          </w:p>
        </w:tc>
        <w:tc>
          <w:tcPr>
            <w:tcW w:w="0" w:type="dxa"/>
            <w:vAlign w:val="bottom"/>
          </w:tcPr>
          <w:p>
            <w:pPr>
              <w:spacing w:after="0"/>
              <w:rPr>
                <w:sz w:val="1"/>
                <w:szCs w:val="1"/>
                <w:color w:val="auto"/>
              </w:rPr>
            </w:pPr>
          </w:p>
        </w:tc>
      </w:tr>
      <w:tr>
        <w:trPr>
          <w:trHeight w:val="108"/>
        </w:trPr>
        <w:tc>
          <w:tcPr>
            <w:tcW w:w="3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00" w:hanging="142"/>
        <w:spacing w:after="0" w:line="282" w:lineRule="auto"/>
        <w:tabs>
          <w:tab w:leader="none" w:pos="2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Senior Notes were issued pursuant to an offer to exchange up to $485 million of outstanding unregistered notes previously issued by WMI in a private exchange offer in connection with WMI’s acquisition of Stericycle,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5" w:name="page66"/>
    <w:bookmarkEnd w:id="6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James C. Fish, Jr., certify that:</w:t>
      </w:r>
    </w:p>
    <w:p>
      <w:pPr>
        <w:spacing w:after="0" w:line="158" w:lineRule="exact"/>
        <w:rPr>
          <w:sz w:val="20"/>
          <w:szCs w:val="20"/>
          <w:color w:val="auto"/>
        </w:rPr>
      </w:pPr>
    </w:p>
    <w:p>
      <w:pPr>
        <w:ind w:left="640" w:hanging="266"/>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Waste Management, Inc.;</w:t>
      </w:r>
    </w:p>
    <w:p>
      <w:pPr>
        <w:spacing w:after="0" w:line="157" w:lineRule="exact"/>
        <w:rPr>
          <w:rFonts w:ascii="Times New Roman" w:cs="Times New Roman" w:eastAsia="Times New Roman" w:hAnsi="Times New Roman"/>
          <w:sz w:val="18"/>
          <w:szCs w:val="18"/>
          <w:color w:val="auto"/>
        </w:rPr>
      </w:pPr>
    </w:p>
    <w:p>
      <w:pPr>
        <w:ind w:left="60" w:right="79" w:firstLine="314"/>
        <w:spacing w:after="0" w:line="266" w:lineRule="auto"/>
        <w:tabs>
          <w:tab w:leader="none" w:pos="60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60" w:right="239" w:firstLine="314"/>
        <w:spacing w:after="0" w:line="266" w:lineRule="auto"/>
        <w:tabs>
          <w:tab w:leader="none" w:pos="56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60" w:right="159" w:firstLine="314"/>
        <w:spacing w:after="0" w:line="266" w:lineRule="auto"/>
        <w:tabs>
          <w:tab w:leader="none" w:pos="56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1" w:lineRule="auto"/>
        <w:tabs>
          <w:tab w:leader="none" w:pos="99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380" w:right="299" w:firstLine="318"/>
        <w:spacing w:after="0" w:line="261" w:lineRule="auto"/>
        <w:tabs>
          <w:tab w:leader="none" w:pos="100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jc w:val="both"/>
        <w:ind w:left="380" w:right="219" w:firstLine="318"/>
        <w:spacing w:after="0" w:line="266" w:lineRule="auto"/>
        <w:tabs>
          <w:tab w:leader="none" w:pos="99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1" w:lineRule="auto"/>
        <w:tabs>
          <w:tab w:leader="none" w:pos="100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60" w:right="359" w:firstLine="314"/>
        <w:spacing w:after="0" w:line="266" w:lineRule="auto"/>
        <w:tabs>
          <w:tab w:leader="none" w:pos="60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6" w:lineRule="auto"/>
        <w:tabs>
          <w:tab w:leader="none" w:pos="98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380" w:right="119" w:firstLine="318"/>
        <w:spacing w:after="0" w:line="282" w:lineRule="auto"/>
        <w:tabs>
          <w:tab w:leader="none" w:pos="99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92"/>
              </w:rPr>
              <w:t>By:</w:t>
            </w: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r>
      <w:tr>
        <w:trPr>
          <w:trHeight w:val="189"/>
        </w:trPr>
        <w:tc>
          <w:tcPr>
            <w:tcW w:w="260" w:type="dxa"/>
            <w:vAlign w:val="bottom"/>
          </w:tcPr>
          <w:p>
            <w:pPr>
              <w:spacing w:after="0"/>
              <w:rPr>
                <w:sz w:val="16"/>
                <w:szCs w:val="16"/>
                <w:color w:val="auto"/>
              </w:rPr>
            </w:pPr>
          </w:p>
        </w:tc>
        <w:tc>
          <w:tcPr>
            <w:tcW w:w="4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26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July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6" w:name="page67"/>
    <w:bookmarkEnd w:id="6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Devina A. Rankin, certify that:</w:t>
      </w:r>
    </w:p>
    <w:p>
      <w:pPr>
        <w:spacing w:after="0" w:line="158" w:lineRule="exact"/>
        <w:rPr>
          <w:sz w:val="20"/>
          <w:szCs w:val="20"/>
          <w:color w:val="auto"/>
        </w:rPr>
      </w:pPr>
    </w:p>
    <w:p>
      <w:pPr>
        <w:ind w:left="640" w:hanging="266"/>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Waste Management, Inc.;</w:t>
      </w:r>
    </w:p>
    <w:p>
      <w:pPr>
        <w:spacing w:after="0" w:line="157" w:lineRule="exact"/>
        <w:rPr>
          <w:rFonts w:ascii="Times New Roman" w:cs="Times New Roman" w:eastAsia="Times New Roman" w:hAnsi="Times New Roman"/>
          <w:sz w:val="18"/>
          <w:szCs w:val="18"/>
          <w:color w:val="auto"/>
        </w:rPr>
      </w:pPr>
    </w:p>
    <w:p>
      <w:pPr>
        <w:ind w:left="60" w:right="79" w:firstLine="314"/>
        <w:spacing w:after="0" w:line="266" w:lineRule="auto"/>
        <w:tabs>
          <w:tab w:leader="none" w:pos="60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60" w:right="239" w:firstLine="314"/>
        <w:spacing w:after="0" w:line="266" w:lineRule="auto"/>
        <w:tabs>
          <w:tab w:leader="none" w:pos="5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60" w:right="159" w:firstLine="314"/>
        <w:spacing w:after="0" w:line="266" w:lineRule="auto"/>
        <w:tabs>
          <w:tab w:leader="none" w:pos="56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1" w:lineRule="auto"/>
        <w:tabs>
          <w:tab w:leader="none" w:pos="99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380" w:right="299" w:firstLine="318"/>
        <w:spacing w:after="0" w:line="261" w:lineRule="auto"/>
        <w:tabs>
          <w:tab w:leader="none" w:pos="100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jc w:val="both"/>
        <w:ind w:left="380" w:right="219" w:firstLine="318"/>
        <w:spacing w:after="0" w:line="266" w:lineRule="auto"/>
        <w:tabs>
          <w:tab w:leader="none" w:pos="99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1" w:lineRule="auto"/>
        <w:tabs>
          <w:tab w:leader="none" w:pos="100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60" w:right="359" w:firstLine="314"/>
        <w:spacing w:after="0" w:line="266" w:lineRule="auto"/>
        <w:tabs>
          <w:tab w:leader="none" w:pos="60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380" w:right="99" w:firstLine="318"/>
        <w:spacing w:after="0" w:line="266" w:lineRule="auto"/>
        <w:tabs>
          <w:tab w:leader="none" w:pos="98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380" w:right="119" w:firstLine="318"/>
        <w:spacing w:after="0" w:line="282" w:lineRule="auto"/>
        <w:tabs>
          <w:tab w:leader="none" w:pos="99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tbl>
      <w:tblPr>
        <w:tblLayout w:type="fixed"/>
        <w:tblInd w:w="456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DEVINA A. RANKIN</w:t>
            </w:r>
          </w:p>
        </w:tc>
      </w:tr>
      <w:tr>
        <w:trPr>
          <w:trHeight w:val="189"/>
        </w:trPr>
        <w:tc>
          <w:tcPr>
            <w:tcW w:w="280" w:type="dxa"/>
            <w:vAlign w:val="bottom"/>
          </w:tcPr>
          <w:p>
            <w:pPr>
              <w:spacing w:after="0"/>
              <w:rPr>
                <w:sz w:val="16"/>
                <w:szCs w:val="16"/>
                <w:color w:val="auto"/>
              </w:rPr>
            </w:pPr>
          </w:p>
        </w:tc>
        <w:tc>
          <w:tcPr>
            <w:tcW w:w="4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Devina A. Rankin</w:t>
            </w:r>
          </w:p>
        </w:tc>
      </w:tr>
      <w:tr>
        <w:trPr>
          <w:trHeight w:val="236"/>
        </w:trPr>
        <w:tc>
          <w:tcPr>
            <w:tcW w:w="28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July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651510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7" w:name="page68"/>
    <w:bookmarkEnd w:id="6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Waste Management, Inc. (the “Company”) on Form 10-Q for the period ended June 30, 2025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0" w:lineRule="exact"/>
        <w:rPr>
          <w:sz w:val="20"/>
          <w:szCs w:val="20"/>
          <w:color w:val="auto"/>
        </w:rPr>
      </w:pPr>
    </w:p>
    <w:p>
      <w:pPr>
        <w:ind w:left="380" w:right="239" w:firstLine="318"/>
        <w:spacing w:after="0" w:line="282" w:lineRule="auto"/>
        <w:tabs>
          <w:tab w:leader="none" w:pos="100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380" w:right="319" w:firstLine="318"/>
        <w:spacing w:after="0" w:line="282" w:lineRule="auto"/>
        <w:tabs>
          <w:tab w:leader="none" w:pos="100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r>
      <w:tr>
        <w:trPr>
          <w:trHeight w:val="189"/>
        </w:trPr>
        <w:tc>
          <w:tcPr>
            <w:tcW w:w="320" w:type="dxa"/>
            <w:vAlign w:val="bottom"/>
          </w:tcPr>
          <w:p>
            <w:pPr>
              <w:spacing w:after="0"/>
              <w:rPr>
                <w:sz w:val="16"/>
                <w:szCs w:val="16"/>
                <w:color w:val="auto"/>
              </w:rPr>
            </w:pPr>
          </w:p>
        </w:tc>
        <w:tc>
          <w:tcPr>
            <w:tcW w:w="4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36"/>
        </w:trPr>
        <w:tc>
          <w:tcPr>
            <w:tcW w:w="32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July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651510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8" w:name="page69"/>
    <w:bookmarkEnd w:id="6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Waste Management, Inc. (the “Company”) on Form 10-Q for the period ended June 30, 2025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0" w:lineRule="exact"/>
        <w:rPr>
          <w:sz w:val="20"/>
          <w:szCs w:val="20"/>
          <w:color w:val="auto"/>
        </w:rPr>
      </w:pPr>
    </w:p>
    <w:p>
      <w:pPr>
        <w:ind w:left="380" w:right="239" w:firstLine="318"/>
        <w:spacing w:after="0" w:line="282" w:lineRule="auto"/>
        <w:tabs>
          <w:tab w:leader="none" w:pos="100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380" w:right="59" w:firstLine="318"/>
        <w:spacing w:after="0" w:line="282" w:lineRule="auto"/>
        <w:tabs>
          <w:tab w:leader="none" w:pos="103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18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DEVINA A. RANKIN</w:t>
            </w:r>
          </w:p>
        </w:tc>
      </w:tr>
      <w:tr>
        <w:trPr>
          <w:trHeight w:val="189"/>
        </w:trPr>
        <w:tc>
          <w:tcPr>
            <w:tcW w:w="320" w:type="dxa"/>
            <w:vAlign w:val="bottom"/>
          </w:tcPr>
          <w:p>
            <w:pPr>
              <w:spacing w:after="0"/>
              <w:rPr>
                <w:sz w:val="16"/>
                <w:szCs w:val="16"/>
                <w:color w:val="auto"/>
              </w:rPr>
            </w:pPr>
          </w:p>
        </w:tc>
        <w:tc>
          <w:tcPr>
            <w:tcW w:w="44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Devina A. Rankin</w:t>
            </w:r>
          </w:p>
        </w:tc>
      </w:tr>
      <w:tr>
        <w:trPr>
          <w:trHeight w:val="236"/>
        </w:trPr>
        <w:tc>
          <w:tcPr>
            <w:tcW w:w="320" w:type="dxa"/>
            <w:vAlign w:val="bottom"/>
          </w:tcPr>
          <w:p>
            <w:pPr>
              <w:spacing w:after="0"/>
              <w:rPr>
                <w:sz w:val="20"/>
                <w:szCs w:val="20"/>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July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9" w:name="page70"/>
    <w:bookmarkEnd w:id="6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21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76"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During the quarter ended June 30, 2025,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or (e) an imminent danger order under section 107(a) of the Mine Safety Act or (f) a proposed assessment from the MSHA.</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addition, during the quarter ended June 30, 2025,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decimal"/>
      <w:start w:val="2"/>
    </w:lvl>
  </w:abstractNum>
  <w:abstractNum w:abstractNumId="3">
    <w:nsid w:val="737B8DDC"/>
    <w:multiLevelType w:val="hybridMultilevel"/>
    <w:lvl w:ilvl="0">
      <w:lvlJc w:val="left"/>
      <w:lvlText w:val="%1."/>
      <w:numFmt w:val="decimal"/>
      <w:start w:val="3"/>
    </w:lvl>
  </w:abstractNum>
  <w:abstractNum w:abstractNumId="4">
    <w:nsid w:val="6CEAF087"/>
    <w:multiLevelType w:val="hybridMultilevel"/>
    <w:lvl w:ilvl="0">
      <w:lvlJc w:val="left"/>
      <w:lvlText w:val="(%1)"/>
      <w:numFmt w:val="lowerLetter"/>
      <w:start w:val="1"/>
    </w:lvl>
  </w:abstractNum>
  <w:abstractNum w:abstractNumId="5">
    <w:nsid w:val="22221A70"/>
    <w:multiLevelType w:val="hybridMultilevel"/>
    <w:lvl w:ilvl="0">
      <w:lvlJc w:val="left"/>
      <w:lvlText w:val="%1."/>
      <w:numFmt w:val="decimal"/>
      <w:start w:val="4"/>
    </w:lvl>
  </w:abstractNum>
  <w:abstractNum w:abstractNumId="6">
    <w:nsid w:val="4516DDE9"/>
    <w:multiLevelType w:val="hybridMultilevel"/>
    <w:lvl w:ilvl="0">
      <w:lvlJc w:val="left"/>
      <w:lvlText w:val="%1."/>
      <w:numFmt w:val="decimal"/>
      <w:start w:val="5"/>
    </w:lvl>
  </w:abstractNum>
  <w:abstractNum w:abstractNumId="7">
    <w:nsid w:val="3006C83E"/>
    <w:multiLevelType w:val="hybridMultilevel"/>
    <w:lvl w:ilvl="0">
      <w:lvlJc w:val="left"/>
      <w:lvlText w:val="%1."/>
      <w:numFmt w:val="decimal"/>
      <w:start w:val="6"/>
    </w:lvl>
  </w:abstractNum>
  <w:abstractNum w:abstractNumId="8">
    <w:nsid w:val="614FD4A1"/>
    <w:multiLevelType w:val="hybridMultilevel"/>
    <w:lvl w:ilvl="0">
      <w:lvlJc w:val="left"/>
      <w:lvlText w:val="%1."/>
      <w:numFmt w:val="decimal"/>
      <w:start w:val="7"/>
    </w:lvl>
  </w:abstractNum>
  <w:abstractNum w:abstractNumId="9">
    <w:nsid w:val="419AC241"/>
    <w:multiLevelType w:val="hybridMultilevel"/>
    <w:lvl w:ilvl="0">
      <w:lvlJc w:val="left"/>
      <w:lvlText w:val="(%1)"/>
      <w:numFmt w:val="lowerLetter"/>
      <w:start w:val="1"/>
    </w:lvl>
  </w:abstractNum>
  <w:abstractNum w:abstractNumId="10">
    <w:nsid w:val="5577F8E1"/>
    <w:multiLevelType w:val="hybridMultilevel"/>
    <w:lvl w:ilvl="0">
      <w:lvlJc w:val="left"/>
      <w:lvlText w:val="(%1)"/>
      <w:numFmt w:val="lowerLetter"/>
      <w:start w:val="6"/>
    </w:lvl>
  </w:abstractNum>
  <w:abstractNum w:abstractNumId="11">
    <w:nsid w:val="440BADFC"/>
    <w:multiLevelType w:val="hybridMultilevel"/>
    <w:lvl w:ilvl="0">
      <w:lvlJc w:val="left"/>
      <w:lvlText w:val="(%1)"/>
      <w:numFmt w:val="lowerLetter"/>
      <w:start w:val="1"/>
    </w:lvl>
  </w:abstractNum>
  <w:abstractNum w:abstractNumId="12">
    <w:nsid w:val="5072367"/>
    <w:multiLevelType w:val="hybridMultilevel"/>
    <w:lvl w:ilvl="0">
      <w:lvlJc w:val="left"/>
      <w:lvlText w:val="%1."/>
      <w:numFmt w:val="decimal"/>
      <w:start w:val="8"/>
    </w:lvl>
  </w:abstractNum>
  <w:abstractNum w:abstractNumId="13">
    <w:nsid w:val="3804823E"/>
    <w:multiLevelType w:val="hybridMultilevel"/>
    <w:lvl w:ilvl="0">
      <w:lvlJc w:val="left"/>
      <w:lvlText w:val="(%1)"/>
      <w:numFmt w:val="lowerLetter"/>
      <w:start w:val="1"/>
    </w:lvl>
  </w:abstractNum>
  <w:abstractNum w:abstractNumId="14">
    <w:nsid w:val="77465F01"/>
    <w:multiLevelType w:val="hybridMultilevel"/>
    <w:lvl w:ilvl="0">
      <w:lvlJc w:val="left"/>
      <w:lvlText w:val="●"/>
      <w:numFmt w:val="bullet"/>
      <w:start w:val="1"/>
    </w:lvl>
    <w:lvl w:ilvl="1">
      <w:lvlJc w:val="left"/>
      <w:lvlText w:val="(%2)"/>
      <w:numFmt w:val="lowerRoman"/>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1)"/>
      <w:numFmt w:val="lowerLetter"/>
      <w:start w:val="1"/>
    </w:lvl>
  </w:abstractNum>
  <w:abstractNum w:abstractNumId="17">
    <w:nsid w:val="2463B9EA"/>
    <w:multiLevelType w:val="hybridMultilevel"/>
    <w:lvl w:ilvl="0">
      <w:lvlJc w:val="left"/>
      <w:lvlText w:val="(%1)"/>
      <w:numFmt w:val="lowerLetter"/>
      <w:start w:val="1"/>
    </w:lvl>
  </w:abstractNum>
  <w:abstractNum w:abstractNumId="18">
    <w:nsid w:val="5E884ADC"/>
    <w:multiLevelType w:val="hybridMultilevel"/>
    <w:lvl w:ilvl="0">
      <w:lvlJc w:val="left"/>
      <w:lvlText w:val="(%1)"/>
      <w:numFmt w:val="lowerRoman"/>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1)"/>
      <w:numFmt w:val="lowerLetter"/>
      <w:start w:val="1"/>
    </w:lvl>
  </w:abstractNum>
  <w:abstractNum w:abstractNumId="21">
    <w:nsid w:val="580BD78F"/>
    <w:multiLevelType w:val="hybridMultilevel"/>
    <w:lvl w:ilvl="0">
      <w:lvlJc w:val="left"/>
      <w:lvlText w:val="(%1)"/>
      <w:numFmt w:val="lowerRoman"/>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1)"/>
      <w:numFmt w:val="lowerLetter"/>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1)"/>
      <w:numFmt w:val="decimal"/>
      <w:start w:val="2"/>
    </w:lvl>
  </w:abstractNum>
  <w:abstractNum w:abstractNumId="28">
    <w:nsid w:val="725A06FB"/>
    <w:multiLevelType w:val="hybridMultilevel"/>
    <w:lvl w:ilvl="0">
      <w:lvlJc w:val="left"/>
      <w:lvlText w:val="%1."/>
      <w:numFmt w:val="decimal"/>
      <w:start w:val="1"/>
    </w:lvl>
  </w:abstractNum>
  <w:abstractNum w:abstractNumId="29">
    <w:nsid w:val="2CD89A32"/>
    <w:multiLevelType w:val="hybridMultilevel"/>
    <w:lvl w:ilvl="0">
      <w:lvlJc w:val="left"/>
      <w:lvlText w:val="%1."/>
      <w:numFmt w:val="decimal"/>
      <w:start w:val="2"/>
    </w:lvl>
  </w:abstractNum>
  <w:abstractNum w:abstractNumId="30">
    <w:nsid w:val="57E4CCAF"/>
    <w:multiLevelType w:val="hybridMultilevel"/>
    <w:lvl w:ilvl="0">
      <w:lvlJc w:val="left"/>
      <w:lvlText w:val="%1."/>
      <w:numFmt w:val="decimal"/>
      <w:start w:val="3"/>
    </w:lvl>
  </w:abstractNum>
  <w:abstractNum w:abstractNumId="31">
    <w:nsid w:val="7A6D8D3C"/>
    <w:multiLevelType w:val="hybridMultilevel"/>
    <w:lvl w:ilvl="0">
      <w:lvlJc w:val="left"/>
      <w:lvlText w:val="%1."/>
      <w:numFmt w:val="decimal"/>
      <w:start w:val="4"/>
    </w:lvl>
  </w:abstractNum>
  <w:abstractNum w:abstractNumId="32">
    <w:nsid w:val="4B588F54"/>
    <w:multiLevelType w:val="hybridMultilevel"/>
    <w:lvl w:ilvl="0">
      <w:lvlJc w:val="left"/>
      <w:lvlText w:val="%1."/>
      <w:numFmt w:val="decimal"/>
      <w:start w:val="5"/>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1."/>
      <w:numFmt w:val="decimal"/>
      <w:start w:val="6"/>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1."/>
      <w:numFmt w:val="decimal"/>
      <w:start w:val="7"/>
    </w:lvl>
  </w:abstractNum>
  <w:abstractNum w:abstractNumId="37">
    <w:nsid w:val="32FFF902"/>
    <w:multiLevelType w:val="hybridMultilevel"/>
    <w:lvl w:ilvl="0">
      <w:lvlJc w:val="left"/>
      <w:lvlText w:val="%1."/>
      <w:numFmt w:val="decimal"/>
      <w:start w:val="8"/>
    </w:lvl>
  </w:abstractNum>
  <w:abstractNum w:abstractNumId="38">
    <w:nsid w:val="684A481A"/>
    <w:multiLevelType w:val="hybridMultilevel"/>
    <w:lvl w:ilvl="0">
      <w:lvlJc w:val="left"/>
      <w:lvlText w:val="%1."/>
      <w:numFmt w:val="decimal"/>
      <w:start w:val="9"/>
    </w:lvl>
  </w:abstractNum>
  <w:abstractNum w:abstractNumId="39">
    <w:nsid w:val="579478FE"/>
    <w:multiLevelType w:val="hybridMultilevel"/>
    <w:lvl w:ilvl="0">
      <w:lvlJc w:val="left"/>
      <w:lvlText w:val="%1."/>
      <w:numFmt w:val="decimal"/>
      <w:start w:val="10"/>
    </w:lvl>
  </w:abstractNum>
  <w:abstractNum w:abstractNumId="40">
    <w:nsid w:val="749ABB43"/>
    <w:multiLevelType w:val="hybridMultilevel"/>
    <w:lvl w:ilvl="0">
      <w:lvlJc w:val="left"/>
      <w:lvlText w:val="(%1)"/>
      <w:numFmt w:val="upperLetter"/>
      <w:start w:val="4"/>
    </w:lvl>
    <w:lvl w:ilvl="1">
      <w:lvlJc w:val="left"/>
      <w:lvlText w:val="%2."/>
      <w:numFmt w:val="decimal"/>
      <w:start w:val="11"/>
    </w:lvl>
  </w:abstractNum>
  <w:abstractNum w:abstractNumId="41">
    <w:nsid w:val="3DC240FB"/>
    <w:multiLevelType w:val="hybridMultilevel"/>
    <w:lvl w:ilvl="0">
      <w:lvlJc w:val="left"/>
      <w:lvlText w:val="%1."/>
      <w:numFmt w:val="decimal"/>
      <w:start w:val="12"/>
    </w:lvl>
  </w:abstractNum>
  <w:abstractNum w:abstractNumId="42">
    <w:nsid w:val="1BA026FA"/>
    <w:multiLevelType w:val="hybridMultilevel"/>
    <w:lvl w:ilvl="0">
      <w:lvlJc w:val="left"/>
      <w:lvlText w:val="%1."/>
      <w:numFmt w:val="decimal"/>
      <w:start w:val="13"/>
    </w:lvl>
  </w:abstractNum>
  <w:abstractNum w:abstractNumId="43">
    <w:nsid w:val="79A1DEAA"/>
    <w:multiLevelType w:val="hybridMultilevel"/>
    <w:lvl w:ilvl="0">
      <w:lvlJc w:val="left"/>
      <w:lvlText w:val="%1."/>
      <w:numFmt w:val="decimal"/>
      <w:start w:val="14"/>
    </w:lvl>
  </w:abstractNum>
  <w:abstractNum w:abstractNumId="44">
    <w:nsid w:val="75C6C33A"/>
    <w:multiLevelType w:val="hybridMultilevel"/>
    <w:lvl w:ilvl="0">
      <w:lvlJc w:val="left"/>
      <w:lvlText w:val="%1."/>
      <w:numFmt w:val="decimal"/>
      <w:start w:val="15"/>
    </w:lvl>
  </w:abstractNum>
  <w:abstractNum w:abstractNumId="45">
    <w:nsid w:val="12E685FB"/>
    <w:multiLevelType w:val="hybridMultilevel"/>
    <w:lvl w:ilvl="0">
      <w:lvlJc w:val="left"/>
      <w:lvlText w:val="%1."/>
      <w:numFmt w:val="decimal"/>
      <w:start w:val="16"/>
    </w:lvl>
  </w:abstractNum>
  <w:abstractNum w:abstractNumId="46">
    <w:nsid w:val="70C6A529"/>
    <w:multiLevelType w:val="hybridMultilevel"/>
    <w:lvl w:ilvl="0">
      <w:lvlJc w:val="left"/>
      <w:lvlText w:val="%1."/>
      <w:numFmt w:val="decimal"/>
      <w:start w:val="17"/>
    </w:lvl>
  </w:abstractNum>
  <w:abstractNum w:abstractNumId="47">
    <w:nsid w:val="520EEDD1"/>
    <w:multiLevelType w:val="hybridMultilevel"/>
    <w:lvl w:ilvl="0">
      <w:lvlJc w:val="left"/>
      <w:lvlText w:val="%1."/>
      <w:numFmt w:val="decimal"/>
      <w:start w:val="18"/>
    </w:lvl>
  </w:abstractNum>
  <w:abstractNum w:abstractNumId="48">
    <w:nsid w:val="374A3FE6"/>
    <w:multiLevelType w:val="hybridMultilevel"/>
    <w:lvl w:ilvl="0">
      <w:lvlJc w:val="left"/>
      <w:lvlText w:val="%1."/>
      <w:numFmt w:val="decimal"/>
      <w:start w:val="19"/>
    </w:lvl>
  </w:abstractNum>
  <w:abstractNum w:abstractNumId="49">
    <w:nsid w:val="4F4EF005"/>
    <w:multiLevelType w:val="hybridMultilevel"/>
    <w:lvl w:ilvl="0">
      <w:lvlJc w:val="left"/>
      <w:lvlText w:val="(%1)"/>
      <w:numFmt w:val="lowerRoman"/>
      <w:start w:val="1"/>
    </w:lvl>
  </w:abstractNum>
  <w:abstractNum w:abstractNumId="50">
    <w:nsid w:val="23F9C13C"/>
    <w:multiLevelType w:val="hybridMultilevel"/>
    <w:lvl w:ilvl="0">
      <w:lvlJc w:val="left"/>
      <w:lvlText w:val="(%1)"/>
      <w:numFmt w:val="lowerRoman"/>
      <w:start w:val="3"/>
    </w:lvl>
  </w:abstractNum>
  <w:abstractNum w:abstractNumId="51">
    <w:nsid w:val="649BB77C"/>
    <w:multiLevelType w:val="hybridMultilevel"/>
    <w:lvl w:ilvl="0">
      <w:lvlJc w:val="left"/>
      <w:lvlText w:val="%1"/>
      <w:numFmt w:val="decimal"/>
      <w:start w:val="1"/>
    </w:lvl>
    <w:lvl w:ilvl="1">
      <w:lvlJc w:val="left"/>
      <w:lvlText w:val="(%2)"/>
      <w:numFmt w:val="lowerLetter"/>
      <w:start w:val="1"/>
    </w:lvl>
  </w:abstractNum>
  <w:abstractNum w:abstractNumId="52">
    <w:nsid w:val="275AC794"/>
    <w:multiLevelType w:val="hybridMultilevel"/>
    <w:lvl w:ilvl="0">
      <w:lvlJc w:val="left"/>
      <w:lvlText w:val="%1."/>
      <w:numFmt w:val="decimal"/>
      <w:start w:val="4"/>
    </w:lvl>
    <w:lvl w:ilvl="1">
      <w:lvlJc w:val="left"/>
      <w:lvlText w:val="(%2)"/>
      <w:numFmt w:val="lowerLetter"/>
      <w:start w:val="1"/>
    </w:lvl>
  </w:abstractNum>
  <w:abstractNum w:abstractNumId="53">
    <w:nsid w:val="39386575"/>
    <w:multiLevelType w:val="hybridMultilevel"/>
    <w:lvl w:ilvl="0">
      <w:lvlJc w:val="left"/>
      <w:lvlText w:val="%1."/>
      <w:numFmt w:val="decimal"/>
      <w:start w:val="18"/>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52" Type="http://schemas.openxmlformats.org/officeDocument/2006/relationships/hyperlink" Target="https://www.sec.gov/Archives/edgar/data/823768/0000950129-97-003909.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2025-07-29T14:18:05Z</dcterms:created>
  <dcterms:modified xsi:type="dcterms:W3CDTF">2025-07-29T14:18:05Z</dcterms:modified>
</cp:coreProperties>
</file>