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8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369570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ind w:left="4680"/>
        <w:spacing w:after="0"/>
        <w:rPr>
          <w:sz w:val="20"/>
          <w:szCs w:val="20"/>
          <w:color w:val="auto"/>
        </w:rPr>
      </w:pPr>
      <w:r>
        <w:rPr>
          <w:rFonts w:ascii="Arial" w:cs="Arial" w:eastAsia="Arial" w:hAnsi="Arial"/>
          <w:sz w:val="32"/>
          <w:szCs w:val="32"/>
          <w:b w:val="1"/>
          <w:bCs w:val="1"/>
          <w:color w:val="auto"/>
        </w:rPr>
        <w:t>FORM 11-K/A</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(Check One)</w:t>
      </w:r>
    </w:p>
    <w:p>
      <w:pPr>
        <w:spacing w:after="0" w:line="200" w:lineRule="exact"/>
        <w:rPr>
          <w:sz w:val="20"/>
          <w:szCs w:val="20"/>
          <w:color w:val="auto"/>
        </w:rPr>
      </w:pPr>
    </w:p>
    <w:p>
      <w:pPr>
        <w:spacing w:after="0" w:line="228" w:lineRule="exact"/>
        <w:rPr>
          <w:sz w:val="20"/>
          <w:szCs w:val="20"/>
          <w:color w:val="auto"/>
        </w:rPr>
      </w:pPr>
    </w:p>
    <w:p>
      <w:pPr>
        <w:ind w:left="1100" w:right="80" w:hanging="518"/>
        <w:spacing w:after="0" w:line="256" w:lineRule="auto"/>
        <w:tabs>
          <w:tab w:leader="none" w:pos="11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31"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18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32" w:lineRule="exact"/>
        <w:rPr>
          <w:sz w:val="20"/>
          <w:szCs w:val="20"/>
          <w:color w:val="auto"/>
        </w:rPr>
      </w:pPr>
    </w:p>
    <w:p>
      <w:pPr>
        <w:ind w:left="1100" w:hanging="518"/>
        <w:spacing w:after="0" w:line="256" w:lineRule="auto"/>
        <w:tabs>
          <w:tab w:leader="none" w:pos="11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31" w:lineRule="exact"/>
        <w:rPr>
          <w:sz w:val="20"/>
          <w:szCs w:val="20"/>
          <w:color w:val="auto"/>
        </w:rPr>
      </w:pPr>
    </w:p>
    <w:p>
      <w:pPr>
        <w:ind w:left="4200"/>
        <w:spacing w:after="0"/>
        <w:tabs>
          <w:tab w:leader="none" w:pos="70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85"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Commission file number 1-12154</w:t>
      </w:r>
    </w:p>
    <w:p>
      <w:pPr>
        <w:spacing w:after="0" w:line="198"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WASTE MANAGEMENT RETIREMENT SAVINGS PLAN FOR</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BARGAINING UNIT EMPLOYEES</w:t>
      </w:r>
    </w:p>
    <w:p>
      <w:pPr>
        <w:spacing w:after="0" w:line="16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859" w:right="10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 AND SUPPLEMENTAL SCHEDULES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gridSpan w:val="8"/>
            <w:shd w:val="clear" w:color="auto" w:fill="EEEEEE"/>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Report of Independent Registered Public Accounting Firm</w:t>
              </w:r>
            </w:hyperlink>
          </w:p>
        </w:tc>
        <w:tc>
          <w:tcPr>
            <w:tcW w:w="13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19"/>
                <w:szCs w:val="19"/>
                <w:color w:val="auto"/>
              </w:rPr>
            </w:pPr>
          </w:p>
        </w:tc>
      </w:tr>
      <w:tr>
        <w:trPr>
          <w:trHeight w:val="432"/>
        </w:trPr>
        <w:tc>
          <w:tcPr>
            <w:tcW w:w="860" w:type="dxa"/>
            <w:vAlign w:val="bottom"/>
          </w:tcPr>
          <w:p>
            <w:pPr>
              <w:spacing w:after="0"/>
              <w:rPr>
                <w:sz w:val="24"/>
                <w:szCs w:val="24"/>
                <w:color w:val="auto"/>
              </w:rPr>
            </w:pPr>
          </w:p>
        </w:tc>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Audited Financial Statements</w:t>
            </w:r>
          </w:p>
        </w:tc>
        <w:tc>
          <w:tcPr>
            <w:tcW w:w="4100" w:type="dxa"/>
            <w:vAlign w:val="bottom"/>
            <w:tcBorders>
              <w:top w:val="single" w:sz="8" w:color="EEEEEE"/>
            </w:tcBorders>
            <w:gridSpan w:val="5"/>
          </w:tcPr>
          <w:p>
            <w:pPr>
              <w:spacing w:after="0"/>
              <w:rPr>
                <w:sz w:val="24"/>
                <w:szCs w:val="24"/>
                <w:color w:val="auto"/>
              </w:rPr>
            </w:pPr>
          </w:p>
        </w:tc>
        <w:tc>
          <w:tcPr>
            <w:tcW w:w="1380" w:type="dxa"/>
            <w:vAlign w:val="bottom"/>
            <w:tcBorders>
              <w:top w:val="single" w:sz="8" w:color="EEEEEE"/>
            </w:tcBorders>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6000" w:type="dxa"/>
            <w:vAlign w:val="bottom"/>
            <w:tcBorders>
              <w:bottom w:val="single" w:sz="8" w:color="0000EE"/>
            </w:tcBorders>
            <w:gridSpan w:val="5"/>
            <w:shd w:val="clear" w:color="auto" w:fill="EEEEEE"/>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Statements of Net Assets Available for Benefits as of December 31, 2003 and 2002</w:t>
              </w:r>
            </w:hyperlink>
          </w:p>
        </w:tc>
        <w:tc>
          <w:tcPr>
            <w:tcW w:w="2180" w:type="dxa"/>
            <w:vAlign w:val="bottom"/>
            <w:tcBorders>
              <w:bottom w:val="single" w:sz="8" w:color="EEEEEE"/>
            </w:tcBorders>
            <w:gridSpan w:val="2"/>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jc w:val="right"/>
              <w:ind w:right="10"/>
              <w:spacing w:after="0" w:line="176" w:lineRule="exact"/>
              <w:rPr>
                <w:sz w:val="20"/>
                <w:szCs w:val="20"/>
                <w:color w:val="auto"/>
              </w:rPr>
            </w:pPr>
            <w:r>
              <w:rPr>
                <w:rFonts w:ascii="Arial" w:cs="Arial" w:eastAsia="Arial" w:hAnsi="Arial"/>
                <w:sz w:val="18"/>
                <w:szCs w:val="18"/>
                <w:color w:val="auto"/>
              </w:rPr>
              <w:t>2</w:t>
            </w:r>
          </w:p>
        </w:tc>
        <w:tc>
          <w:tcPr>
            <w:tcW w:w="860" w:type="dxa"/>
            <w:vAlign w:val="bottom"/>
          </w:tcPr>
          <w:p>
            <w:pPr>
              <w:spacing w:after="0"/>
              <w:rPr>
                <w:sz w:val="17"/>
                <w:szCs w:val="17"/>
                <w:color w:val="auto"/>
              </w:rPr>
            </w:pPr>
          </w:p>
        </w:tc>
      </w:tr>
      <w:tr>
        <w:trPr>
          <w:trHeight w:val="176"/>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00" w:type="dxa"/>
            <w:vAlign w:val="bottom"/>
            <w:gridSpan w:val="8"/>
          </w:tcPr>
          <w:p>
            <w:pPr>
              <w:ind w:left="12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Changes in Net Assets Available for Benefits for the Year Ended December 31, 2003</w:t>
              </w:r>
            </w:hyperlink>
          </w:p>
        </w:tc>
        <w:tc>
          <w:tcPr>
            <w:tcW w:w="1380" w:type="dxa"/>
            <w:vAlign w:val="bottom"/>
          </w:tcPr>
          <w:p>
            <w:pPr>
              <w:jc w:val="right"/>
              <w:ind w:right="10"/>
              <w:spacing w:after="0" w:line="176" w:lineRule="exact"/>
              <w:rPr>
                <w:sz w:val="20"/>
                <w:szCs w:val="20"/>
                <w:color w:val="auto"/>
              </w:rPr>
            </w:pPr>
            <w:r>
              <w:rPr>
                <w:rFonts w:ascii="Arial" w:cs="Arial" w:eastAsia="Arial" w:hAnsi="Arial"/>
                <w:sz w:val="18"/>
                <w:szCs w:val="18"/>
                <w:color w:val="auto"/>
              </w:rPr>
              <w:t>3</w:t>
            </w:r>
          </w:p>
        </w:tc>
        <w:tc>
          <w:tcPr>
            <w:tcW w:w="860" w:type="dxa"/>
            <w:vAlign w:val="bottom"/>
          </w:tcPr>
          <w:p>
            <w:pPr>
              <w:spacing w:after="0"/>
              <w:rPr>
                <w:sz w:val="15"/>
                <w:szCs w:val="15"/>
                <w:color w:val="auto"/>
              </w:rPr>
            </w:pPr>
          </w:p>
        </w:tc>
      </w:tr>
      <w:tr>
        <w:trPr>
          <w:trHeight w:val="21"/>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160" w:type="dxa"/>
            <w:vAlign w:val="bottom"/>
            <w:tcBorders>
              <w:bottom w:val="single" w:sz="8" w:color="0000EE"/>
            </w:tcBorders>
            <w:shd w:val="clear" w:color="auto" w:fill="EEEEEE"/>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Financial Statements</w:t>
              </w:r>
            </w:hyperlink>
          </w:p>
        </w:tc>
        <w:tc>
          <w:tcPr>
            <w:tcW w:w="6020" w:type="dxa"/>
            <w:vAlign w:val="bottom"/>
            <w:tcBorders>
              <w:bottom w:val="single" w:sz="8" w:color="EEEEEE"/>
            </w:tcBorders>
            <w:gridSpan w:val="6"/>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jc w:val="right"/>
              <w:ind w:right="10"/>
              <w:spacing w:after="0" w:line="176" w:lineRule="exact"/>
              <w:rPr>
                <w:sz w:val="20"/>
                <w:szCs w:val="20"/>
                <w:color w:val="auto"/>
              </w:rPr>
            </w:pPr>
            <w:r>
              <w:rPr>
                <w:rFonts w:ascii="Arial" w:cs="Arial" w:eastAsia="Arial" w:hAnsi="Arial"/>
                <w:sz w:val="18"/>
                <w:szCs w:val="18"/>
                <w:color w:val="auto"/>
              </w:rPr>
              <w:t>4</w:t>
            </w:r>
          </w:p>
        </w:tc>
        <w:tc>
          <w:tcPr>
            <w:tcW w:w="860" w:type="dxa"/>
            <w:vAlign w:val="bottom"/>
          </w:tcPr>
          <w:p>
            <w:pPr>
              <w:spacing w:after="0"/>
              <w:rPr>
                <w:sz w:val="17"/>
                <w:szCs w:val="17"/>
                <w:color w:val="auto"/>
              </w:rPr>
            </w:pPr>
          </w:p>
        </w:tc>
      </w:tr>
      <w:tr>
        <w:trPr>
          <w:trHeight w:val="432"/>
        </w:trPr>
        <w:tc>
          <w:tcPr>
            <w:tcW w:w="9180" w:type="dxa"/>
            <w:vAlign w:val="bottom"/>
            <w:gridSpan w:val="10"/>
          </w:tcPr>
          <w:p>
            <w:pPr>
              <w:ind w:left="860"/>
              <w:spacing w:after="0"/>
              <w:rPr>
                <w:sz w:val="20"/>
                <w:szCs w:val="20"/>
                <w:color w:val="auto"/>
              </w:rPr>
            </w:pPr>
            <w:r>
              <w:rPr>
                <w:rFonts w:ascii="Arial" w:cs="Arial" w:eastAsia="Arial" w:hAnsi="Arial"/>
                <w:sz w:val="18"/>
                <w:szCs w:val="18"/>
                <w:color w:val="auto"/>
              </w:rPr>
              <w:t>Supplemental Schedules</w:t>
            </w: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180" w:type="dxa"/>
            <w:vAlign w:val="bottom"/>
            <w:gridSpan w:val="7"/>
            <w:shd w:val="clear" w:color="auto" w:fill="EEEEEE"/>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Schedule H, Line 4(a) — Schedule of Delinquent Participant Contributions .</w:t>
              </w:r>
            </w:hyperlink>
          </w:p>
        </w:tc>
        <w:tc>
          <w:tcPr>
            <w:tcW w:w="1380" w:type="dxa"/>
            <w:vAlign w:val="bottom"/>
            <w:shd w:val="clear" w:color="auto" w:fill="EEEEEE"/>
          </w:tcPr>
          <w:p>
            <w:pPr>
              <w:jc w:val="right"/>
              <w:ind w:right="10"/>
              <w:spacing w:after="0" w:line="176" w:lineRule="exact"/>
              <w:rPr>
                <w:sz w:val="20"/>
                <w:szCs w:val="20"/>
                <w:color w:val="auto"/>
              </w:rPr>
            </w:pPr>
            <w:r>
              <w:rPr>
                <w:rFonts w:ascii="Arial" w:cs="Arial" w:eastAsia="Arial" w:hAnsi="Arial"/>
                <w:sz w:val="18"/>
                <w:szCs w:val="18"/>
                <w:color w:val="auto"/>
              </w:rPr>
              <w:t>10</w:t>
            </w:r>
          </w:p>
        </w:tc>
        <w:tc>
          <w:tcPr>
            <w:tcW w:w="860" w:type="dxa"/>
            <w:vAlign w:val="bottom"/>
          </w:tcPr>
          <w:p>
            <w:pPr>
              <w:spacing w:after="0"/>
              <w:rPr>
                <w:sz w:val="17"/>
                <w:szCs w:val="17"/>
                <w:color w:val="auto"/>
              </w:rPr>
            </w:pPr>
          </w:p>
        </w:tc>
      </w:tr>
      <w:tr>
        <w:trPr>
          <w:trHeight w:val="176"/>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550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Schedule H, Line 4(i) — Schedule of Assets (Held At End of Year)</w:t>
              </w:r>
            </w:hyperlink>
          </w:p>
        </w:tc>
        <w:tc>
          <w:tcPr>
            <w:tcW w:w="2680" w:type="dxa"/>
            <w:vAlign w:val="bottom"/>
            <w:tcBorders>
              <w:top w:val="single" w:sz="8" w:color="EEEEEE"/>
            </w:tcBorders>
            <w:gridSpan w:val="3"/>
          </w:tcPr>
          <w:p>
            <w:pPr>
              <w:spacing w:after="0"/>
              <w:rPr>
                <w:sz w:val="15"/>
                <w:szCs w:val="15"/>
                <w:color w:val="auto"/>
              </w:rPr>
            </w:pPr>
          </w:p>
        </w:tc>
        <w:tc>
          <w:tcPr>
            <w:tcW w:w="1380" w:type="dxa"/>
            <w:vAlign w:val="bottom"/>
            <w:tcBorders>
              <w:top w:val="single" w:sz="8" w:color="EEEEEE"/>
            </w:tcBorders>
          </w:tcPr>
          <w:p>
            <w:pPr>
              <w:jc w:val="right"/>
              <w:ind w:right="10"/>
              <w:spacing w:after="0" w:line="176" w:lineRule="exact"/>
              <w:rPr>
                <w:sz w:val="20"/>
                <w:szCs w:val="20"/>
                <w:color w:val="auto"/>
              </w:rPr>
            </w:pPr>
            <w:r>
              <w:rPr>
                <w:rFonts w:ascii="Arial" w:cs="Arial" w:eastAsia="Arial" w:hAnsi="Arial"/>
                <w:sz w:val="18"/>
                <w:szCs w:val="18"/>
                <w:color w:val="auto"/>
              </w:rPr>
              <w:t>11</w:t>
            </w:r>
          </w:p>
        </w:tc>
        <w:tc>
          <w:tcPr>
            <w:tcW w:w="860" w:type="dxa"/>
            <w:vAlign w:val="bottom"/>
          </w:tcPr>
          <w:p>
            <w:pPr>
              <w:spacing w:after="0"/>
              <w:rPr>
                <w:sz w:val="15"/>
                <w:szCs w:val="15"/>
                <w:color w:val="auto"/>
              </w:rPr>
            </w:pPr>
          </w:p>
        </w:tc>
      </w:tr>
      <w:tr>
        <w:trPr>
          <w:trHeight w:val="652"/>
        </w:trPr>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160" w:type="dxa"/>
            <w:vAlign w:val="bottom"/>
            <w:tcBorders>
              <w:top w:val="single" w:sz="8" w:color="0000EE"/>
              <w:bottom w:val="single" w:sz="8" w:color="808080"/>
            </w:tcBorders>
          </w:tcPr>
          <w:p>
            <w:pPr>
              <w:spacing w:after="0"/>
              <w:rPr>
                <w:sz w:val="24"/>
                <w:szCs w:val="24"/>
                <w:color w:val="auto"/>
              </w:rPr>
            </w:pPr>
          </w:p>
        </w:tc>
        <w:tc>
          <w:tcPr>
            <w:tcW w:w="1920" w:type="dxa"/>
            <w:vAlign w:val="bottom"/>
            <w:tcBorders>
              <w:top w:val="single" w:sz="8" w:color="0000EE"/>
              <w:bottom w:val="single" w:sz="8" w:color="808080"/>
            </w:tcBorders>
          </w:tcPr>
          <w:p>
            <w:pPr>
              <w:spacing w:after="0"/>
              <w:rPr>
                <w:sz w:val="24"/>
                <w:szCs w:val="24"/>
                <w:color w:val="auto"/>
              </w:rPr>
            </w:pPr>
          </w:p>
        </w:tc>
        <w:tc>
          <w:tcPr>
            <w:tcW w:w="760" w:type="dxa"/>
            <w:vAlign w:val="bottom"/>
            <w:tcBorders>
              <w:top w:val="single" w:sz="8" w:color="0000EE"/>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for Bargaining Unit Employees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Waste Management Retirement Savings Plan for Bargaining Unit Employees as of December 31, 2003 and 2002, and the related statement of changes in net assets available for benefits for the year ended December 31, 2003. These financial statements are the responsibility of the Plan’s management. Our responsibility is to express an opinion on these financial statements based on our audits.</w:t>
      </w:r>
    </w:p>
    <w:p>
      <w:pPr>
        <w:spacing w:after="0" w:line="1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2003 and 2002, and the changes in its net assets available for benefits for the year ended December 31, 2003, in conformity with U.S. generally accepted accounting principles.</w:t>
      </w:r>
    </w:p>
    <w:p>
      <w:pPr>
        <w:spacing w:after="0" w:line="14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schedules of assets (held at end of year) as of December 31, 2003, and schedule of delinquent participant contributions for the year then ended, are presented for purposes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our audits of the financial statements and, in our opinion, are fairly stated in all material respects in relation to the financial statements taken as a whole.</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2004</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2003 and 2002</w:t>
      </w:r>
    </w:p>
    <w:p>
      <w:pPr>
        <w:spacing w:after="0" w:line="200" w:lineRule="exact"/>
        <w:rPr>
          <w:sz w:val="20"/>
          <w:szCs w:val="20"/>
          <w:color w:val="auto"/>
        </w:rPr>
      </w:pP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Plan interest in the Master Trust (Note 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$1,721,187</w:t>
            </w:r>
          </w:p>
        </w:tc>
        <w:tc>
          <w:tcPr>
            <w:tcW w:w="4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$704,452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Participant loans</w:t>
            </w:r>
          </w:p>
        </w:tc>
        <w:tc>
          <w:tcPr>
            <w:tcW w:w="36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75,873</w:t>
            </w:r>
          </w:p>
        </w:tc>
        <w:tc>
          <w:tcPr>
            <w:tcW w:w="4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42,218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1,797,060</w:t>
            </w:r>
          </w:p>
        </w:tc>
        <w:tc>
          <w:tcPr>
            <w:tcW w:w="40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746,670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RECEIVABLES: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Employee contributions</w:t>
            </w:r>
          </w:p>
        </w:tc>
        <w:tc>
          <w:tcPr>
            <w:tcW w:w="36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5,490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Total receivables</w:t>
            </w:r>
          </w:p>
        </w:tc>
        <w:tc>
          <w:tcPr>
            <w:tcW w:w="36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5,490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$1,797,060</w:t>
            </w:r>
          </w:p>
        </w:tc>
        <w:tc>
          <w:tcPr>
            <w:tcW w:w="40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$752,160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42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74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5" w:name="page6"/>
    <w:bookmarkEnd w:id="5"/>
    <w:tbl>
      <w:tblPr>
        <w:tblLayout w:type="fixed"/>
        <w:tblInd w:w="8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00" w:type="dxa"/>
            <w:vAlign w:val="bottom"/>
          </w:tcPr>
          <w:p>
            <w:pPr>
              <w:jc w:val="center"/>
              <w:ind w:left="1310"/>
              <w:spacing w:after="0"/>
              <w:rPr>
                <w:sz w:val="20"/>
                <w:szCs w:val="20"/>
                <w:color w:val="auto"/>
              </w:rPr>
            </w:pPr>
            <w:r>
              <w:rPr>
                <w:rFonts w:ascii="Arial" w:cs="Arial" w:eastAsia="Arial" w:hAnsi="Arial"/>
                <w:sz w:val="18"/>
                <w:szCs w:val="18"/>
                <w:color w:val="auto"/>
                <w:w w:val="88"/>
              </w:rPr>
              <w:t>Waste Management Retirement Savings Plan</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000" w:type="dxa"/>
            <w:vAlign w:val="bottom"/>
          </w:tcPr>
          <w:p>
            <w:pPr>
              <w:jc w:val="center"/>
              <w:ind w:left="1290"/>
              <w:spacing w:after="0"/>
              <w:rPr>
                <w:sz w:val="20"/>
                <w:szCs w:val="20"/>
                <w:color w:val="auto"/>
              </w:rPr>
            </w:pPr>
            <w:r>
              <w:rPr>
                <w:rFonts w:ascii="Arial" w:cs="Arial" w:eastAsia="Arial" w:hAnsi="Arial"/>
                <w:sz w:val="18"/>
                <w:szCs w:val="18"/>
                <w:color w:val="auto"/>
                <w:w w:val="92"/>
              </w:rPr>
              <w:t>For Bargaining Unit Employees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00" w:type="dxa"/>
            <w:vAlign w:val="bottom"/>
          </w:tcPr>
          <w:p>
            <w:pPr>
              <w:jc w:val="center"/>
              <w:ind w:left="129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00" w:type="dxa"/>
            <w:vAlign w:val="bottom"/>
          </w:tcPr>
          <w:p>
            <w:pPr>
              <w:jc w:val="center"/>
              <w:ind w:left="1290"/>
              <w:spacing w:after="0"/>
              <w:rPr>
                <w:sz w:val="20"/>
                <w:szCs w:val="20"/>
                <w:color w:val="auto"/>
              </w:rPr>
            </w:pPr>
            <w:r>
              <w:rPr>
                <w:rFonts w:ascii="Arial" w:cs="Arial" w:eastAsia="Arial" w:hAnsi="Arial"/>
                <w:sz w:val="18"/>
                <w:szCs w:val="18"/>
                <w:color w:val="auto"/>
                <w:w w:val="89"/>
              </w:rPr>
              <w:t>Year Ended December 31, 2003</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EEEEEE"/>
          </w:tcPr>
          <w:p>
            <w:pPr>
              <w:spacing w:after="0"/>
              <w:rPr>
                <w:sz w:val="20"/>
                <w:szCs w:val="20"/>
                <w:color w:val="auto"/>
              </w:rPr>
            </w:pPr>
            <w:r>
              <w:rPr>
                <w:rFonts w:ascii="Arial" w:cs="Arial" w:eastAsia="Arial" w:hAnsi="Arial"/>
                <w:sz w:val="18"/>
                <w:szCs w:val="18"/>
                <w:color w:val="auto"/>
              </w:rPr>
              <w:t>ADDITIONS TO NET ASSETS AVAILABLE FOR BENEFITS: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Contributions-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Employee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424,423</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260"/>
              <w:spacing w:after="0"/>
              <w:rPr>
                <w:sz w:val="20"/>
                <w:szCs w:val="20"/>
                <w:color w:val="auto"/>
              </w:rPr>
            </w:pPr>
            <w:r>
              <w:rPr>
                <w:rFonts w:ascii="Arial" w:cs="Arial" w:eastAsia="Arial" w:hAnsi="Arial"/>
                <w:sz w:val="18"/>
                <w:szCs w:val="18"/>
                <w:color w:val="auto"/>
              </w:rPr>
              <w:t>Rollover</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428,546</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investment gain from the Master Trust (Note 3)</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302,294</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Participant loan interest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3,581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Plan mergers (Note 4)</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379,801</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Total additions</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1,114,222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DEDUCTIONS FROM NET ASSETS AVAILABLE FOR BENEFITS: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Benefits paid to participants</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69,322</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0" w:type="dxa"/>
            <w:vAlign w:val="bottom"/>
          </w:tcPr>
          <w:p>
            <w:pPr>
              <w:ind w:left="400"/>
              <w:spacing w:after="0"/>
              <w:rPr>
                <w:sz w:val="20"/>
                <w:szCs w:val="20"/>
                <w:color w:val="auto"/>
              </w:rPr>
            </w:pPr>
            <w:r>
              <w:rPr>
                <w:rFonts w:ascii="Arial" w:cs="Arial" w:eastAsia="Arial" w:hAnsi="Arial"/>
                <w:sz w:val="18"/>
                <w:szCs w:val="18"/>
                <w:color w:val="auto"/>
              </w:rPr>
              <w:t>Total deductions</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69,322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INCREASE IN NET ASSETS AVAILABLE FOR BENEFITS</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1,044,900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Beginning of year</w:t>
            </w:r>
          </w:p>
        </w:tc>
        <w:tc>
          <w:tcPr>
            <w:tcW w:w="280" w:type="dxa"/>
            <w:vAlign w:val="bottom"/>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752,160</w:t>
            </w:r>
          </w:p>
        </w:tc>
        <w:tc>
          <w:tcPr>
            <w:tcW w:w="4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6000" w:type="dxa"/>
            <w:vAlign w:val="bottom"/>
          </w:tcPr>
          <w:p>
            <w:pPr>
              <w:ind w:left="120"/>
              <w:spacing w:after="0"/>
              <w:rPr>
                <w:sz w:val="20"/>
                <w:szCs w:val="20"/>
                <w:color w:val="auto"/>
              </w:rPr>
            </w:pPr>
            <w:r>
              <w:rPr>
                <w:rFonts w:ascii="Arial" w:cs="Arial" w:eastAsia="Arial" w:hAnsi="Arial"/>
                <w:sz w:val="18"/>
                <w:szCs w:val="18"/>
                <w:color w:val="auto"/>
              </w:rPr>
              <w:t>End of year</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1,797,060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0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description of the Waste Management Retirement Savings Plan for Bargaining Unit Employees (the “Plan”) provides only general information.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refer to the Plan document for a more complete description of the Plan’s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Plan is a defined contribution plan available to all eligible employees, and their beneficiaries, of Waste Management Holdings, Inc., (“Waste Management”), and its affiliates (as defined in the Plan). The Plan is subject to the provisions of the Employee Retirement Income Security Act of 1974, as amended (“ERISA”).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of Waste Management, Inc. (“WMI” or the “Company”), the parent of Waste Management, has named the Administrative Committee of the Waste Management Employee Benefit Plans (the “Administrative Committee”) to serve as administrator and fiduciary of all benefit plans of WMI and its subsidiaries, including the Plan. Waste Management has entered into a Defined Contribution Plans Master Trust Agreement (the “Master Trust”) with State Street Bank and Trust Company (“State Street”) whereby State Street serves as trustee of the Plan. CitiStreet, an affiliate of State Street, serves as record keeper.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 if they are covered by a collective bargaining agreement that provides for participation in the Plan.</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Employees who are ineligible to participate in the Plan consist of (a) leased employees, (b) individuals providing services to Waste Management as independent contractors, (c) certain nonresident aliens who have no earned income from sources within the United States of America and (d) individuals who are participants in any other pension, retirement, profit-sharing, stock bonus, thrift or savings plan maintained by Waste Management or the Company other than the Waste Management Pension Plan for Collectively Bargained Employees or such other plans as may from time to time be determined by the Administrative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8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Participants may contribute from 1 percent to 15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Plan does not provide for contributions by Waste Management.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20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The Plan utilizes cash equivalents to temporarily hold monies pending settlement for transactions initiated by participants.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 and Rollover Contribution accounts plus earnings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and Rollover Contribution and an allocation of investment income and loss and expenses. Investment income and loss is allocated to the participant’s account based upon the participant’s proportionate share of the funds within the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Distributions of accounts invested in Company common stock may be taken in whole shares of common stock or cash.</w:t>
      </w:r>
    </w:p>
    <w:p>
      <w:pPr>
        <w:spacing w:after="0" w:line="14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Participants may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(12 months prior to January 1, 2002) after receiving the hardship distribution.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Interest rates and repayment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 (continued)</w:t>
      </w:r>
    </w:p>
    <w:p>
      <w:pPr>
        <w:spacing w:after="0" w:line="18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terms are established by the Administrative Committee. Such loans shall be repaid by payroll deduction, or any other method approved by the Administrative Committee, which requires level amortization of principal and repayments no less frequently than quarterly and must be repaid over a period not to exceed 54 months (60 months for loans requested before August 5, 2002).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requesting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2003, the Company elected to pay certain audit and legal fees of the Plan.</w:t>
      </w:r>
    </w:p>
    <w:p>
      <w:pPr>
        <w:spacing w:after="0" w:line="128" w:lineRule="exact"/>
        <w:rPr>
          <w:sz w:val="20"/>
          <w:szCs w:val="20"/>
          <w:color w:val="auto"/>
        </w:rPr>
      </w:pPr>
    </w:p>
    <w:p>
      <w:pPr>
        <w:ind w:right="8680" w:firstLine="8"/>
        <w:spacing w:after="0" w:line="46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0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preparation of the Plan’s financial statements in conformity with U.S. generally accepted accounting principles requires the Plan’s management to make estimates that affect the amounts reported in the financial statements and accompanying notes and supplemental schedule.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Benefits paid to participants are recorded when paid. The Plan had no amounts pending distribution to participants as of December 31, 2003 and 2002.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purpose of the Master Trust is the collective investment of the assets of participating employee benefit plans of the Company.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 as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0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Plan provides for investment in the Master Trust, which in turn invest in various common collective trust funds, corporate stocks, convertible notes and mutual funds.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8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Waste Management Retirement Savings Plan (the “Non-Union Plan”). As of December 31, 2003 and 2002, the Plan’s beneficial interest in the net assets of the Master Trust was .18% and .09%, respectively.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14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4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2003</w:t>
            </w:r>
          </w:p>
        </w:tc>
        <w:tc>
          <w:tcPr>
            <w:tcW w:w="2300" w:type="dxa"/>
            <w:vAlign w:val="bottom"/>
            <w:gridSpan w:val="4"/>
          </w:tcPr>
          <w:p>
            <w:pPr>
              <w:jc w:val="right"/>
              <w:ind w:right="250"/>
              <w:spacing w:after="0"/>
              <w:rPr>
                <w:sz w:val="20"/>
                <w:szCs w:val="20"/>
                <w:color w:val="auto"/>
              </w:rPr>
            </w:pPr>
            <w:r>
              <w:rPr>
                <w:rFonts w:ascii="Arial" w:cs="Arial" w:eastAsia="Arial" w:hAnsi="Arial"/>
                <w:sz w:val="14"/>
                <w:szCs w:val="14"/>
                <w:b w:val="1"/>
                <w:bCs w:val="1"/>
                <w:color w:val="auto"/>
              </w:rPr>
              <w:t>2002</w:t>
            </w: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Investments, at fair value-</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collective trust funds</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$833,550,215</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$685,772,099</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4,937,729</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3,902,643</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Corporate stocks</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6,765,165</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3,370,845</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Waste Management, Inc. common stock</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102,445,458</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86,754,860</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Convertible notes</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1,048,309</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1,092,330</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6,796,257</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5,158,695</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Limited partnerships</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86,178</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31,257</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00" w:type="dxa"/>
            <w:vAlign w:val="bottom"/>
            <w:vMerge w:val="restart"/>
          </w:tcPr>
          <w:p>
            <w:pPr>
              <w:ind w:left="400"/>
              <w:spacing w:after="0"/>
              <w:rPr>
                <w:sz w:val="20"/>
                <w:szCs w:val="20"/>
                <w:color w:val="auto"/>
              </w:rPr>
            </w:pPr>
            <w:r>
              <w:rPr>
                <w:rFonts w:ascii="Arial" w:cs="Arial" w:eastAsia="Arial" w:hAnsi="Arial"/>
                <w:sz w:val="18"/>
                <w:szCs w:val="18"/>
                <w:color w:val="auto"/>
              </w:rPr>
              <w:t>Total investments</w:t>
            </w:r>
          </w:p>
        </w:tc>
        <w:tc>
          <w:tcPr>
            <w:tcW w:w="112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4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112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955,629,311</w:t>
            </w:r>
          </w:p>
        </w:tc>
        <w:tc>
          <w:tcPr>
            <w:tcW w:w="14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5"/>
              </w:rPr>
              <w:t>786,082,729</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9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Securities sold receivable</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175,701</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Interest receivable</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834,956</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1,631,527</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Cash, non-interest bearing</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tcPr>
          <w:p>
            <w:pPr>
              <w:spacing w:after="0"/>
              <w:rPr>
                <w:sz w:val="20"/>
                <w:szCs w:val="20"/>
                <w:color w:val="auto"/>
              </w:rPr>
            </w:pPr>
          </w:p>
        </w:tc>
        <w:tc>
          <w:tcPr>
            <w:tcW w:w="9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44,111</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assets</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956,639,968</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787,758,367</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Liabilities-</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Administrative fees payable</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831,419</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1,310,052</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Securities purchased payable</w:t>
            </w:r>
          </w:p>
        </w:tc>
        <w:tc>
          <w:tcPr>
            <w:tcW w:w="1120" w:type="dxa"/>
            <w:vAlign w:val="bottom"/>
            <w:gridSpan w:val="2"/>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154,080</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liabilities</w:t>
            </w:r>
          </w:p>
        </w:tc>
        <w:tc>
          <w:tcPr>
            <w:tcW w:w="1120" w:type="dxa"/>
            <w:vAlign w:val="bottom"/>
            <w:tcBorders>
              <w:right w:val="single" w:sz="8" w:color="EEEEEE"/>
            </w:tcBorders>
            <w:gridSpan w:val="2"/>
            <w:shd w:val="clear" w:color="auto" w:fill="EEEEEE"/>
          </w:tcPr>
          <w:p>
            <w:pPr>
              <w:spacing w:after="0"/>
              <w:rPr>
                <w:sz w:val="18"/>
                <w:szCs w:val="18"/>
                <w:color w:val="auto"/>
              </w:rPr>
            </w:pPr>
          </w:p>
        </w:tc>
        <w:tc>
          <w:tcPr>
            <w:tcW w:w="92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985,499</w:t>
            </w:r>
          </w:p>
        </w:tc>
        <w:tc>
          <w:tcPr>
            <w:tcW w:w="1400" w:type="dxa"/>
            <w:vAlign w:val="bottom"/>
            <w:tcBorders>
              <w:right w:val="single" w:sz="8" w:color="EEEEEE"/>
            </w:tcBorders>
            <w:gridSpan w:val="3"/>
            <w:shd w:val="clear" w:color="auto" w:fill="EEEEEE"/>
          </w:tcPr>
          <w:p>
            <w:pPr>
              <w:spacing w:after="0"/>
              <w:rPr>
                <w:sz w:val="18"/>
                <w:szCs w:val="18"/>
                <w:color w:val="auto"/>
              </w:rPr>
            </w:pPr>
          </w:p>
        </w:tc>
        <w:tc>
          <w:tcPr>
            <w:tcW w:w="900" w:type="dxa"/>
            <w:vAlign w:val="bottom"/>
            <w:tcBorders>
              <w:top w:val="single" w:sz="8" w:color="808080"/>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1,310,052</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40" w:type="dxa"/>
            <w:vAlign w:val="bottom"/>
          </w:tcPr>
          <w:p>
            <w:pPr>
              <w:spacing w:after="0"/>
              <w:rPr>
                <w:sz w:val="19"/>
                <w:szCs w:val="19"/>
                <w:color w:val="auto"/>
              </w:rPr>
            </w:pPr>
          </w:p>
        </w:tc>
        <w:tc>
          <w:tcPr>
            <w:tcW w:w="3700" w:type="dxa"/>
            <w:vAlign w:val="bottom"/>
          </w:tcPr>
          <w:p>
            <w:pPr>
              <w:ind w:left="400"/>
              <w:spacing w:after="0"/>
              <w:rPr>
                <w:sz w:val="20"/>
                <w:szCs w:val="20"/>
                <w:color w:val="auto"/>
              </w:rPr>
            </w:pPr>
            <w:r>
              <w:rPr>
                <w:rFonts w:ascii="Arial" w:cs="Arial" w:eastAsia="Arial" w:hAnsi="Arial"/>
                <w:sz w:val="18"/>
                <w:szCs w:val="18"/>
                <w:color w:val="auto"/>
              </w:rPr>
              <w:t>Total net assets</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955,654,469</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5"/>
              </w:rPr>
              <w:t>786,448,315</w:t>
            </w: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1440" w:type="dxa"/>
            <w:vAlign w:val="bottom"/>
          </w:tcPr>
          <w:p>
            <w:pPr>
              <w:spacing w:after="0"/>
              <w:rPr>
                <w:sz w:val="6"/>
                <w:szCs w:val="6"/>
                <w:color w:val="auto"/>
              </w:rPr>
            </w:pPr>
          </w:p>
        </w:tc>
        <w:tc>
          <w:tcPr>
            <w:tcW w:w="3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Borders>
              <w:right w:val="single" w:sz="8" w:color="808080"/>
            </w:tcBorders>
          </w:tcPr>
          <w:p>
            <w:pPr>
              <w:spacing w:after="0"/>
              <w:rPr>
                <w:sz w:val="6"/>
                <w:szCs w:val="6"/>
                <w:color w:val="auto"/>
              </w:rPr>
            </w:pPr>
          </w:p>
        </w:tc>
        <w:tc>
          <w:tcPr>
            <w:tcW w:w="920" w:type="dxa"/>
            <w:vAlign w:val="bottom"/>
            <w:tcBorders>
              <w:right w:val="single" w:sz="8" w:color="808080"/>
            </w:tcBorders>
            <w:shd w:val="clear" w:color="auto" w:fill="808080"/>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Borders>
              <w:right w:val="single" w:sz="8" w:color="808080"/>
            </w:tcBorders>
          </w:tcPr>
          <w:p>
            <w:pPr>
              <w:spacing w:after="0"/>
              <w:rPr>
                <w:sz w:val="6"/>
                <w:szCs w:val="6"/>
                <w:color w:val="auto"/>
              </w:rPr>
            </w:pPr>
          </w:p>
        </w:tc>
        <w:tc>
          <w:tcPr>
            <w:tcW w:w="900" w:type="dxa"/>
            <w:vAlign w:val="bottom"/>
            <w:tcBorders>
              <w:right w:val="single" w:sz="8" w:color="808080"/>
            </w:tcBorders>
            <w:shd w:val="clear" w:color="auto" w:fill="808080"/>
          </w:tcPr>
          <w:p>
            <w:pPr>
              <w:spacing w:after="0"/>
              <w:rPr>
                <w:sz w:val="6"/>
                <w:szCs w:val="6"/>
                <w:color w:val="auto"/>
              </w:rPr>
            </w:pPr>
          </w:p>
        </w:tc>
        <w:tc>
          <w:tcPr>
            <w:tcW w:w="5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440" w:type="dxa"/>
            <w:vAlign w:val="bottom"/>
          </w:tcPr>
          <w:p>
            <w:pPr>
              <w:spacing w:after="0"/>
              <w:rPr>
                <w:sz w:val="19"/>
                <w:szCs w:val="19"/>
                <w:color w:val="auto"/>
              </w:rPr>
            </w:pPr>
          </w:p>
        </w:tc>
        <w:tc>
          <w:tcPr>
            <w:tcW w:w="370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92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900" w:type="dxa"/>
            <w:vAlign w:val="bottom"/>
            <w:tcBorders>
              <w:righ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Plan interest</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$953,933,282</w:t>
            </w:r>
          </w:p>
        </w:tc>
        <w:tc>
          <w:tcPr>
            <w:tcW w:w="2300" w:type="dxa"/>
            <w:vAlign w:val="bottom"/>
            <w:gridSpan w:val="4"/>
          </w:tcPr>
          <w:p>
            <w:pPr>
              <w:jc w:val="right"/>
              <w:spacing w:after="0"/>
              <w:rPr>
                <w:sz w:val="20"/>
                <w:szCs w:val="20"/>
                <w:color w:val="auto"/>
              </w:rPr>
            </w:pPr>
            <w:r>
              <w:rPr>
                <w:rFonts w:ascii="Arial" w:cs="Arial" w:eastAsia="Arial" w:hAnsi="Arial"/>
                <w:sz w:val="18"/>
                <w:szCs w:val="18"/>
                <w:color w:val="auto"/>
              </w:rPr>
              <w:t>$785,743,863</w:t>
            </w: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8"/>
                <w:szCs w:val="18"/>
                <w:color w:val="auto"/>
              </w:rPr>
              <w:t>Union Plan interest</w:t>
            </w:r>
          </w:p>
        </w:tc>
        <w:tc>
          <w:tcPr>
            <w:tcW w:w="20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1,721,187</w:t>
            </w:r>
          </w:p>
        </w:tc>
        <w:tc>
          <w:tcPr>
            <w:tcW w:w="230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704,452</w:t>
            </w:r>
          </w:p>
        </w:tc>
        <w:tc>
          <w:tcPr>
            <w:tcW w:w="5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4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6740" w:type="dxa"/>
            <w:vAlign w:val="bottom"/>
          </w:tcPr>
          <w:p>
            <w:pPr>
              <w:jc w:val="center"/>
              <w:ind w:left="1730"/>
              <w:spacing w:after="0"/>
              <w:rPr>
                <w:sz w:val="20"/>
                <w:szCs w:val="20"/>
                <w:color w:val="auto"/>
              </w:rPr>
            </w:pPr>
            <w:r>
              <w:rPr>
                <w:rFonts w:ascii="Arial" w:cs="Arial" w:eastAsia="Arial" w:hAnsi="Arial"/>
                <w:sz w:val="18"/>
                <w:szCs w:val="18"/>
                <w:color w:val="auto"/>
                <w:w w:val="88"/>
              </w:rPr>
              <w:t>Waste Management Retirement Savings Plan</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05"/>
        </w:trPr>
        <w:tc>
          <w:tcPr>
            <w:tcW w:w="1440" w:type="dxa"/>
            <w:vAlign w:val="bottom"/>
          </w:tcPr>
          <w:p>
            <w:pPr>
              <w:spacing w:after="0"/>
              <w:rPr>
                <w:sz w:val="24"/>
                <w:szCs w:val="24"/>
                <w:color w:val="auto"/>
              </w:rPr>
            </w:pPr>
          </w:p>
        </w:tc>
        <w:tc>
          <w:tcPr>
            <w:tcW w:w="6740" w:type="dxa"/>
            <w:vAlign w:val="bottom"/>
          </w:tcPr>
          <w:p>
            <w:pPr>
              <w:jc w:val="center"/>
              <w:ind w:left="1710"/>
              <w:spacing w:after="0"/>
              <w:rPr>
                <w:sz w:val="20"/>
                <w:szCs w:val="20"/>
                <w:color w:val="auto"/>
              </w:rPr>
            </w:pPr>
            <w:r>
              <w:rPr>
                <w:rFonts w:ascii="Arial" w:cs="Arial" w:eastAsia="Arial" w:hAnsi="Arial"/>
                <w:sz w:val="18"/>
                <w:szCs w:val="18"/>
                <w:color w:val="auto"/>
                <w:w w:val="92"/>
              </w:rPr>
              <w:t>For Bargaining Unit Employees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1440" w:type="dxa"/>
            <w:vAlign w:val="bottom"/>
          </w:tcPr>
          <w:p>
            <w:pPr>
              <w:spacing w:after="0"/>
              <w:rPr>
                <w:sz w:val="24"/>
                <w:szCs w:val="24"/>
                <w:color w:val="auto"/>
              </w:rPr>
            </w:pPr>
          </w:p>
        </w:tc>
        <w:tc>
          <w:tcPr>
            <w:tcW w:w="6740" w:type="dxa"/>
            <w:vAlign w:val="bottom"/>
          </w:tcPr>
          <w:p>
            <w:pPr>
              <w:jc w:val="center"/>
              <w:ind w:left="1710"/>
              <w:spacing w:after="0"/>
              <w:rPr>
                <w:sz w:val="20"/>
                <w:szCs w:val="20"/>
                <w:color w:val="auto"/>
              </w:rPr>
            </w:pPr>
            <w:r>
              <w:rPr>
                <w:rFonts w:ascii="Arial" w:cs="Arial" w:eastAsia="Arial" w:hAnsi="Arial"/>
                <w:sz w:val="18"/>
                <w:szCs w:val="18"/>
                <w:color w:val="auto"/>
                <w:w w:val="90"/>
              </w:rPr>
              <w:t>Notes to Financial Statements (continued)</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92"/>
        </w:trPr>
        <w:tc>
          <w:tcPr>
            <w:tcW w:w="8180" w:type="dxa"/>
            <w:vAlign w:val="bottom"/>
            <w:gridSpan w:val="2"/>
          </w:tcPr>
          <w:p>
            <w:pPr>
              <w:spacing w:after="0"/>
              <w:rPr>
                <w:sz w:val="20"/>
                <w:szCs w:val="20"/>
                <w:color w:val="auto"/>
              </w:rPr>
            </w:pPr>
            <w:r>
              <w:rPr>
                <w:rFonts w:ascii="Arial" w:cs="Arial" w:eastAsia="Arial" w:hAnsi="Arial"/>
                <w:sz w:val="18"/>
                <w:szCs w:val="18"/>
                <w:color w:val="auto"/>
                <w:w w:val="92"/>
              </w:rPr>
              <w:t>Income or loss from investments held in the Master Trust for the year ended December 31, 2003, is as follows: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05"/>
        </w:trPr>
        <w:tc>
          <w:tcPr>
            <w:tcW w:w="14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11,437,962</w:t>
            </w:r>
          </w:p>
        </w:tc>
        <w:tc>
          <w:tcPr>
            <w:tcW w:w="6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132,960</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Dividends — Waste Management, Inc. common stock</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35,863</w:t>
            </w:r>
          </w:p>
        </w:tc>
        <w:tc>
          <w:tcPr>
            <w:tcW w:w="6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1,318,906</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appreciation/(depreciation) in fair value of-</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Common collective trust funds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112,479,793</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Corporate stock</w:t>
            </w:r>
          </w:p>
        </w:tc>
        <w:tc>
          <w:tcPr>
            <w:tcW w:w="3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(1,636,238)</w:t>
            </w:r>
          </w:p>
        </w:tc>
      </w:tr>
      <w:tr>
        <w:trPr>
          <w:trHeight w:val="216"/>
        </w:trPr>
        <w:tc>
          <w:tcPr>
            <w:tcW w:w="144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Waste Management, Inc. common stock</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24,194,033</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Convertible notes</w:t>
            </w: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96,338</w:t>
            </w:r>
          </w:p>
        </w:tc>
        <w:tc>
          <w:tcPr>
            <w:tcW w:w="6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260"/>
              <w:spacing w:after="0"/>
              <w:rPr>
                <w:sz w:val="20"/>
                <w:szCs w:val="20"/>
                <w:color w:val="auto"/>
              </w:rPr>
            </w:pPr>
            <w:r>
              <w:rPr>
                <w:rFonts w:ascii="Arial" w:cs="Arial" w:eastAsia="Arial" w:hAnsi="Arial"/>
                <w:sz w:val="18"/>
                <w:szCs w:val="18"/>
                <w:color w:val="auto"/>
              </w:rPr>
              <w:t>Limited partnerships</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19,634</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Mutual funds</w:t>
            </w:r>
          </w:p>
        </w:tc>
        <w:tc>
          <w:tcPr>
            <w:tcW w:w="300" w:type="dxa"/>
            <w:vAlign w:val="bottom"/>
            <w:shd w:val="clear" w:color="auto" w:fill="EEEEEE"/>
          </w:tcPr>
          <w:p>
            <w:pPr>
              <w:spacing w:after="0"/>
              <w:rPr>
                <w:sz w:val="18"/>
                <w:szCs w:val="18"/>
                <w:color w:val="auto"/>
              </w:rPr>
            </w:pP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1,695,200</w:t>
            </w:r>
          </w:p>
        </w:tc>
        <w:tc>
          <w:tcPr>
            <w:tcW w:w="600" w:type="dxa"/>
            <w:vAlign w:val="bottom"/>
            <w:shd w:val="clear" w:color="auto" w:fill="EEEEEE"/>
          </w:tcPr>
          <w:p>
            <w:pPr>
              <w:spacing w:after="0"/>
              <w:rPr>
                <w:sz w:val="18"/>
                <w:szCs w:val="18"/>
                <w:color w:val="auto"/>
              </w:rPr>
            </w:pPr>
          </w:p>
        </w:tc>
      </w:tr>
      <w:tr>
        <w:trPr>
          <w:trHeight w:val="237"/>
        </w:trPr>
        <w:tc>
          <w:tcPr>
            <w:tcW w:w="1440" w:type="dxa"/>
            <w:vAlign w:val="bottom"/>
          </w:tcPr>
          <w:p>
            <w:pPr>
              <w:spacing w:after="0"/>
              <w:rPr>
                <w:sz w:val="20"/>
                <w:szCs w:val="20"/>
                <w:color w:val="auto"/>
              </w:rPr>
            </w:pPr>
          </w:p>
        </w:tc>
        <w:tc>
          <w:tcPr>
            <w:tcW w:w="6740" w:type="dxa"/>
            <w:vAlign w:val="bottom"/>
          </w:tcPr>
          <w:p>
            <w:pPr>
              <w:ind w:left="400"/>
              <w:spacing w:after="0"/>
              <w:rPr>
                <w:sz w:val="20"/>
                <w:szCs w:val="20"/>
                <w:color w:val="auto"/>
              </w:rPr>
            </w:pPr>
            <w:r>
              <w:rPr>
                <w:rFonts w:ascii="Arial" w:cs="Arial" w:eastAsia="Arial" w:hAnsi="Arial"/>
                <w:sz w:val="18"/>
                <w:szCs w:val="18"/>
                <w:color w:val="auto"/>
              </w:rPr>
              <w:t>Total net appreciation in fair value of investments</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136,848,760</w:t>
            </w:r>
          </w:p>
        </w:tc>
        <w:tc>
          <w:tcPr>
            <w:tcW w:w="60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540"/>
              <w:spacing w:after="0"/>
              <w:rPr>
                <w:sz w:val="20"/>
                <w:szCs w:val="20"/>
                <w:color w:val="auto"/>
              </w:rPr>
            </w:pPr>
            <w:r>
              <w:rPr>
                <w:rFonts w:ascii="Arial" w:cs="Arial" w:eastAsia="Arial" w:hAnsi="Arial"/>
                <w:sz w:val="18"/>
                <w:szCs w:val="18"/>
                <w:color w:val="auto"/>
              </w:rPr>
              <w:t>Total investment gain</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149,774,451</w:t>
            </w:r>
          </w:p>
        </w:tc>
        <w:tc>
          <w:tcPr>
            <w:tcW w:w="60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Administrative fees</w:t>
            </w:r>
          </w:p>
        </w:tc>
        <w:tc>
          <w:tcPr>
            <w:tcW w:w="3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(2,818,306)</w:t>
            </w:r>
          </w:p>
        </w:tc>
      </w:tr>
      <w:tr>
        <w:trPr>
          <w:trHeight w:val="21"/>
        </w:trPr>
        <w:tc>
          <w:tcPr>
            <w:tcW w:w="14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3"/>
        </w:trPr>
        <w:tc>
          <w:tcPr>
            <w:tcW w:w="1440" w:type="dxa"/>
            <w:vAlign w:val="bottom"/>
          </w:tcPr>
          <w:p>
            <w:pPr>
              <w:spacing w:after="0"/>
              <w:rPr>
                <w:sz w:val="22"/>
                <w:szCs w:val="22"/>
                <w:color w:val="auto"/>
              </w:rPr>
            </w:pPr>
          </w:p>
        </w:tc>
        <w:tc>
          <w:tcPr>
            <w:tcW w:w="6740" w:type="dxa"/>
            <w:vAlign w:val="bottom"/>
            <w:tcBorders>
              <w:bottom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gain</w:t>
            </w:r>
          </w:p>
        </w:tc>
        <w:tc>
          <w:tcPr>
            <w:tcW w:w="3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146,956,145</w:t>
            </w:r>
          </w:p>
        </w:tc>
        <w:tc>
          <w:tcPr>
            <w:tcW w:w="600" w:type="dxa"/>
            <w:vAlign w:val="bottom"/>
            <w:tcBorders>
              <w:bottom w:val="single" w:sz="8" w:color="EEEEEE"/>
            </w:tcBorders>
            <w:shd w:val="clear" w:color="auto" w:fill="EEEEEE"/>
          </w:tcPr>
          <w:p>
            <w:pPr>
              <w:spacing w:after="0"/>
              <w:rPr>
                <w:sz w:val="22"/>
                <w:szCs w:val="22"/>
                <w:color w:val="auto"/>
              </w:rPr>
            </w:pPr>
          </w:p>
        </w:tc>
      </w:tr>
      <w:tr>
        <w:trPr>
          <w:trHeight w:val="240"/>
        </w:trPr>
        <w:tc>
          <w:tcPr>
            <w:tcW w:w="14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6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Non-Union Plan interest in net investment gain from the Master Trust</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146,653,851</w:t>
            </w:r>
          </w:p>
        </w:tc>
        <w:tc>
          <w:tcPr>
            <w:tcW w:w="600" w:type="dxa"/>
            <w:vAlign w:val="bottom"/>
            <w:shd w:val="clear" w:color="auto" w:fill="EEEEEE"/>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6740" w:type="dxa"/>
            <w:vAlign w:val="bottom"/>
          </w:tcPr>
          <w:p>
            <w:pPr>
              <w:ind w:left="140"/>
              <w:spacing w:after="0"/>
              <w:rPr>
                <w:sz w:val="20"/>
                <w:szCs w:val="20"/>
                <w:color w:val="auto"/>
              </w:rPr>
            </w:pPr>
            <w:r>
              <w:rPr>
                <w:rFonts w:ascii="Arial" w:cs="Arial" w:eastAsia="Arial" w:hAnsi="Arial"/>
                <w:sz w:val="18"/>
                <w:szCs w:val="18"/>
                <w:color w:val="auto"/>
              </w:rPr>
              <w:t>Plan interest in investment gain from the Master Trust</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302,294</w:t>
            </w:r>
          </w:p>
        </w:tc>
        <w:tc>
          <w:tcPr>
            <w:tcW w:w="600" w:type="dxa"/>
            <w:vAlign w:val="bottom"/>
          </w:tcPr>
          <w:p>
            <w:pPr>
              <w:spacing w:after="0"/>
              <w:rPr>
                <w:sz w:val="20"/>
                <w:szCs w:val="20"/>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Plan Mergers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During 2003, the assets from plans of acquired companies were merged into the Plan. The following sets forth mergers during 2003:</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4180" w:type="dxa"/>
            <w:vAlign w:val="bottom"/>
            <w:shd w:val="clear" w:color="auto" w:fill="EEEEEE"/>
          </w:tcPr>
          <w:p>
            <w:pPr>
              <w:jc w:val="right"/>
              <w:ind w:right="930"/>
              <w:spacing w:after="0"/>
              <w:rPr>
                <w:sz w:val="20"/>
                <w:szCs w:val="20"/>
                <w:color w:val="auto"/>
              </w:rPr>
            </w:pPr>
            <w:r>
              <w:rPr>
                <w:rFonts w:ascii="Arial" w:cs="Arial" w:eastAsia="Arial" w:hAnsi="Arial"/>
                <w:sz w:val="18"/>
                <w:szCs w:val="18"/>
                <w:color w:val="auto"/>
                <w:w w:val="92"/>
              </w:rPr>
              <w:t>CWM Chemical Services, LLC 401(k) Plan</w:t>
            </w:r>
          </w:p>
        </w:tc>
        <w:tc>
          <w:tcPr>
            <w:tcW w:w="1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$379,801</w:t>
            </w:r>
          </w:p>
        </w:tc>
        <w:tc>
          <w:tcPr>
            <w:tcW w:w="420" w:type="dxa"/>
            <w:vAlign w:val="bottom"/>
            <w:tcBorders>
              <w:left w:val="single" w:sz="8" w:color="EEEEEE"/>
            </w:tcBorders>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580" w:type="dxa"/>
            <w:vAlign w:val="bottom"/>
          </w:tcPr>
          <w:p>
            <w:pPr>
              <w:spacing w:after="0"/>
              <w:rPr>
                <w:sz w:val="20"/>
                <w:szCs w:val="20"/>
                <w:color w:val="auto"/>
              </w:rPr>
            </w:pPr>
          </w:p>
        </w:tc>
        <w:tc>
          <w:tcPr>
            <w:tcW w:w="4180" w:type="dxa"/>
            <w:vAlign w:val="bottom"/>
          </w:tcPr>
          <w:p>
            <w:pPr>
              <w:jc w:val="right"/>
              <w:ind w:right="2610"/>
              <w:spacing w:after="0"/>
              <w:rPr>
                <w:sz w:val="20"/>
                <w:szCs w:val="20"/>
                <w:color w:val="auto"/>
              </w:rPr>
            </w:pPr>
            <w:r>
              <w:rPr>
                <w:rFonts w:ascii="Arial" w:cs="Arial" w:eastAsia="Arial" w:hAnsi="Arial"/>
                <w:sz w:val="18"/>
                <w:szCs w:val="18"/>
                <w:color w:val="auto"/>
                <w:w w:val="97"/>
              </w:rPr>
              <w:t>Total plan mergers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$379,801</w:t>
            </w:r>
          </w:p>
        </w:tc>
        <w:tc>
          <w:tcPr>
            <w:tcW w:w="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6760" w:type="dxa"/>
            <w:vAlign w:val="bottom"/>
            <w:gridSpan w:val="2"/>
            <w:vMerge w:val="restart"/>
          </w:tcPr>
          <w:p>
            <w:pPr>
              <w:jc w:val="right"/>
              <w:ind w:right="910"/>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676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 (continued)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Federal Income Taxes</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Plan has received a determination letter from the Internal Revenue Service (“IRS”) dated November 31, 2001, stating that the Plan is qualified under Section 401(a) of the Internal Revenue Code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Although it has not expressed any intention to do so, subject to the terms of any applicable collective bargaining agreement, the Company has the right to terminate the Plan subject to the provisions of ERISA.</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color w:val="auto"/>
        </w:rPr>
        <w:t>Supplemental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429260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4(a) — Schedule of Delinquent Participant Contributions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PN: 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5"/>
              </w:rPr>
              <w:t>Participant Contributions</w:t>
            </w:r>
          </w:p>
        </w:tc>
        <w:tc>
          <w:tcPr>
            <w:tcW w:w="300" w:type="dxa"/>
            <w:vAlign w:val="bottom"/>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3"/>
              </w:rPr>
              <w:t>Total that Constitute Non Exempt</w:t>
            </w:r>
          </w:p>
        </w:tc>
        <w:tc>
          <w:tcPr>
            <w:tcW w:w="2560" w:type="dxa"/>
            <w:vAlign w:val="bottom"/>
          </w:tcPr>
          <w:p>
            <w:pPr>
              <w:spacing w:after="0"/>
              <w:rPr>
                <w:sz w:val="14"/>
                <w:szCs w:val="14"/>
                <w:color w:val="auto"/>
              </w:rPr>
            </w:pPr>
          </w:p>
        </w:tc>
      </w:tr>
      <w:tr>
        <w:trPr>
          <w:trHeight w:val="186"/>
        </w:trPr>
        <w:tc>
          <w:tcPr>
            <w:tcW w:w="2580" w:type="dxa"/>
            <w:vAlign w:val="bottom"/>
          </w:tcPr>
          <w:p>
            <w:pPr>
              <w:spacing w:after="0"/>
              <w:rPr>
                <w:sz w:val="16"/>
                <w:szCs w:val="16"/>
                <w:color w:val="auto"/>
              </w:rPr>
            </w:pPr>
          </w:p>
        </w:tc>
        <w:tc>
          <w:tcPr>
            <w:tcW w:w="2980" w:type="dxa"/>
            <w:vAlign w:val="bottom"/>
          </w:tcPr>
          <w:p>
            <w:pPr>
              <w:jc w:val="center"/>
              <w:spacing w:after="0"/>
              <w:rPr>
                <w:sz w:val="20"/>
                <w:szCs w:val="20"/>
                <w:color w:val="auto"/>
              </w:rPr>
            </w:pPr>
            <w:r>
              <w:rPr>
                <w:rFonts w:ascii="Arial" w:cs="Arial" w:eastAsia="Arial" w:hAnsi="Arial"/>
                <w:sz w:val="14"/>
                <w:szCs w:val="14"/>
                <w:b w:val="1"/>
                <w:bCs w:val="1"/>
                <w:color w:val="auto"/>
                <w:w w:val="93"/>
              </w:rPr>
              <w:t>Transferred toe Late to Plan</w:t>
            </w:r>
          </w:p>
        </w:tc>
        <w:tc>
          <w:tcPr>
            <w:tcW w:w="30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3"/>
              </w:rPr>
              <w:t>Prohibitive Transactions</w:t>
            </w:r>
          </w:p>
        </w:tc>
        <w:tc>
          <w:tcPr>
            <w:tcW w:w="2560" w:type="dxa"/>
            <w:vAlign w:val="bottom"/>
          </w:tcPr>
          <w:p>
            <w:pPr>
              <w:spacing w:after="0"/>
              <w:rPr>
                <w:sz w:val="16"/>
                <w:szCs w:val="16"/>
                <w:color w:val="auto"/>
              </w:rPr>
            </w:pPr>
          </w:p>
        </w:tc>
      </w:tr>
      <w:tr>
        <w:trPr>
          <w:trHeight w:val="53"/>
        </w:trPr>
        <w:tc>
          <w:tcPr>
            <w:tcW w:w="2580" w:type="dxa"/>
            <w:vAlign w:val="bottom"/>
          </w:tcPr>
          <w:p>
            <w:pPr>
              <w:spacing w:after="0"/>
              <w:rPr>
                <w:sz w:val="4"/>
                <w:szCs w:val="4"/>
                <w:color w:val="auto"/>
              </w:rPr>
            </w:pPr>
          </w:p>
        </w:tc>
        <w:tc>
          <w:tcPr>
            <w:tcW w:w="29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00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r>
      <w:tr>
        <w:trPr>
          <w:trHeight w:val="291"/>
        </w:trPr>
        <w:tc>
          <w:tcPr>
            <w:tcW w:w="2580" w:type="dxa"/>
            <w:vAlign w:val="bottom"/>
          </w:tcPr>
          <w:p>
            <w:pPr>
              <w:spacing w:after="0"/>
              <w:rPr>
                <w:sz w:val="24"/>
                <w:szCs w:val="24"/>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$7,402</w:t>
            </w:r>
          </w:p>
        </w:tc>
        <w:tc>
          <w:tcPr>
            <w:tcW w:w="3300" w:type="dxa"/>
            <w:vAlign w:val="bottom"/>
            <w:gridSpan w:val="2"/>
          </w:tcPr>
          <w:p>
            <w:pPr>
              <w:jc w:val="center"/>
              <w:ind w:left="190"/>
              <w:spacing w:after="0"/>
              <w:rPr>
                <w:sz w:val="20"/>
                <w:szCs w:val="20"/>
                <w:color w:val="auto"/>
              </w:rPr>
            </w:pPr>
            <w:r>
              <w:rPr>
                <w:rFonts w:ascii="Arial" w:cs="Arial" w:eastAsia="Arial" w:hAnsi="Arial"/>
                <w:sz w:val="18"/>
                <w:szCs w:val="18"/>
                <w:color w:val="auto"/>
                <w:w w:val="90"/>
              </w:rPr>
              <w:t>$7,402</w:t>
            </w:r>
          </w:p>
        </w:tc>
        <w:tc>
          <w:tcPr>
            <w:tcW w:w="2560" w:type="dxa"/>
            <w:vAlign w:val="bottom"/>
          </w:tcPr>
          <w:p>
            <w:pPr>
              <w:spacing w:after="0"/>
              <w:rPr>
                <w:sz w:val="24"/>
                <w:szCs w:val="24"/>
                <w:color w:val="auto"/>
              </w:rPr>
            </w:pPr>
          </w:p>
        </w:tc>
      </w:tr>
      <w:tr>
        <w:trPr>
          <w:trHeight w:val="392"/>
        </w:trPr>
        <w:tc>
          <w:tcPr>
            <w:tcW w:w="2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10</w:t>
            </w:r>
          </w:p>
        </w:tc>
        <w:tc>
          <w:tcPr>
            <w:tcW w:w="30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Bargaining Unit Employees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36-2660763 PN: 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Identity of Issue</w:t>
            </w:r>
          </w:p>
        </w:tc>
        <w:tc>
          <w:tcPr>
            <w:tcW w:w="38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1"/>
              </w:rPr>
              <w:t>Description of Investment</w:t>
            </w:r>
          </w:p>
        </w:tc>
        <w:tc>
          <w:tcPr>
            <w:tcW w:w="360" w:type="dxa"/>
            <w:vAlign w:val="bottom"/>
          </w:tcPr>
          <w:p>
            <w:pPr>
              <w:spacing w:after="0"/>
              <w:rPr>
                <w:sz w:val="16"/>
                <w:szCs w:val="16"/>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Current Value</w:t>
            </w:r>
          </w:p>
        </w:tc>
        <w:tc>
          <w:tcPr>
            <w:tcW w:w="2000" w:type="dxa"/>
            <w:vAlign w:val="bottom"/>
          </w:tcPr>
          <w:p>
            <w:pPr>
              <w:spacing w:after="0"/>
              <w:rPr>
                <w:sz w:val="16"/>
                <w:szCs w:val="16"/>
                <w:color w:val="auto"/>
              </w:rPr>
            </w:pPr>
          </w:p>
        </w:tc>
      </w:tr>
      <w:tr>
        <w:trPr>
          <w:trHeight w:val="53"/>
        </w:trPr>
        <w:tc>
          <w:tcPr>
            <w:tcW w:w="2000" w:type="dxa"/>
            <w:vAlign w:val="bottom"/>
          </w:tcPr>
          <w:p>
            <w:pPr>
              <w:spacing w:after="0"/>
              <w:rPr>
                <w:sz w:val="4"/>
                <w:szCs w:val="4"/>
                <w:color w:val="auto"/>
              </w:rPr>
            </w:pPr>
          </w:p>
        </w:tc>
        <w:tc>
          <w:tcPr>
            <w:tcW w:w="224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22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22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r>
      <w:tr>
        <w:trPr>
          <w:trHeight w:val="276"/>
        </w:trPr>
        <w:tc>
          <w:tcPr>
            <w:tcW w:w="20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*Participant Loans</w:t>
            </w:r>
          </w:p>
        </w:tc>
        <w:tc>
          <w:tcPr>
            <w:tcW w:w="38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Various maturity dates with</w:t>
            </w:r>
          </w:p>
        </w:tc>
        <w:tc>
          <w:tcPr>
            <w:tcW w:w="2580" w:type="dxa"/>
            <w:vAlign w:val="bottom"/>
            <w:gridSpan w:val="2"/>
          </w:tcPr>
          <w:p>
            <w:pPr>
              <w:jc w:val="right"/>
              <w:ind w:right="748"/>
              <w:spacing w:after="0"/>
              <w:rPr>
                <w:sz w:val="20"/>
                <w:szCs w:val="20"/>
                <w:color w:val="auto"/>
              </w:rPr>
            </w:pPr>
            <w:r>
              <w:rPr>
                <w:rFonts w:ascii="Arial" w:cs="Arial" w:eastAsia="Arial" w:hAnsi="Arial"/>
                <w:sz w:val="18"/>
                <w:szCs w:val="18"/>
                <w:color w:val="auto"/>
              </w:rPr>
              <w:t>$75,873</w:t>
            </w:r>
          </w:p>
        </w:tc>
        <w:tc>
          <w:tcPr>
            <w:tcW w:w="2000" w:type="dxa"/>
            <w:vAlign w:val="bottom"/>
          </w:tcPr>
          <w:p>
            <w:pPr>
              <w:spacing w:after="0"/>
              <w:rPr>
                <w:sz w:val="24"/>
                <w:szCs w:val="24"/>
                <w:color w:val="auto"/>
              </w:rPr>
            </w:pPr>
          </w:p>
        </w:tc>
      </w:tr>
      <w:tr>
        <w:trPr>
          <w:trHeight w:val="216"/>
        </w:trPr>
        <w:tc>
          <w:tcPr>
            <w:tcW w:w="2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interest rates ranging from</w:t>
            </w:r>
          </w:p>
        </w:tc>
        <w:tc>
          <w:tcPr>
            <w:tcW w:w="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5.0% to 9.5%</w:t>
            </w:r>
          </w:p>
        </w:tc>
        <w:tc>
          <w:tcPr>
            <w:tcW w:w="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92"/>
        </w:trPr>
        <w:tc>
          <w:tcPr>
            <w:tcW w:w="4240" w:type="dxa"/>
            <w:vAlign w:val="bottom"/>
            <w:gridSpan w:val="2"/>
          </w:tcPr>
          <w:p>
            <w:pPr>
              <w:spacing w:after="0"/>
              <w:rPr>
                <w:sz w:val="20"/>
                <w:szCs w:val="20"/>
                <w:color w:val="auto"/>
              </w:rPr>
            </w:pPr>
            <w:r>
              <w:rPr>
                <w:rFonts w:ascii="Arial" w:cs="Arial" w:eastAsia="Arial" w:hAnsi="Arial"/>
                <w:sz w:val="18"/>
                <w:szCs w:val="18"/>
                <w:color w:val="auto"/>
              </w:rPr>
              <w:t>*Party-in-interest</w:t>
            </w:r>
          </w:p>
        </w:tc>
        <w:tc>
          <w:tcPr>
            <w:tcW w:w="3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05"/>
        </w:trPr>
        <w:tc>
          <w:tcPr>
            <w:tcW w:w="20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60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11</w:t>
            </w:r>
          </w:p>
        </w:tc>
        <w:tc>
          <w:tcPr>
            <w:tcW w:w="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2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undersigned registrant hereby amends and restates its Annual Report on Form 11-K for the year ended December 31, 2003 (the “11-K”) to reflect a correction in the Report of Independent Registered Public Accounting Firm included in the 11-K. The Report of Independent Registered Public Accountant as filed contained a typographical error, which has been corrected in this filing. There were no other changes to the previously filed financial statements of the Waste Management Retirement Savings Plan for Bargaining Unit Employees as of December 31, 2003 and 2002 and for the year ended December 31, 2003, other than to correct the typographical error.</w:t>
      </w:r>
    </w:p>
    <w:p>
      <w:pPr>
        <w:spacing w:after="0" w:line="1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Plan. Pursuant to the requirements of section 15(d) of the Securities Exchange Act of 1934, the Administrative Committee has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Date: August 18, 2004</w:t>
            </w: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WASTE MANAGEMENT RETIREMENT SAVINGS</w:t>
            </w:r>
          </w:p>
        </w:tc>
        <w:tc>
          <w:tcPr>
            <w:tcW w:w="16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PLAN FOR</w:t>
            </w:r>
          </w:p>
        </w:tc>
        <w:tc>
          <w:tcPr>
            <w:tcW w:w="16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BARGAINING UNIT EMPLOYEES</w:t>
            </w:r>
          </w:p>
        </w:tc>
        <w:tc>
          <w:tcPr>
            <w:tcW w:w="1680" w:type="dxa"/>
            <w:vAlign w:val="bottom"/>
          </w:tcPr>
          <w:p>
            <w:pPr>
              <w:spacing w:after="0"/>
              <w:rPr>
                <w:sz w:val="20"/>
                <w:szCs w:val="20"/>
                <w:color w:val="auto"/>
              </w:rPr>
            </w:pPr>
          </w:p>
        </w:tc>
      </w:tr>
      <w:tr>
        <w:trPr>
          <w:trHeight w:val="432"/>
        </w:trPr>
        <w:tc>
          <w:tcPr>
            <w:tcW w:w="3500" w:type="dxa"/>
            <w:vAlign w:val="bottom"/>
          </w:tcPr>
          <w:p>
            <w:pPr>
              <w:spacing w:after="0"/>
              <w:rPr>
                <w:sz w:val="24"/>
                <w:szCs w:val="24"/>
                <w:color w:val="auto"/>
              </w:rPr>
            </w:pPr>
          </w:p>
        </w:tc>
        <w:tc>
          <w:tcPr>
            <w:tcW w:w="6240" w:type="dxa"/>
            <w:vAlign w:val="bottom"/>
            <w:gridSpan w:val="2"/>
          </w:tcPr>
          <w:p>
            <w:pPr>
              <w:ind w:left="1860"/>
              <w:spacing w:after="0"/>
              <w:rPr>
                <w:sz w:val="20"/>
                <w:szCs w:val="20"/>
                <w:color w:val="auto"/>
              </w:rPr>
            </w:pPr>
            <w:r>
              <w:rPr>
                <w:rFonts w:ascii="Arial" w:cs="Arial" w:eastAsia="Arial" w:hAnsi="Arial"/>
                <w:sz w:val="18"/>
                <w:szCs w:val="18"/>
                <w:color w:val="auto"/>
              </w:rPr>
              <w:t>By: /s/ Lois B. Martin</w:t>
            </w:r>
          </w:p>
        </w:tc>
        <w:tc>
          <w:tcPr>
            <w:tcW w:w="168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Lois B. Martin</w:t>
            </w:r>
          </w:p>
        </w:tc>
        <w:tc>
          <w:tcPr>
            <w:tcW w:w="1680" w:type="dxa"/>
            <w:vAlign w:val="bottom"/>
          </w:tcPr>
          <w:p>
            <w:pPr>
              <w:spacing w:after="0"/>
              <w:rPr>
                <w:sz w:val="16"/>
                <w:szCs w:val="16"/>
                <w:color w:val="auto"/>
              </w:rPr>
            </w:pPr>
          </w:p>
        </w:tc>
      </w:tr>
      <w:tr>
        <w:trPr>
          <w:trHeight w:val="230"/>
        </w:trPr>
        <w:tc>
          <w:tcPr>
            <w:tcW w:w="35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Chair of the Administrative Committee</w:t>
            </w:r>
          </w:p>
        </w:tc>
        <w:tc>
          <w:tcPr>
            <w:tcW w:w="1680" w:type="dxa"/>
            <w:vAlign w:val="bottom"/>
          </w:tcPr>
          <w:p>
            <w:pPr>
              <w:spacing w:after="0"/>
              <w:rPr>
                <w:sz w:val="20"/>
                <w:szCs w:val="20"/>
                <w:color w:val="auto"/>
              </w:rPr>
            </w:pPr>
          </w:p>
        </w:tc>
      </w:tr>
      <w:tr>
        <w:trPr>
          <w:trHeight w:val="834"/>
        </w:trPr>
        <w:tc>
          <w:tcPr>
            <w:tcW w:w="350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tbl>
      <w:tblPr>
        <w:tblLayout w:type="fixed"/>
        <w:tblInd w:w="80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60" w:type="dxa"/>
            <w:vAlign w:val="bottom"/>
          </w:tcPr>
          <w:p>
            <w:pPr>
              <w:ind w:left="1460"/>
              <w:spacing w:after="0"/>
              <w:rPr>
                <w:sz w:val="20"/>
                <w:szCs w:val="20"/>
                <w:color w:val="auto"/>
              </w:rPr>
            </w:pPr>
            <w:r>
              <w:rPr>
                <w:rFonts w:ascii="Arial" w:cs="Arial" w:eastAsia="Arial" w:hAnsi="Arial"/>
                <w:sz w:val="18"/>
                <w:szCs w:val="18"/>
                <w:b w:val="1"/>
                <w:bCs w:val="1"/>
                <w:color w:val="auto"/>
              </w:rPr>
              <w:t>INDEX TO EXHIBITS</w:t>
            </w:r>
          </w:p>
        </w:tc>
      </w:tr>
      <w:tr>
        <w:trPr>
          <w:trHeight w:val="569"/>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34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4"/>
                <w:szCs w:val="14"/>
                <w:b w:val="1"/>
                <w:bCs w:val="1"/>
                <w:color w:val="auto"/>
                <w:w w:val="90"/>
              </w:rPr>
              <w:t>Description</w:t>
            </w:r>
          </w:p>
        </w:tc>
      </w:tr>
      <w:tr>
        <w:trPr>
          <w:trHeight w:val="53"/>
        </w:trPr>
        <w:tc>
          <w:tcPr>
            <w:tcW w:w="102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6060" w:type="dxa"/>
            <w:vAlign w:val="bottom"/>
            <w:tcBorders>
              <w:bottom w:val="single" w:sz="8" w:color="808080"/>
            </w:tcBorders>
          </w:tcPr>
          <w:p>
            <w:pPr>
              <w:spacing w:after="0"/>
              <w:rPr>
                <w:sz w:val="4"/>
                <w:szCs w:val="4"/>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6060" w:type="dxa"/>
            <w:vAlign w:val="bottom"/>
          </w:tcPr>
          <w:p>
            <w:pPr>
              <w:jc w:val="center"/>
              <w:spacing w:after="0"/>
              <w:rPr>
                <w:sz w:val="20"/>
                <w:szCs w:val="20"/>
                <w:color w:val="auto"/>
              </w:rPr>
            </w:pPr>
            <w:r>
              <w:rPr>
                <w:rFonts w:ascii="Arial" w:cs="Arial" w:eastAsia="Arial" w:hAnsi="Arial"/>
                <w:sz w:val="18"/>
                <w:szCs w:val="18"/>
                <w:color w:val="auto"/>
                <w:w w:val="91"/>
              </w:rPr>
              <w:t>-Consent of Independent Registered Public Accounting Firm</w:t>
            </w:r>
          </w:p>
        </w:tc>
      </w:tr>
    </w:tbl>
    <w:p>
      <w:pPr>
        <w:sectPr>
          <w:pgSz w:w="11900" w:h="16838" w:orient="portrait"/>
          <w:cols w:equalWidth="0" w:num="1">
            <w:col w:w="9019"/>
          </w:cols>
          <w:pgMar w:left="1440" w:top="931"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333-45062) pertaining to the Waste Management Retirement Savings Plan For Bargaining Unit Employees of our report dated June 15, 2004, with respect to the financial statements and schedules of the Waste Management Retirement Savings Plan for Bargaining Unit Employees included in this Annual Report (Form 11-K) for the year ended December 31, 2003.</w:t>
      </w:r>
    </w:p>
    <w:p>
      <w:pPr>
        <w:spacing w:after="0" w:line="1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2004</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2019-12-20T03:55:11Z</dcterms:created>
  <dcterms:modified xsi:type="dcterms:W3CDTF">2019-12-20T03:55:11Z</dcterms:modified>
</cp:coreProperties>
</file>