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quarter ended September 30, 2013,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66496035.</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such non-GAAP measures and reconciliations of such measures to their most comparable GAAP measures in the footnote and schedules to the press release.</w:t>
      </w:r>
    </w:p>
    <w:p>
      <w:pPr>
        <w:spacing w:after="0" w:line="18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to the non-GAAP measures contained and reconciled in the press release, management is also expected to discuss Adjusted Operating EBITDA and Adjusted Operating EBITDA as a percent of Revenues, Adjusted Operating Expense and prior year Adjusted SG&amp;A Expense. The Company defines Operating EBITDA as income from operations before depreciation and amortization, and the Company’s Adjusted Operating EBITDA excludes certain items noted in the press release. This measure may not be comparable to similarly titled measures reported by other companies. Management uses Adjusted Operating EBITDA as an indicator of the Company’s operating performance and ability to pay dividends, fund acquisitions, capital expenditures and other investments and, in the absence of refinancing, to repay debt obligations. Management believes Adjusted Operating EBITDA is helpful to investors evaluating the Company’s operating performance because certain non-cash costs and other items that management believes are not representative of our performance or indicative of our results of operations are excluded. Operating EBITDA and Adjusted Operating EBTIDA are supplemental non-GAAP measures and should not be considered an alternative to net income or income from operations. Additionally, to enhance comparability of Operating Expense and SG&amp;A Expense to the prior year period and provide investors with information to better enable them to evaluate the Company’s performance, certain items that management believes are not indicative of our results of operations have been excluded from these measures. Reconciliations of non-GAAP measures to the most comparable GAAP measures are shown below.</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Non-GAAP Measures</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Quarters Ended</w:t>
            </w:r>
          </w:p>
        </w:tc>
        <w:tc>
          <w:tcPr>
            <w:tcW w:w="0" w:type="dxa"/>
            <w:vAlign w:val="bottom"/>
          </w:tcPr>
          <w:p>
            <w:pPr>
              <w:spacing w:after="0"/>
              <w:rPr>
                <w:sz w:val="1"/>
                <w:szCs w:val="1"/>
                <w:color w:val="auto"/>
              </w:rPr>
            </w:pPr>
          </w:p>
        </w:tc>
      </w:tr>
      <w:tr>
        <w:trPr>
          <w:trHeight w:val="171"/>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88"/>
              </w:rPr>
              <w:t>Adjusted Operating EBITDA and Adjusted Operating EBITDA as a Percent of Revenues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auto"/>
            </w:tcBorders>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Operating Revenues, as reported</w:t>
            </w:r>
          </w:p>
        </w:tc>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3"/>
              </w:rPr>
              <w:t>3,621</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7"/>
              </w:rPr>
              <w:t>3,461</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577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8"/>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Operating EBITDA</w:t>
            </w: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1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Asset impairments and unusual items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Partial withdrawal from multiemployer pension plan</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18"/>
                <w:szCs w:val="18"/>
                <w:b w:val="1"/>
                <w:bCs w:val="1"/>
                <w:color w:val="auto"/>
              </w:rPr>
              <w:t>(a)</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Labor dispute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 (b)</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w:t>
            </w: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906</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Operating EBITDA as a percent of Revenues (b)</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2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26.2%</w:t>
            </w:r>
          </w:p>
        </w:tc>
        <w:tc>
          <w:tcPr>
            <w:tcW w:w="0" w:type="dxa"/>
            <w:vAlign w:val="bottom"/>
          </w:tcPr>
          <w:p>
            <w:pPr>
              <w:spacing w:after="0"/>
              <w:rPr>
                <w:sz w:val="1"/>
                <w:szCs w:val="1"/>
                <w:color w:val="auto"/>
              </w:rPr>
            </w:pPr>
          </w:p>
        </w:tc>
      </w:tr>
      <w:tr>
        <w:trPr>
          <w:trHeight w:val="337"/>
        </w:trPr>
        <w:tc>
          <w:tcPr>
            <w:tcW w:w="2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Quarters Ended</w:t>
            </w:r>
          </w:p>
        </w:tc>
        <w:tc>
          <w:tcPr>
            <w:tcW w:w="0" w:type="dxa"/>
            <w:vAlign w:val="bottom"/>
          </w:tcPr>
          <w:p>
            <w:pPr>
              <w:spacing w:after="0"/>
              <w:rPr>
                <w:sz w:val="1"/>
                <w:szCs w:val="1"/>
                <w:color w:val="auto"/>
              </w:rPr>
            </w:pPr>
          </w:p>
        </w:tc>
      </w:tr>
      <w:tr>
        <w:trPr>
          <w:trHeight w:val="171"/>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Operating Expense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662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shd w:val="clear" w:color="auto" w:fill="000000"/>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Operating Expense, as reported</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3"/>
              </w:rPr>
              <w:t>2,325</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7"/>
              </w:rPr>
              <w:t>2,229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Adjustments to Operating Expense: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Partial withdrawal from multiemployer pension plan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Labor dispute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Operating Expense (c)</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3"/>
              </w:rPr>
              <w:t>2,320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52" w:hanging="452"/>
        <w:spacing w:after="0" w:line="258" w:lineRule="auto"/>
        <w:tabs>
          <w:tab w:leader="none" w:pos="452"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$47 million of charges in the third quarter of 2012 includes primarily restructuring charges, as well as charges related to Oakleaf related integration activities.</w:t>
      </w:r>
    </w:p>
    <w:p>
      <w:pPr>
        <w:spacing w:after="0" w:line="1" w:lineRule="exact"/>
        <w:rPr>
          <w:rFonts w:ascii="Arial" w:cs="Arial" w:eastAsia="Arial" w:hAnsi="Arial"/>
          <w:sz w:val="18"/>
          <w:szCs w:val="18"/>
          <w:b w:val="1"/>
          <w:bCs w:val="1"/>
          <w:color w:val="auto"/>
        </w:rPr>
      </w:pPr>
    </w:p>
    <w:p>
      <w:pPr>
        <w:ind w:left="452" w:right="160" w:hanging="452"/>
        <w:spacing w:after="0" w:line="250" w:lineRule="auto"/>
        <w:tabs>
          <w:tab w:leader="none" w:pos="452"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Operating EBITDA for the third quarter of 2013 grew by $46 million, and Adjusted Operating EBITDA as a percent of Revenues increased 10 basis points, in each case as compared with the third quarter of 2012.</w:t>
      </w:r>
    </w:p>
    <w:p>
      <w:pPr>
        <w:ind w:left="452" w:hanging="452"/>
        <w:spacing w:after="0"/>
        <w:tabs>
          <w:tab w:leader="none" w:pos="452"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Operating Expense increased $97 million as compared with the third quarter of 2012.</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0" w:right="279" w:bottom="1440" w:gutter="0" w:footer="0" w:header="0"/>
        </w:sectPr>
      </w:pPr>
    </w:p>
    <w:bookmarkStart w:id="3" w:name="page4"/>
    <w:bookmarkEnd w:id="3"/>
    <w:p>
      <w:pPr>
        <w:jc w:val="center"/>
        <w:ind w:left="3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Non-GAAP Measures</w:t>
      </w:r>
    </w:p>
    <w:p>
      <w:pPr>
        <w:spacing w:after="0" w:line="50" w:lineRule="exact"/>
        <w:rPr>
          <w:sz w:val="20"/>
          <w:szCs w:val="20"/>
          <w:color w:val="auto"/>
        </w:rPr>
      </w:pPr>
    </w:p>
    <w:p>
      <w:pPr>
        <w:jc w:val="center"/>
        <w:ind w:left="3620"/>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left="36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left="1380"/>
        <w:spacing w:after="0"/>
        <w:rPr>
          <w:sz w:val="20"/>
          <w:szCs w:val="20"/>
          <w:color w:val="auto"/>
        </w:rPr>
      </w:pPr>
      <w:r>
        <w:rPr>
          <w:rFonts w:ascii="Arial" w:cs="Arial" w:eastAsia="Arial" w:hAnsi="Arial"/>
          <w:sz w:val="18"/>
          <w:szCs w:val="18"/>
          <w:b w:val="1"/>
          <w:bCs w:val="1"/>
          <w:i w:val="1"/>
          <w:iCs w:val="1"/>
          <w:u w:val="single" w:color="auto"/>
          <w:color w:val="auto"/>
        </w:rPr>
        <w:t>Adjusted SG&amp;A Expense</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SG&amp;A Expense,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Adjustment to SG&amp;A Expense:</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Oakleaf related integration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b w:val="1"/>
          <w:bCs w:val="1"/>
          <w:color w:val="auto"/>
        </w:rPr>
        <w:t>Adjusted SG&amp;A Expense (d)</w:t>
      </w:r>
    </w:p>
    <w:p>
      <w:pPr>
        <w:spacing w:after="0" w:line="23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Adjusted SG&amp;A Expense increased $17 million as compared with the third quarter of 2012.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October 29, 2013</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Quarters Ended</w:t>
      </w:r>
    </w:p>
    <w:p>
      <w:pPr>
        <w:spacing w:after="0" w:line="4"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8489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4"/>
              </w:rPr>
              <w:t>$ 349</w:t>
            </w:r>
          </w:p>
        </w:tc>
        <w:tc>
          <w:tcPr>
            <w:tcW w:w="5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335</w:t>
            </w:r>
          </w:p>
        </w:tc>
        <w:tc>
          <w:tcPr>
            <w:tcW w:w="60" w:type="dxa"/>
            <w:vAlign w:val="bottom"/>
          </w:tcPr>
          <w:p>
            <w:pPr>
              <w:spacing w:after="0"/>
              <w:rPr>
                <w:sz w:val="19"/>
                <w:szCs w:val="19"/>
                <w:color w:val="auto"/>
              </w:rPr>
            </w:pPr>
          </w:p>
        </w:tc>
      </w:tr>
      <w:tr>
        <w:trPr>
          <w:trHeight w:val="396"/>
        </w:trPr>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4"/>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w w:val="88"/>
              </w:rPr>
              <w:t>$ 349</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332</w:t>
            </w:r>
          </w:p>
        </w:tc>
        <w:tc>
          <w:tcPr>
            <w:tcW w:w="60" w:type="dxa"/>
            <w:vAlign w:val="bottom"/>
          </w:tcPr>
          <w:p>
            <w:pPr>
              <w:spacing w:after="0"/>
              <w:rPr>
                <w:sz w:val="20"/>
                <w:szCs w:val="20"/>
                <w:color w:val="auto"/>
              </w:rPr>
            </w:pPr>
          </w:p>
        </w:tc>
      </w:tr>
    </w:tbl>
    <w:p>
      <w:pPr>
        <w:sectPr>
          <w:pgSz w:w="11900" w:h="16838" w:orient="portrait"/>
          <w:cols w:equalWidth="0" w:num="2">
            <w:col w:w="7800" w:space="720"/>
            <w:col w:w="1699"/>
          </w:cols>
          <w:pgMar w:left="240" w:top="270" w:right="1440"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October 29, 2013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Rick L Wittenbraker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General Counsel</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0" w:right="319" w:bottom="1440" w:gutter="0" w:footer="0" w:header="0"/>
        </w:sectPr>
      </w:pPr>
    </w:p>
    <w:bookmarkStart w:id="5" w:name="page6"/>
    <w:bookmarkEnd w:id="5"/>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27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 of Exhibit</w:t>
            </w: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5"/>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86"/>
              </w:rPr>
              <w:t>Press Release dated October 29, 2013</w:t>
            </w:r>
          </w:p>
        </w:tc>
      </w:tr>
    </w:tbl>
    <w:p>
      <w:pPr>
        <w:spacing w:after="0" w:line="1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270"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Announces Third Quarter Earnings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Earnings per Share and Net Income Grow by more than 30%</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HOUSTON </w:t>
      </w:r>
      <w:r>
        <w:rPr>
          <w:rFonts w:ascii="Arial" w:cs="Arial" w:eastAsia="Arial" w:hAnsi="Arial"/>
          <w:sz w:val="17"/>
          <w:szCs w:val="17"/>
          <w:color w:val="auto"/>
        </w:rPr>
        <w:t>—</w:t>
      </w:r>
      <w:r>
        <w:rPr>
          <w:rFonts w:ascii="Arial" w:cs="Arial" w:eastAsia="Arial" w:hAnsi="Arial"/>
          <w:sz w:val="17"/>
          <w:szCs w:val="17"/>
          <w:b w:val="1"/>
          <w:bCs w:val="1"/>
          <w:color w:val="auto"/>
        </w:rPr>
        <w:t xml:space="preserve"> October 29, 2013</w:t>
      </w:r>
      <w:r>
        <w:rPr>
          <w:rFonts w:ascii="Arial" w:cs="Arial" w:eastAsia="Arial" w:hAnsi="Arial"/>
          <w:sz w:val="17"/>
          <w:szCs w:val="17"/>
          <w:color w:val="auto"/>
        </w:rPr>
        <w:t>— Waste Management, Inc. (NYSE: WM) today announced financial results for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quarter ended September 30, 2013. Revenues for the third quarter of 2013 were $3.62 billion compared with $3.46 billion for the same 2012 period. Net income </w:t>
      </w:r>
      <w:r>
        <w:rPr>
          <w:rFonts w:ascii="Arial" w:cs="Arial" w:eastAsia="Arial" w:hAnsi="Arial"/>
          <w:sz w:val="14"/>
          <w:szCs w:val="14"/>
          <w:color w:val="auto"/>
        </w:rPr>
        <w:t>(a)</w:t>
      </w:r>
      <w:r>
        <w:rPr>
          <w:rFonts w:ascii="Arial" w:cs="Arial" w:eastAsia="Arial" w:hAnsi="Arial"/>
          <w:sz w:val="17"/>
          <w:szCs w:val="17"/>
          <w:color w:val="auto"/>
        </w:rPr>
        <w:t xml:space="preserve"> for the quarter was $291 million, or $0.62 per diluted share, compared with $214 million, or $0.46 per diluted share, for the third quarter of 2012, more than a 30% increase. Income from operations grew $77 million and income from operations margin grew 150 basis points. Results in the third quarter of 2013 included approximately $15 million of after-tax costs, primarily from asset impairments. Excluding these items, net income would have been $306 million, or $0.65 per diluted share, compared to adjusted earnings per diluted share of $0.61 in the third quarter of 2012.</w:t>
      </w:r>
      <w:r>
        <w:rPr>
          <w:rFonts w:ascii="Arial" w:cs="Arial" w:eastAsia="Arial" w:hAnsi="Arial"/>
          <w:sz w:val="14"/>
          <w:szCs w:val="14"/>
          <w:color w:val="auto"/>
        </w:rPr>
        <w:t>(b)</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David P. Steiner, President and Chief Executive Officer of Waste Management, commented, “We had a very strong third quarter, earning $0.65 per share, as adjusted. Despite continued headwinds confronting our recycling and waste-to-energy businesses, our overall as-adjusted income from operations grew $33 million and the overall income from operations margin grew 20 basis points.</w:t>
      </w:r>
      <w:r>
        <w:rPr>
          <w:rFonts w:ascii="Arial" w:cs="Arial" w:eastAsia="Arial" w:hAnsi="Arial"/>
          <w:sz w:val="15"/>
          <w:szCs w:val="15"/>
          <w:color w:val="auto"/>
        </w:rPr>
        <w:t>(b)</w:t>
      </w:r>
      <w:r>
        <w:rPr>
          <w:rFonts w:ascii="Arial" w:cs="Arial" w:eastAsia="Arial" w:hAnsi="Arial"/>
          <w:sz w:val="18"/>
          <w:szCs w:val="18"/>
          <w:color w:val="auto"/>
        </w:rPr>
        <w:t xml:space="preserve"> The results were even more impressive in our traditional solid waste business, where income from operations grew $71 million and our income from operations margin grew 120 basis points.</w:t>
      </w:r>
    </w:p>
    <w:p>
      <w:pPr>
        <w:spacing w:after="0" w:line="22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“These strong results were driven by our continued focus on increasing internal revenue growth from yield and controlling costs. In the third quarter, collection and disposal yield was 2.3%, the fifth quarter of sequential improvement, and nearly triple the yield we saw in the third quarter of 2012. SG&amp;A expenses as a percentage of revenue improved to 9.6% in the quarter, despite a year-over-year negative change of $50 million related to accruals for our annual incentive program.</w:t>
      </w:r>
    </w:p>
    <w:p>
      <w:pPr>
        <w:spacing w:after="0" w:line="2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“Our net cash provided by operating activities increased by $162 million, almost 30%, to $736 million in the third quarter from the prior year period, and through the first nine months of 2013 was $1.9 billion. We maintained our discipline on capital spending, spending $323 million in the quarter. That, coupled with the strength in operating cash, resulted in the best quarterly free cash flow that we have seen since the third quarter of 2008. During the third quarter, our free cash flow grew by $272 million compared to the prior year period, to a total of $452 million. Through the first nine months, free cash flow was $1.15 billion, or $1.03 billion excluding divestitures. We are now raising our free cash flow target for the full year by $100 million to between $1.2 and $1.3 billion, excluding divestitures.” </w:t>
      </w: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380"/>
        <w:spacing w:after="0" w:line="351" w:lineRule="auto"/>
        <w:rPr>
          <w:sz w:val="20"/>
          <w:szCs w:val="20"/>
          <w:color w:val="auto"/>
        </w:rPr>
      </w:pPr>
      <w:r>
        <w:rPr>
          <w:rFonts w:ascii="Arial" w:cs="Arial" w:eastAsia="Arial" w:hAnsi="Arial"/>
          <w:sz w:val="18"/>
          <w:szCs w:val="18"/>
          <w:b w:val="1"/>
          <w:bCs w:val="1"/>
          <w:color w:val="auto"/>
        </w:rPr>
        <w:t>FOR MORE INFORMATION Waste Management Web site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Ken Haldin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404.469.0186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khaldin@wm.com</w:t>
      </w:r>
    </w:p>
    <w:p>
      <w:pPr>
        <w:spacing w:after="0" w:line="3728" w:lineRule="exact"/>
        <w:rPr>
          <w:sz w:val="20"/>
          <w:szCs w:val="20"/>
          <w:color w:val="auto"/>
        </w:rPr>
      </w:pPr>
    </w:p>
    <w:p>
      <w:pPr>
        <w:sectPr>
          <w:pgSz w:w="11900" w:h="16838" w:orient="portrait"/>
          <w:cols w:equalWidth="0" w:num="2">
            <w:col w:w="8560" w:space="140"/>
            <w:col w:w="2720"/>
          </w:cols>
          <w:pgMar w:left="240" w:top="121" w:right="2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THIRD QUARTER 2013</w:t>
      </w:r>
    </w:p>
    <w:p>
      <w:pPr>
        <w:spacing w:after="0" w:line="135"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 increased by 4.6%, or $160 million, from the prior year period, primarily from acquisitions and internal revenue growth from yield.</w:t>
      </w:r>
    </w:p>
    <w:p>
      <w:pPr>
        <w:spacing w:after="0" w:line="153" w:lineRule="exact"/>
        <w:rPr>
          <w:rFonts w:ascii="Arial" w:cs="Arial" w:eastAsia="Arial" w:hAnsi="Arial"/>
          <w:sz w:val="16"/>
          <w:szCs w:val="16"/>
          <w:color w:val="auto"/>
        </w:rPr>
      </w:pPr>
    </w:p>
    <w:p>
      <w:pPr>
        <w:ind w:left="440" w:hanging="324"/>
        <w:spacing w:after="0"/>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Internal revenue growth from yield for collection and disposal operations was 2.3%, compared to 0.8% in the third quarter of 2012.</w:t>
      </w:r>
    </w:p>
    <w:p>
      <w:pPr>
        <w:sectPr>
          <w:pgSz w:w="11900" w:h="16838" w:orient="portrait"/>
          <w:cols w:equalWidth="0" w:num="1">
            <w:col w:w="11420"/>
          </w:cols>
          <w:pgMar w:left="240" w:top="121" w:right="239" w:bottom="1440" w:gutter="0" w:footer="0" w:header="0"/>
          <w:type w:val="continuous"/>
        </w:sectPr>
      </w:pPr>
    </w:p>
    <w:bookmarkStart w:id="7" w:name="page8"/>
    <w:bookmarkEnd w:id="7"/>
    <w:p>
      <w:pPr>
        <w:ind w:left="440" w:right="8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Core price, which consists of price increases and fees, other than the Company’s fuel surcharge, net of rollbacks, was 3.9%, compared with 2.3% in the third quarter of 2012.</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Internal revenue growth from volume was negative 0.6%. On a workday-adjusted basis, internal revenue growth from volume was negative 1.3%.</w:t>
      </w:r>
    </w:p>
    <w:p>
      <w:pPr>
        <w:spacing w:after="0" w:line="142" w:lineRule="exact"/>
        <w:rPr>
          <w:rFonts w:ascii="Arial" w:cs="Arial" w:eastAsia="Arial" w:hAnsi="Arial"/>
          <w:sz w:val="17"/>
          <w:szCs w:val="17"/>
          <w:color w:val="auto"/>
        </w:rPr>
      </w:pPr>
    </w:p>
    <w:p>
      <w:pPr>
        <w:ind w:left="440" w:right="140" w:hanging="324"/>
        <w:spacing w:after="0" w:line="259"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Recycling operations negatively affected earnings by $0.02 per diluted share in the third quarter when compared to the third quarter of 2012. The Company now expects a full-year negative impact of $0.13 per diluted share versus a negative $0.08 per diluted share as anticipated at the end of the second quarter and negative $0.02 per diluted share as anticipated at the beginning of the year. For the fourth quarter of 2013, we anticipate a negative impact of $0.03 per diluted share when compared to 2012.</w:t>
      </w:r>
    </w:p>
    <w:p>
      <w:pPr>
        <w:spacing w:after="0" w:line="92" w:lineRule="exact"/>
        <w:rPr>
          <w:rFonts w:ascii="Arial" w:cs="Arial" w:eastAsia="Arial" w:hAnsi="Arial"/>
          <w:sz w:val="18"/>
          <w:szCs w:val="18"/>
          <w:color w:val="auto"/>
        </w:rPr>
      </w:pPr>
    </w:p>
    <w:p>
      <w:pPr>
        <w:ind w:left="440" w:right="20" w:hanging="324"/>
        <w:spacing w:after="0" w:line="308"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expenses increased by $96 million from the prior year period. The majority of the increase relates to the acquired operations of Greenstar and RCI, increased recycling costs, and the timing of repair and maintenance costs at the Company’s waste-to-energy facilities.</w:t>
      </w:r>
    </w:p>
    <w:p>
      <w:pPr>
        <w:spacing w:after="0" w:line="51" w:lineRule="exact"/>
        <w:rPr>
          <w:rFonts w:ascii="Arial" w:cs="Arial" w:eastAsia="Arial" w:hAnsi="Arial"/>
          <w:sz w:val="17"/>
          <w:szCs w:val="17"/>
          <w:color w:val="auto"/>
        </w:rPr>
      </w:pPr>
    </w:p>
    <w:p>
      <w:pPr>
        <w:ind w:left="440" w:right="280" w:hanging="324"/>
        <w:spacing w:after="0" w:line="264"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expenses improved to 9.6% of revenue. Despite a net $50 million year-over-year increase in incentive compensation, SG&amp;A expenses only increased by $14 million compared with the third quarter of 2012. The $50 million change was driven by a combination of an accrual reversal in the third quarter of 2012 and an accrual in the third quarter of the current year.</w:t>
      </w:r>
    </w:p>
    <w:p>
      <w:pPr>
        <w:spacing w:after="0" w:line="86" w:lineRule="exact"/>
        <w:rPr>
          <w:rFonts w:ascii="Arial" w:cs="Arial" w:eastAsia="Arial" w:hAnsi="Arial"/>
          <w:sz w:val="18"/>
          <w:szCs w:val="18"/>
          <w:color w:val="auto"/>
        </w:rPr>
      </w:pPr>
    </w:p>
    <w:p>
      <w:pPr>
        <w:ind w:left="440" w:right="40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 was $736 million, an increase of $162 million from the prior year period; capital expenditures were $323 million; free cash flow was $452 million; and net proceeds from divestitures were $39 million.</w:t>
      </w:r>
      <w:r>
        <w:rPr>
          <w:rFonts w:ascii="Arial" w:cs="Arial" w:eastAsia="Arial" w:hAnsi="Arial"/>
          <w:sz w:val="15"/>
          <w:szCs w:val="15"/>
          <w:color w:val="auto"/>
        </w:rPr>
        <w:t>(b)</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still expects to spend between $1.3 billion and $1.4 billion on capital expenditures during the year.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returned $171 million to shareholders in the form of dividends.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tax rate was approximately 34.3%.</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Steiner concluded, “In the third quarter we maintained our disciplined approach to improving yield, reducing costs, and managing working capital and capital expenditures, which is reflected in our earnings growth and in the improvement in net cash provided by operating activities and free cash flow. As a result, we are on track to achieve our full-year goals, despite an estimated $0.13 per share of full-year headwinds from our recycling operations, which is $0.11 more than anticipated at the beginning of the year. This performance is a tribute to our field and corporate leaders, who overcame a number of headwinds with strong yield and cost control execution. Their efforts have made us confident that we can meet our adjusted diluted earnings per share guidance range of between $2.15 and $2.20 for the full year, and we now believe we will generate free cash flow between $1.2 and $1.3 billion, excluding proceeds from divestitures.” </w:t>
      </w:r>
      <w:r>
        <w:rPr>
          <w:rFonts w:ascii="Arial" w:cs="Arial" w:eastAsia="Arial" w:hAnsi="Arial"/>
          <w:sz w:val="15"/>
          <w:szCs w:val="15"/>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5" w:lineRule="exact"/>
        <w:rPr>
          <w:sz w:val="20"/>
          <w:szCs w:val="20"/>
          <w:color w:val="auto"/>
        </w:rPr>
      </w:pPr>
    </w:p>
    <w:p>
      <w:pPr>
        <w:ind w:left="460" w:right="860" w:hanging="452"/>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spacing w:after="0" w:line="1" w:lineRule="exact"/>
        <w:rPr>
          <w:rFonts w:ascii="Arial" w:cs="Arial" w:eastAsia="Arial" w:hAnsi="Arial"/>
          <w:sz w:val="16"/>
          <w:szCs w:val="16"/>
          <w:color w:val="auto"/>
        </w:rPr>
      </w:pPr>
    </w:p>
    <w:p>
      <w:pPr>
        <w:ind w:left="460" w:right="20"/>
        <w:spacing w:after="0" w:line="273" w:lineRule="auto"/>
        <w:rPr>
          <w:rFonts w:ascii="Arial" w:cs="Arial" w:eastAsia="Arial" w:hAnsi="Arial"/>
          <w:sz w:val="16"/>
          <w:szCs w:val="16"/>
          <w:color w:val="auto"/>
        </w:rPr>
      </w:pPr>
      <w:r>
        <w:rPr>
          <w:rFonts w:ascii="Arial" w:cs="Arial" w:eastAsia="Arial" w:hAnsi="Arial"/>
          <w:sz w:val="17"/>
          <w:szCs w:val="17"/>
          <w:color w:val="auto"/>
        </w:rPr>
        <w:t>(i)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net income, earnings per diluted share, income from operations, and income from operations margin have been presented in certain instances excluding special items noted in this press release.</w:t>
      </w:r>
    </w:p>
    <w:p>
      <w:pPr>
        <w:spacing w:after="0" w:line="177"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The Company’s projected full year 2013 earnings per diluted share is not based on GAAP net earnings per diluted share and are anticipated to be adjusted to exclude the effects of events or circumstances in 2013 that are not representative or indicative of the Company’s results of operations, including approximately $18 million of after-tax costs from a combination of restructuring charges and impairments of investments in unconsolidated entities in the first quarter of 2013; approximately</w:t>
      </w:r>
    </w:p>
    <w:p>
      <w:pPr>
        <w:sectPr>
          <w:pgSz w:w="11900" w:h="16838" w:orient="portrait"/>
          <w:cols w:equalWidth="0" w:num="1">
            <w:col w:w="11400"/>
          </w:cols>
          <w:pgMar w:left="240" w:top="274" w:right="259" w:bottom="1440" w:gutter="0" w:footer="0" w:header="0"/>
        </w:sectPr>
      </w:pPr>
    </w:p>
    <w:bookmarkStart w:id="8" w:name="page9"/>
    <w:bookmarkEnd w:id="8"/>
    <w:p>
      <w:pPr>
        <w:ind w:left="46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 million of after-tax charges primarily from an asset impairment in the second quarter of 2013; and approximately $15 million of after-tax costs, primarily from asset impairments, discussed in this press release.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85"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The Company also discusses free cash flow and provides a projection of free cash flow, which is a non-GAAP measure,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9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is not subject to comparison.</w:t>
      </w:r>
    </w:p>
    <w:p>
      <w:pPr>
        <w:spacing w:after="0" w:line="62" w:lineRule="exact"/>
        <w:rPr>
          <w:sz w:val="20"/>
          <w:szCs w:val="20"/>
          <w:color w:val="auto"/>
        </w:rPr>
      </w:pPr>
    </w:p>
    <w:p>
      <w:pPr>
        <w:ind w:left="460" w:right="140"/>
        <w:spacing w:after="0" w:line="312" w:lineRule="auto"/>
        <w:rPr>
          <w:sz w:val="20"/>
          <w:szCs w:val="20"/>
          <w:color w:val="auto"/>
        </w:rPr>
      </w:pPr>
      <w:r>
        <w:rPr>
          <w:rFonts w:ascii="Arial" w:cs="Arial" w:eastAsia="Arial" w:hAnsi="Arial"/>
          <w:sz w:val="16"/>
          <w:szCs w:val="16"/>
          <w:color w:val="auto"/>
        </w:rPr>
        <w:t>The quantitative reconciliations of non-GAAP measures used herein, other than projected earnings per diluted share, to the most comparable GAAP measures are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host a conference call at 10:00 AM (Eastern) today to discuss the third quarter 2013 results. Information contained within this press release will be referenced and should be considered in conjunction with the call.</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 xml:space="preserve">The conference call will be webcast live from the Investor Relations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66496035 when prompted by the conference call operator.</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A replay of the conference call will be available on the Company’s website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and by telephone from approximately 1:00 PM (Eastern) Tuesday, October 29, 2013 through 5:00 PM (Eastern) on Tuesday, November 12, 2013. To access the replay telephonically, please dial (855) 859-2056, or from outside of the United States or Canada dial (404) 537-3406, and use the replay conference ID number 66496035.</w:t>
      </w:r>
    </w:p>
    <w:p>
      <w:pPr>
        <w:spacing w:after="0" w:line="16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2013 earnings per diluted share and earnings growth; 2013 free cash flow; future internal revenue growth from yield; results from pricing, capital management and cost control and reduction initiatives; future recycling commodity prices; and results from recycling operations.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WASTE MANAGEMENT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Waste Management, Inc., based in Houston, Texas, is the leading provider of comprehensive waste management environmental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r>
        <w:rPr>
          <w:rFonts w:ascii="Arial" w:cs="Arial" w:eastAsia="Arial" w:hAnsi="Arial"/>
          <w:sz w:val="18"/>
          <w:szCs w:val="18"/>
          <w:color w:val="auto"/>
        </w:rPr>
        <w:t>.</w:t>
      </w:r>
    </w:p>
    <w:p>
      <w:pPr>
        <w:spacing w:after="0" w:line="18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60"/>
          </w:cols>
          <w:pgMar w:left="240" w:top="270" w:right="4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0.355</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(1)</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291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1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jc w:val="right"/>
              <w:ind w:right="2090"/>
              <w:spacing w:after="0"/>
              <w:rPr>
                <w:sz w:val="20"/>
                <w:szCs w:val="20"/>
                <w:color w:val="auto"/>
              </w:rPr>
            </w:pPr>
            <w:r>
              <w:rPr>
                <w:rFonts w:ascii="Arial" w:cs="Arial" w:eastAsia="Arial" w:hAnsi="Arial"/>
                <w:sz w:val="18"/>
                <w:szCs w:val="18"/>
                <w:b w:val="1"/>
                <w:bCs w:val="1"/>
                <w:color w:val="auto"/>
              </w:rPr>
              <w:t>(2)</w:t>
            </w: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6,845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1,092</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467.7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8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703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469.2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467.7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469.2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jc w:val="right"/>
              <w:ind w:right="1890"/>
              <w:spacing w:after="0"/>
              <w:rPr>
                <w:sz w:val="20"/>
                <w:szCs w:val="20"/>
                <w:color w:val="auto"/>
              </w:rPr>
            </w:pPr>
            <w:r>
              <w:rPr>
                <w:rFonts w:ascii="Arial" w:cs="Arial" w:eastAsia="Arial" w:hAnsi="Arial"/>
                <w:sz w:val="18"/>
                <w:szCs w:val="18"/>
                <w:b w:val="1"/>
                <w:bCs w:val="1"/>
                <w:color w:val="auto"/>
              </w:rPr>
              <w:t>(4)</w:t>
            </w: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1,860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3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12,621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Goodwill</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6,593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assets</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1,413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23,613</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w w:val="99"/>
              </w:rPr>
              <w:t>Accounts payable, accrued liabilities, and deferred revenues</w:t>
            </w:r>
          </w:p>
        </w:tc>
        <w:tc>
          <w:tcPr>
            <w:tcW w:w="4020" w:type="dxa"/>
            <w:vAlign w:val="bottom"/>
            <w:gridSpan w:val="2"/>
          </w:tcPr>
          <w:p>
            <w:pPr>
              <w:ind w:left="38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2,294</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3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9,491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liabilities</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4,245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16,598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16,422</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Waste Management, Inc. stockholders’ equity</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6,708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307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liabilities and equity</w:t>
            </w:r>
          </w:p>
        </w:tc>
        <w:tc>
          <w:tcPr>
            <w:tcW w:w="38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820" w:type="dxa"/>
            <w:vAlign w:val="bottom"/>
            <w:vMerge w:val="restart"/>
          </w:tcPr>
          <w:p>
            <w:pPr>
              <w:jc w:val="right"/>
              <w:ind w:right="3070"/>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729</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1,006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(824)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receipts from (deposits to) restricted trust and escrow accounts, and other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1,218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Cash dividends</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(512)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jc w:val="right"/>
              <w:ind w:right="2770"/>
              <w:spacing w:after="0"/>
              <w:rPr>
                <w:sz w:val="20"/>
                <w:szCs w:val="20"/>
                <w:color w:val="auto"/>
              </w:rPr>
            </w:pPr>
            <w:r>
              <w:rPr>
                <w:rFonts w:ascii="Arial" w:cs="Arial" w:eastAsia="Arial" w:hAnsi="Arial"/>
                <w:sz w:val="18"/>
                <w:szCs w:val="18"/>
                <w:b w:val="1"/>
                <w:bCs w:val="1"/>
                <w:color w:val="auto"/>
              </w:rPr>
              <w:t>(6)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95"/>
              </w:rPr>
              <w:t>Quarters Ended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7"/>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gridSpan w:val="6"/>
          </w:tcPr>
          <w:p>
            <w:pPr>
              <w:jc w:val="center"/>
              <w:ind w:right="680"/>
              <w:spacing w:after="0" w:line="119"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236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520" w:type="dxa"/>
            <w:vAlign w:val="bottom"/>
            <w:gridSpan w:val="4"/>
          </w:tcPr>
          <w:p>
            <w:pPr>
              <w:ind w:left="340"/>
              <w:spacing w:after="0"/>
              <w:rPr>
                <w:sz w:val="20"/>
                <w:szCs w:val="20"/>
                <w:color w:val="auto"/>
              </w:rPr>
            </w:pPr>
            <w:r>
              <w:rPr>
                <w:rFonts w:ascii="Arial" w:cs="Arial" w:eastAsia="Arial" w:hAnsi="Arial"/>
                <w:sz w:val="18"/>
                <w:szCs w:val="18"/>
                <w:color w:val="auto"/>
              </w:rPr>
              <w:t>Collection</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855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700"/>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68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4"/>
          </w:tcPr>
          <w:p>
            <w:pPr>
              <w:ind w:left="7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Collection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w w:val="88"/>
              </w:rPr>
              <w:t>2,133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34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68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Transfer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340"/>
              <w:spacing w:after="0"/>
              <w:rPr>
                <w:sz w:val="20"/>
                <w:szCs w:val="20"/>
                <w:color w:val="auto"/>
              </w:rPr>
            </w:pPr>
            <w:r>
              <w:rPr>
                <w:rFonts w:ascii="Arial" w:cs="Arial" w:eastAsia="Arial" w:hAnsi="Arial"/>
                <w:sz w:val="18"/>
                <w:szCs w:val="18"/>
                <w:color w:val="auto"/>
              </w:rPr>
              <w:t>Wheelabrator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68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Recycling</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68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5"/>
              </w:rPr>
              <w:t>(646)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4"/>
          </w:tcPr>
          <w:p>
            <w:pPr>
              <w:ind w:left="700"/>
              <w:spacing w:after="0"/>
              <w:rPr>
                <w:sz w:val="20"/>
                <w:szCs w:val="20"/>
                <w:color w:val="auto"/>
              </w:rPr>
            </w:pPr>
            <w:r>
              <w:rPr>
                <w:rFonts w:ascii="Arial" w:cs="Arial" w:eastAsia="Arial" w:hAnsi="Arial"/>
                <w:sz w:val="18"/>
                <w:szCs w:val="18"/>
                <w:color w:val="auto"/>
              </w:rPr>
              <w:t>Operating revenues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3,621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3,526</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Quarters Ended</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10"/>
          </w:tcPr>
          <w:p>
            <w:pPr>
              <w:jc w:val="right"/>
              <w:ind w:right="720"/>
              <w:spacing w:after="0" w:line="142" w:lineRule="exact"/>
              <w:rPr>
                <w:sz w:val="20"/>
                <w:szCs w:val="20"/>
                <w:color w:val="auto"/>
              </w:rPr>
            </w:pPr>
            <w:r>
              <w:rPr>
                <w:rFonts w:ascii="Arial" w:cs="Arial" w:eastAsia="Arial" w:hAnsi="Arial"/>
                <w:sz w:val="14"/>
                <w:szCs w:val="14"/>
                <w:b w:val="1"/>
                <w:bCs w:val="1"/>
                <w:color w:val="auto"/>
                <w:w w:val="96"/>
              </w:rPr>
              <w:t>September 30, 2013</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40" w:type="dxa"/>
            <w:vAlign w:val="bottom"/>
            <w:gridSpan w:val="6"/>
          </w:tcPr>
          <w:p>
            <w:pPr>
              <w:jc w:val="right"/>
              <w:ind w:right="352"/>
              <w:spacing w:after="0" w:line="142" w:lineRule="exact"/>
              <w:rPr>
                <w:sz w:val="20"/>
                <w:szCs w:val="20"/>
                <w:color w:val="auto"/>
              </w:rPr>
            </w:pPr>
            <w:r>
              <w:rPr>
                <w:rFonts w:ascii="Arial" w:cs="Arial" w:eastAsia="Arial" w:hAnsi="Arial"/>
                <w:sz w:val="14"/>
                <w:szCs w:val="14"/>
                <w:b w:val="1"/>
                <w:bCs w:val="1"/>
                <w:color w:val="auto"/>
              </w:rPr>
              <w:t>September 30, 2012</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4"/>
          </w:tcPr>
          <w:p>
            <w:pPr>
              <w:jc w:val="center"/>
              <w:ind w:right="120"/>
              <w:spacing w:after="0" w:line="123" w:lineRule="exact"/>
              <w:rPr>
                <w:sz w:val="20"/>
                <w:szCs w:val="20"/>
                <w:color w:val="auto"/>
              </w:rPr>
            </w:pPr>
            <w:r>
              <w:rPr>
                <w:rFonts w:ascii="Arial" w:cs="Arial" w:eastAsia="Arial" w:hAnsi="Arial"/>
                <w:sz w:val="14"/>
                <w:szCs w:val="14"/>
                <w:color w:val="auto"/>
                <w:w w:val="96"/>
              </w:rPr>
              <w:t>As a %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32"/>
              <w:spacing w:after="0" w:line="123" w:lineRule="exact"/>
              <w:rPr>
                <w:sz w:val="20"/>
                <w:szCs w:val="20"/>
                <w:color w:val="auto"/>
              </w:rPr>
            </w:pPr>
            <w:r>
              <w:rPr>
                <w:rFonts w:ascii="Arial" w:cs="Arial" w:eastAsia="Arial" w:hAnsi="Arial"/>
                <w:sz w:val="14"/>
                <w:szCs w:val="14"/>
                <w:color w:val="auto"/>
                <w:w w:val="96"/>
              </w:rPr>
              <w:t>As a % of</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4"/>
          </w:tcPr>
          <w:p>
            <w:pPr>
              <w:jc w:val="right"/>
              <w:ind w:right="58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6"/>
          </w:tcPr>
          <w:p>
            <w:pPr>
              <w:spacing w:after="0"/>
              <w:rPr>
                <w:sz w:val="20"/>
                <w:szCs w:val="20"/>
                <w:color w:val="auto"/>
              </w:rPr>
            </w:pPr>
            <w:r>
              <w:rPr>
                <w:rFonts w:ascii="Arial" w:cs="Arial" w:eastAsia="Arial" w:hAnsi="Arial"/>
                <w:sz w:val="14"/>
                <w:szCs w:val="14"/>
                <w:color w:val="auto"/>
              </w:rPr>
              <w:t>Total Company</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5"/>
          </w:tcPr>
          <w:p>
            <w:pPr>
              <w:jc w:val="center"/>
              <w:ind w:right="700"/>
              <w:spacing w:after="0"/>
              <w:rPr>
                <w:sz w:val="20"/>
                <w:szCs w:val="20"/>
                <w:color w:val="auto"/>
              </w:rPr>
            </w:pPr>
            <w:r>
              <w:rPr>
                <w:rFonts w:ascii="Arial" w:cs="Arial" w:eastAsia="Arial" w:hAnsi="Arial"/>
                <w:sz w:val="14"/>
                <w:szCs w:val="14"/>
                <w:color w:val="auto"/>
                <w:w w:val="95"/>
              </w:rPr>
              <w:t>Amount</w:t>
            </w:r>
          </w:p>
        </w:tc>
        <w:tc>
          <w:tcPr>
            <w:tcW w:w="1100" w:type="dxa"/>
            <w:vAlign w:val="bottom"/>
            <w:gridSpan w:val="5"/>
          </w:tcPr>
          <w:p>
            <w:pPr>
              <w:jc w:val="center"/>
              <w:ind w:right="200"/>
              <w:spacing w:after="0"/>
              <w:rPr>
                <w:sz w:val="20"/>
                <w:szCs w:val="20"/>
                <w:color w:val="auto"/>
              </w:rPr>
            </w:pPr>
            <w:r>
              <w:rPr>
                <w:rFonts w:ascii="Arial" w:cs="Arial" w:eastAsia="Arial" w:hAnsi="Arial"/>
                <w:sz w:val="14"/>
                <w:szCs w:val="14"/>
                <w:color w:val="auto"/>
                <w:w w:val="94"/>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Analysis of Change in Year Over Year Revenues</w:t>
            </w: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680" w:type="dxa"/>
            <w:vAlign w:val="bottom"/>
            <w:tcBorders>
              <w:top w:val="single" w:sz="8" w:color="auto"/>
            </w:tcBorders>
            <w:gridSpan w:val="3"/>
          </w:tcPr>
          <w:p>
            <w:pPr>
              <w:ind w:left="34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8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90</w:t>
            </w:r>
          </w:p>
        </w:tc>
        <w:tc>
          <w:tcPr>
            <w:tcW w:w="5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gridSpan w:val="5"/>
          </w:tcPr>
          <w:p>
            <w:pPr>
              <w:jc w:val="right"/>
              <w:ind w:right="140"/>
              <w:spacing w:after="0"/>
              <w:rPr>
                <w:sz w:val="20"/>
                <w:szCs w:val="20"/>
                <w:color w:val="auto"/>
              </w:rPr>
            </w:pPr>
            <w:r>
              <w:rPr>
                <w:rFonts w:ascii="Arial" w:cs="Arial" w:eastAsia="Arial" w:hAnsi="Arial"/>
                <w:sz w:val="18"/>
                <w:szCs w:val="18"/>
                <w:color w:val="auto"/>
              </w:rPr>
              <w:t>2.6%</w:t>
            </w:r>
          </w:p>
        </w:tc>
        <w:tc>
          <w:tcPr>
            <w:tcW w:w="1680" w:type="dxa"/>
            <w:vAlign w:val="bottom"/>
            <w:tcBorders>
              <w:top w:val="single" w:sz="8" w:color="CCEEFF"/>
            </w:tcBorders>
            <w:gridSpan w:val="8"/>
          </w:tcPr>
          <w:p>
            <w:pPr>
              <w:jc w:val="right"/>
              <w:ind w:right="640"/>
              <w:spacing w:after="0"/>
              <w:rPr>
                <w:sz w:val="20"/>
                <w:szCs w:val="20"/>
                <w:color w:val="auto"/>
              </w:rPr>
            </w:pPr>
            <w:r>
              <w:rPr>
                <w:rFonts w:ascii="Arial" w:cs="Arial" w:eastAsia="Arial" w:hAnsi="Arial"/>
                <w:sz w:val="18"/>
                <w:szCs w:val="18"/>
                <w:color w:val="auto"/>
              </w:rPr>
              <w:t>$ (148)</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Volume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gridSpan w:val="4"/>
            <w:vMerge w:val="restart"/>
          </w:tcPr>
          <w:p>
            <w:pPr>
              <w:ind w:left="340"/>
              <w:spacing w:after="0"/>
              <w:rPr>
                <w:sz w:val="20"/>
                <w:szCs w:val="20"/>
                <w:color w:val="auto"/>
              </w:rPr>
            </w:pPr>
            <w:r>
              <w:rPr>
                <w:rFonts w:ascii="Arial" w:cs="Arial" w:eastAsia="Arial" w:hAnsi="Arial"/>
                <w:sz w:val="18"/>
                <w:szCs w:val="18"/>
                <w:color w:val="auto"/>
              </w:rPr>
              <w:t>Internal revenue growth</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2"/>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4"/>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(153)</w:t>
            </w:r>
          </w:p>
        </w:tc>
        <w:tc>
          <w:tcPr>
            <w:tcW w:w="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Acquisition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340"/>
              <w:spacing w:after="0"/>
              <w:rPr>
                <w:sz w:val="20"/>
                <w:szCs w:val="20"/>
                <w:color w:val="auto"/>
              </w:rPr>
            </w:pPr>
            <w:r>
              <w:rPr>
                <w:rFonts w:ascii="Arial" w:cs="Arial" w:eastAsia="Arial" w:hAnsi="Arial"/>
                <w:sz w:val="18"/>
                <w:szCs w:val="18"/>
                <w:color w:val="auto"/>
              </w:rPr>
              <w:t>Divestitures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6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2"/>
            <w:vMerge w:val="restart"/>
          </w:tcPr>
          <w:p>
            <w:pPr>
              <w:jc w:val="right"/>
              <w:ind w:right="64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4.6%</w:t>
            </w:r>
          </w:p>
        </w:tc>
        <w:tc>
          <w:tcPr>
            <w:tcW w:w="12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5"/>
          </w:tcPr>
          <w:p>
            <w:pPr>
              <w:jc w:val="center"/>
              <w:ind w:right="400"/>
              <w:spacing w:after="0"/>
              <w:rPr>
                <w:sz w:val="20"/>
                <w:szCs w:val="20"/>
                <w:color w:val="auto"/>
              </w:rPr>
            </w:pPr>
            <w:r>
              <w:rPr>
                <w:rFonts w:ascii="Arial" w:cs="Arial" w:eastAsia="Arial" w:hAnsi="Arial"/>
                <w:sz w:val="14"/>
                <w:szCs w:val="14"/>
                <w:color w:val="auto"/>
                <w:w w:val="96"/>
              </w:rPr>
              <w:t>As a % of</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4"/>
          </w:tcPr>
          <w:p>
            <w:pPr>
              <w:jc w:val="center"/>
              <w:ind w:right="320"/>
              <w:spacing w:after="0"/>
              <w:rPr>
                <w:sz w:val="20"/>
                <w:szCs w:val="20"/>
                <w:color w:val="auto"/>
              </w:rPr>
            </w:pPr>
            <w:r>
              <w:rPr>
                <w:rFonts w:ascii="Arial" w:cs="Arial" w:eastAsia="Arial" w:hAnsi="Arial"/>
                <w:sz w:val="14"/>
                <w:szCs w:val="14"/>
                <w:color w:val="auto"/>
                <w:w w:val="96"/>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5"/>
          </w:tcPr>
          <w:p>
            <w:pPr>
              <w:jc w:val="center"/>
              <w:ind w:right="420"/>
              <w:spacing w:after="0" w:line="149" w:lineRule="exact"/>
              <w:rPr>
                <w:sz w:val="20"/>
                <w:szCs w:val="20"/>
                <w:color w:val="auto"/>
              </w:rPr>
            </w:pPr>
            <w:r>
              <w:rPr>
                <w:rFonts w:ascii="Arial" w:cs="Arial" w:eastAsia="Arial" w:hAnsi="Arial"/>
                <w:sz w:val="14"/>
                <w:szCs w:val="14"/>
                <w:color w:val="auto"/>
                <w:w w:val="91"/>
              </w:rPr>
              <w:t>Related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4"/>
          </w:tcPr>
          <w:p>
            <w:pPr>
              <w:jc w:val="right"/>
              <w:ind w:right="58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jc w:val="center"/>
              <w:ind w:right="400"/>
              <w:spacing w:after="0"/>
              <w:rPr>
                <w:sz w:val="20"/>
                <w:szCs w:val="20"/>
                <w:color w:val="auto"/>
              </w:rPr>
            </w:pPr>
            <w:r>
              <w:rPr>
                <w:rFonts w:ascii="Arial" w:cs="Arial" w:eastAsia="Arial" w:hAnsi="Arial"/>
                <w:sz w:val="14"/>
                <w:szCs w:val="14"/>
                <w:color w:val="auto"/>
                <w:w w:val="87"/>
              </w:rPr>
              <w:t>Business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5"/>
          </w:tcPr>
          <w:p>
            <w:pPr>
              <w:jc w:val="center"/>
              <w:ind w:right="70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4"/>
                <w:szCs w:val="14"/>
                <w:color w:val="auto"/>
              </w:rPr>
            </w:pPr>
          </w:p>
        </w:tc>
        <w:tc>
          <w:tcPr>
            <w:tcW w:w="980" w:type="dxa"/>
            <w:vAlign w:val="bottom"/>
            <w:gridSpan w:val="4"/>
          </w:tcPr>
          <w:p>
            <w:pPr>
              <w:jc w:val="center"/>
              <w:ind w:right="320"/>
              <w:spacing w:after="0"/>
              <w:rPr>
                <w:sz w:val="20"/>
                <w:szCs w:val="20"/>
                <w:color w:val="auto"/>
              </w:rPr>
            </w:pPr>
            <w:r>
              <w:rPr>
                <w:rFonts w:ascii="Arial" w:cs="Arial" w:eastAsia="Arial" w:hAnsi="Arial"/>
                <w:sz w:val="14"/>
                <w:szCs w:val="14"/>
                <w:color w:val="auto"/>
                <w:w w:val="87"/>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1060"/>
              <w:spacing w:after="0"/>
              <w:rPr>
                <w:sz w:val="20"/>
                <w:szCs w:val="20"/>
                <w:color w:val="auto"/>
              </w:rPr>
            </w:pPr>
            <w:r>
              <w:rPr>
                <w:rFonts w:ascii="Arial" w:cs="Arial" w:eastAsia="Arial" w:hAnsi="Arial"/>
                <w:sz w:val="18"/>
                <w:szCs w:val="18"/>
                <w:color w:val="auto"/>
              </w:rPr>
              <w:t>Collection, landfill and transfer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2.5%</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rPr>
              <w:t>Waste-to-energy disposal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4"/>
          </w:tcPr>
          <w:p>
            <w:pPr>
              <w:ind w:left="700"/>
              <w:spacing w:after="0"/>
              <w:rPr>
                <w:sz w:val="20"/>
                <w:szCs w:val="20"/>
                <w:color w:val="auto"/>
              </w:rPr>
            </w:pPr>
            <w:r>
              <w:rPr>
                <w:rFonts w:ascii="Arial" w:cs="Arial" w:eastAsia="Arial" w:hAnsi="Arial"/>
                <w:sz w:val="18"/>
                <w:szCs w:val="18"/>
                <w:color w:val="auto"/>
              </w:rPr>
              <w:t>Collection and disposal</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Recycling commodities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0"/>
              </w:rPr>
              <w:t>(176)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700"/>
              <w:spacing w:after="0"/>
              <w:rPr>
                <w:sz w:val="20"/>
                <w:szCs w:val="20"/>
                <w:color w:val="auto"/>
              </w:rPr>
            </w:pPr>
            <w:r>
              <w:rPr>
                <w:rFonts w:ascii="Arial" w:cs="Arial" w:eastAsia="Arial" w:hAnsi="Arial"/>
                <w:sz w:val="18"/>
                <w:szCs w:val="18"/>
                <w:color w:val="auto"/>
              </w:rPr>
              <w:t>Electricity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5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6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Fuel surcharges and mandated fees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4"/>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(148</w:t>
            </w:r>
          </w:p>
        </w:tc>
        <w:tc>
          <w:tcPr>
            <w:tcW w:w="700" w:type="dxa"/>
            <w:vAlign w:val="bottom"/>
            <w:gridSpan w:val="2"/>
          </w:tcPr>
          <w:p>
            <w:pPr>
              <w:jc w:val="right"/>
              <w:ind w:right="6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13"/>
          </w:tcPr>
          <w:p>
            <w:pPr>
              <w:jc w:val="right"/>
              <w:ind w:right="680"/>
              <w:spacing w:after="0"/>
              <w:rPr>
                <w:sz w:val="20"/>
                <w:szCs w:val="20"/>
                <w:color w:val="auto"/>
              </w:rPr>
            </w:pPr>
            <w:r>
              <w:rPr>
                <w:rFonts w:ascii="Arial" w:cs="Arial" w:eastAsia="Arial" w:hAnsi="Arial"/>
                <w:sz w:val="14"/>
                <w:szCs w:val="14"/>
                <w:b w:val="1"/>
                <w:bCs w:val="1"/>
                <w:color w:val="auto"/>
                <w:w w:val="94"/>
              </w:rPr>
              <w:t>Quarters Ended September 30,</w:t>
            </w:r>
          </w:p>
        </w:tc>
        <w:tc>
          <w:tcPr>
            <w:tcW w:w="120" w:type="dxa"/>
            <w:vAlign w:val="bottom"/>
          </w:tcPr>
          <w:p>
            <w:pPr>
              <w:spacing w:after="0"/>
              <w:rPr>
                <w:sz w:val="24"/>
                <w:szCs w:val="24"/>
                <w:color w:val="auto"/>
              </w:rPr>
            </w:pPr>
          </w:p>
        </w:tc>
        <w:tc>
          <w:tcPr>
            <w:tcW w:w="2660" w:type="dxa"/>
            <w:vAlign w:val="bottom"/>
            <w:gridSpan w:val="12"/>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gridSpan w:val="5"/>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Free Cash Flow Analysis (b)</w:t>
            </w:r>
          </w:p>
        </w:tc>
        <w:tc>
          <w:tcPr>
            <w:tcW w:w="3360" w:type="dxa"/>
            <w:vAlign w:val="bottom"/>
            <w:tcBorders>
              <w:bottom w:val="single" w:sz="8" w:color="CCEEFF"/>
            </w:tcBorders>
            <w:gridSpan w:val="3"/>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5540" w:type="dxa"/>
            <w:vAlign w:val="bottom"/>
            <w:gridSpan w:val="5"/>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48"/>
              <w:spacing w:after="0"/>
              <w:rPr>
                <w:sz w:val="20"/>
                <w:szCs w:val="20"/>
                <w:color w:val="auto"/>
              </w:rPr>
            </w:pPr>
            <w:r>
              <w:rPr>
                <w:rFonts w:ascii="Arial" w:cs="Arial" w:eastAsia="Arial" w:hAnsi="Arial"/>
                <w:sz w:val="18"/>
                <w:szCs w:val="18"/>
                <w:color w:val="auto"/>
              </w:rPr>
              <w:t>736</w:t>
            </w:r>
          </w:p>
        </w:tc>
        <w:tc>
          <w:tcPr>
            <w:tcW w:w="5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4"/>
              </w:rPr>
              <w:t>1,858</w:t>
            </w:r>
          </w:p>
        </w:tc>
        <w:tc>
          <w:tcPr>
            <w:tcW w:w="6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0"/>
              </w:rPr>
              <w:t>(824)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gridSpan w:val="4"/>
          </w:tcPr>
          <w:p>
            <w:pPr>
              <w:spacing w:after="0" w:line="201" w:lineRule="exact"/>
              <w:rPr>
                <w:sz w:val="20"/>
                <w:szCs w:val="20"/>
                <w:color w:val="auto"/>
              </w:rPr>
            </w:pPr>
            <w:r>
              <w:rPr>
                <w:rFonts w:ascii="Arial" w:cs="Arial" w:eastAsia="Arial" w:hAnsi="Arial"/>
                <w:sz w:val="18"/>
                <w:szCs w:val="18"/>
                <w:color w:val="auto"/>
                <w:w w:val="93"/>
              </w:rPr>
              <w:t>Proceeds from divestitures of businesses (net of cash divested) and other</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4"/>
          </w:tcPr>
          <w:p>
            <w:pPr>
              <w:ind w:left="160"/>
              <w:spacing w:after="0"/>
              <w:rPr>
                <w:sz w:val="20"/>
                <w:szCs w:val="20"/>
                <w:color w:val="auto"/>
              </w:rPr>
            </w:pPr>
            <w:r>
              <w:rPr>
                <w:rFonts w:ascii="Arial" w:cs="Arial" w:eastAsia="Arial" w:hAnsi="Arial"/>
                <w:sz w:val="18"/>
                <w:szCs w:val="18"/>
                <w:color w:val="auto"/>
              </w:rPr>
              <w:t>sales of assets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1,147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34" w:lineRule="exact"/>
        <w:rPr>
          <w:rFonts w:ascii="Arial" w:cs="Arial" w:eastAsia="Arial" w:hAnsi="Arial"/>
          <w:sz w:val="17"/>
          <w:szCs w:val="17"/>
          <w:color w:val="auto"/>
        </w:rPr>
      </w:pPr>
    </w:p>
    <w:p>
      <w:pPr>
        <w:ind w:left="460" w:right="8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5"/>
              </w:rPr>
              <w:t>Quarters Ended</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80" w:type="dxa"/>
            <w:vAlign w:val="bottom"/>
          </w:tcPr>
          <w:p>
            <w:pPr>
              <w:spacing w:after="0"/>
              <w:rPr>
                <w:sz w:val="10"/>
                <w:szCs w:val="10"/>
                <w:color w:val="auto"/>
              </w:rPr>
            </w:pPr>
          </w:p>
        </w:tc>
        <w:tc>
          <w:tcPr>
            <w:tcW w:w="126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6"/>
              </w:rPr>
              <w:t>June 30,</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Balance Sheet Data</w:t>
            </w:r>
          </w:p>
        </w:tc>
        <w:tc>
          <w:tcPr>
            <w:tcW w:w="6020" w:type="dxa"/>
            <w:vAlign w:val="bottom"/>
            <w:tcBorders>
              <w:bottom w:val="single" w:sz="8" w:color="CCEEFF"/>
            </w:tcBorders>
            <w:gridSpan w:val="4"/>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752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157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ind w:left="34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10,059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9,770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6,818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5"/>
          </w:tcPr>
          <w:p>
            <w:pPr>
              <w:ind w:left="70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16,588</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6"/>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50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7500" w:type="dxa"/>
            <w:vAlign w:val="bottom"/>
            <w:gridSpan w:val="5"/>
          </w:tcPr>
          <w:p>
            <w:pPr>
              <w:ind w:left="340"/>
              <w:spacing w:after="0"/>
              <w:rPr>
                <w:sz w:val="20"/>
                <w:szCs w:val="20"/>
                <w:color w:val="auto"/>
              </w:rPr>
            </w:pPr>
            <w:r>
              <w:rPr>
                <w:rFonts w:ascii="Arial" w:cs="Arial" w:eastAsia="Arial" w:hAnsi="Arial"/>
                <w:sz w:val="18"/>
                <w:szCs w:val="18"/>
                <w:color w:val="auto"/>
              </w:rPr>
              <w:t>Gross annualized revenue acquired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00" w:type="dxa"/>
            <w:vAlign w:val="bottom"/>
            <w:gridSpan w:val="2"/>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gridSpan w:val="5"/>
            <w:vMerge w:val="restart"/>
          </w:tcPr>
          <w:p>
            <w:pPr>
              <w:ind w:left="340"/>
              <w:spacing w:after="0"/>
              <w:rPr>
                <w:sz w:val="20"/>
                <w:szCs w:val="20"/>
                <w:color w:val="auto"/>
              </w:rPr>
            </w:pPr>
            <w:r>
              <w:rPr>
                <w:rFonts w:ascii="Arial" w:cs="Arial" w:eastAsia="Arial" w:hAnsi="Arial"/>
                <w:sz w:val="18"/>
                <w:szCs w:val="18"/>
                <w:color w:val="auto"/>
              </w:rPr>
              <w:t>Cash paid for acquisitions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2"/>
              </w:rPr>
              <w:t>Other Operational Data</w:t>
            </w:r>
          </w:p>
        </w:tc>
        <w:tc>
          <w:tcPr>
            <w:tcW w:w="566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7520" w:type="dxa"/>
            <w:vAlign w:val="bottom"/>
            <w:gridSpan w:val="6"/>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67.3%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6"/>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9"/>
              </w:rPr>
              <w:t>Amortization, Accretion and Other Expenses for Landfills Included in Operating Groups: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2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9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ind w:left="340"/>
              <w:spacing w:after="0"/>
              <w:rPr>
                <w:sz w:val="20"/>
                <w:szCs w:val="20"/>
                <w:color w:val="auto"/>
              </w:rPr>
            </w:pPr>
            <w:r>
              <w:rPr>
                <w:rFonts w:ascii="Arial" w:cs="Arial" w:eastAsia="Arial" w:hAnsi="Arial"/>
                <w:sz w:val="18"/>
                <w:szCs w:val="18"/>
                <w:color w:val="auto"/>
              </w:rPr>
              <w:t>Cost basis of landfill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89.4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88.1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Asset retirement costs</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5"/>
          </w:tcPr>
          <w:p>
            <w:pPr>
              <w:ind w:left="700"/>
              <w:spacing w:after="0"/>
              <w:rPr>
                <w:sz w:val="20"/>
                <w:szCs w:val="20"/>
                <w:color w:val="auto"/>
              </w:rPr>
            </w:pPr>
            <w:r>
              <w:rPr>
                <w:rFonts w:ascii="Arial" w:cs="Arial" w:eastAsia="Arial" w:hAnsi="Arial"/>
                <w:sz w:val="18"/>
                <w:szCs w:val="18"/>
                <w:color w:val="auto"/>
              </w:rPr>
              <w:t>Total landfill amortization expense</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5"/>
          </w:tcPr>
          <w:p>
            <w:pPr>
              <w:ind w:left="34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Note that cash paid for acquisitions may include cash payments for business acquisitions consummated in prior quarters.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5"/>
          </w:tcPr>
          <w:p>
            <w:pPr>
              <w:jc w:val="center"/>
              <w:ind w:right="19"/>
              <w:spacing w:after="0"/>
              <w:rPr>
                <w:sz w:val="20"/>
                <w:szCs w:val="20"/>
                <w:color w:val="auto"/>
              </w:rPr>
            </w:pPr>
            <w:r>
              <w:rPr>
                <w:rFonts w:ascii="Arial" w:cs="Arial" w:eastAsia="Arial" w:hAnsi="Arial"/>
                <w:sz w:val="14"/>
                <w:szCs w:val="14"/>
                <w:b w:val="1"/>
                <w:bCs w:val="1"/>
                <w:color w:val="auto"/>
                <w:w w:val="96"/>
              </w:rPr>
              <w:t>Quarter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2013</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After-tax</w:t>
            </w:r>
          </w:p>
        </w:tc>
        <w:tc>
          <w:tcPr>
            <w:tcW w:w="760" w:type="dxa"/>
            <w:vAlign w:val="bottom"/>
          </w:tcPr>
          <w:p>
            <w:pPr>
              <w:spacing w:after="0"/>
              <w:rPr>
                <w:sz w:val="10"/>
                <w:szCs w:val="10"/>
                <w:color w:val="auto"/>
              </w:rPr>
            </w:pPr>
          </w:p>
        </w:tc>
        <w:tc>
          <w:tcPr>
            <w:tcW w:w="7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Tax</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w w:val="95"/>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Net Income and Earnings Per Diluted Share</w:t>
            </w:r>
          </w:p>
        </w:tc>
        <w:tc>
          <w:tcPr>
            <w:tcW w:w="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(Expense) /</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7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Benefit</w:t>
            </w:r>
          </w:p>
        </w:tc>
        <w:tc>
          <w:tcPr>
            <w:tcW w:w="960" w:type="dxa"/>
            <w:vAlign w:val="bottom"/>
          </w:tcPr>
          <w:p>
            <w:pPr>
              <w:spacing w:after="0"/>
              <w:rPr>
                <w:sz w:val="14"/>
                <w:szCs w:val="14"/>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Asset impairments and unusual items </w:t>
            </w:r>
            <w:r>
              <w:rPr>
                <w:rFonts w:ascii="Arial" w:cs="Arial" w:eastAsia="Arial" w:hAnsi="Arial"/>
                <w:sz w:val="18"/>
                <w:szCs w:val="18"/>
                <w:b w:val="1"/>
                <w:bCs w:val="1"/>
                <w:color w:val="auto"/>
              </w:rPr>
              <w:t>(a)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Partial withdrawal from multiemployer pension plan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306</w:t>
            </w: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5"/>
          </w:tcPr>
          <w:p>
            <w:pPr>
              <w:jc w:val="center"/>
              <w:ind w:right="19"/>
              <w:spacing w:after="0"/>
              <w:rPr>
                <w:sz w:val="20"/>
                <w:szCs w:val="20"/>
                <w:color w:val="auto"/>
              </w:rPr>
            </w:pPr>
            <w:r>
              <w:rPr>
                <w:rFonts w:ascii="Arial" w:cs="Arial" w:eastAsia="Arial" w:hAnsi="Arial"/>
                <w:sz w:val="14"/>
                <w:szCs w:val="14"/>
                <w:b w:val="1"/>
                <w:bCs w:val="1"/>
                <w:color w:val="auto"/>
                <w:w w:val="96"/>
              </w:rPr>
              <w:t>Quarter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2012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After-tax</w:t>
            </w:r>
          </w:p>
        </w:tc>
        <w:tc>
          <w:tcPr>
            <w:tcW w:w="760" w:type="dxa"/>
            <w:vAlign w:val="bottom"/>
          </w:tcPr>
          <w:p>
            <w:pPr>
              <w:spacing w:after="0"/>
              <w:rPr>
                <w:sz w:val="10"/>
                <w:szCs w:val="10"/>
                <w:color w:val="auto"/>
              </w:rPr>
            </w:pPr>
          </w:p>
        </w:tc>
        <w:tc>
          <w:tcPr>
            <w:tcW w:w="7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Tax</w:t>
            </w:r>
          </w:p>
        </w:tc>
        <w:tc>
          <w:tcPr>
            <w:tcW w:w="960" w:type="dxa"/>
            <w:vAlign w:val="bottom"/>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9"/>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Net Income and Earnings Per Diluted Share</w:t>
            </w:r>
          </w:p>
        </w:tc>
        <w:tc>
          <w:tcPr>
            <w:tcW w:w="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(Expense) /</w:t>
            </w:r>
          </w:p>
        </w:tc>
        <w:tc>
          <w:tcPr>
            <w:tcW w:w="9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Benefit</w:t>
            </w:r>
          </w:p>
        </w:tc>
        <w:tc>
          <w:tcPr>
            <w:tcW w:w="960" w:type="dxa"/>
            <w:vAlign w:val="bottom"/>
          </w:tcPr>
          <w:p>
            <w:pPr>
              <w:spacing w:after="0"/>
              <w:rPr>
                <w:sz w:val="14"/>
                <w:szCs w:val="14"/>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8"/>
                <w:szCs w:val="18"/>
                <w:b w:val="1"/>
                <w:bCs w:val="1"/>
                <w:color w:val="auto"/>
              </w:rPr>
              <w:t>(b)</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Restructuring charges and Oakleaf related integration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Labor dispute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56"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Includes pre-tax charges of $23 million comprised of: i) $16 million of impairment charges, primarily associated with an investment in waste diversion technologies, which was partially offset by a $6 million benefit included in the “Net income attributable to noncontrolling interest” financial caption; and ii) losses on divestures of approximately $7 million.</w:t>
      </w:r>
    </w:p>
    <w:p>
      <w:pPr>
        <w:ind w:left="460" w:right="40" w:hanging="452"/>
        <w:spacing w:after="0" w:line="250"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Includes impairment charges associated with certain of our investments in unconsolidated entities that are included in the “Equity in Earnings/Losses of Unconsolidated Entities” and “Other, net” financial captions, as well as impairment charges associated with assets in the “Asset Impairments and Unusual Items” financial caption.</w:t>
      </w:r>
    </w:p>
    <w:p>
      <w:pPr>
        <w:spacing w:after="0" w:line="1" w:lineRule="exact"/>
        <w:rPr>
          <w:rFonts w:ascii="Arial" w:cs="Arial" w:eastAsia="Arial" w:hAnsi="Arial"/>
          <w:sz w:val="18"/>
          <w:szCs w:val="18"/>
          <w:b w:val="1"/>
          <w:bCs w:val="1"/>
          <w:color w:val="auto"/>
        </w:rPr>
      </w:pPr>
    </w:p>
    <w:p>
      <w:pPr>
        <w:ind w:left="460" w:right="200" w:hanging="452"/>
        <w:spacing w:after="0" w:line="255"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Represents tax benefit resulting from the $22 million of pre-tax impairment charges included in the “Asset Impairments and Unusual Items” financial caption. There is no tax impact corresponding to the $23 million of pre-tax impairment charges associated with our investments in unconsolidated entities.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420"/>
          </w:cols>
          <w:pgMar w:left="240" w:top="27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center"/>
              <w:ind w:left="153"/>
              <w:spacing w:after="0"/>
              <w:rPr>
                <w:sz w:val="20"/>
                <w:szCs w:val="20"/>
                <w:color w:val="auto"/>
              </w:rPr>
            </w:pPr>
            <w:r>
              <w:rPr>
                <w:rFonts w:ascii="Arial" w:cs="Arial" w:eastAsia="Arial" w:hAnsi="Arial"/>
                <w:sz w:val="14"/>
                <w:szCs w:val="14"/>
                <w:b w:val="1"/>
                <w:bCs w:val="1"/>
                <w:color w:val="auto"/>
                <w:w w:val="96"/>
              </w:rPr>
              <w:t>Quarter Ended</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left="173"/>
              <w:spacing w:after="0"/>
              <w:rPr>
                <w:sz w:val="20"/>
                <w:szCs w:val="20"/>
                <w:color w:val="auto"/>
              </w:rPr>
            </w:pPr>
            <w:r>
              <w:rPr>
                <w:rFonts w:ascii="Arial" w:cs="Arial" w:eastAsia="Arial" w:hAnsi="Arial"/>
                <w:sz w:val="14"/>
                <w:szCs w:val="14"/>
                <w:b w:val="1"/>
                <w:bCs w:val="1"/>
                <w:color w:val="auto"/>
                <w:w w:val="91"/>
              </w:rPr>
              <w:t>September 30, 2013</w:t>
            </w:r>
          </w:p>
        </w:tc>
        <w:tc>
          <w:tcPr>
            <w:tcW w:w="4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as a percent of Revenues</w:t>
            </w:r>
          </w:p>
        </w:tc>
        <w:tc>
          <w:tcPr>
            <w:tcW w:w="20" w:type="dxa"/>
            <w:vAlign w:val="bottom"/>
          </w:tcPr>
          <w:p>
            <w:pPr>
              <w:spacing w:after="0"/>
              <w:rPr>
                <w:sz w:val="10"/>
                <w:szCs w:val="10"/>
                <w:color w:val="auto"/>
              </w:rPr>
            </w:pPr>
          </w:p>
        </w:tc>
        <w:tc>
          <w:tcPr>
            <w:tcW w:w="11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As a %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3,621</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577</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Asset impairments and unusual items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Partial withdrawal from multiemployer pension plan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adjusted</w:t>
            </w: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1"/>
              </w:rPr>
              <w:t>(a)</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16.8%(a)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jc w:val="center"/>
              <w:ind w:left="153"/>
              <w:spacing w:after="0"/>
              <w:rPr>
                <w:sz w:val="20"/>
                <w:szCs w:val="20"/>
                <w:color w:val="auto"/>
              </w:rPr>
            </w:pPr>
            <w:r>
              <w:rPr>
                <w:rFonts w:ascii="Arial" w:cs="Arial" w:eastAsia="Arial" w:hAnsi="Arial"/>
                <w:sz w:val="14"/>
                <w:szCs w:val="14"/>
                <w:b w:val="1"/>
                <w:bCs w:val="1"/>
                <w:color w:val="auto"/>
                <w:w w:val="96"/>
              </w:rPr>
              <w:t>Quarter Ended</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left="173"/>
              <w:spacing w:after="0"/>
              <w:rPr>
                <w:sz w:val="20"/>
                <w:szCs w:val="20"/>
                <w:color w:val="auto"/>
              </w:rPr>
            </w:pPr>
            <w:r>
              <w:rPr>
                <w:rFonts w:ascii="Arial" w:cs="Arial" w:eastAsia="Arial" w:hAnsi="Arial"/>
                <w:sz w:val="14"/>
                <w:szCs w:val="14"/>
                <w:b w:val="1"/>
                <w:bCs w:val="1"/>
                <w:color w:val="auto"/>
                <w:w w:val="91"/>
              </w:rPr>
              <w:t>September 30, 2012</w:t>
            </w:r>
          </w:p>
        </w:tc>
        <w:tc>
          <w:tcPr>
            <w:tcW w:w="4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as a percent of Revenues</w:t>
            </w:r>
          </w:p>
        </w:tc>
        <w:tc>
          <w:tcPr>
            <w:tcW w:w="20" w:type="dxa"/>
            <w:vAlign w:val="bottom"/>
          </w:tcPr>
          <w:p>
            <w:pPr>
              <w:spacing w:after="0"/>
              <w:rPr>
                <w:sz w:val="10"/>
                <w:szCs w:val="10"/>
                <w:color w:val="auto"/>
              </w:rPr>
            </w:pPr>
          </w:p>
        </w:tc>
        <w:tc>
          <w:tcPr>
            <w:tcW w:w="11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As a %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3,461</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500</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Asset impairments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 and Oakleaf related integration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Labor dispute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adjusted</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1"/>
              </w:rPr>
              <w:t>(a)</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16.6%(a)</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 xml:space="preserve">Full Year 2013 Free Cash Flow Reconciliation </w:t>
            </w:r>
            <w:r>
              <w:rPr>
                <w:rFonts w:ascii="Arial" w:cs="Arial" w:eastAsia="Arial" w:hAnsi="Arial"/>
                <w:sz w:val="18"/>
                <w:szCs w:val="18"/>
                <w:b w:val="1"/>
                <w:bCs w:val="1"/>
                <w:color w:val="auto"/>
              </w:rPr>
              <w:t>(b)</w:t>
            </w: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Scenario 1</w:t>
            </w:r>
          </w:p>
        </w:tc>
        <w:tc>
          <w:tcPr>
            <w:tcW w:w="2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Scenario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2,600</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w w:val="98"/>
              </w:rPr>
              <w:t>(1,400)</w:t>
            </w:r>
          </w:p>
        </w:tc>
        <w:tc>
          <w:tcPr>
            <w:tcW w:w="1340" w:type="dxa"/>
            <w:vAlign w:val="bottom"/>
            <w:gridSpan w:val="4"/>
          </w:tcPr>
          <w:p>
            <w:pPr>
              <w:jc w:val="right"/>
              <w:ind w:right="38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Income from operations, as adjusted, increased $33 million, or 20 basis points as a percent of revenues, compared to third quarter of 2012.</w:t>
      </w:r>
    </w:p>
    <w:p>
      <w:pPr>
        <w:spacing w:after="0" w:line="34" w:lineRule="exact"/>
        <w:rPr>
          <w:rFonts w:ascii="Arial" w:cs="Arial" w:eastAsia="Arial" w:hAnsi="Arial"/>
          <w:sz w:val="17"/>
          <w:szCs w:val="17"/>
          <w:b w:val="1"/>
          <w:bCs w:val="1"/>
          <w:color w:val="auto"/>
        </w:rPr>
      </w:pPr>
    </w:p>
    <w:p>
      <w:pPr>
        <w:ind w:left="460" w:right="80" w:hanging="452"/>
        <w:spacing w:after="0" w:line="261"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reconciliation illustrates two scenarios that show our projected free cash flow for 2013. The amounts used in the reconciliation are subject to many variables, some of which are not under our control and, therefore, are not necessarily indicative of actual results.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4"/>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2019-12-06T01:16:02Z</dcterms:created>
  <dcterms:modified xsi:type="dcterms:W3CDTF">2019-12-06T01:16:02Z</dcterms:modified>
</cp:coreProperties>
</file>