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Settlement of restricted share award granted under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2020-05-05T13:57:26Z</dcterms:created>
  <dcterms:modified xsi:type="dcterms:W3CDTF">2020-05-05T13:57:26Z</dcterms:modified>
</cp:coreProperties>
</file>