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229870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April 30,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223520</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On April 30, 2007, Waste Management, Inc. (the “Company”) filed a prospectus supplement pursuant to Rule 424 of the Securities Act of 1933, as amended, to its registration statement on Form S-3 (No. 333-137526) (the “Registration Statement”), to register the issuance of 21,500 shares of its common stock, par value $0.01 per share (the “Common Stock”), upon exercise of an outstanding warrant to purchase shares of Common Stock of the Company.</w:t>
      </w:r>
    </w:p>
    <w:p>
      <w:pPr>
        <w:spacing w:after="0" w:line="3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April 30, 2007</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Rick L Wittnebraker</w:t>
            </w:r>
          </w:p>
        </w:tc>
        <w:tc>
          <w:tcPr>
            <w:tcW w:w="168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Senior Vice President</w:t>
            </w:r>
          </w:p>
        </w:tc>
        <w:tc>
          <w:tcPr>
            <w:tcW w:w="1680" w:type="dxa"/>
            <w:vAlign w:val="bottom"/>
          </w:tcPr>
          <w:p>
            <w:pPr>
              <w:spacing w:after="0"/>
              <w:rPr>
                <w:sz w:val="20"/>
                <w:szCs w:val="20"/>
                <w:color w:val="auto"/>
              </w:rPr>
            </w:pPr>
          </w:p>
        </w:tc>
      </w:tr>
      <w:tr>
        <w:trPr>
          <w:trHeight w:val="632"/>
        </w:trPr>
        <w:tc>
          <w:tcPr>
            <w:tcW w:w="3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24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402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700" w:type="dxa"/>
            <w:vAlign w:val="bottom"/>
          </w:tcPr>
          <w:p>
            <w:pPr>
              <w:jc w:val="right"/>
              <w:ind w:right="162"/>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Opinion of Amanda K. Maki</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color w:val="auto"/>
        </w:rPr>
        <w:t>[WASTE MANAGEMENT LETTERHEAD]</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April 30,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 am Corporate Counsel of Waste Management, Inc., a Delaware corporation (the “Company”), and have acted in such capacity in connection with the sale of 21,500 shares of the Company’s common stock, par value $0.01 per share (the “Common Stock”), pursuant to the exercise of a warrant dated April 26, 1997 (the “Warrant”). The 21,500 shares of Common Stock are being issued under a registration statement on Form S-3 (No. 333-137526) filed under the Securities Act of 1933, as amended.</w:t>
      </w:r>
    </w:p>
    <w:p>
      <w:pPr>
        <w:spacing w:after="0" w:line="79"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Amanda K. Maki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Corporate Counsel</w:t>
      </w:r>
    </w:p>
    <w:sectPr>
      <w:pgSz w:w="11900" w:h="16838" w:orient="portrait"/>
      <w:cols w:equalWidth="0" w:num="1">
        <w:col w:w="11380"/>
      </w:cols>
      <w:pgMar w:left="240" w:top="96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2019-12-12T11:08:24Z</dcterms:created>
  <dcterms:modified xsi:type="dcterms:W3CDTF">2019-12-12T11:08:24Z</dcterms:modified>
</cp:coreProperties>
</file>