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February 23, 2011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February 23, 2011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180" w:type="dxa"/>
            <w:vAlign w:val="bottom"/>
          </w:tcPr>
          <w:p>
            <w:pPr>
              <w:ind w:left="150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240" w:type="dxa"/>
            <w:vAlign w:val="bottom"/>
          </w:tcPr>
          <w:p>
            <w:pPr>
              <w:spacing w:after="0"/>
              <w:rPr>
                <w:sz w:val="20"/>
                <w:szCs w:val="20"/>
                <w:color w:val="auto"/>
              </w:rPr>
            </w:pPr>
          </w:p>
        </w:tc>
        <w:tc>
          <w:tcPr>
            <w:tcW w:w="8180" w:type="dxa"/>
            <w:vAlign w:val="bottom"/>
          </w:tcPr>
          <w:p>
            <w:pPr>
              <w:ind w:left="1360"/>
              <w:spacing w:after="0"/>
              <w:rPr>
                <w:sz w:val="20"/>
                <w:szCs w:val="20"/>
                <w:color w:val="auto"/>
              </w:rPr>
            </w:pPr>
            <w:r>
              <w:rPr>
                <w:rFonts w:ascii="Arial" w:cs="Arial" w:eastAsia="Arial" w:hAnsi="Arial"/>
                <w:sz w:val="18"/>
                <w:szCs w:val="18"/>
                <w:b w:val="1"/>
                <w:bCs w:val="1"/>
                <w:color w:val="auto"/>
              </w:rPr>
              <w:t>4.60% Senior Notes due 2021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8180" w:type="dxa"/>
            <w:vAlign w:val="bottom"/>
          </w:tcPr>
          <w:p>
            <w:pPr>
              <w:ind w:left="540"/>
              <w:spacing w:after="0"/>
              <w:rPr>
                <w:sz w:val="20"/>
                <w:szCs w:val="20"/>
                <w:color w:val="auto"/>
              </w:rPr>
            </w:pPr>
            <w:r>
              <w:rPr>
                <w:rFonts w:ascii="Arial" w:cs="Arial" w:eastAsia="Arial" w:hAnsi="Arial"/>
                <w:sz w:val="18"/>
                <w:szCs w:val="18"/>
                <w:color w:val="auto"/>
              </w:rPr>
              <w:t>Waste Management,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Guarantor:</w:t>
            </w:r>
          </w:p>
        </w:tc>
        <w:tc>
          <w:tcPr>
            <w:tcW w:w="8180" w:type="dxa"/>
            <w:vAlign w:val="bottom"/>
          </w:tcPr>
          <w:p>
            <w:pPr>
              <w:ind w:left="54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8180" w:type="dxa"/>
            <w:vAlign w:val="bottom"/>
          </w:tcPr>
          <w:p>
            <w:pPr>
              <w:ind w:left="540"/>
              <w:spacing w:after="0"/>
              <w:rPr>
                <w:sz w:val="20"/>
                <w:szCs w:val="20"/>
                <w:color w:val="auto"/>
              </w:rPr>
            </w:pPr>
            <w:r>
              <w:rPr>
                <w:rFonts w:ascii="Arial" w:cs="Arial" w:eastAsia="Arial" w:hAnsi="Arial"/>
                <w:sz w:val="18"/>
                <w:szCs w:val="18"/>
                <w:color w:val="auto"/>
              </w:rPr>
              <w:t>$400,000,000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8180" w:type="dxa"/>
            <w:vAlign w:val="bottom"/>
          </w:tcPr>
          <w:p>
            <w:pPr>
              <w:ind w:left="540"/>
              <w:spacing w:after="0"/>
              <w:rPr>
                <w:sz w:val="20"/>
                <w:szCs w:val="20"/>
                <w:color w:val="auto"/>
              </w:rPr>
            </w:pPr>
            <w:r>
              <w:rPr>
                <w:rFonts w:ascii="Arial" w:cs="Arial" w:eastAsia="Arial" w:hAnsi="Arial"/>
                <w:sz w:val="18"/>
                <w:szCs w:val="18"/>
                <w:color w:val="auto"/>
              </w:rPr>
              <w:t>March 1, 2021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8180" w:type="dxa"/>
            <w:vAlign w:val="bottom"/>
          </w:tcPr>
          <w:p>
            <w:pPr>
              <w:ind w:left="540"/>
              <w:spacing w:after="0"/>
              <w:rPr>
                <w:sz w:val="20"/>
                <w:szCs w:val="20"/>
                <w:color w:val="auto"/>
              </w:rPr>
            </w:pPr>
            <w:r>
              <w:rPr>
                <w:rFonts w:ascii="Arial" w:cs="Arial" w:eastAsia="Arial" w:hAnsi="Arial"/>
                <w:sz w:val="18"/>
                <w:szCs w:val="18"/>
                <w:color w:val="auto"/>
              </w:rPr>
              <w:t>4.60%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8180" w:type="dxa"/>
            <w:vAlign w:val="bottom"/>
          </w:tcPr>
          <w:p>
            <w:pPr>
              <w:ind w:left="540"/>
              <w:spacing w:after="0"/>
              <w:rPr>
                <w:sz w:val="20"/>
                <w:szCs w:val="20"/>
                <w:color w:val="auto"/>
              </w:rPr>
            </w:pPr>
            <w:r>
              <w:rPr>
                <w:rFonts w:ascii="Arial" w:cs="Arial" w:eastAsia="Arial" w:hAnsi="Arial"/>
                <w:sz w:val="18"/>
                <w:szCs w:val="18"/>
                <w:color w:val="auto"/>
              </w:rPr>
              <w:t>99.762% of face amount</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Underwriting Discount:</w:t>
            </w:r>
          </w:p>
        </w:tc>
        <w:tc>
          <w:tcPr>
            <w:tcW w:w="8180" w:type="dxa"/>
            <w:vAlign w:val="bottom"/>
          </w:tcPr>
          <w:p>
            <w:pPr>
              <w:ind w:left="540"/>
              <w:spacing w:after="0"/>
              <w:rPr>
                <w:sz w:val="20"/>
                <w:szCs w:val="20"/>
                <w:color w:val="auto"/>
              </w:rPr>
            </w:pPr>
            <w:r>
              <w:rPr>
                <w:rFonts w:ascii="Arial" w:cs="Arial" w:eastAsia="Arial" w:hAnsi="Arial"/>
                <w:sz w:val="18"/>
                <w:szCs w:val="18"/>
                <w:color w:val="auto"/>
              </w:rPr>
              <w:t>0.650%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8180" w:type="dxa"/>
            <w:vAlign w:val="bottom"/>
          </w:tcPr>
          <w:p>
            <w:pPr>
              <w:ind w:left="540"/>
              <w:spacing w:after="0"/>
              <w:rPr>
                <w:sz w:val="20"/>
                <w:szCs w:val="20"/>
                <w:color w:val="auto"/>
              </w:rPr>
            </w:pPr>
            <w:r>
              <w:rPr>
                <w:rFonts w:ascii="Arial" w:cs="Arial" w:eastAsia="Arial" w:hAnsi="Arial"/>
                <w:sz w:val="18"/>
                <w:szCs w:val="18"/>
                <w:color w:val="auto"/>
              </w:rPr>
              <w:t>3.625% due 2/15/2021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180" w:type="dxa"/>
            <w:vAlign w:val="bottom"/>
          </w:tcPr>
          <w:p>
            <w:pPr>
              <w:ind w:left="540"/>
              <w:spacing w:after="0"/>
              <w:rPr>
                <w:sz w:val="20"/>
                <w:szCs w:val="20"/>
                <w:color w:val="auto"/>
              </w:rPr>
            </w:pPr>
            <w:r>
              <w:rPr>
                <w:rFonts w:ascii="Arial" w:cs="Arial" w:eastAsia="Arial" w:hAnsi="Arial"/>
                <w:sz w:val="18"/>
                <w:szCs w:val="18"/>
                <w:color w:val="auto"/>
              </w:rPr>
              <w:t>1.180%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8180" w:type="dxa"/>
            <w:vAlign w:val="bottom"/>
          </w:tcPr>
          <w:p>
            <w:pPr>
              <w:ind w:left="540"/>
              <w:spacing w:after="0"/>
              <w:rPr>
                <w:sz w:val="20"/>
                <w:szCs w:val="20"/>
                <w:color w:val="auto"/>
              </w:rPr>
            </w:pPr>
            <w:r>
              <w:rPr>
                <w:rFonts w:ascii="Arial" w:cs="Arial" w:eastAsia="Arial" w:hAnsi="Arial"/>
                <w:sz w:val="18"/>
                <w:szCs w:val="18"/>
                <w:color w:val="auto"/>
              </w:rPr>
              <w:t>101-15, 3.450%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8180" w:type="dxa"/>
            <w:vAlign w:val="bottom"/>
          </w:tcPr>
          <w:p>
            <w:pPr>
              <w:ind w:left="540"/>
              <w:spacing w:after="0"/>
              <w:rPr>
                <w:sz w:val="20"/>
                <w:szCs w:val="20"/>
                <w:color w:val="auto"/>
              </w:rPr>
            </w:pPr>
            <w:r>
              <w:rPr>
                <w:rFonts w:ascii="Arial" w:cs="Arial" w:eastAsia="Arial" w:hAnsi="Arial"/>
                <w:sz w:val="18"/>
                <w:szCs w:val="18"/>
                <w:color w:val="auto"/>
              </w:rPr>
              <w:t>4.630%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180" w:type="dxa"/>
            <w:vAlign w:val="bottom"/>
          </w:tcPr>
          <w:p>
            <w:pPr>
              <w:ind w:left="540"/>
              <w:spacing w:after="0"/>
              <w:rPr>
                <w:sz w:val="20"/>
                <w:szCs w:val="20"/>
                <w:color w:val="auto"/>
              </w:rPr>
            </w:pPr>
            <w:r>
              <w:rPr>
                <w:rFonts w:ascii="Arial" w:cs="Arial" w:eastAsia="Arial" w:hAnsi="Arial"/>
                <w:sz w:val="18"/>
                <w:szCs w:val="18"/>
                <w:color w:val="auto"/>
              </w:rPr>
              <w:t>Semi-annually on March 1 and September 1, commencing on September 1, 2011.</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Redemption Provisions:</w:t>
            </w:r>
          </w:p>
        </w:tc>
        <w:tc>
          <w:tcPr>
            <w:tcW w:w="8180" w:type="dxa"/>
            <w:vAlign w:val="bottom"/>
          </w:tcPr>
          <w:p>
            <w:pPr>
              <w:ind w:left="540"/>
              <w:spacing w:after="0"/>
              <w:rPr>
                <w:sz w:val="20"/>
                <w:szCs w:val="20"/>
                <w:color w:val="auto"/>
              </w:rPr>
            </w:pPr>
            <w:r>
              <w:rPr>
                <w:rFonts w:ascii="Arial" w:cs="Arial" w:eastAsia="Arial" w:hAnsi="Arial"/>
                <w:sz w:val="18"/>
                <w:szCs w:val="18"/>
                <w:color w:val="auto"/>
              </w:rPr>
              <w:t>Redeemable at any time prior to December 1, 2020 (three months prior to</w:t>
            </w:r>
          </w:p>
        </w:tc>
      </w:tr>
      <w:tr>
        <w:trPr>
          <w:trHeight w:val="216"/>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their maturity date), in whole or from time to time in part, at the option of the Company, at a</w:t>
            </w:r>
          </w:p>
        </w:tc>
      </w:tr>
      <w:tr>
        <w:trPr>
          <w:trHeight w:val="216"/>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w w:val="94"/>
              </w:rPr>
              <w:t>make whole redemption price using the applicable Treasury rate plus 20 basis points (as defined and</w:t>
            </w:r>
          </w:p>
        </w:tc>
      </w:tr>
      <w:tr>
        <w:trPr>
          <w:trHeight w:val="230"/>
        </w:trPr>
        <w:tc>
          <w:tcPr>
            <w:tcW w:w="3240" w:type="dxa"/>
            <w:vAlign w:val="bottom"/>
          </w:tcPr>
          <w:p>
            <w:pPr>
              <w:spacing w:after="0"/>
              <w:rPr>
                <w:sz w:val="20"/>
                <w:szCs w:val="20"/>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described in further detail in the Prospectus Supplement).</w:t>
            </w:r>
          </w:p>
        </w:tc>
      </w:tr>
      <w:tr>
        <w:trPr>
          <w:trHeight w:val="418"/>
        </w:trPr>
        <w:tc>
          <w:tcPr>
            <w:tcW w:w="3240" w:type="dxa"/>
            <w:vAlign w:val="bottom"/>
          </w:tcPr>
          <w:p>
            <w:pPr>
              <w:spacing w:after="0"/>
              <w:rPr>
                <w:sz w:val="24"/>
                <w:szCs w:val="24"/>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w w:val="93"/>
              </w:rPr>
              <w:t>Redeemable on or after December 1, 2020 (three months prior to their maturity date), in whole or from</w:t>
            </w:r>
          </w:p>
        </w:tc>
      </w:tr>
      <w:tr>
        <w:trPr>
          <w:trHeight w:val="230"/>
        </w:trPr>
        <w:tc>
          <w:tcPr>
            <w:tcW w:w="3240" w:type="dxa"/>
            <w:vAlign w:val="bottom"/>
          </w:tcPr>
          <w:p>
            <w:pPr>
              <w:spacing w:after="0"/>
              <w:rPr>
                <w:sz w:val="20"/>
                <w:szCs w:val="20"/>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time to time in part, at the option of the Company, at a price of 100% plus accrued interest.</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Settlement:</w:t>
            </w:r>
          </w:p>
        </w:tc>
        <w:tc>
          <w:tcPr>
            <w:tcW w:w="8180" w:type="dxa"/>
            <w:vAlign w:val="bottom"/>
          </w:tcPr>
          <w:p>
            <w:pPr>
              <w:ind w:left="540"/>
              <w:spacing w:after="0"/>
              <w:rPr>
                <w:sz w:val="20"/>
                <w:szCs w:val="20"/>
                <w:color w:val="auto"/>
              </w:rPr>
            </w:pPr>
            <w:r>
              <w:rPr>
                <w:rFonts w:ascii="Arial" w:cs="Arial" w:eastAsia="Arial" w:hAnsi="Arial"/>
                <w:sz w:val="18"/>
                <w:szCs w:val="18"/>
                <w:color w:val="auto"/>
              </w:rPr>
              <w:t>T+3; February 28, 2011</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CUSIP:</w:t>
            </w:r>
          </w:p>
        </w:tc>
        <w:tc>
          <w:tcPr>
            <w:tcW w:w="8180" w:type="dxa"/>
            <w:vAlign w:val="bottom"/>
          </w:tcPr>
          <w:p>
            <w:pPr>
              <w:ind w:left="540"/>
              <w:spacing w:after="0"/>
              <w:rPr>
                <w:sz w:val="20"/>
                <w:szCs w:val="20"/>
                <w:color w:val="auto"/>
              </w:rPr>
            </w:pPr>
            <w:r>
              <w:rPr>
                <w:rFonts w:ascii="Arial" w:cs="Arial" w:eastAsia="Arial" w:hAnsi="Arial"/>
                <w:sz w:val="18"/>
                <w:szCs w:val="18"/>
                <w:color w:val="auto"/>
              </w:rPr>
              <w:t>941063 AQ2</w:t>
            </w:r>
          </w:p>
        </w:tc>
      </w:tr>
      <w:tr>
        <w:trPr>
          <w:trHeight w:val="618"/>
        </w:trPr>
        <w:tc>
          <w:tcPr>
            <w:tcW w:w="324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Joint Book-Running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200" w:lineRule="exact"/>
        <w:rPr>
          <w:sz w:val="20"/>
          <w:szCs w:val="20"/>
          <w:color w:val="auto"/>
        </w:rPr>
      </w:pPr>
    </w:p>
    <w:p>
      <w:pPr>
        <w:sectPr>
          <w:pgSz w:w="11900" w:h="16838" w:orient="portrait"/>
          <w:cols w:equalWidth="0" w:num="2">
            <w:col w:w="3060" w:space="720"/>
            <w:col w:w="7520"/>
          </w:cols>
          <w:pgMar w:left="240" w:top="1152" w:right="3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Agricole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3060" w:space="720"/>
            <w:col w:w="7520"/>
          </w:cols>
          <w:pgMar w:left="240" w:top="1152"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Baa3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99" w:lineRule="exact"/>
        <w:rPr>
          <w:sz w:val="20"/>
          <w:szCs w:val="20"/>
          <w:color w:val="auto"/>
        </w:rPr>
      </w:pPr>
    </w:p>
    <w:p>
      <w:pPr>
        <w:sectPr>
          <w:pgSz w:w="11900" w:h="16838" w:orient="portrait"/>
          <w:cols w:equalWidth="0" w:num="2">
            <w:col w:w="3060" w:space="720"/>
            <w:col w:w="7520"/>
          </w:cols>
          <w:pgMar w:left="240" w:top="1152"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Deutsche Bank Securities Inc. by calling toll-free at 1-800-503-4616 or (2) RBS Securities Inc. by calling toll-free at 1-866-884-2071.</w:t>
      </w:r>
    </w:p>
    <w:p>
      <w:pPr>
        <w:spacing w:after="0" w:line="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300"/>
      </w:cols>
      <w:pgMar w:left="240" w:top="115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2019-12-10T08:39:54Z</dcterms:created>
  <dcterms:modified xsi:type="dcterms:W3CDTF">2019-12-10T08:39:54Z</dcterms:modified>
</cp:coreProperties>
</file>