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February 18, 2021</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Waste Management,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240"/>
          </w:cols>
          <w:pgMar w:left="320" w:top="760" w:right="3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1-12154</w:t>
      </w:r>
    </w:p>
    <w:p>
      <w:pPr>
        <w:spacing w:after="0" w:line="27" w:lineRule="exact"/>
        <w:rPr>
          <w:sz w:val="24"/>
          <w:szCs w:val="24"/>
          <w:color w:val="auto"/>
        </w:rPr>
      </w:pPr>
    </w:p>
    <w:p>
      <w:pPr>
        <w:jc w:val="center"/>
        <w:ind w:right="14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60" w:right="339" w:bottom="1440" w:gutter="0" w:footer="0" w:header="0"/>
          <w:type w:val="continuous"/>
        </w:sectPr>
      </w:pPr>
    </w:p>
    <w:p>
      <w:pPr>
        <w:spacing w:after="0" w:line="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1001 Fannin, Houston, Texas</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40"/>
        <w:spacing w:after="0"/>
        <w:rPr>
          <w:sz w:val="20"/>
          <w:szCs w:val="20"/>
          <w:color w:val="auto"/>
        </w:rPr>
      </w:pPr>
      <w:r>
        <w:rPr>
          <w:rFonts w:ascii="Arial" w:cs="Arial" w:eastAsia="Arial" w:hAnsi="Arial"/>
          <w:sz w:val="18"/>
          <w:szCs w:val="18"/>
          <w:b w:val="1"/>
          <w:bCs w:val="1"/>
          <w:color w:val="auto"/>
        </w:rPr>
        <w:t>77002</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60"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325755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Title of each class</w:t>
            </w:r>
          </w:p>
        </w:tc>
        <w:tc>
          <w:tcPr>
            <w:tcW w:w="38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Trading Symbol(s)</w:t>
            </w:r>
          </w:p>
        </w:tc>
        <w:tc>
          <w:tcPr>
            <w:tcW w:w="35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7"/>
              </w:rPr>
              <w:t>Name of each exchange on which registered</w:t>
            </w:r>
          </w:p>
        </w:tc>
      </w:tr>
      <w:tr>
        <w:trPr>
          <w:trHeight w:val="264"/>
        </w:trPr>
        <w:tc>
          <w:tcPr>
            <w:tcW w:w="3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Common Stock, $0.01 par value</w:t>
            </w:r>
          </w:p>
        </w:tc>
        <w:tc>
          <w:tcPr>
            <w:tcW w:w="38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WM</w:t>
            </w: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New York Stock Exchange</w:t>
            </w:r>
          </w:p>
        </w:tc>
      </w:tr>
      <w:tr>
        <w:trPr>
          <w:trHeight w:val="54"/>
        </w:trPr>
        <w:tc>
          <w:tcPr>
            <w:tcW w:w="3840" w:type="dxa"/>
            <w:vAlign w:val="bottom"/>
            <w:tcBorders>
              <w:left w:val="single" w:sz="8" w:color="auto"/>
              <w:bottom w:val="single" w:sz="8" w:color="auto"/>
              <w:right w:val="single" w:sz="8" w:color="auto"/>
            </w:tcBorders>
          </w:tcPr>
          <w:p>
            <w:pPr>
              <w:spacing w:after="0"/>
              <w:rPr>
                <w:sz w:val="4"/>
                <w:szCs w:val="4"/>
                <w:color w:val="auto"/>
              </w:rPr>
            </w:pPr>
          </w:p>
        </w:tc>
        <w:tc>
          <w:tcPr>
            <w:tcW w:w="3820" w:type="dxa"/>
            <w:vAlign w:val="bottom"/>
            <w:tcBorders>
              <w:bottom w:val="single" w:sz="8" w:color="auto"/>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Waste Management, Inc. (the “Company”) issued a press release this morning announcing its financial results for the fourth quarter and full year ended December 31, 2020, a copy of which is attached hereto as Exhibit 99.1. The Company is holding a conference call to discuss these results beginning at 9:00 a.m. Central Time this morning. The call will be webcast live and may be heard by accessing the Investors section of the Company’s website at www.wm.com. The call may also be heard by dialing (877) 710-6139 and entering access code 1965816. A replay of the call will be available on the Company’s website and by telephone until March 4, 2021. To access a replay telephonically, please dial (855) 859-2056 and use the replay conference ID number 1965816.</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the call, management of the Company is expected to discuss certain non-GAAP financial measures. The Company has provided information regarding its use of non-GAAP measures and reconciliations of such measures to their most comparable GAAP measures in the notes and tables that accompany the press release.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0"/>
          <w:szCs w:val="20"/>
          <w:color w:val="auto"/>
        </w:rPr>
      </w:pPr>
    </w:p>
    <w:p>
      <w:pPr>
        <w:spacing w:after="0"/>
        <w:tabs>
          <w:tab w:leader="none" w:pos="112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dated February 18, 2021</w:t>
        </w:r>
      </w:hyperlink>
    </w:p>
    <w:p>
      <w:pPr>
        <w:spacing w:after="0" w:line="225" w:lineRule="exact"/>
        <w:rPr>
          <w:sz w:val="20"/>
          <w:szCs w:val="20"/>
          <w:color w:val="auto"/>
        </w:rPr>
      </w:pPr>
    </w:p>
    <w:p>
      <w:pPr>
        <w:ind w:left="5580" w:right="3580" w:hanging="5572"/>
        <w:spacing w:after="0" w:line="778" w:lineRule="auto"/>
        <w:tabs>
          <w:tab w:leader="none" w:pos="1143"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p>
        </w:tc>
        <w:tc>
          <w:tcPr>
            <w:tcW w:w="7480" w:type="dxa"/>
            <w:vAlign w:val="bottom"/>
            <w:gridSpan w:val="2"/>
          </w:tcPr>
          <w:p>
            <w:pPr>
              <w:ind w:left="1980"/>
              <w:spacing w:after="0"/>
              <w:rPr>
                <w:sz w:val="20"/>
                <w:szCs w:val="20"/>
                <w:color w:val="auto"/>
              </w:rPr>
            </w:pPr>
            <w:r>
              <w:rPr>
                <w:rFonts w:ascii="Arial" w:cs="Arial" w:eastAsia="Arial" w:hAnsi="Arial"/>
                <w:sz w:val="18"/>
                <w:szCs w:val="18"/>
                <w:color w:val="auto"/>
              </w:rPr>
              <w:t>WASTE MANAGEMENT, INC.</w:t>
            </w:r>
          </w:p>
        </w:tc>
      </w:tr>
      <w:tr>
        <w:trPr>
          <w:trHeight w:val="648"/>
        </w:trPr>
        <w:tc>
          <w:tcPr>
            <w:tcW w:w="3760" w:type="dxa"/>
            <w:vAlign w:val="bottom"/>
          </w:tcPr>
          <w:p>
            <w:pPr>
              <w:spacing w:after="0"/>
              <w:rPr>
                <w:sz w:val="20"/>
                <w:szCs w:val="20"/>
                <w:color w:val="auto"/>
              </w:rPr>
            </w:pPr>
            <w:r>
              <w:rPr>
                <w:rFonts w:ascii="Arial" w:cs="Arial" w:eastAsia="Arial" w:hAnsi="Arial"/>
                <w:sz w:val="18"/>
                <w:szCs w:val="18"/>
                <w:color w:val="auto"/>
              </w:rPr>
              <w:t>Date: February 18, 2021</w:t>
            </w:r>
          </w:p>
        </w:tc>
        <w:tc>
          <w:tcPr>
            <w:tcW w:w="7480" w:type="dxa"/>
            <w:vAlign w:val="bottom"/>
            <w:gridSpan w:val="2"/>
          </w:tcPr>
          <w:p>
            <w:pPr>
              <w:ind w:left="19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Charles C. Boettcher</w:t>
            </w:r>
          </w:p>
        </w:tc>
      </w:tr>
      <w:tr>
        <w:trPr>
          <w:trHeight w:val="195"/>
        </w:trPr>
        <w:tc>
          <w:tcPr>
            <w:tcW w:w="37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1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Charles C. Boettcher</w:t>
            </w:r>
          </w:p>
        </w:tc>
      </w:tr>
      <w:tr>
        <w:trPr>
          <w:trHeight w:val="216"/>
        </w:trPr>
        <w:tc>
          <w:tcPr>
            <w:tcW w:w="37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160" w:type="dxa"/>
            <w:vAlign w:val="bottom"/>
          </w:tcPr>
          <w:p>
            <w:pPr>
              <w:ind w:left="100"/>
              <w:spacing w:after="0"/>
              <w:rPr>
                <w:sz w:val="20"/>
                <w:szCs w:val="20"/>
                <w:color w:val="auto"/>
              </w:rPr>
            </w:pPr>
            <w:r>
              <w:rPr>
                <w:rFonts w:ascii="Arial" w:cs="Arial" w:eastAsia="Arial" w:hAnsi="Arial"/>
                <w:sz w:val="18"/>
                <w:szCs w:val="18"/>
                <w:color w:val="auto"/>
              </w:rPr>
              <w:t>Executive Vice President, Corporate Development</w:t>
            </w:r>
          </w:p>
        </w:tc>
      </w:tr>
      <w:tr>
        <w:trPr>
          <w:trHeight w:val="230"/>
        </w:trPr>
        <w:tc>
          <w:tcPr>
            <w:tcW w:w="37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160" w:type="dxa"/>
            <w:vAlign w:val="bottom"/>
          </w:tcPr>
          <w:p>
            <w:pPr>
              <w:ind w:left="100"/>
              <w:spacing w:after="0"/>
              <w:rPr>
                <w:sz w:val="20"/>
                <w:szCs w:val="20"/>
                <w:color w:val="auto"/>
              </w:rPr>
            </w:pPr>
            <w:r>
              <w:rPr>
                <w:rFonts w:ascii="Arial" w:cs="Arial" w:eastAsia="Arial" w:hAnsi="Arial"/>
                <w:sz w:val="18"/>
                <w:szCs w:val="18"/>
                <w:color w:val="auto"/>
              </w:rPr>
              <w:t>and Chief Legal Officer</w:t>
            </w:r>
          </w:p>
        </w:tc>
      </w:tr>
      <w:tr>
        <w:trPr>
          <w:trHeight w:val="432"/>
        </w:trPr>
        <w:tc>
          <w:tcPr>
            <w:tcW w:w="37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00693C"/>
        </w:rPr>
        <w:t>FOR IMMEDIATE RELEASE</w:t>
      </w:r>
    </w:p>
    <w:p>
      <w:pPr>
        <w:spacing w:after="0" w:line="225" w:lineRule="exact"/>
        <w:rPr>
          <w:sz w:val="20"/>
          <w:szCs w:val="20"/>
          <w:color w:val="auto"/>
        </w:rPr>
      </w:pPr>
    </w:p>
    <w:p>
      <w:pPr>
        <w:jc w:val="center"/>
        <w:ind w:right="80"/>
        <w:spacing w:after="0" w:line="260" w:lineRule="auto"/>
        <w:rPr>
          <w:sz w:val="20"/>
          <w:szCs w:val="20"/>
          <w:color w:val="auto"/>
        </w:rPr>
      </w:pPr>
      <w:r>
        <w:rPr>
          <w:rFonts w:ascii="Arial" w:cs="Arial" w:eastAsia="Arial" w:hAnsi="Arial"/>
          <w:sz w:val="32"/>
          <w:szCs w:val="32"/>
          <w:color w:val="7AB800"/>
        </w:rPr>
        <w:t>Waste Management Announces Fourth Quarter and Full-Year 2020 Earnings</w:t>
      </w:r>
    </w:p>
    <w:p>
      <w:pPr>
        <w:spacing w:after="0" w:line="286" w:lineRule="exact"/>
        <w:rPr>
          <w:sz w:val="20"/>
          <w:szCs w:val="20"/>
          <w:color w:val="auto"/>
        </w:rPr>
      </w:pPr>
    </w:p>
    <w:p>
      <w:pPr>
        <w:jc w:val="center"/>
        <w:ind w:right="80"/>
        <w:spacing w:after="0" w:line="250" w:lineRule="auto"/>
        <w:rPr>
          <w:sz w:val="20"/>
          <w:szCs w:val="20"/>
          <w:color w:val="auto"/>
        </w:rPr>
      </w:pPr>
      <w:r>
        <w:rPr>
          <w:rFonts w:ascii="Arial" w:cs="Arial" w:eastAsia="Arial" w:hAnsi="Arial"/>
          <w:sz w:val="21"/>
          <w:szCs w:val="21"/>
          <w:color w:val="auto"/>
        </w:rPr>
        <w:t>2020 Financial Performance Demonstrates Strength and Resiliency Company Maintains Disciplined Focus on Cost and Capital Management Recent ESG Accolades Complement Strong Financial Results</w:t>
      </w:r>
    </w:p>
    <w:p>
      <w:pPr>
        <w:spacing w:after="0" w:line="363" w:lineRule="exact"/>
        <w:rPr>
          <w:sz w:val="20"/>
          <w:szCs w:val="20"/>
          <w:color w:val="auto"/>
        </w:rPr>
      </w:pPr>
    </w:p>
    <w:p>
      <w:pPr>
        <w:jc w:val="both"/>
        <w:ind w:right="100"/>
        <w:spacing w:after="0" w:line="271" w:lineRule="auto"/>
        <w:rPr>
          <w:sz w:val="20"/>
          <w:szCs w:val="20"/>
          <w:color w:val="auto"/>
        </w:rPr>
      </w:pPr>
      <w:r>
        <w:rPr>
          <w:rFonts w:ascii="Arial" w:cs="Arial" w:eastAsia="Arial" w:hAnsi="Arial"/>
          <w:sz w:val="18"/>
          <w:szCs w:val="18"/>
          <w:b w:val="1"/>
          <w:bCs w:val="1"/>
          <w:color w:val="auto"/>
        </w:rPr>
        <w:t xml:space="preserve">HOUSTON — Feb. 18, 2021 — </w:t>
      </w:r>
      <w:r>
        <w:rPr>
          <w:rFonts w:ascii="Arial" w:cs="Arial" w:eastAsia="Arial" w:hAnsi="Arial"/>
          <w:sz w:val="18"/>
          <w:szCs w:val="18"/>
          <w:color w:val="auto"/>
        </w:rPr>
        <w:t>Waste Management, Inc. (NYSE: WM) today announced financial results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and year ended December 31, 2020.</w:t>
      </w:r>
    </w:p>
    <w:p>
      <w:pPr>
        <w:spacing w:after="0" w:line="150"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8"/>
              </w:rPr>
              <w:t>Year Ended</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5"/>
          </w:tcPr>
          <w:p>
            <w:pPr>
              <w:jc w:val="right"/>
              <w:ind w:right="220"/>
              <w:spacing w:after="0" w:line="142" w:lineRule="exact"/>
              <w:rPr>
                <w:sz w:val="20"/>
                <w:szCs w:val="20"/>
                <w:color w:val="auto"/>
              </w:rPr>
            </w:pPr>
            <w:r>
              <w:rPr>
                <w:rFonts w:ascii="Arial" w:cs="Arial" w:eastAsia="Arial" w:hAnsi="Arial"/>
                <w:sz w:val="14"/>
                <w:szCs w:val="14"/>
                <w:b w:val="1"/>
                <w:bCs w:val="1"/>
                <w:color w:val="auto"/>
              </w:rPr>
              <w:t>December 31, 2020</w:t>
            </w:r>
          </w:p>
        </w:tc>
        <w:tc>
          <w:tcPr>
            <w:tcW w:w="1940" w:type="dxa"/>
            <w:vAlign w:val="bottom"/>
            <w:gridSpan w:val="6"/>
          </w:tcPr>
          <w:p>
            <w:pPr>
              <w:ind w:left="200"/>
              <w:spacing w:after="0" w:line="142" w:lineRule="exact"/>
              <w:rPr>
                <w:sz w:val="20"/>
                <w:szCs w:val="20"/>
                <w:color w:val="auto"/>
              </w:rPr>
            </w:pPr>
            <w:r>
              <w:rPr>
                <w:rFonts w:ascii="Arial" w:cs="Arial" w:eastAsia="Arial" w:hAnsi="Arial"/>
                <w:sz w:val="14"/>
                <w:szCs w:val="14"/>
                <w:b w:val="1"/>
                <w:bCs w:val="1"/>
                <w:color w:val="auto"/>
              </w:rPr>
              <w:t>December 31, 2019</w:t>
            </w:r>
          </w:p>
        </w:tc>
        <w:tc>
          <w:tcPr>
            <w:tcW w:w="1700" w:type="dxa"/>
            <w:vAlign w:val="bottom"/>
            <w:gridSpan w:val="6"/>
          </w:tcPr>
          <w:p>
            <w:pPr>
              <w:jc w:val="right"/>
              <w:ind w:right="220"/>
              <w:spacing w:after="0" w:line="142" w:lineRule="exact"/>
              <w:rPr>
                <w:sz w:val="20"/>
                <w:szCs w:val="20"/>
                <w:color w:val="auto"/>
              </w:rPr>
            </w:pPr>
            <w:r>
              <w:rPr>
                <w:rFonts w:ascii="Arial" w:cs="Arial" w:eastAsia="Arial" w:hAnsi="Arial"/>
                <w:sz w:val="14"/>
                <w:szCs w:val="14"/>
                <w:b w:val="1"/>
                <w:bCs w:val="1"/>
                <w:color w:val="auto"/>
              </w:rPr>
              <w:t>December 31, 2020</w:t>
            </w:r>
          </w:p>
        </w:tc>
        <w:tc>
          <w:tcPr>
            <w:tcW w:w="1700" w:type="dxa"/>
            <w:vAlign w:val="bottom"/>
            <w:gridSpan w:val="6"/>
          </w:tcPr>
          <w:p>
            <w:pPr>
              <w:jc w:val="right"/>
              <w:ind w:right="200"/>
              <w:spacing w:after="0" w:line="142" w:lineRule="exact"/>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80" w:type="dxa"/>
            <w:vAlign w:val="bottom"/>
            <w:gridSpan w:val="10"/>
          </w:tcPr>
          <w:p>
            <w:pPr>
              <w:jc w:val="right"/>
              <w:ind w:right="620"/>
              <w:spacing w:after="0" w:line="142" w:lineRule="exact"/>
              <w:rPr>
                <w:sz w:val="20"/>
                <w:szCs w:val="20"/>
                <w:color w:val="auto"/>
              </w:rPr>
            </w:pPr>
            <w:r>
              <w:rPr>
                <w:rFonts w:ascii="Arial" w:cs="Arial" w:eastAsia="Arial" w:hAnsi="Arial"/>
                <w:sz w:val="14"/>
                <w:szCs w:val="14"/>
                <w:b w:val="1"/>
                <w:bCs w:val="1"/>
                <w:color w:val="auto"/>
              </w:rPr>
              <w:t>(in millions, except per share amounts)</w:t>
            </w:r>
          </w:p>
        </w:tc>
        <w:tc>
          <w:tcPr>
            <w:tcW w:w="200" w:type="dxa"/>
            <w:vAlign w:val="bottom"/>
            <w:vMerge w:val="continue"/>
          </w:tcPr>
          <w:p>
            <w:pPr>
              <w:spacing w:after="0"/>
              <w:rPr>
                <w:sz w:val="12"/>
                <w:szCs w:val="12"/>
                <w:color w:val="auto"/>
              </w:rPr>
            </w:pPr>
          </w:p>
        </w:tc>
        <w:tc>
          <w:tcPr>
            <w:tcW w:w="3200" w:type="dxa"/>
            <w:vAlign w:val="bottom"/>
            <w:gridSpan w:val="11"/>
          </w:tcPr>
          <w:p>
            <w:pPr>
              <w:jc w:val="right"/>
              <w:ind w:right="380"/>
              <w:spacing w:after="0" w:line="142" w:lineRule="exact"/>
              <w:rPr>
                <w:sz w:val="20"/>
                <w:szCs w:val="20"/>
                <w:color w:val="auto"/>
              </w:rPr>
            </w:pPr>
            <w:r>
              <w:rPr>
                <w:rFonts w:ascii="Arial" w:cs="Arial" w:eastAsia="Arial" w:hAnsi="Arial"/>
                <w:sz w:val="14"/>
                <w:szCs w:val="14"/>
                <w:b w:val="1"/>
                <w:bCs w:val="1"/>
                <w:color w:val="auto"/>
              </w:rPr>
              <w:t>(in millions, except per share amounts)</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gridSpan w:val="2"/>
          </w:tcPr>
          <w:p>
            <w:pPr>
              <w:jc w:val="right"/>
              <w:ind w:right="248"/>
              <w:spacing w:after="0"/>
              <w:rPr>
                <w:sz w:val="20"/>
                <w:szCs w:val="20"/>
                <w:color w:val="auto"/>
              </w:rPr>
            </w:pPr>
            <w:r>
              <w:rPr>
                <w:rFonts w:ascii="Arial" w:cs="Arial" w:eastAsia="Arial" w:hAnsi="Arial"/>
                <w:sz w:val="14"/>
                <w:szCs w:val="14"/>
                <w:color w:val="auto"/>
              </w:rPr>
              <w:t>As</w:t>
            </w:r>
          </w:p>
        </w:tc>
        <w:tc>
          <w:tcPr>
            <w:tcW w:w="200" w:type="dxa"/>
            <w:vAlign w:val="bottom"/>
          </w:tcPr>
          <w:p>
            <w:pPr>
              <w:spacing w:after="0"/>
              <w:rPr>
                <w:sz w:val="19"/>
                <w:szCs w:val="19"/>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4"/>
                <w:szCs w:val="14"/>
                <w:color w:val="auto"/>
              </w:rPr>
              <w:t>As</w:t>
            </w:r>
          </w:p>
        </w:tc>
        <w:tc>
          <w:tcPr>
            <w:tcW w:w="200" w:type="dxa"/>
            <w:vAlign w:val="bottom"/>
          </w:tcPr>
          <w:p>
            <w:pPr>
              <w:spacing w:after="0"/>
              <w:rPr>
                <w:sz w:val="19"/>
                <w:szCs w:val="19"/>
                <w:color w:val="auto"/>
              </w:rPr>
            </w:pPr>
          </w:p>
        </w:tc>
        <w:tc>
          <w:tcPr>
            <w:tcW w:w="500" w:type="dxa"/>
            <w:vAlign w:val="bottom"/>
          </w:tcPr>
          <w:p>
            <w:pPr>
              <w:jc w:val="right"/>
              <w:ind w:right="168"/>
              <w:spacing w:after="0"/>
              <w:rPr>
                <w:sz w:val="20"/>
                <w:szCs w:val="20"/>
                <w:color w:val="auto"/>
              </w:rPr>
            </w:pPr>
            <w:r>
              <w:rPr>
                <w:rFonts w:ascii="Arial" w:cs="Arial" w:eastAsia="Arial" w:hAnsi="Arial"/>
                <w:sz w:val="14"/>
                <w:szCs w:val="14"/>
                <w:color w:val="auto"/>
              </w:rPr>
              <w:t>As</w:t>
            </w:r>
          </w:p>
        </w:tc>
        <w:tc>
          <w:tcPr>
            <w:tcW w:w="1240" w:type="dxa"/>
            <w:vAlign w:val="bottom"/>
            <w:gridSpan w:val="4"/>
          </w:tcPr>
          <w:p>
            <w:pPr>
              <w:jc w:val="right"/>
              <w:ind w:right="620"/>
              <w:spacing w:after="0"/>
              <w:rPr>
                <w:sz w:val="20"/>
                <w:szCs w:val="20"/>
                <w:color w:val="auto"/>
              </w:rPr>
            </w:pPr>
            <w:r>
              <w:rPr>
                <w:rFonts w:ascii="Arial" w:cs="Arial" w:eastAsia="Arial" w:hAnsi="Arial"/>
                <w:sz w:val="14"/>
                <w:szCs w:val="14"/>
                <w:color w:val="auto"/>
              </w:rPr>
              <w:t>As</w:t>
            </w:r>
          </w:p>
        </w:tc>
        <w:tc>
          <w:tcPr>
            <w:tcW w:w="200" w:type="dxa"/>
            <w:vAlign w:val="bottom"/>
          </w:tcPr>
          <w:p>
            <w:pPr>
              <w:spacing w:after="0"/>
              <w:rPr>
                <w:sz w:val="19"/>
                <w:szCs w:val="19"/>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4"/>
                <w:szCs w:val="14"/>
                <w:color w:val="auto"/>
              </w:rPr>
              <w:t>As</w:t>
            </w:r>
          </w:p>
        </w:tc>
        <w:tc>
          <w:tcPr>
            <w:tcW w:w="920" w:type="dxa"/>
            <w:vAlign w:val="bottom"/>
            <w:gridSpan w:val="3"/>
          </w:tcPr>
          <w:p>
            <w:pPr>
              <w:jc w:val="right"/>
              <w:ind w:right="380"/>
              <w:spacing w:after="0"/>
              <w:rPr>
                <w:sz w:val="20"/>
                <w:szCs w:val="20"/>
                <w:color w:val="auto"/>
              </w:rPr>
            </w:pPr>
            <w:r>
              <w:rPr>
                <w:rFonts w:ascii="Arial" w:cs="Arial" w:eastAsia="Arial" w:hAnsi="Arial"/>
                <w:sz w:val="14"/>
                <w:szCs w:val="14"/>
                <w:color w:val="auto"/>
              </w:rPr>
              <w:t>As</w:t>
            </w:r>
          </w:p>
        </w:tc>
        <w:tc>
          <w:tcPr>
            <w:tcW w:w="200" w:type="dxa"/>
            <w:vAlign w:val="bottom"/>
          </w:tcPr>
          <w:p>
            <w:pPr>
              <w:spacing w:after="0"/>
              <w:rPr>
                <w:sz w:val="19"/>
                <w:szCs w:val="19"/>
                <w:color w:val="auto"/>
              </w:rPr>
            </w:pPr>
          </w:p>
        </w:tc>
        <w:tc>
          <w:tcPr>
            <w:tcW w:w="600" w:type="dxa"/>
            <w:vAlign w:val="bottom"/>
            <w:gridSpan w:val="2"/>
          </w:tcPr>
          <w:p>
            <w:pPr>
              <w:jc w:val="right"/>
              <w:ind w:right="320"/>
              <w:spacing w:after="0"/>
              <w:rPr>
                <w:sz w:val="20"/>
                <w:szCs w:val="20"/>
                <w:color w:val="auto"/>
              </w:rPr>
            </w:pPr>
            <w:r>
              <w:rPr>
                <w:rFonts w:ascii="Arial" w:cs="Arial" w:eastAsia="Arial" w:hAnsi="Arial"/>
                <w:sz w:val="14"/>
                <w:szCs w:val="14"/>
                <w:color w:val="auto"/>
              </w:rPr>
              <w:t>As</w:t>
            </w:r>
          </w:p>
        </w:tc>
        <w:tc>
          <w:tcPr>
            <w:tcW w:w="900" w:type="dxa"/>
            <w:vAlign w:val="bottom"/>
            <w:gridSpan w:val="3"/>
          </w:tcPr>
          <w:p>
            <w:pPr>
              <w:jc w:val="right"/>
              <w:ind w:right="380"/>
              <w:spacing w:after="0"/>
              <w:rPr>
                <w:sz w:val="20"/>
                <w:szCs w:val="20"/>
                <w:color w:val="auto"/>
              </w:rPr>
            </w:pPr>
            <w:r>
              <w:rPr>
                <w:rFonts w:ascii="Arial" w:cs="Arial" w:eastAsia="Arial" w:hAnsi="Arial"/>
                <w:sz w:val="14"/>
                <w:szCs w:val="14"/>
                <w:color w:val="auto"/>
              </w:rPr>
              <w:t>As</w:t>
            </w:r>
          </w:p>
        </w:tc>
        <w:tc>
          <w:tcPr>
            <w:tcW w:w="0" w:type="dxa"/>
            <w:vAlign w:val="bottom"/>
          </w:tcPr>
          <w:p>
            <w:pPr>
              <w:spacing w:after="0"/>
              <w:rPr>
                <w:sz w:val="1"/>
                <w:szCs w:val="1"/>
                <w:color w:val="auto"/>
              </w:rPr>
            </w:pPr>
          </w:p>
        </w:tc>
      </w:tr>
      <w:tr>
        <w:trPr>
          <w:trHeight w:val="189"/>
        </w:trPr>
        <w:tc>
          <w:tcPr>
            <w:tcW w:w="1940" w:type="dxa"/>
            <w:vAlign w:val="bottom"/>
          </w:tcPr>
          <w:p>
            <w:pPr>
              <w:spacing w:after="0"/>
              <w:rPr>
                <w:sz w:val="16"/>
                <w:szCs w:val="16"/>
                <w:color w:val="auto"/>
              </w:rPr>
            </w:pPr>
          </w:p>
        </w:tc>
        <w:tc>
          <w:tcPr>
            <w:tcW w:w="800" w:type="dxa"/>
            <w:vAlign w:val="bottom"/>
            <w:gridSpan w:val="3"/>
          </w:tcPr>
          <w:p>
            <w:pPr>
              <w:jc w:val="right"/>
              <w:ind w:right="28"/>
              <w:spacing w:after="0"/>
              <w:rPr>
                <w:sz w:val="20"/>
                <w:szCs w:val="20"/>
                <w:color w:val="auto"/>
              </w:rPr>
            </w:pPr>
            <w:r>
              <w:rPr>
                <w:rFonts w:ascii="Arial" w:cs="Arial" w:eastAsia="Arial" w:hAnsi="Arial"/>
                <w:sz w:val="14"/>
                <w:szCs w:val="14"/>
                <w:color w:val="auto"/>
              </w:rPr>
              <w:t>Reported</w:t>
            </w:r>
          </w:p>
        </w:tc>
        <w:tc>
          <w:tcPr>
            <w:tcW w:w="920" w:type="dxa"/>
            <w:vAlign w:val="bottom"/>
            <w:gridSpan w:val="3"/>
          </w:tcPr>
          <w:p>
            <w:pPr>
              <w:jc w:val="right"/>
              <w:ind w:right="120"/>
              <w:spacing w:after="0" w:line="190" w:lineRule="exact"/>
              <w:rPr>
                <w:sz w:val="20"/>
                <w:szCs w:val="20"/>
                <w:color w:val="auto"/>
              </w:rPr>
            </w:pPr>
            <w:r>
              <w:rPr>
                <w:rFonts w:ascii="Arial" w:cs="Arial" w:eastAsia="Arial" w:hAnsi="Arial"/>
                <w:sz w:val="13"/>
                <w:szCs w:val="13"/>
                <w:color w:val="auto"/>
              </w:rPr>
              <w:t>Adjusted</w:t>
            </w:r>
            <w:r>
              <w:rPr>
                <w:rFonts w:ascii="Arial" w:cs="Arial" w:eastAsia="Arial" w:hAnsi="Arial"/>
                <w:sz w:val="21"/>
                <w:szCs w:val="21"/>
                <w:color w:val="auto"/>
                <w:vertAlign w:val="superscript"/>
              </w:rPr>
              <w:t>(a)</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Reported</w:t>
            </w:r>
          </w:p>
        </w:tc>
        <w:tc>
          <w:tcPr>
            <w:tcW w:w="1240" w:type="dxa"/>
            <w:vAlign w:val="bottom"/>
            <w:gridSpan w:val="4"/>
          </w:tcPr>
          <w:p>
            <w:pPr>
              <w:ind w:left="180"/>
              <w:spacing w:after="0" w:line="190" w:lineRule="exact"/>
              <w:rPr>
                <w:sz w:val="20"/>
                <w:szCs w:val="20"/>
                <w:color w:val="auto"/>
              </w:rPr>
            </w:pPr>
            <w:r>
              <w:rPr>
                <w:rFonts w:ascii="Arial" w:cs="Arial" w:eastAsia="Arial" w:hAnsi="Arial"/>
                <w:sz w:val="13"/>
                <w:szCs w:val="13"/>
                <w:color w:val="auto"/>
              </w:rPr>
              <w:t>Adjusted</w:t>
            </w:r>
            <w:r>
              <w:rPr>
                <w:rFonts w:ascii="Arial" w:cs="Arial" w:eastAsia="Arial" w:hAnsi="Arial"/>
                <w:sz w:val="21"/>
                <w:szCs w:val="21"/>
                <w:color w:val="auto"/>
                <w:vertAlign w:val="superscript"/>
              </w:rPr>
              <w:t>(a)</w:t>
            </w: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Reported</w:t>
            </w:r>
          </w:p>
        </w:tc>
        <w:tc>
          <w:tcPr>
            <w:tcW w:w="920" w:type="dxa"/>
            <w:vAlign w:val="bottom"/>
            <w:gridSpan w:val="3"/>
          </w:tcPr>
          <w:p>
            <w:pPr>
              <w:jc w:val="right"/>
              <w:ind w:right="100"/>
              <w:spacing w:after="0" w:line="190" w:lineRule="exact"/>
              <w:rPr>
                <w:sz w:val="20"/>
                <w:szCs w:val="20"/>
                <w:color w:val="auto"/>
              </w:rPr>
            </w:pPr>
            <w:r>
              <w:rPr>
                <w:rFonts w:ascii="Arial" w:cs="Arial" w:eastAsia="Arial" w:hAnsi="Arial"/>
                <w:sz w:val="13"/>
                <w:szCs w:val="13"/>
                <w:color w:val="auto"/>
              </w:rPr>
              <w:t>Adjusted</w:t>
            </w:r>
            <w:r>
              <w:rPr>
                <w:rFonts w:ascii="Arial" w:cs="Arial" w:eastAsia="Arial" w:hAnsi="Arial"/>
                <w:sz w:val="21"/>
                <w:szCs w:val="21"/>
                <w:color w:val="auto"/>
                <w:vertAlign w:val="superscript"/>
              </w:rPr>
              <w:t>(a)</w:t>
            </w: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Reported</w:t>
            </w:r>
          </w:p>
        </w:tc>
        <w:tc>
          <w:tcPr>
            <w:tcW w:w="900" w:type="dxa"/>
            <w:vAlign w:val="bottom"/>
            <w:gridSpan w:val="3"/>
          </w:tcPr>
          <w:p>
            <w:pPr>
              <w:jc w:val="right"/>
              <w:ind w:right="100"/>
              <w:spacing w:after="0" w:line="190" w:lineRule="exact"/>
              <w:rPr>
                <w:sz w:val="20"/>
                <w:szCs w:val="20"/>
                <w:color w:val="auto"/>
              </w:rPr>
            </w:pPr>
            <w:r>
              <w:rPr>
                <w:rFonts w:ascii="Arial" w:cs="Arial" w:eastAsia="Arial" w:hAnsi="Arial"/>
                <w:sz w:val="13"/>
                <w:szCs w:val="13"/>
                <w:color w:val="auto"/>
              </w:rPr>
              <w:t>Adjusted</w:t>
            </w:r>
            <w:r>
              <w:rPr>
                <w:rFonts w:ascii="Arial" w:cs="Arial" w:eastAsia="Arial" w:hAnsi="Arial"/>
                <w:sz w:val="21"/>
                <w:szCs w:val="21"/>
                <w:color w:val="auto"/>
                <w:vertAlign w:val="superscript"/>
              </w:rPr>
              <w:t>(a)</w:t>
            </w:r>
          </w:p>
        </w:tc>
        <w:tc>
          <w:tcPr>
            <w:tcW w:w="0" w:type="dxa"/>
            <w:vAlign w:val="bottom"/>
          </w:tcPr>
          <w:p>
            <w:pPr>
              <w:spacing w:after="0"/>
              <w:rPr>
                <w:sz w:val="1"/>
                <w:szCs w:val="1"/>
                <w:color w:val="auto"/>
              </w:rPr>
            </w:pPr>
          </w:p>
        </w:tc>
      </w:tr>
      <w:tr>
        <w:trPr>
          <w:trHeight w:val="494"/>
        </w:trPr>
        <w:tc>
          <w:tcPr>
            <w:tcW w:w="1940" w:type="dxa"/>
            <w:vAlign w:val="bottom"/>
          </w:tcPr>
          <w:p>
            <w:pPr>
              <w:spacing w:after="0"/>
              <w:rPr>
                <w:sz w:val="20"/>
                <w:szCs w:val="20"/>
                <w:color w:val="auto"/>
              </w:rPr>
            </w:pPr>
            <w:r>
              <w:rPr>
                <w:rFonts w:ascii="Arial" w:cs="Arial" w:eastAsia="Arial" w:hAnsi="Arial"/>
                <w:sz w:val="14"/>
                <w:szCs w:val="14"/>
                <w:color w:val="auto"/>
              </w:rPr>
              <w:t>Revenue</w:t>
            </w:r>
          </w:p>
        </w:tc>
        <w:tc>
          <w:tcPr>
            <w:tcW w:w="800" w:type="dxa"/>
            <w:vAlign w:val="bottom"/>
            <w:tcBorders>
              <w:top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$4,067</w:t>
            </w:r>
          </w:p>
        </w:tc>
        <w:tc>
          <w:tcPr>
            <w:tcW w:w="92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4"/>
                <w:szCs w:val="14"/>
                <w:color w:val="auto"/>
              </w:rPr>
              <w:t>$4,067</w:t>
            </w: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$3,846</w:t>
            </w:r>
          </w:p>
        </w:tc>
        <w:tc>
          <w:tcPr>
            <w:tcW w:w="98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4"/>
                <w:szCs w:val="14"/>
                <w:color w:val="auto"/>
              </w:rPr>
              <w:t>$3,846</w:t>
            </w:r>
          </w:p>
        </w:tc>
        <w:tc>
          <w:tcPr>
            <w:tcW w:w="260" w:type="dxa"/>
            <w:vAlign w:val="bottom"/>
          </w:tcPr>
          <w:p>
            <w:pPr>
              <w:spacing w:after="0"/>
              <w:rPr>
                <w:sz w:val="24"/>
                <w:szCs w:val="24"/>
                <w:color w:val="auto"/>
              </w:rPr>
            </w:pPr>
          </w:p>
        </w:tc>
        <w:tc>
          <w:tcPr>
            <w:tcW w:w="78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4"/>
                <w:szCs w:val="14"/>
                <w:color w:val="auto"/>
              </w:rPr>
              <w:t>$15,218</w:t>
            </w:r>
          </w:p>
        </w:tc>
        <w:tc>
          <w:tcPr>
            <w:tcW w:w="92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4"/>
                <w:szCs w:val="14"/>
                <w:color w:val="auto"/>
              </w:rPr>
              <w:t>$15,218</w:t>
            </w:r>
          </w:p>
        </w:tc>
        <w:tc>
          <w:tcPr>
            <w:tcW w:w="80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4"/>
                <w:szCs w:val="14"/>
                <w:color w:val="auto"/>
              </w:rPr>
              <w:t>$15,455</w:t>
            </w:r>
          </w:p>
        </w:tc>
        <w:tc>
          <w:tcPr>
            <w:tcW w:w="90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4"/>
                <w:szCs w:val="14"/>
                <w:color w:val="auto"/>
              </w:rPr>
              <w:t>$15,455</w:t>
            </w:r>
          </w:p>
        </w:tc>
        <w:tc>
          <w:tcPr>
            <w:tcW w:w="0" w:type="dxa"/>
            <w:vAlign w:val="bottom"/>
          </w:tcPr>
          <w:p>
            <w:pPr>
              <w:spacing w:after="0"/>
              <w:rPr>
                <w:sz w:val="1"/>
                <w:szCs w:val="1"/>
                <w:color w:val="auto"/>
              </w:rPr>
            </w:pPr>
          </w:p>
        </w:tc>
      </w:tr>
      <w:tr>
        <w:trPr>
          <w:trHeight w:val="324"/>
        </w:trPr>
        <w:tc>
          <w:tcPr>
            <w:tcW w:w="1940" w:type="dxa"/>
            <w:vAlign w:val="bottom"/>
          </w:tcPr>
          <w:p>
            <w:pPr>
              <w:spacing w:after="0"/>
              <w:rPr>
                <w:sz w:val="20"/>
                <w:szCs w:val="20"/>
                <w:color w:val="auto"/>
              </w:rPr>
            </w:pPr>
            <w:r>
              <w:rPr>
                <w:rFonts w:ascii="Arial" w:cs="Arial" w:eastAsia="Arial" w:hAnsi="Arial"/>
                <w:sz w:val="14"/>
                <w:szCs w:val="14"/>
                <w:color w:val="auto"/>
              </w:rPr>
              <w:t>Income from Operations</w:t>
            </w:r>
          </w:p>
        </w:tc>
        <w:tc>
          <w:tcPr>
            <w:tcW w:w="800" w:type="dxa"/>
            <w:vAlign w:val="bottom"/>
            <w:gridSpan w:val="3"/>
          </w:tcPr>
          <w:p>
            <w:pPr>
              <w:jc w:val="right"/>
              <w:ind w:right="28"/>
              <w:spacing w:after="0"/>
              <w:rPr>
                <w:sz w:val="20"/>
                <w:szCs w:val="20"/>
                <w:color w:val="auto"/>
              </w:rPr>
            </w:pPr>
            <w:r>
              <w:rPr>
                <w:rFonts w:ascii="Arial" w:cs="Arial" w:eastAsia="Arial" w:hAnsi="Arial"/>
                <w:sz w:val="14"/>
                <w:szCs w:val="14"/>
                <w:color w:val="auto"/>
              </w:rPr>
              <w:t>$654</w:t>
            </w:r>
          </w:p>
        </w:tc>
        <w:tc>
          <w:tcPr>
            <w:tcW w:w="920" w:type="dxa"/>
            <w:vAlign w:val="bottom"/>
            <w:gridSpan w:val="3"/>
          </w:tcPr>
          <w:p>
            <w:pPr>
              <w:jc w:val="right"/>
              <w:ind w:right="100"/>
              <w:spacing w:after="0"/>
              <w:rPr>
                <w:sz w:val="20"/>
                <w:szCs w:val="20"/>
                <w:color w:val="auto"/>
              </w:rPr>
            </w:pPr>
            <w:r>
              <w:rPr>
                <w:rFonts w:ascii="Arial" w:cs="Arial" w:eastAsia="Arial" w:hAnsi="Arial"/>
                <w:sz w:val="14"/>
                <w:szCs w:val="14"/>
                <w:color w:val="auto"/>
              </w:rPr>
              <w:t>$706</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$655</w:t>
            </w:r>
          </w:p>
        </w:tc>
        <w:tc>
          <w:tcPr>
            <w:tcW w:w="980" w:type="dxa"/>
            <w:vAlign w:val="bottom"/>
            <w:gridSpan w:val="3"/>
          </w:tcPr>
          <w:p>
            <w:pPr>
              <w:jc w:val="right"/>
              <w:ind w:right="80"/>
              <w:spacing w:after="0"/>
              <w:rPr>
                <w:sz w:val="20"/>
                <w:szCs w:val="20"/>
                <w:color w:val="auto"/>
              </w:rPr>
            </w:pPr>
            <w:r>
              <w:rPr>
                <w:rFonts w:ascii="Arial" w:cs="Arial" w:eastAsia="Arial" w:hAnsi="Arial"/>
                <w:sz w:val="14"/>
                <w:szCs w:val="14"/>
                <w:color w:val="auto"/>
              </w:rPr>
              <w:t>$726</w:t>
            </w:r>
          </w:p>
        </w:tc>
        <w:tc>
          <w:tcPr>
            <w:tcW w:w="260" w:type="dxa"/>
            <w:vAlign w:val="bottom"/>
          </w:tcPr>
          <w:p>
            <w:pPr>
              <w:spacing w:after="0"/>
              <w:rPr>
                <w:sz w:val="24"/>
                <w:szCs w:val="24"/>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4"/>
                <w:szCs w:val="14"/>
                <w:color w:val="auto"/>
              </w:rPr>
              <w:t>$2,434</w:t>
            </w:r>
          </w:p>
        </w:tc>
        <w:tc>
          <w:tcPr>
            <w:tcW w:w="920" w:type="dxa"/>
            <w:vAlign w:val="bottom"/>
            <w:gridSpan w:val="3"/>
          </w:tcPr>
          <w:p>
            <w:pPr>
              <w:jc w:val="right"/>
              <w:ind w:right="100"/>
              <w:spacing w:after="0"/>
              <w:rPr>
                <w:sz w:val="20"/>
                <w:szCs w:val="20"/>
                <w:color w:val="auto"/>
              </w:rPr>
            </w:pPr>
            <w:r>
              <w:rPr>
                <w:rFonts w:ascii="Arial" w:cs="Arial" w:eastAsia="Arial" w:hAnsi="Arial"/>
                <w:sz w:val="14"/>
                <w:szCs w:val="14"/>
                <w:color w:val="auto"/>
              </w:rPr>
              <w:t>$2,650</w:t>
            </w:r>
          </w:p>
        </w:tc>
        <w:tc>
          <w:tcPr>
            <w:tcW w:w="800" w:type="dxa"/>
            <w:vAlign w:val="bottom"/>
            <w:gridSpan w:val="3"/>
          </w:tcPr>
          <w:p>
            <w:pPr>
              <w:jc w:val="right"/>
              <w:ind w:right="100"/>
              <w:spacing w:after="0"/>
              <w:rPr>
                <w:sz w:val="20"/>
                <w:szCs w:val="20"/>
                <w:color w:val="auto"/>
              </w:rPr>
            </w:pPr>
            <w:r>
              <w:rPr>
                <w:rFonts w:ascii="Arial" w:cs="Arial" w:eastAsia="Arial" w:hAnsi="Arial"/>
                <w:sz w:val="14"/>
                <w:szCs w:val="14"/>
                <w:color w:val="auto"/>
              </w:rPr>
              <w:t>$2,706</w:t>
            </w:r>
          </w:p>
        </w:tc>
        <w:tc>
          <w:tcPr>
            <w:tcW w:w="900" w:type="dxa"/>
            <w:vAlign w:val="bottom"/>
            <w:gridSpan w:val="3"/>
          </w:tcPr>
          <w:p>
            <w:pPr>
              <w:jc w:val="right"/>
              <w:ind w:right="100"/>
              <w:spacing w:after="0"/>
              <w:rPr>
                <w:sz w:val="20"/>
                <w:szCs w:val="20"/>
                <w:color w:val="auto"/>
              </w:rPr>
            </w:pPr>
            <w:r>
              <w:rPr>
                <w:rFonts w:ascii="Arial" w:cs="Arial" w:eastAsia="Arial" w:hAnsi="Arial"/>
                <w:sz w:val="14"/>
                <w:szCs w:val="14"/>
                <w:color w:val="auto"/>
              </w:rPr>
              <w:t>$2,809</w:t>
            </w:r>
          </w:p>
        </w:tc>
        <w:tc>
          <w:tcPr>
            <w:tcW w:w="0" w:type="dxa"/>
            <w:vAlign w:val="bottom"/>
          </w:tcPr>
          <w:p>
            <w:pPr>
              <w:spacing w:after="0"/>
              <w:rPr>
                <w:sz w:val="1"/>
                <w:szCs w:val="1"/>
                <w:color w:val="auto"/>
              </w:rPr>
            </w:pPr>
          </w:p>
        </w:tc>
      </w:tr>
      <w:tr>
        <w:trPr>
          <w:trHeight w:val="454"/>
        </w:trPr>
        <w:tc>
          <w:tcPr>
            <w:tcW w:w="1940" w:type="dxa"/>
            <w:vAlign w:val="bottom"/>
          </w:tcPr>
          <w:p>
            <w:pPr>
              <w:spacing w:after="0"/>
              <w:rPr>
                <w:sz w:val="20"/>
                <w:szCs w:val="20"/>
                <w:color w:val="auto"/>
              </w:rPr>
            </w:pPr>
            <w:r>
              <w:rPr>
                <w:rFonts w:ascii="Arial" w:cs="Arial" w:eastAsia="Arial" w:hAnsi="Arial"/>
                <w:sz w:val="14"/>
                <w:szCs w:val="14"/>
                <w:color w:val="auto"/>
              </w:rPr>
              <w:t>Operating EBITDA</w:t>
            </w:r>
            <w:r>
              <w:rPr>
                <w:rFonts w:ascii="Arial" w:cs="Arial" w:eastAsia="Arial" w:hAnsi="Arial"/>
                <w:sz w:val="23"/>
                <w:szCs w:val="23"/>
                <w:color w:val="auto"/>
                <w:vertAlign w:val="superscript"/>
              </w:rPr>
              <w:t>(b)</w:t>
            </w:r>
          </w:p>
        </w:tc>
        <w:tc>
          <w:tcPr>
            <w:tcW w:w="800" w:type="dxa"/>
            <w:vAlign w:val="bottom"/>
            <w:gridSpan w:val="3"/>
          </w:tcPr>
          <w:p>
            <w:pPr>
              <w:jc w:val="right"/>
              <w:ind w:right="28"/>
              <w:spacing w:after="0"/>
              <w:rPr>
                <w:sz w:val="20"/>
                <w:szCs w:val="20"/>
                <w:color w:val="auto"/>
              </w:rPr>
            </w:pPr>
            <w:r>
              <w:rPr>
                <w:rFonts w:ascii="Arial" w:cs="Arial" w:eastAsia="Arial" w:hAnsi="Arial"/>
                <w:sz w:val="14"/>
                <w:szCs w:val="14"/>
                <w:color w:val="auto"/>
              </w:rPr>
              <w:t>$1,090</w:t>
            </w:r>
          </w:p>
        </w:tc>
        <w:tc>
          <w:tcPr>
            <w:tcW w:w="920" w:type="dxa"/>
            <w:vAlign w:val="bottom"/>
            <w:gridSpan w:val="3"/>
          </w:tcPr>
          <w:p>
            <w:pPr>
              <w:jc w:val="right"/>
              <w:ind w:right="100"/>
              <w:spacing w:after="0"/>
              <w:rPr>
                <w:sz w:val="20"/>
                <w:szCs w:val="20"/>
                <w:color w:val="auto"/>
              </w:rPr>
            </w:pPr>
            <w:r>
              <w:rPr>
                <w:rFonts w:ascii="Arial" w:cs="Arial" w:eastAsia="Arial" w:hAnsi="Arial"/>
                <w:sz w:val="14"/>
                <w:szCs w:val="14"/>
                <w:color w:val="auto"/>
              </w:rPr>
              <w:t>$1,142</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$1,050</w:t>
            </w:r>
          </w:p>
        </w:tc>
        <w:tc>
          <w:tcPr>
            <w:tcW w:w="980" w:type="dxa"/>
            <w:vAlign w:val="bottom"/>
            <w:gridSpan w:val="3"/>
          </w:tcPr>
          <w:p>
            <w:pPr>
              <w:jc w:val="right"/>
              <w:ind w:right="80"/>
              <w:spacing w:after="0"/>
              <w:rPr>
                <w:sz w:val="20"/>
                <w:szCs w:val="20"/>
                <w:color w:val="auto"/>
              </w:rPr>
            </w:pPr>
            <w:r>
              <w:rPr>
                <w:rFonts w:ascii="Arial" w:cs="Arial" w:eastAsia="Arial" w:hAnsi="Arial"/>
                <w:sz w:val="14"/>
                <w:szCs w:val="14"/>
                <w:color w:val="auto"/>
              </w:rPr>
              <w:t>$1,121</w:t>
            </w:r>
          </w:p>
        </w:tc>
        <w:tc>
          <w:tcPr>
            <w:tcW w:w="260" w:type="dxa"/>
            <w:vAlign w:val="bottom"/>
          </w:tcPr>
          <w:p>
            <w:pPr>
              <w:spacing w:after="0"/>
              <w:rPr>
                <w:sz w:val="24"/>
                <w:szCs w:val="24"/>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4"/>
                <w:szCs w:val="14"/>
                <w:color w:val="auto"/>
              </w:rPr>
              <w:t>$4,105</w:t>
            </w:r>
          </w:p>
        </w:tc>
        <w:tc>
          <w:tcPr>
            <w:tcW w:w="920" w:type="dxa"/>
            <w:vAlign w:val="bottom"/>
            <w:gridSpan w:val="3"/>
          </w:tcPr>
          <w:p>
            <w:pPr>
              <w:jc w:val="right"/>
              <w:ind w:right="100"/>
              <w:spacing w:after="0"/>
              <w:rPr>
                <w:sz w:val="20"/>
                <w:szCs w:val="20"/>
                <w:color w:val="auto"/>
              </w:rPr>
            </w:pPr>
            <w:r>
              <w:rPr>
                <w:rFonts w:ascii="Arial" w:cs="Arial" w:eastAsia="Arial" w:hAnsi="Arial"/>
                <w:sz w:val="14"/>
                <w:szCs w:val="14"/>
                <w:color w:val="auto"/>
              </w:rPr>
              <w:t>$4,321</w:t>
            </w:r>
          </w:p>
        </w:tc>
        <w:tc>
          <w:tcPr>
            <w:tcW w:w="800" w:type="dxa"/>
            <w:vAlign w:val="bottom"/>
            <w:gridSpan w:val="3"/>
          </w:tcPr>
          <w:p>
            <w:pPr>
              <w:jc w:val="right"/>
              <w:ind w:right="100"/>
              <w:spacing w:after="0"/>
              <w:rPr>
                <w:sz w:val="20"/>
                <w:szCs w:val="20"/>
                <w:color w:val="auto"/>
              </w:rPr>
            </w:pPr>
            <w:r>
              <w:rPr>
                <w:rFonts w:ascii="Arial" w:cs="Arial" w:eastAsia="Arial" w:hAnsi="Arial"/>
                <w:sz w:val="14"/>
                <w:szCs w:val="14"/>
                <w:color w:val="auto"/>
              </w:rPr>
              <w:t>$4,280</w:t>
            </w:r>
          </w:p>
        </w:tc>
        <w:tc>
          <w:tcPr>
            <w:tcW w:w="900" w:type="dxa"/>
            <w:vAlign w:val="bottom"/>
            <w:gridSpan w:val="3"/>
          </w:tcPr>
          <w:p>
            <w:pPr>
              <w:jc w:val="right"/>
              <w:ind w:right="100"/>
              <w:spacing w:after="0"/>
              <w:rPr>
                <w:sz w:val="20"/>
                <w:szCs w:val="20"/>
                <w:color w:val="auto"/>
              </w:rPr>
            </w:pPr>
            <w:r>
              <w:rPr>
                <w:rFonts w:ascii="Arial" w:cs="Arial" w:eastAsia="Arial" w:hAnsi="Arial"/>
                <w:sz w:val="14"/>
                <w:szCs w:val="14"/>
                <w:color w:val="auto"/>
              </w:rPr>
              <w:t>$4,383</w:t>
            </w:r>
          </w:p>
        </w:tc>
        <w:tc>
          <w:tcPr>
            <w:tcW w:w="0" w:type="dxa"/>
            <w:vAlign w:val="bottom"/>
          </w:tcPr>
          <w:p>
            <w:pPr>
              <w:spacing w:after="0"/>
              <w:rPr>
                <w:sz w:val="1"/>
                <w:szCs w:val="1"/>
                <w:color w:val="auto"/>
              </w:rPr>
            </w:pPr>
          </w:p>
        </w:tc>
      </w:tr>
      <w:tr>
        <w:trPr>
          <w:trHeight w:val="221"/>
        </w:trPr>
        <w:tc>
          <w:tcPr>
            <w:tcW w:w="1940" w:type="dxa"/>
            <w:vAlign w:val="bottom"/>
          </w:tcPr>
          <w:p>
            <w:pPr>
              <w:spacing w:after="0"/>
              <w:rPr>
                <w:sz w:val="20"/>
                <w:szCs w:val="20"/>
                <w:color w:val="auto"/>
              </w:rPr>
            </w:pPr>
            <w:r>
              <w:rPr>
                <w:rFonts w:ascii="Arial" w:cs="Arial" w:eastAsia="Arial" w:hAnsi="Arial"/>
                <w:sz w:val="14"/>
                <w:szCs w:val="14"/>
                <w:color w:val="auto"/>
              </w:rPr>
              <w:t>Operating EBITDA Margin</w:t>
            </w:r>
          </w:p>
        </w:tc>
        <w:tc>
          <w:tcPr>
            <w:tcW w:w="800" w:type="dxa"/>
            <w:vAlign w:val="bottom"/>
            <w:gridSpan w:val="3"/>
          </w:tcPr>
          <w:p>
            <w:pPr>
              <w:jc w:val="right"/>
              <w:ind w:right="28"/>
              <w:spacing w:after="0"/>
              <w:rPr>
                <w:sz w:val="20"/>
                <w:szCs w:val="20"/>
                <w:color w:val="auto"/>
              </w:rPr>
            </w:pPr>
            <w:r>
              <w:rPr>
                <w:rFonts w:ascii="Arial" w:cs="Arial" w:eastAsia="Arial" w:hAnsi="Arial"/>
                <w:sz w:val="14"/>
                <w:szCs w:val="14"/>
                <w:color w:val="auto"/>
              </w:rPr>
              <w:t>26.8%</w:t>
            </w:r>
          </w:p>
        </w:tc>
        <w:tc>
          <w:tcPr>
            <w:tcW w:w="920" w:type="dxa"/>
            <w:vAlign w:val="bottom"/>
            <w:gridSpan w:val="3"/>
          </w:tcPr>
          <w:p>
            <w:pPr>
              <w:jc w:val="right"/>
              <w:ind w:right="100"/>
              <w:spacing w:after="0"/>
              <w:rPr>
                <w:sz w:val="20"/>
                <w:szCs w:val="20"/>
                <w:color w:val="auto"/>
              </w:rPr>
            </w:pPr>
            <w:r>
              <w:rPr>
                <w:rFonts w:ascii="Arial" w:cs="Arial" w:eastAsia="Arial" w:hAnsi="Arial"/>
                <w:sz w:val="14"/>
                <w:szCs w:val="14"/>
                <w:color w:val="auto"/>
              </w:rPr>
              <w:t>28.1%</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27.3%</w:t>
            </w:r>
          </w:p>
        </w:tc>
        <w:tc>
          <w:tcPr>
            <w:tcW w:w="980" w:type="dxa"/>
            <w:vAlign w:val="bottom"/>
            <w:gridSpan w:val="3"/>
          </w:tcPr>
          <w:p>
            <w:pPr>
              <w:jc w:val="right"/>
              <w:ind w:right="80"/>
              <w:spacing w:after="0"/>
              <w:rPr>
                <w:sz w:val="20"/>
                <w:szCs w:val="20"/>
                <w:color w:val="auto"/>
              </w:rPr>
            </w:pPr>
            <w:r>
              <w:rPr>
                <w:rFonts w:ascii="Arial" w:cs="Arial" w:eastAsia="Arial" w:hAnsi="Arial"/>
                <w:sz w:val="14"/>
                <w:szCs w:val="14"/>
                <w:color w:val="auto"/>
              </w:rPr>
              <w:t>29.1%</w:t>
            </w:r>
          </w:p>
        </w:tc>
        <w:tc>
          <w:tcPr>
            <w:tcW w:w="260" w:type="dxa"/>
            <w:vAlign w:val="bottom"/>
          </w:tcPr>
          <w:p>
            <w:pPr>
              <w:spacing w:after="0"/>
              <w:rPr>
                <w:sz w:val="19"/>
                <w:szCs w:val="19"/>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4"/>
                <w:szCs w:val="14"/>
                <w:color w:val="auto"/>
              </w:rPr>
              <w:t>27.0%</w:t>
            </w:r>
          </w:p>
        </w:tc>
        <w:tc>
          <w:tcPr>
            <w:tcW w:w="920" w:type="dxa"/>
            <w:vAlign w:val="bottom"/>
            <w:gridSpan w:val="3"/>
          </w:tcPr>
          <w:p>
            <w:pPr>
              <w:jc w:val="right"/>
              <w:ind w:right="100"/>
              <w:spacing w:after="0"/>
              <w:rPr>
                <w:sz w:val="20"/>
                <w:szCs w:val="20"/>
                <w:color w:val="auto"/>
              </w:rPr>
            </w:pPr>
            <w:r>
              <w:rPr>
                <w:rFonts w:ascii="Arial" w:cs="Arial" w:eastAsia="Arial" w:hAnsi="Arial"/>
                <w:sz w:val="14"/>
                <w:szCs w:val="14"/>
                <w:color w:val="auto"/>
              </w:rPr>
              <w:t>28.4%</w:t>
            </w:r>
          </w:p>
        </w:tc>
        <w:tc>
          <w:tcPr>
            <w:tcW w:w="800" w:type="dxa"/>
            <w:vAlign w:val="bottom"/>
            <w:gridSpan w:val="3"/>
          </w:tcPr>
          <w:p>
            <w:pPr>
              <w:jc w:val="right"/>
              <w:ind w:right="100"/>
              <w:spacing w:after="0"/>
              <w:rPr>
                <w:sz w:val="20"/>
                <w:szCs w:val="20"/>
                <w:color w:val="auto"/>
              </w:rPr>
            </w:pPr>
            <w:r>
              <w:rPr>
                <w:rFonts w:ascii="Arial" w:cs="Arial" w:eastAsia="Arial" w:hAnsi="Arial"/>
                <w:sz w:val="14"/>
                <w:szCs w:val="14"/>
                <w:color w:val="auto"/>
              </w:rPr>
              <w:t>27.7%</w:t>
            </w:r>
          </w:p>
        </w:tc>
        <w:tc>
          <w:tcPr>
            <w:tcW w:w="900" w:type="dxa"/>
            <w:vAlign w:val="bottom"/>
            <w:gridSpan w:val="3"/>
          </w:tcPr>
          <w:p>
            <w:pPr>
              <w:jc w:val="right"/>
              <w:ind w:right="100"/>
              <w:spacing w:after="0"/>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454"/>
        </w:trPr>
        <w:tc>
          <w:tcPr>
            <w:tcW w:w="1940" w:type="dxa"/>
            <w:vAlign w:val="bottom"/>
          </w:tcPr>
          <w:p>
            <w:pPr>
              <w:spacing w:after="0"/>
              <w:rPr>
                <w:sz w:val="20"/>
                <w:szCs w:val="20"/>
                <w:color w:val="auto"/>
              </w:rPr>
            </w:pPr>
            <w:r>
              <w:rPr>
                <w:rFonts w:ascii="Arial" w:cs="Arial" w:eastAsia="Arial" w:hAnsi="Arial"/>
                <w:sz w:val="14"/>
                <w:szCs w:val="14"/>
                <w:color w:val="auto"/>
              </w:rPr>
              <w:t>Net Income</w:t>
            </w:r>
            <w:r>
              <w:rPr>
                <w:rFonts w:ascii="Arial" w:cs="Arial" w:eastAsia="Arial" w:hAnsi="Arial"/>
                <w:sz w:val="23"/>
                <w:szCs w:val="23"/>
                <w:color w:val="auto"/>
                <w:vertAlign w:val="superscript"/>
              </w:rPr>
              <w:t>(c)</w:t>
            </w:r>
          </w:p>
        </w:tc>
        <w:tc>
          <w:tcPr>
            <w:tcW w:w="800" w:type="dxa"/>
            <w:vAlign w:val="bottom"/>
            <w:gridSpan w:val="3"/>
          </w:tcPr>
          <w:p>
            <w:pPr>
              <w:jc w:val="right"/>
              <w:ind w:right="28"/>
              <w:spacing w:after="0"/>
              <w:rPr>
                <w:sz w:val="20"/>
                <w:szCs w:val="20"/>
                <w:color w:val="auto"/>
              </w:rPr>
            </w:pPr>
            <w:r>
              <w:rPr>
                <w:rFonts w:ascii="Arial" w:cs="Arial" w:eastAsia="Arial" w:hAnsi="Arial"/>
                <w:sz w:val="14"/>
                <w:szCs w:val="14"/>
                <w:color w:val="auto"/>
              </w:rPr>
              <w:t>$438</w:t>
            </w:r>
          </w:p>
        </w:tc>
        <w:tc>
          <w:tcPr>
            <w:tcW w:w="920" w:type="dxa"/>
            <w:vAlign w:val="bottom"/>
            <w:gridSpan w:val="3"/>
          </w:tcPr>
          <w:p>
            <w:pPr>
              <w:jc w:val="right"/>
              <w:ind w:right="100"/>
              <w:spacing w:after="0"/>
              <w:rPr>
                <w:sz w:val="20"/>
                <w:szCs w:val="20"/>
                <w:color w:val="auto"/>
              </w:rPr>
            </w:pPr>
            <w:r>
              <w:rPr>
                <w:rFonts w:ascii="Arial" w:cs="Arial" w:eastAsia="Arial" w:hAnsi="Arial"/>
                <w:sz w:val="14"/>
                <w:szCs w:val="14"/>
                <w:color w:val="auto"/>
              </w:rPr>
              <w:t>$481</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$447</w:t>
            </w:r>
          </w:p>
        </w:tc>
        <w:tc>
          <w:tcPr>
            <w:tcW w:w="980" w:type="dxa"/>
            <w:vAlign w:val="bottom"/>
            <w:gridSpan w:val="3"/>
          </w:tcPr>
          <w:p>
            <w:pPr>
              <w:jc w:val="right"/>
              <w:ind w:right="80"/>
              <w:spacing w:after="0"/>
              <w:rPr>
                <w:sz w:val="20"/>
                <w:szCs w:val="20"/>
                <w:color w:val="auto"/>
              </w:rPr>
            </w:pPr>
            <w:r>
              <w:rPr>
                <w:rFonts w:ascii="Arial" w:cs="Arial" w:eastAsia="Arial" w:hAnsi="Arial"/>
                <w:sz w:val="14"/>
                <w:szCs w:val="14"/>
                <w:color w:val="auto"/>
              </w:rPr>
              <w:t>$507</w:t>
            </w:r>
          </w:p>
        </w:tc>
        <w:tc>
          <w:tcPr>
            <w:tcW w:w="260" w:type="dxa"/>
            <w:vAlign w:val="bottom"/>
          </w:tcPr>
          <w:p>
            <w:pPr>
              <w:spacing w:after="0"/>
              <w:rPr>
                <w:sz w:val="24"/>
                <w:szCs w:val="24"/>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4"/>
                <w:szCs w:val="14"/>
                <w:color w:val="auto"/>
              </w:rPr>
              <w:t>$1,496</w:t>
            </w:r>
          </w:p>
        </w:tc>
        <w:tc>
          <w:tcPr>
            <w:tcW w:w="920" w:type="dxa"/>
            <w:vAlign w:val="bottom"/>
            <w:gridSpan w:val="3"/>
          </w:tcPr>
          <w:p>
            <w:pPr>
              <w:jc w:val="right"/>
              <w:ind w:right="100"/>
              <w:spacing w:after="0"/>
              <w:rPr>
                <w:sz w:val="20"/>
                <w:szCs w:val="20"/>
                <w:color w:val="auto"/>
              </w:rPr>
            </w:pPr>
            <w:r>
              <w:rPr>
                <w:rFonts w:ascii="Arial" w:cs="Arial" w:eastAsia="Arial" w:hAnsi="Arial"/>
                <w:sz w:val="14"/>
                <w:szCs w:val="14"/>
                <w:color w:val="auto"/>
              </w:rPr>
              <w:t>$1,713</w:t>
            </w:r>
          </w:p>
        </w:tc>
        <w:tc>
          <w:tcPr>
            <w:tcW w:w="800" w:type="dxa"/>
            <w:vAlign w:val="bottom"/>
            <w:gridSpan w:val="3"/>
          </w:tcPr>
          <w:p>
            <w:pPr>
              <w:jc w:val="right"/>
              <w:ind w:right="100"/>
              <w:spacing w:after="0"/>
              <w:rPr>
                <w:sz w:val="20"/>
                <w:szCs w:val="20"/>
                <w:color w:val="auto"/>
              </w:rPr>
            </w:pPr>
            <w:r>
              <w:rPr>
                <w:rFonts w:ascii="Arial" w:cs="Arial" w:eastAsia="Arial" w:hAnsi="Arial"/>
                <w:sz w:val="14"/>
                <w:szCs w:val="14"/>
                <w:color w:val="auto"/>
              </w:rPr>
              <w:t>$1,670</w:t>
            </w:r>
          </w:p>
        </w:tc>
        <w:tc>
          <w:tcPr>
            <w:tcW w:w="900" w:type="dxa"/>
            <w:vAlign w:val="bottom"/>
            <w:gridSpan w:val="3"/>
          </w:tcPr>
          <w:p>
            <w:pPr>
              <w:jc w:val="right"/>
              <w:ind w:right="100"/>
              <w:spacing w:after="0"/>
              <w:rPr>
                <w:sz w:val="20"/>
                <w:szCs w:val="20"/>
                <w:color w:val="auto"/>
              </w:rPr>
            </w:pPr>
            <w:r>
              <w:rPr>
                <w:rFonts w:ascii="Arial" w:cs="Arial" w:eastAsia="Arial" w:hAnsi="Arial"/>
                <w:sz w:val="14"/>
                <w:szCs w:val="14"/>
                <w:color w:val="auto"/>
              </w:rPr>
              <w:t>$1,881</w:t>
            </w:r>
          </w:p>
        </w:tc>
        <w:tc>
          <w:tcPr>
            <w:tcW w:w="0" w:type="dxa"/>
            <w:vAlign w:val="bottom"/>
          </w:tcPr>
          <w:p>
            <w:pPr>
              <w:spacing w:after="0"/>
              <w:rPr>
                <w:sz w:val="1"/>
                <w:szCs w:val="1"/>
                <w:color w:val="auto"/>
              </w:rPr>
            </w:pPr>
          </w:p>
        </w:tc>
      </w:tr>
      <w:tr>
        <w:trPr>
          <w:trHeight w:val="221"/>
        </w:trPr>
        <w:tc>
          <w:tcPr>
            <w:tcW w:w="1940" w:type="dxa"/>
            <w:vAlign w:val="bottom"/>
          </w:tcPr>
          <w:p>
            <w:pPr>
              <w:spacing w:after="0"/>
              <w:rPr>
                <w:sz w:val="20"/>
                <w:szCs w:val="20"/>
                <w:color w:val="auto"/>
              </w:rPr>
            </w:pPr>
            <w:r>
              <w:rPr>
                <w:rFonts w:ascii="Arial" w:cs="Arial" w:eastAsia="Arial" w:hAnsi="Arial"/>
                <w:sz w:val="14"/>
                <w:szCs w:val="14"/>
                <w:color w:val="auto"/>
              </w:rPr>
              <w:t>Diluted EPS</w:t>
            </w:r>
          </w:p>
        </w:tc>
        <w:tc>
          <w:tcPr>
            <w:tcW w:w="800" w:type="dxa"/>
            <w:vAlign w:val="bottom"/>
            <w:gridSpan w:val="3"/>
          </w:tcPr>
          <w:p>
            <w:pPr>
              <w:jc w:val="right"/>
              <w:ind w:right="28"/>
              <w:spacing w:after="0"/>
              <w:rPr>
                <w:sz w:val="20"/>
                <w:szCs w:val="20"/>
                <w:color w:val="auto"/>
              </w:rPr>
            </w:pPr>
            <w:r>
              <w:rPr>
                <w:rFonts w:ascii="Arial" w:cs="Arial" w:eastAsia="Arial" w:hAnsi="Arial"/>
                <w:sz w:val="14"/>
                <w:szCs w:val="14"/>
                <w:color w:val="auto"/>
              </w:rPr>
              <w:t>$1.03</w:t>
            </w:r>
          </w:p>
        </w:tc>
        <w:tc>
          <w:tcPr>
            <w:tcW w:w="920" w:type="dxa"/>
            <w:vAlign w:val="bottom"/>
            <w:gridSpan w:val="3"/>
          </w:tcPr>
          <w:p>
            <w:pPr>
              <w:jc w:val="right"/>
              <w:ind w:right="100"/>
              <w:spacing w:after="0"/>
              <w:rPr>
                <w:sz w:val="20"/>
                <w:szCs w:val="20"/>
                <w:color w:val="auto"/>
              </w:rPr>
            </w:pPr>
            <w:r>
              <w:rPr>
                <w:rFonts w:ascii="Arial" w:cs="Arial" w:eastAsia="Arial" w:hAnsi="Arial"/>
                <w:sz w:val="14"/>
                <w:szCs w:val="14"/>
                <w:color w:val="auto"/>
              </w:rPr>
              <w:t>$1.13</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$1.05</w:t>
            </w:r>
          </w:p>
        </w:tc>
        <w:tc>
          <w:tcPr>
            <w:tcW w:w="980" w:type="dxa"/>
            <w:vAlign w:val="bottom"/>
            <w:gridSpan w:val="3"/>
          </w:tcPr>
          <w:p>
            <w:pPr>
              <w:jc w:val="right"/>
              <w:ind w:right="80"/>
              <w:spacing w:after="0"/>
              <w:rPr>
                <w:sz w:val="20"/>
                <w:szCs w:val="20"/>
                <w:color w:val="auto"/>
              </w:rPr>
            </w:pPr>
            <w:r>
              <w:rPr>
                <w:rFonts w:ascii="Arial" w:cs="Arial" w:eastAsia="Arial" w:hAnsi="Arial"/>
                <w:sz w:val="14"/>
                <w:szCs w:val="14"/>
                <w:color w:val="auto"/>
              </w:rPr>
              <w:t>$1.19</w:t>
            </w:r>
          </w:p>
        </w:tc>
        <w:tc>
          <w:tcPr>
            <w:tcW w:w="260" w:type="dxa"/>
            <w:vAlign w:val="bottom"/>
          </w:tcPr>
          <w:p>
            <w:pPr>
              <w:spacing w:after="0"/>
              <w:rPr>
                <w:sz w:val="19"/>
                <w:szCs w:val="19"/>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4"/>
                <w:szCs w:val="14"/>
                <w:color w:val="auto"/>
              </w:rPr>
              <w:t>$3.52</w:t>
            </w:r>
          </w:p>
        </w:tc>
        <w:tc>
          <w:tcPr>
            <w:tcW w:w="920" w:type="dxa"/>
            <w:vAlign w:val="bottom"/>
            <w:gridSpan w:val="3"/>
          </w:tcPr>
          <w:p>
            <w:pPr>
              <w:jc w:val="right"/>
              <w:ind w:right="100"/>
              <w:spacing w:after="0"/>
              <w:rPr>
                <w:sz w:val="20"/>
                <w:szCs w:val="20"/>
                <w:color w:val="auto"/>
              </w:rPr>
            </w:pPr>
            <w:r>
              <w:rPr>
                <w:rFonts w:ascii="Arial" w:cs="Arial" w:eastAsia="Arial" w:hAnsi="Arial"/>
                <w:sz w:val="14"/>
                <w:szCs w:val="14"/>
                <w:color w:val="auto"/>
              </w:rPr>
              <w:t>$4.03</w:t>
            </w:r>
          </w:p>
        </w:tc>
        <w:tc>
          <w:tcPr>
            <w:tcW w:w="800" w:type="dxa"/>
            <w:vAlign w:val="bottom"/>
            <w:gridSpan w:val="3"/>
          </w:tcPr>
          <w:p>
            <w:pPr>
              <w:jc w:val="right"/>
              <w:ind w:right="100"/>
              <w:spacing w:after="0"/>
              <w:rPr>
                <w:sz w:val="20"/>
                <w:szCs w:val="20"/>
                <w:color w:val="auto"/>
              </w:rPr>
            </w:pPr>
            <w:r>
              <w:rPr>
                <w:rFonts w:ascii="Arial" w:cs="Arial" w:eastAsia="Arial" w:hAnsi="Arial"/>
                <w:sz w:val="14"/>
                <w:szCs w:val="14"/>
                <w:color w:val="auto"/>
              </w:rPr>
              <w:t>$3.91</w:t>
            </w:r>
          </w:p>
        </w:tc>
        <w:tc>
          <w:tcPr>
            <w:tcW w:w="900" w:type="dxa"/>
            <w:vAlign w:val="bottom"/>
            <w:gridSpan w:val="3"/>
          </w:tcPr>
          <w:p>
            <w:pPr>
              <w:jc w:val="right"/>
              <w:ind w:right="100"/>
              <w:spacing w:after="0"/>
              <w:rPr>
                <w:sz w:val="20"/>
                <w:szCs w:val="20"/>
                <w:color w:val="auto"/>
              </w:rPr>
            </w:pPr>
            <w:r>
              <w:rPr>
                <w:rFonts w:ascii="Arial" w:cs="Arial" w:eastAsia="Arial" w:hAnsi="Arial"/>
                <w:sz w:val="14"/>
                <w:szCs w:val="14"/>
                <w:color w:val="auto"/>
              </w:rPr>
              <w:t>$4.40</w:t>
            </w:r>
          </w:p>
        </w:tc>
        <w:tc>
          <w:tcPr>
            <w:tcW w:w="0" w:type="dxa"/>
            <w:vAlign w:val="bottom"/>
          </w:tcPr>
          <w:p>
            <w:pPr>
              <w:spacing w:after="0"/>
              <w:rPr>
                <w:sz w:val="1"/>
                <w:szCs w:val="1"/>
                <w:color w:val="auto"/>
              </w:rPr>
            </w:pPr>
          </w:p>
        </w:tc>
      </w:tr>
    </w:tbl>
    <w:p>
      <w:pPr>
        <w:spacing w:after="0" w:line="227" w:lineRule="exact"/>
        <w:rPr>
          <w:sz w:val="20"/>
          <w:szCs w:val="20"/>
          <w:color w:val="auto"/>
        </w:rPr>
      </w:pPr>
    </w:p>
    <w:p>
      <w:pPr>
        <w:jc w:val="both"/>
        <w:ind w:right="100"/>
        <w:spacing w:after="0" w:line="234" w:lineRule="auto"/>
        <w:rPr>
          <w:sz w:val="20"/>
          <w:szCs w:val="20"/>
          <w:color w:val="auto"/>
        </w:rPr>
      </w:pPr>
      <w:r>
        <w:rPr>
          <w:rFonts w:ascii="Arial" w:cs="Arial" w:eastAsia="Arial" w:hAnsi="Arial"/>
          <w:sz w:val="18"/>
          <w:szCs w:val="18"/>
          <w:color w:val="auto"/>
        </w:rPr>
        <w:t>The Company’s fourth quarter results continued the positive momentum from the third quarter, as organic revenue growth in the collection and disposal business was nearly flat year-over-year and improved 250 basis points sequentially and 890 basis points from the low in the second quarter. Additionally, the Company maintained its disciplined focus on cost and capital management. As a result, fourth quarter adjusted operating EBITDA increased 4.1% year-over-year when normalized to exclude the acquisition of Advanced Disposal as</w:t>
      </w:r>
    </w:p>
    <w:p>
      <w:pPr>
        <w:spacing w:after="0" w:line="4" w:lineRule="exact"/>
        <w:rPr>
          <w:sz w:val="20"/>
          <w:szCs w:val="20"/>
          <w:color w:val="auto"/>
        </w:rPr>
      </w:pPr>
    </w:p>
    <w:p>
      <w:pPr>
        <w:jc w:val="both"/>
        <w:ind w:right="100"/>
        <w:spacing w:after="0" w:line="204" w:lineRule="auto"/>
        <w:rPr>
          <w:sz w:val="20"/>
          <w:szCs w:val="20"/>
          <w:color w:val="auto"/>
        </w:rPr>
      </w:pPr>
      <w:r>
        <w:rPr>
          <w:rFonts w:ascii="Arial" w:cs="Arial" w:eastAsia="Arial" w:hAnsi="Arial"/>
          <w:sz w:val="18"/>
          <w:szCs w:val="18"/>
          <w:color w:val="auto"/>
        </w:rPr>
        <w:t>well as timing differences in the government approvals of alternative fuel tax credits.</w:t>
      </w:r>
      <w:r>
        <w:rPr>
          <w:rFonts w:ascii="Arial" w:cs="Arial" w:eastAsia="Arial" w:hAnsi="Arial"/>
          <w:sz w:val="29"/>
          <w:szCs w:val="29"/>
          <w:color w:val="auto"/>
          <w:vertAlign w:val="superscript"/>
        </w:rPr>
        <w:t>(a)</w:t>
      </w:r>
      <w:r>
        <w:rPr>
          <w:rFonts w:ascii="Arial" w:cs="Arial" w:eastAsia="Arial" w:hAnsi="Arial"/>
          <w:sz w:val="18"/>
          <w:szCs w:val="18"/>
          <w:color w:val="auto"/>
        </w:rPr>
        <w:t xml:space="preserve"> This growth was achieved despite macroeconomic challenges stemming from the COVID-19 pandemic.</w:t>
      </w:r>
    </w:p>
    <w:p>
      <w:pPr>
        <w:spacing w:after="0" w:line="229" w:lineRule="exact"/>
        <w:rPr>
          <w:sz w:val="20"/>
          <w:szCs w:val="20"/>
          <w:color w:val="auto"/>
        </w:rPr>
      </w:pPr>
    </w:p>
    <w:p>
      <w:pPr>
        <w:jc w:val="both"/>
        <w:ind w:right="100"/>
        <w:spacing w:after="0" w:line="234" w:lineRule="auto"/>
        <w:rPr>
          <w:sz w:val="20"/>
          <w:szCs w:val="20"/>
          <w:color w:val="auto"/>
        </w:rPr>
      </w:pPr>
      <w:r>
        <w:rPr>
          <w:rFonts w:ascii="Arial" w:cs="Arial" w:eastAsia="Arial" w:hAnsi="Arial"/>
          <w:sz w:val="18"/>
          <w:szCs w:val="18"/>
          <w:color w:val="auto"/>
        </w:rPr>
        <w:t>“I am extremely proud of how our team worked through the challenges during 2020 to provide reliable, high quality service, and continued to do so as we welcomed new customers and team members following our acquisition of Advanced Disposal,” said Jim Fish, Waste Management’s President and Chief Executive Officer. “Our focus on operational execution and efficiency allowed us to match the highest full-year adjusted operating</w:t>
      </w:r>
    </w:p>
    <w:p>
      <w:pPr>
        <w:spacing w:after="0" w:line="3" w:lineRule="exact"/>
        <w:rPr>
          <w:sz w:val="20"/>
          <w:szCs w:val="20"/>
          <w:color w:val="auto"/>
        </w:rPr>
      </w:pPr>
    </w:p>
    <w:p>
      <w:pPr>
        <w:jc w:val="both"/>
        <w:ind w:right="100"/>
        <w:spacing w:after="0" w:line="227" w:lineRule="auto"/>
        <w:rPr>
          <w:sz w:val="20"/>
          <w:szCs w:val="20"/>
          <w:color w:val="auto"/>
        </w:rPr>
      </w:pPr>
      <w:r>
        <w:rPr>
          <w:rFonts w:ascii="Arial" w:cs="Arial" w:eastAsia="Arial" w:hAnsi="Arial"/>
          <w:sz w:val="18"/>
          <w:szCs w:val="18"/>
          <w:color w:val="auto"/>
        </w:rPr>
        <w:t>EBITDA margin we have ever achieved at 28.4%.</w:t>
      </w:r>
      <w:r>
        <w:rPr>
          <w:rFonts w:ascii="Arial" w:cs="Arial" w:eastAsia="Arial" w:hAnsi="Arial"/>
          <w:sz w:val="29"/>
          <w:szCs w:val="29"/>
          <w:color w:val="auto"/>
          <w:vertAlign w:val="superscript"/>
        </w:rPr>
        <w:t>(a)</w:t>
      </w:r>
      <w:r>
        <w:rPr>
          <w:rFonts w:ascii="Arial" w:cs="Arial" w:eastAsia="Arial" w:hAnsi="Arial"/>
          <w:sz w:val="18"/>
          <w:szCs w:val="18"/>
          <w:color w:val="auto"/>
        </w:rPr>
        <w:t xml:space="preserve"> So, in a year where many companies suffered significant financial impacts from the pandemic and resulting economic crisis, Waste Management delivered full-year 2020 results within 1.5% of our record-high 2019 adjusted operating EBITDA.</w:t>
      </w:r>
      <w:r>
        <w:rPr>
          <w:rFonts w:ascii="Arial" w:cs="Arial" w:eastAsia="Arial" w:hAnsi="Arial"/>
          <w:sz w:val="29"/>
          <w:szCs w:val="29"/>
          <w:color w:val="auto"/>
          <w:vertAlign w:val="superscript"/>
        </w:rPr>
        <w:t>(a)</w:t>
      </w:r>
    </w:p>
    <w:p>
      <w:pPr>
        <w:spacing w:after="0" w:line="105" w:lineRule="exact"/>
        <w:rPr>
          <w:sz w:val="20"/>
          <w:szCs w:val="20"/>
          <w:color w:val="auto"/>
        </w:rPr>
      </w:pPr>
    </w:p>
    <w:p>
      <w:pPr>
        <w:jc w:val="both"/>
        <w:ind w:right="100"/>
        <w:spacing w:after="0" w:line="237" w:lineRule="auto"/>
        <w:rPr>
          <w:sz w:val="20"/>
          <w:szCs w:val="20"/>
          <w:color w:val="auto"/>
        </w:rPr>
      </w:pPr>
      <w:r>
        <w:rPr>
          <w:rFonts w:ascii="Arial" w:cs="Arial" w:eastAsia="Arial" w:hAnsi="Arial"/>
          <w:sz w:val="18"/>
          <w:szCs w:val="18"/>
          <w:color w:val="auto"/>
        </w:rPr>
        <w:t>“Complementing our strong financial performance is the recognition that we continue to receive for leading the way to a more sustainable future. Fortune magazine recently named Waste Management to its 2021 World’s Most Admired Companies List, and for the fifth consecutive year, CDP included Waste Management on its ‘A List’ for climate leadership. We remain committed not only to managing waste responsibly but also investing in recycling infrastructure and renewable energy projects and collaborating with our stakeholders to create new, sustainable environmental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b w:val="1"/>
          <w:bCs w:val="1"/>
          <w:color w:val="00693A"/>
        </w:rPr>
        <w:t>FOR MORE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00693A"/>
        </w:rPr>
        <w:t>INFORMATION</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Waste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Management</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Web site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www.wm.com</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00"/>
        <w:spacing w:after="0"/>
        <w:rPr>
          <w:sz w:val="20"/>
          <w:szCs w:val="20"/>
          <w:color w:val="auto"/>
        </w:rPr>
      </w:pPr>
      <w:r>
        <w:rPr>
          <w:rFonts w:ascii="Arial" w:cs="Arial" w:eastAsia="Arial" w:hAnsi="Arial"/>
          <w:sz w:val="14"/>
          <w:szCs w:val="14"/>
          <w:color w:val="auto"/>
        </w:rPr>
        <w:t>Analysts</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4"/>
          <w:szCs w:val="14"/>
          <w:color w:val="57584F"/>
        </w:rPr>
        <w:t>Ed Egl</w:t>
      </w:r>
    </w:p>
    <w:p>
      <w:pPr>
        <w:spacing w:after="0" w:line="82" w:lineRule="exact"/>
        <w:rPr>
          <w:sz w:val="20"/>
          <w:szCs w:val="20"/>
          <w:color w:val="auto"/>
        </w:rPr>
      </w:pPr>
    </w:p>
    <w:p>
      <w:pPr>
        <w:ind w:left="100"/>
        <w:spacing w:after="0"/>
        <w:rPr>
          <w:sz w:val="20"/>
          <w:szCs w:val="20"/>
          <w:color w:val="auto"/>
        </w:rPr>
      </w:pPr>
      <w:r>
        <w:rPr>
          <w:rFonts w:ascii="Arial" w:cs="Arial" w:eastAsia="Arial" w:hAnsi="Arial"/>
          <w:sz w:val="14"/>
          <w:szCs w:val="14"/>
          <w:color w:val="57584F"/>
        </w:rPr>
        <w:t>713.265.1656</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4"/>
          <w:szCs w:val="14"/>
          <w:b w:val="1"/>
          <w:bCs w:val="1"/>
          <w:u w:val="single" w:color="auto"/>
          <w:color w:val="0000FF"/>
        </w:rPr>
        <w:t>eegl@wm.com</w:t>
      </w:r>
    </w:p>
    <w:p>
      <w:pPr>
        <w:spacing w:after="0" w:line="172"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Media</w:t>
      </w:r>
    </w:p>
    <w:p>
      <w:pPr>
        <w:spacing w:after="0" w:line="19" w:lineRule="exact"/>
        <w:rPr>
          <w:sz w:val="20"/>
          <w:szCs w:val="20"/>
          <w:color w:val="auto"/>
        </w:rPr>
      </w:pPr>
    </w:p>
    <w:p>
      <w:pPr>
        <w:ind w:left="100"/>
        <w:spacing w:after="0"/>
        <w:rPr>
          <w:sz w:val="20"/>
          <w:szCs w:val="20"/>
          <w:color w:val="auto"/>
        </w:rPr>
      </w:pPr>
      <w:r>
        <w:rPr>
          <w:rFonts w:ascii="Arial" w:cs="Arial" w:eastAsia="Arial" w:hAnsi="Arial"/>
          <w:sz w:val="14"/>
          <w:szCs w:val="14"/>
          <w:color w:val="57584F"/>
        </w:rPr>
        <w:t>Janette Micelli</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4"/>
          <w:szCs w:val="14"/>
          <w:color w:val="57584F"/>
        </w:rPr>
        <w:t>602.579.6152</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4"/>
          <w:szCs w:val="14"/>
          <w:b w:val="1"/>
          <w:bCs w:val="1"/>
          <w:u w:val="single" w:color="auto"/>
          <w:color w:val="0000FF"/>
        </w:rPr>
        <w:t>jmicelli@wm.com</w:t>
      </w:r>
    </w:p>
    <w:p>
      <w:pPr>
        <w:sectPr>
          <w:pgSz w:w="11900" w:h="16838" w:orient="portrait"/>
          <w:cols w:equalWidth="0" w:num="2">
            <w:col w:w="9100" w:space="540"/>
            <w:col w:w="1600"/>
          </w:cols>
          <w:pgMar w:left="320" w:top="32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KEY HIGHLIGHTS FOR THE FOURTH QUARTER AND THE FULL YEAR 2020</w:t>
      </w:r>
    </w:p>
    <w:p>
      <w:pPr>
        <w:spacing w:after="0" w:line="198" w:lineRule="exact"/>
        <w:rPr>
          <w:sz w:val="20"/>
          <w:szCs w:val="20"/>
          <w:color w:val="auto"/>
        </w:rPr>
      </w:pPr>
    </w:p>
    <w:p>
      <w:pPr>
        <w:ind w:left="680"/>
        <w:spacing w:after="0"/>
        <w:rPr>
          <w:sz w:val="20"/>
          <w:szCs w:val="20"/>
          <w:color w:val="auto"/>
        </w:rPr>
      </w:pPr>
      <w:r>
        <w:rPr>
          <w:rFonts w:ascii="Arial" w:cs="Arial" w:eastAsia="Arial" w:hAnsi="Arial"/>
          <w:sz w:val="18"/>
          <w:szCs w:val="18"/>
          <w:b w:val="1"/>
          <w:bCs w:val="1"/>
          <w:u w:val="single" w:color="auto"/>
          <w:color w:val="auto"/>
        </w:rPr>
        <w:t>Revenue</w:t>
      </w:r>
    </w:p>
    <w:p>
      <w:pPr>
        <w:spacing w:after="0" w:line="220" w:lineRule="exact"/>
        <w:rPr>
          <w:sz w:val="20"/>
          <w:szCs w:val="20"/>
          <w:color w:val="auto"/>
        </w:rPr>
      </w:pPr>
    </w:p>
    <w:p>
      <w:pPr>
        <w:jc w:val="both"/>
        <w:ind w:left="680" w:right="1139" w:hanging="265"/>
        <w:spacing w:after="0" w:line="181" w:lineRule="auto"/>
        <w:tabs>
          <w:tab w:leader="none" w:pos="680" w:val="left"/>
        </w:tabs>
        <w:numPr>
          <w:ilvl w:val="0"/>
          <w:numId w:val="3"/>
        </w:numPr>
        <w:rPr>
          <w:rFonts w:ascii="Arial" w:cs="Arial" w:eastAsia="Arial" w:hAnsi="Arial"/>
          <w:sz w:val="50"/>
          <w:szCs w:val="50"/>
          <w:color w:val="auto"/>
          <w:vertAlign w:val="subscript"/>
        </w:rPr>
      </w:pPr>
      <w:r>
        <w:rPr>
          <w:rFonts w:ascii="Arial" w:cs="Arial" w:eastAsia="Arial" w:hAnsi="Arial"/>
          <w:sz w:val="18"/>
          <w:szCs w:val="18"/>
          <w:color w:val="auto"/>
        </w:rPr>
        <w:t>In the fourth quarter of 2020, revenue increased $185 million in the Company’s collection and disposal business compared to the fourth quarter of 2019, primarily driven by $202 million in acquisition revenue and $79 million of growth from yield partially offset by $93 million in volume declines. For the full year, revenue decreased $141 million in the Company’s collection and disposal business compared to 2019, primarily driven by $669 million in volume declines partially offset by $299 million of growth from yield and $244 million in acquisition revenue.</w:t>
      </w:r>
    </w:p>
    <w:p>
      <w:pPr>
        <w:ind w:left="680" w:right="1139" w:hanging="265"/>
        <w:spacing w:after="0" w:line="182" w:lineRule="auto"/>
        <w:tabs>
          <w:tab w:leader="none" w:pos="680" w:val="left"/>
        </w:tabs>
        <w:numPr>
          <w:ilvl w:val="0"/>
          <w:numId w:val="3"/>
        </w:numPr>
        <w:rPr>
          <w:rFonts w:ascii="Arial" w:cs="Arial" w:eastAsia="Arial" w:hAnsi="Arial"/>
          <w:sz w:val="31"/>
          <w:szCs w:val="31"/>
          <w:color w:val="auto"/>
          <w:vertAlign w:val="subscript"/>
        </w:rPr>
      </w:pPr>
      <w:r>
        <w:rPr>
          <w:rFonts w:ascii="Arial" w:cs="Arial" w:eastAsia="Arial" w:hAnsi="Arial"/>
          <w:sz w:val="14"/>
          <w:szCs w:val="14"/>
          <w:color w:val="auto"/>
        </w:rPr>
        <w:t>Core price for the fourth quarter of 2020 was 3.2% compared to 4.3% in the fourth quarter of 2019. For the full year, core price was 2.9% for 2020 compared to 4.2% in 2019.</w:t>
      </w:r>
      <w:r>
        <w:rPr>
          <w:rFonts w:ascii="Arial" w:cs="Arial" w:eastAsia="Arial" w:hAnsi="Arial"/>
          <w:sz w:val="20"/>
          <w:szCs w:val="20"/>
          <w:color w:val="auto"/>
          <w:vertAlign w:val="superscript"/>
        </w:rPr>
        <w:t>(d)</w:t>
      </w:r>
    </w:p>
    <w:p>
      <w:pPr>
        <w:jc w:val="both"/>
        <w:ind w:left="680" w:right="1139" w:hanging="265"/>
        <w:spacing w:after="0" w:line="198" w:lineRule="auto"/>
        <w:tabs>
          <w:tab w:leader="none" w:pos="680" w:val="left"/>
        </w:tabs>
        <w:numPr>
          <w:ilvl w:val="0"/>
          <w:numId w:val="3"/>
        </w:numPr>
        <w:rPr>
          <w:rFonts w:ascii="Arial" w:cs="Arial" w:eastAsia="Arial" w:hAnsi="Arial"/>
          <w:sz w:val="47"/>
          <w:szCs w:val="47"/>
          <w:color w:val="auto"/>
          <w:vertAlign w:val="subscript"/>
        </w:rPr>
      </w:pPr>
      <w:r>
        <w:rPr>
          <w:rFonts w:ascii="Arial" w:cs="Arial" w:eastAsia="Arial" w:hAnsi="Arial"/>
          <w:sz w:val="17"/>
          <w:szCs w:val="17"/>
          <w:color w:val="auto"/>
        </w:rPr>
        <w:t>Collection and disposal yield was 2.3% in the fourth quarter of 2020 compared to 3.2% in the fourth quarter of 2019. For the full year, collection and disposal yield was 2.2% in 2020 compared to 2.8% in 2019.</w:t>
      </w:r>
    </w:p>
    <w:p>
      <w:pPr>
        <w:jc w:val="both"/>
        <w:ind w:left="680" w:right="1139" w:hanging="265"/>
        <w:spacing w:after="0" w:line="187" w:lineRule="auto"/>
        <w:tabs>
          <w:tab w:leader="none" w:pos="680" w:val="left"/>
        </w:tabs>
        <w:numPr>
          <w:ilvl w:val="0"/>
          <w:numId w:val="3"/>
        </w:numPr>
        <w:rPr>
          <w:rFonts w:ascii="Arial" w:cs="Arial" w:eastAsia="Arial" w:hAnsi="Arial"/>
          <w:sz w:val="42"/>
          <w:szCs w:val="42"/>
          <w:color w:val="auto"/>
          <w:vertAlign w:val="subscript"/>
        </w:rPr>
      </w:pPr>
      <w:r>
        <w:rPr>
          <w:rFonts w:ascii="Arial" w:cs="Arial" w:eastAsia="Arial" w:hAnsi="Arial"/>
          <w:sz w:val="16"/>
          <w:szCs w:val="16"/>
          <w:color w:val="auto"/>
        </w:rPr>
        <w:t>The Company’s 2020 pricing results were muted relative to historical results due to deliberate customer-centric steps taken during the second quarter to temporarily suspend price increases and certain fees for customers impacted by the COVID-19 pandemic. The Company remains firmly committed to its pricing programs as evidenced by the Company’s strong post-collection and residential yield.</w:t>
      </w:r>
    </w:p>
    <w:p>
      <w:pPr>
        <w:spacing w:after="0" w:line="3" w:lineRule="exact"/>
        <w:rPr>
          <w:rFonts w:ascii="Arial" w:cs="Arial" w:eastAsia="Arial" w:hAnsi="Arial"/>
          <w:sz w:val="42"/>
          <w:szCs w:val="42"/>
          <w:color w:val="auto"/>
          <w:vertAlign w:val="subscript"/>
        </w:rPr>
      </w:pPr>
    </w:p>
    <w:p>
      <w:pPr>
        <w:jc w:val="both"/>
        <w:ind w:left="680" w:right="1139" w:hanging="265"/>
        <w:spacing w:after="0" w:line="180" w:lineRule="auto"/>
        <w:tabs>
          <w:tab w:leader="none" w:pos="680" w:val="left"/>
        </w:tabs>
        <w:numPr>
          <w:ilvl w:val="0"/>
          <w:numId w:val="3"/>
        </w:numPr>
        <w:rPr>
          <w:rFonts w:ascii="Arial" w:cs="Arial" w:eastAsia="Arial" w:hAnsi="Arial"/>
          <w:sz w:val="40"/>
          <w:szCs w:val="40"/>
          <w:color w:val="auto"/>
          <w:vertAlign w:val="subscript"/>
        </w:rPr>
      </w:pPr>
      <w:r>
        <w:rPr>
          <w:rFonts w:ascii="Arial" w:cs="Arial" w:eastAsia="Arial" w:hAnsi="Arial"/>
          <w:sz w:val="16"/>
          <w:szCs w:val="16"/>
          <w:color w:val="auto"/>
        </w:rPr>
        <w:t>Total Company volumes declined 2.6% in the fourth quarter of 2020 compared to a decline of 5.1% in the third quarter of 2020 and a decline of 0.4% in the fourth quarter of 2019. For the full year, total Company volumes declined 4.5% in 2020 compared to growth of 2.3% in 2019.</w:t>
      </w:r>
    </w:p>
    <w:p>
      <w:pPr>
        <w:spacing w:after="0" w:line="167" w:lineRule="exact"/>
        <w:rPr>
          <w:rFonts w:ascii="Arial" w:cs="Arial" w:eastAsia="Arial" w:hAnsi="Arial"/>
          <w:sz w:val="40"/>
          <w:szCs w:val="40"/>
          <w:color w:val="auto"/>
          <w:vertAlign w:val="subscript"/>
        </w:rPr>
      </w:pPr>
    </w:p>
    <w:p>
      <w:pPr>
        <w:ind w:left="680"/>
        <w:spacing w:after="0"/>
        <w:rPr>
          <w:rFonts w:ascii="Arial" w:cs="Arial" w:eastAsia="Arial" w:hAnsi="Arial"/>
          <w:sz w:val="40"/>
          <w:szCs w:val="40"/>
          <w:color w:val="auto"/>
          <w:vertAlign w:val="subscript"/>
        </w:rPr>
      </w:pPr>
      <w:r>
        <w:rPr>
          <w:rFonts w:ascii="Arial" w:cs="Arial" w:eastAsia="Arial" w:hAnsi="Arial"/>
          <w:sz w:val="18"/>
          <w:szCs w:val="18"/>
          <w:b w:val="1"/>
          <w:bCs w:val="1"/>
          <w:u w:val="single" w:color="auto"/>
          <w:color w:val="auto"/>
        </w:rPr>
        <w:t>Cost Management</w:t>
      </w:r>
    </w:p>
    <w:p>
      <w:pPr>
        <w:spacing w:after="0" w:line="220" w:lineRule="exact"/>
        <w:rPr>
          <w:rFonts w:ascii="Arial" w:cs="Arial" w:eastAsia="Arial" w:hAnsi="Arial"/>
          <w:sz w:val="40"/>
          <w:szCs w:val="40"/>
          <w:color w:val="auto"/>
          <w:vertAlign w:val="subscript"/>
        </w:rPr>
      </w:pPr>
    </w:p>
    <w:p>
      <w:pPr>
        <w:jc w:val="both"/>
        <w:ind w:left="680" w:right="1139" w:hanging="265"/>
        <w:spacing w:after="0" w:line="187" w:lineRule="auto"/>
        <w:tabs>
          <w:tab w:leader="none" w:pos="680" w:val="left"/>
        </w:tabs>
        <w:numPr>
          <w:ilvl w:val="0"/>
          <w:numId w:val="3"/>
        </w:numPr>
        <w:rPr>
          <w:rFonts w:ascii="Arial" w:cs="Arial" w:eastAsia="Arial" w:hAnsi="Arial"/>
          <w:sz w:val="42"/>
          <w:szCs w:val="42"/>
          <w:color w:val="auto"/>
          <w:vertAlign w:val="subscript"/>
        </w:rPr>
      </w:pPr>
      <w:r>
        <w:rPr>
          <w:rFonts w:ascii="Arial" w:cs="Arial" w:eastAsia="Arial" w:hAnsi="Arial"/>
          <w:sz w:val="16"/>
          <w:szCs w:val="16"/>
          <w:color w:val="auto"/>
        </w:rPr>
        <w:t>Total Company operating expenses were 61.5% of revenue in the fourth quarter of 2020 compared to 60.2% in the fourth quarter of 2019. The increase was primarily driven by an unfavorable comparison for alternative fuel tax credits of 150 basis points. For the full year, total Company operating expenses were 61.4% of revenue in both 2020 and 2019.</w:t>
      </w:r>
    </w:p>
    <w:p>
      <w:pPr>
        <w:spacing w:after="0" w:line="3" w:lineRule="exact"/>
        <w:rPr>
          <w:rFonts w:ascii="Arial" w:cs="Arial" w:eastAsia="Arial" w:hAnsi="Arial"/>
          <w:sz w:val="42"/>
          <w:szCs w:val="42"/>
          <w:color w:val="auto"/>
          <w:vertAlign w:val="subscript"/>
        </w:rPr>
      </w:pPr>
    </w:p>
    <w:p>
      <w:pPr>
        <w:jc w:val="both"/>
        <w:ind w:left="680" w:right="1139" w:hanging="265"/>
        <w:spacing w:after="0" w:line="181" w:lineRule="auto"/>
        <w:tabs>
          <w:tab w:leader="none" w:pos="680" w:val="left"/>
        </w:tabs>
        <w:numPr>
          <w:ilvl w:val="0"/>
          <w:numId w:val="3"/>
        </w:numPr>
        <w:rPr>
          <w:rFonts w:ascii="Arial" w:cs="Arial" w:eastAsia="Arial" w:hAnsi="Arial"/>
          <w:sz w:val="44"/>
          <w:szCs w:val="44"/>
          <w:color w:val="auto"/>
          <w:vertAlign w:val="subscript"/>
        </w:rPr>
      </w:pPr>
      <w:r>
        <w:rPr>
          <w:rFonts w:ascii="Arial" w:cs="Arial" w:eastAsia="Arial" w:hAnsi="Arial"/>
          <w:sz w:val="17"/>
          <w:szCs w:val="17"/>
          <w:color w:val="auto"/>
        </w:rPr>
        <w:t>SG&amp;A expenses were 12.5% of revenue in the fourth quarter of 2020 compared to 11.6% in the fourth quarter of 2019. On an adjusted basis, SG&amp;A expenses were 10.4% of revenue in the fourth quarter of 2020 compared to 10.7% in the fourth quarter of 2019. For the full year, SG&amp;A expenses were 11.4% of revenue in 2020 compared to 10.6% in 2019. On an adjusted basis, SG&amp;A expenses were 10.2% of revenue in 2020 compared to 10.3% in 2019.</w:t>
      </w:r>
      <w:r>
        <w:rPr>
          <w:rFonts w:ascii="Arial" w:cs="Arial" w:eastAsia="Arial" w:hAnsi="Arial"/>
          <w:sz w:val="26"/>
          <w:szCs w:val="26"/>
          <w:color w:val="auto"/>
          <w:vertAlign w:val="superscript"/>
        </w:rPr>
        <w:t>(a)</w:t>
      </w:r>
    </w:p>
    <w:p>
      <w:pPr>
        <w:spacing w:after="0" w:line="3" w:lineRule="exact"/>
        <w:rPr>
          <w:rFonts w:ascii="Arial" w:cs="Arial" w:eastAsia="Arial" w:hAnsi="Arial"/>
          <w:sz w:val="44"/>
          <w:szCs w:val="44"/>
          <w:color w:val="auto"/>
          <w:vertAlign w:val="subscript"/>
        </w:rPr>
      </w:pPr>
    </w:p>
    <w:p>
      <w:pPr>
        <w:jc w:val="both"/>
        <w:ind w:left="680" w:right="1139" w:hanging="265"/>
        <w:spacing w:after="0" w:line="180" w:lineRule="auto"/>
        <w:tabs>
          <w:tab w:leader="none" w:pos="680" w:val="left"/>
        </w:tabs>
        <w:numPr>
          <w:ilvl w:val="0"/>
          <w:numId w:val="3"/>
        </w:numPr>
        <w:rPr>
          <w:rFonts w:ascii="Arial" w:cs="Arial" w:eastAsia="Arial" w:hAnsi="Arial"/>
          <w:sz w:val="40"/>
          <w:szCs w:val="40"/>
          <w:color w:val="auto"/>
          <w:vertAlign w:val="subscript"/>
        </w:rPr>
      </w:pPr>
      <w:r>
        <w:rPr>
          <w:rFonts w:ascii="Arial" w:cs="Arial" w:eastAsia="Arial" w:hAnsi="Arial"/>
          <w:sz w:val="16"/>
          <w:szCs w:val="16"/>
          <w:color w:val="auto"/>
        </w:rPr>
        <w:t>The recently-closed Advanced Disposal acquisition increased operating expenses as a percentage of revenue by 40 basis points in the fourth quarter of 2020 and had an immaterial impact on adjusted SG&amp;A expenses as a percentage of revenue in the fourth quarter of 2020.</w:t>
      </w:r>
    </w:p>
    <w:p>
      <w:pPr>
        <w:spacing w:after="0" w:line="167" w:lineRule="exact"/>
        <w:rPr>
          <w:rFonts w:ascii="Arial" w:cs="Arial" w:eastAsia="Arial" w:hAnsi="Arial"/>
          <w:sz w:val="40"/>
          <w:szCs w:val="40"/>
          <w:color w:val="auto"/>
          <w:vertAlign w:val="subscript"/>
        </w:rPr>
      </w:pPr>
    </w:p>
    <w:p>
      <w:pPr>
        <w:ind w:left="680"/>
        <w:spacing w:after="0"/>
        <w:rPr>
          <w:rFonts w:ascii="Arial" w:cs="Arial" w:eastAsia="Arial" w:hAnsi="Arial"/>
          <w:sz w:val="40"/>
          <w:szCs w:val="40"/>
          <w:color w:val="auto"/>
          <w:vertAlign w:val="subscript"/>
        </w:rPr>
      </w:pPr>
      <w:r>
        <w:rPr>
          <w:rFonts w:ascii="Arial" w:cs="Arial" w:eastAsia="Arial" w:hAnsi="Arial"/>
          <w:sz w:val="18"/>
          <w:szCs w:val="18"/>
          <w:b w:val="1"/>
          <w:bCs w:val="1"/>
          <w:u w:val="single" w:color="auto"/>
          <w:color w:val="auto"/>
        </w:rPr>
        <w:t>Profitability</w:t>
      </w:r>
    </w:p>
    <w:p>
      <w:pPr>
        <w:spacing w:after="0" w:line="220" w:lineRule="exact"/>
        <w:rPr>
          <w:rFonts w:ascii="Arial" w:cs="Arial" w:eastAsia="Arial" w:hAnsi="Arial"/>
          <w:sz w:val="40"/>
          <w:szCs w:val="40"/>
          <w:color w:val="auto"/>
          <w:vertAlign w:val="subscript"/>
        </w:rPr>
      </w:pPr>
    </w:p>
    <w:p>
      <w:pPr>
        <w:jc w:val="both"/>
        <w:ind w:left="680" w:right="1139" w:hanging="265"/>
        <w:spacing w:after="0" w:line="185" w:lineRule="auto"/>
        <w:tabs>
          <w:tab w:leader="none" w:pos="680" w:val="left"/>
        </w:tabs>
        <w:numPr>
          <w:ilvl w:val="0"/>
          <w:numId w:val="3"/>
        </w:numPr>
        <w:rPr>
          <w:rFonts w:ascii="Arial" w:cs="Arial" w:eastAsia="Arial" w:hAnsi="Arial"/>
          <w:sz w:val="47"/>
          <w:szCs w:val="47"/>
          <w:color w:val="auto"/>
          <w:vertAlign w:val="subscript"/>
        </w:rPr>
      </w:pPr>
      <w:r>
        <w:rPr>
          <w:rFonts w:ascii="Arial" w:cs="Arial" w:eastAsia="Arial" w:hAnsi="Arial"/>
          <w:sz w:val="17"/>
          <w:szCs w:val="17"/>
          <w:color w:val="auto"/>
        </w:rPr>
        <w:t>Total Company operating EBITDA was $1.09 billion, or 26.8% of revenue, for the fourth quarter of 2020 compared to $1.05 billion, or 27.3% of revenue, for the fourth quarter of 2019. On an adjusted basis, total Company operating EBITDA was $1.14 billion, or 28.1% of revenue, for the fourth quarter of 2020 compared to adjusted operating EBITDA of $1.12 billion, or 29.1% of revenue, for the same period in 2019.</w:t>
      </w:r>
      <w:r>
        <w:rPr>
          <w:rFonts w:ascii="Arial" w:cs="Arial" w:eastAsia="Arial" w:hAnsi="Arial"/>
          <w:sz w:val="28"/>
          <w:szCs w:val="28"/>
          <w:color w:val="auto"/>
          <w:vertAlign w:val="superscript"/>
        </w:rPr>
        <w:t>(a)</w:t>
      </w:r>
      <w:r>
        <w:rPr>
          <w:rFonts w:ascii="Arial" w:cs="Arial" w:eastAsia="Arial" w:hAnsi="Arial"/>
          <w:sz w:val="17"/>
          <w:szCs w:val="17"/>
          <w:color w:val="auto"/>
        </w:rPr>
        <w:t xml:space="preserve"> The margin decreases were driven by an unfavorable comparison for alternative fuel tax credits of 150 basis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86" w:right="1440" w:bottom="1440" w:gutter="0" w:footer="0" w:header="0"/>
        </w:sectPr>
      </w:pPr>
    </w:p>
    <w:bookmarkStart w:id="5" w:name="page6"/>
    <w:bookmarkEnd w:id="5"/>
    <w:p>
      <w:pPr>
        <w:jc w:val="both"/>
        <w:ind w:left="680" w:right="1139" w:hanging="265"/>
        <w:spacing w:after="0" w:line="181" w:lineRule="auto"/>
        <w:tabs>
          <w:tab w:leader="none" w:pos="680" w:val="left"/>
        </w:tabs>
        <w:numPr>
          <w:ilvl w:val="0"/>
          <w:numId w:val="4"/>
        </w:numPr>
        <w:rPr>
          <w:rFonts w:ascii="Arial" w:cs="Arial" w:eastAsia="Arial" w:hAnsi="Arial"/>
          <w:sz w:val="44"/>
          <w:szCs w:val="44"/>
          <w:color w:val="auto"/>
          <w:vertAlign w:val="subscript"/>
        </w:rPr>
      </w:pPr>
      <w:r>
        <w:rPr>
          <w:rFonts w:ascii="Arial" w:cs="Arial" w:eastAsia="Arial" w:hAnsi="Arial"/>
          <w:sz w:val="17"/>
          <w:szCs w:val="17"/>
          <w:color w:val="auto"/>
        </w:rPr>
        <w:t>For the full year, total Company operating EBITDA was $4.11 billion, or 27.0% of revenue, for 2020 compared to $4.28 billion, or 27.7% of revenue, for 2019. On an adjusted basis, total Company operating EBITDA was $4.32 billion for 2020 compared to adjusted operating EBITDA of $4.38 billion for 2019. Adjusted operating EBITDA was 28.4% of revenue in both years, demonstrating the Company’s strong focus on controlling costs in the lower volume environment.</w:t>
      </w:r>
      <w:r>
        <w:rPr>
          <w:rFonts w:ascii="Arial" w:cs="Arial" w:eastAsia="Arial" w:hAnsi="Arial"/>
          <w:sz w:val="26"/>
          <w:szCs w:val="26"/>
          <w:color w:val="auto"/>
          <w:vertAlign w:val="superscript"/>
        </w:rPr>
        <w:t>(a)</w:t>
      </w:r>
    </w:p>
    <w:p>
      <w:pPr>
        <w:spacing w:after="0" w:line="3" w:lineRule="exact"/>
        <w:rPr>
          <w:rFonts w:ascii="Arial" w:cs="Arial" w:eastAsia="Arial" w:hAnsi="Arial"/>
          <w:sz w:val="44"/>
          <w:szCs w:val="44"/>
          <w:color w:val="auto"/>
          <w:vertAlign w:val="subscript"/>
        </w:rPr>
      </w:pPr>
    </w:p>
    <w:p>
      <w:pPr>
        <w:ind w:left="680" w:right="1139" w:hanging="265"/>
        <w:spacing w:after="0" w:line="183" w:lineRule="auto"/>
        <w:tabs>
          <w:tab w:leader="none" w:pos="680" w:val="left"/>
        </w:tabs>
        <w:numPr>
          <w:ilvl w:val="0"/>
          <w:numId w:val="4"/>
        </w:numPr>
        <w:rPr>
          <w:rFonts w:ascii="Arial" w:cs="Arial" w:eastAsia="Arial" w:hAnsi="Arial"/>
          <w:sz w:val="32"/>
          <w:szCs w:val="32"/>
          <w:color w:val="auto"/>
          <w:vertAlign w:val="subscript"/>
        </w:rPr>
      </w:pPr>
      <w:r>
        <w:rPr>
          <w:rFonts w:ascii="Arial" w:cs="Arial" w:eastAsia="Arial" w:hAnsi="Arial"/>
          <w:sz w:val="14"/>
          <w:szCs w:val="14"/>
          <w:color w:val="auto"/>
        </w:rPr>
        <w:t>The recently-closed Advanced Disposal acquisition had a negative 50 basis point impact on adjusted operating EBITDA as a percentage of revenue in the fourth quarter of 2020.</w:t>
      </w:r>
    </w:p>
    <w:p>
      <w:pPr>
        <w:spacing w:after="0" w:line="1" w:lineRule="exact"/>
        <w:rPr>
          <w:rFonts w:ascii="Arial" w:cs="Arial" w:eastAsia="Arial" w:hAnsi="Arial"/>
          <w:sz w:val="32"/>
          <w:szCs w:val="32"/>
          <w:color w:val="auto"/>
          <w:vertAlign w:val="subscript"/>
        </w:rPr>
      </w:pPr>
    </w:p>
    <w:p>
      <w:pPr>
        <w:ind w:left="680" w:right="1159" w:hanging="265"/>
        <w:spacing w:after="0" w:line="182" w:lineRule="auto"/>
        <w:tabs>
          <w:tab w:leader="none" w:pos="680" w:val="left"/>
        </w:tabs>
        <w:numPr>
          <w:ilvl w:val="0"/>
          <w:numId w:val="4"/>
        </w:numPr>
        <w:rPr>
          <w:rFonts w:ascii="Arial" w:cs="Arial" w:eastAsia="Arial" w:hAnsi="Arial"/>
          <w:sz w:val="33"/>
          <w:szCs w:val="33"/>
          <w:color w:val="auto"/>
          <w:vertAlign w:val="subscript"/>
        </w:rPr>
      </w:pPr>
      <w:r>
        <w:rPr>
          <w:rFonts w:ascii="Arial" w:cs="Arial" w:eastAsia="Arial" w:hAnsi="Arial"/>
          <w:sz w:val="15"/>
          <w:szCs w:val="15"/>
          <w:color w:val="auto"/>
        </w:rPr>
        <w:t>In the fourth quarter of 2020, the Company realized between $10 and $15 million of annualized run-rate synergies from the acquisition of Advanced Disposal.</w:t>
      </w:r>
    </w:p>
    <w:p>
      <w:pPr>
        <w:spacing w:after="0" w:line="247" w:lineRule="exact"/>
        <w:rPr>
          <w:rFonts w:ascii="Arial" w:cs="Arial" w:eastAsia="Arial" w:hAnsi="Arial"/>
          <w:sz w:val="33"/>
          <w:szCs w:val="33"/>
          <w:color w:val="auto"/>
          <w:vertAlign w:val="subscript"/>
        </w:rPr>
      </w:pPr>
    </w:p>
    <w:p>
      <w:pPr>
        <w:ind w:left="680"/>
        <w:spacing w:after="0"/>
        <w:rPr>
          <w:rFonts w:ascii="Arial" w:cs="Arial" w:eastAsia="Arial" w:hAnsi="Arial"/>
          <w:sz w:val="33"/>
          <w:szCs w:val="33"/>
          <w:color w:val="auto"/>
          <w:vertAlign w:val="subscript"/>
        </w:rPr>
      </w:pPr>
      <w:r>
        <w:rPr>
          <w:rFonts w:ascii="Arial" w:cs="Arial" w:eastAsia="Arial" w:hAnsi="Arial"/>
          <w:sz w:val="18"/>
          <w:szCs w:val="18"/>
          <w:b w:val="1"/>
          <w:bCs w:val="1"/>
          <w:u w:val="single" w:color="auto"/>
          <w:color w:val="auto"/>
        </w:rPr>
        <w:t>Free Cash Flow &amp; Capital Allocation</w:t>
      </w:r>
    </w:p>
    <w:p>
      <w:pPr>
        <w:spacing w:after="0" w:line="260" w:lineRule="exact"/>
        <w:rPr>
          <w:rFonts w:ascii="Arial" w:cs="Arial" w:eastAsia="Arial" w:hAnsi="Arial"/>
          <w:sz w:val="33"/>
          <w:szCs w:val="33"/>
          <w:color w:val="auto"/>
          <w:vertAlign w:val="subscript"/>
        </w:rPr>
      </w:pPr>
    </w:p>
    <w:p>
      <w:pPr>
        <w:jc w:val="both"/>
        <w:ind w:left="680" w:right="1139" w:hanging="265"/>
        <w:spacing w:after="0" w:line="183" w:lineRule="auto"/>
        <w:tabs>
          <w:tab w:leader="none" w:pos="680" w:val="left"/>
        </w:tabs>
        <w:numPr>
          <w:ilvl w:val="0"/>
          <w:numId w:val="4"/>
        </w:numPr>
        <w:rPr>
          <w:rFonts w:ascii="Arial" w:cs="Arial" w:eastAsia="Arial" w:hAnsi="Arial"/>
          <w:sz w:val="47"/>
          <w:szCs w:val="47"/>
          <w:color w:val="auto"/>
          <w:vertAlign w:val="subscript"/>
        </w:rPr>
      </w:pPr>
      <w:r>
        <w:rPr>
          <w:rFonts w:ascii="Arial" w:cs="Arial" w:eastAsia="Arial" w:hAnsi="Arial"/>
          <w:sz w:val="17"/>
          <w:szCs w:val="17"/>
          <w:color w:val="auto"/>
        </w:rPr>
        <w:t>In the fourth quarter of 2020, net cash provided by operating activities was $753 million compared to $1.02 billion in the fourth quarter of 2019. For the full year, net cash provided by operating activities was $3.40 billion in 2020 compared to $3.87 billion in 2019. The year-over-year comparisons were impacted by an increase in cash taxes, which was due in large part to the tax gain realized on the sale of assets and businesses to GFL Environmental.</w:t>
      </w:r>
    </w:p>
    <w:p>
      <w:pPr>
        <w:spacing w:after="0" w:line="4" w:lineRule="exact"/>
        <w:rPr>
          <w:rFonts w:ascii="Arial" w:cs="Arial" w:eastAsia="Arial" w:hAnsi="Arial"/>
          <w:sz w:val="47"/>
          <w:szCs w:val="47"/>
          <w:color w:val="auto"/>
          <w:vertAlign w:val="subscript"/>
        </w:rPr>
      </w:pPr>
    </w:p>
    <w:p>
      <w:pPr>
        <w:jc w:val="both"/>
        <w:ind w:left="680" w:right="1139" w:hanging="265"/>
        <w:spacing w:after="0" w:line="181" w:lineRule="auto"/>
        <w:tabs>
          <w:tab w:leader="none" w:pos="680" w:val="left"/>
        </w:tabs>
        <w:numPr>
          <w:ilvl w:val="0"/>
          <w:numId w:val="4"/>
        </w:numPr>
        <w:rPr>
          <w:rFonts w:ascii="Arial" w:cs="Arial" w:eastAsia="Arial" w:hAnsi="Arial"/>
          <w:sz w:val="50"/>
          <w:szCs w:val="50"/>
          <w:color w:val="auto"/>
          <w:vertAlign w:val="subscript"/>
        </w:rPr>
      </w:pPr>
      <w:r>
        <w:rPr>
          <w:rFonts w:ascii="Arial" w:cs="Arial" w:eastAsia="Arial" w:hAnsi="Arial"/>
          <w:sz w:val="18"/>
          <w:szCs w:val="18"/>
          <w:color w:val="auto"/>
        </w:rPr>
        <w:t>During the second and third quarters of 2020, the Company deferred payment of payroll taxes as provided for by the CARES Act. In light of the Company's strong financial performance and operating cash flow, management elected to pay the previously deferred 2020 payroll taxes in the fourth quarter. While there is no impact of this decision on the comparison of 2020 and 2019 cash flow from operations, this decision decreased fourth quarter and full year 2020 cash flow by approximately $120 million from prior outlook.</w:t>
      </w:r>
    </w:p>
    <w:p>
      <w:pPr>
        <w:jc w:val="both"/>
        <w:ind w:left="680" w:right="1139" w:hanging="265"/>
        <w:spacing w:after="0" w:line="208" w:lineRule="auto"/>
        <w:tabs>
          <w:tab w:leader="none" w:pos="680" w:val="left"/>
        </w:tabs>
        <w:numPr>
          <w:ilvl w:val="0"/>
          <w:numId w:val="4"/>
        </w:numPr>
        <w:rPr>
          <w:rFonts w:ascii="Arial" w:cs="Arial" w:eastAsia="Arial" w:hAnsi="Arial"/>
          <w:sz w:val="47"/>
          <w:szCs w:val="47"/>
          <w:color w:val="auto"/>
          <w:vertAlign w:val="subscript"/>
        </w:rPr>
      </w:pPr>
      <w:r>
        <w:rPr>
          <w:rFonts w:ascii="Arial" w:cs="Arial" w:eastAsia="Arial" w:hAnsi="Arial"/>
          <w:sz w:val="17"/>
          <w:szCs w:val="17"/>
          <w:color w:val="auto"/>
        </w:rPr>
        <w:t>In the fourth quarter of 2020, capital expenditures were $394 million compared to $286 million in the fourth quarter of 2019. For the full year, capital expenditures were $1.63 billion in 2020 compared to $1.82 billion in 2019 as the Company took prudent steps to reduce and defer certain aspects of capital spending.</w:t>
      </w:r>
    </w:p>
    <w:p>
      <w:pPr>
        <w:spacing w:after="0" w:line="2" w:lineRule="exact"/>
        <w:rPr>
          <w:rFonts w:ascii="Arial" w:cs="Arial" w:eastAsia="Arial" w:hAnsi="Arial"/>
          <w:sz w:val="47"/>
          <w:szCs w:val="47"/>
          <w:color w:val="auto"/>
          <w:vertAlign w:val="subscript"/>
        </w:rPr>
      </w:pPr>
    </w:p>
    <w:p>
      <w:pPr>
        <w:jc w:val="both"/>
        <w:ind w:left="680" w:right="1139" w:hanging="265"/>
        <w:spacing w:after="0" w:line="183" w:lineRule="auto"/>
        <w:tabs>
          <w:tab w:leader="none" w:pos="680" w:val="left"/>
        </w:tabs>
        <w:numPr>
          <w:ilvl w:val="0"/>
          <w:numId w:val="4"/>
        </w:numPr>
        <w:rPr>
          <w:rFonts w:ascii="Arial" w:cs="Arial" w:eastAsia="Arial" w:hAnsi="Arial"/>
          <w:sz w:val="47"/>
          <w:szCs w:val="47"/>
          <w:color w:val="auto"/>
          <w:vertAlign w:val="subscript"/>
        </w:rPr>
      </w:pPr>
      <w:r>
        <w:rPr>
          <w:rFonts w:ascii="Arial" w:cs="Arial" w:eastAsia="Arial" w:hAnsi="Arial"/>
          <w:sz w:val="17"/>
          <w:szCs w:val="17"/>
          <w:color w:val="auto"/>
        </w:rPr>
        <w:t>In the fourth quarter of 2020, the Company closed on the sale to GFL Environmental of the assets required to be divested by the U.S. Department of Justice in connection with the Advanced Disposal acquisition. Proceeds from divestures were $865 million during the fourth quarter of 2020, with $856 million of this related to the divestitures to GFL Environmental. For the full year, proceeds from divestures were $885 million in 2020 compared to $49 million in 2019.</w:t>
      </w:r>
    </w:p>
    <w:p>
      <w:pPr>
        <w:spacing w:after="0" w:line="4" w:lineRule="exact"/>
        <w:rPr>
          <w:rFonts w:ascii="Arial" w:cs="Arial" w:eastAsia="Arial" w:hAnsi="Arial"/>
          <w:sz w:val="47"/>
          <w:szCs w:val="47"/>
          <w:color w:val="auto"/>
          <w:vertAlign w:val="subscript"/>
        </w:rPr>
      </w:pPr>
    </w:p>
    <w:p>
      <w:pPr>
        <w:jc w:val="both"/>
        <w:ind w:left="680" w:right="1139" w:hanging="265"/>
        <w:spacing w:after="0" w:line="180" w:lineRule="auto"/>
        <w:tabs>
          <w:tab w:leader="none" w:pos="680" w:val="left"/>
        </w:tabs>
        <w:numPr>
          <w:ilvl w:val="0"/>
          <w:numId w:val="4"/>
        </w:numPr>
        <w:rPr>
          <w:rFonts w:ascii="Arial" w:cs="Arial" w:eastAsia="Arial" w:hAnsi="Arial"/>
          <w:sz w:val="47"/>
          <w:szCs w:val="47"/>
          <w:color w:val="auto"/>
          <w:vertAlign w:val="subscript"/>
        </w:rPr>
      </w:pPr>
      <w:r>
        <w:rPr>
          <w:rFonts w:ascii="Arial" w:cs="Arial" w:eastAsia="Arial" w:hAnsi="Arial"/>
          <w:sz w:val="17"/>
          <w:szCs w:val="17"/>
          <w:color w:val="auto"/>
        </w:rPr>
        <w:t>In the fourth quarter of 2020, free cash flow was $1.22 billion compared to $756 million in the fourth quarter of 2019. For the full year, free cash flow was $2.66 billion in 2020 compared to $2.11 billion in 2019.</w:t>
      </w:r>
      <w:r>
        <w:rPr>
          <w:rFonts w:ascii="Arial" w:cs="Arial" w:eastAsia="Arial" w:hAnsi="Arial"/>
          <w:sz w:val="28"/>
          <w:szCs w:val="28"/>
          <w:color w:val="auto"/>
          <w:vertAlign w:val="superscript"/>
        </w:rPr>
        <w:t>(a)</w:t>
      </w:r>
    </w:p>
    <w:p>
      <w:pPr>
        <w:spacing w:after="0" w:line="1" w:lineRule="exact"/>
        <w:rPr>
          <w:rFonts w:ascii="Arial" w:cs="Arial" w:eastAsia="Arial" w:hAnsi="Arial"/>
          <w:sz w:val="47"/>
          <w:szCs w:val="47"/>
          <w:color w:val="auto"/>
          <w:vertAlign w:val="subscript"/>
        </w:rPr>
      </w:pPr>
    </w:p>
    <w:p>
      <w:pPr>
        <w:ind w:left="680" w:hanging="265"/>
        <w:spacing w:after="0" w:line="181" w:lineRule="auto"/>
        <w:tabs>
          <w:tab w:leader="none" w:pos="680" w:val="left"/>
        </w:tabs>
        <w:numPr>
          <w:ilvl w:val="0"/>
          <w:numId w:val="4"/>
        </w:numPr>
        <w:rPr>
          <w:rFonts w:ascii="Arial" w:cs="Arial" w:eastAsia="Arial" w:hAnsi="Arial"/>
          <w:sz w:val="25"/>
          <w:szCs w:val="25"/>
          <w:color w:val="auto"/>
          <w:vertAlign w:val="subscript"/>
        </w:rPr>
      </w:pPr>
      <w:r>
        <w:rPr>
          <w:rFonts w:ascii="Arial" w:cs="Arial" w:eastAsia="Arial" w:hAnsi="Arial"/>
          <w:sz w:val="13"/>
          <w:szCs w:val="13"/>
          <w:color w:val="auto"/>
        </w:rPr>
        <w:t>During the fourth quarter of 2020, the Company paid $231 million of dividends to shareholders.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OUTLOOK</w:t>
      </w:r>
    </w:p>
    <w:p>
      <w:pPr>
        <w:spacing w:after="0" w:line="279" w:lineRule="exact"/>
        <w:rPr>
          <w:sz w:val="20"/>
          <w:szCs w:val="20"/>
          <w:color w:val="auto"/>
        </w:rPr>
      </w:pPr>
    </w:p>
    <w:p>
      <w:pPr>
        <w:ind w:left="680"/>
        <w:spacing w:after="0"/>
        <w:rPr>
          <w:sz w:val="20"/>
          <w:szCs w:val="20"/>
          <w:color w:val="auto"/>
        </w:rPr>
      </w:pPr>
      <w:r>
        <w:rPr>
          <w:rFonts w:ascii="Arial" w:cs="Arial" w:eastAsia="Arial" w:hAnsi="Arial"/>
          <w:sz w:val="18"/>
          <w:szCs w:val="18"/>
          <w:b w:val="1"/>
          <w:bCs w:val="1"/>
          <w:u w:val="single" w:color="auto"/>
          <w:color w:val="auto"/>
        </w:rPr>
        <w:t>Revenue Growth</w:t>
      </w:r>
    </w:p>
    <w:p>
      <w:pPr>
        <w:spacing w:after="0" w:line="261" w:lineRule="exact"/>
        <w:rPr>
          <w:sz w:val="20"/>
          <w:szCs w:val="20"/>
          <w:color w:val="auto"/>
        </w:rPr>
      </w:pPr>
    </w:p>
    <w:p>
      <w:pPr>
        <w:jc w:val="both"/>
        <w:ind w:left="680" w:right="1139" w:hanging="265"/>
        <w:spacing w:after="0" w:line="181" w:lineRule="auto"/>
        <w:tabs>
          <w:tab w:leader="none" w:pos="680" w:val="left"/>
        </w:tabs>
        <w:numPr>
          <w:ilvl w:val="0"/>
          <w:numId w:val="5"/>
        </w:numPr>
        <w:rPr>
          <w:rFonts w:ascii="Arial" w:cs="Arial" w:eastAsia="Arial" w:hAnsi="Arial"/>
          <w:sz w:val="44"/>
          <w:szCs w:val="44"/>
          <w:color w:val="auto"/>
          <w:vertAlign w:val="subscript"/>
        </w:rPr>
      </w:pPr>
      <w:r>
        <w:rPr>
          <w:rFonts w:ascii="Arial" w:cs="Arial" w:eastAsia="Arial" w:hAnsi="Arial"/>
          <w:sz w:val="17"/>
          <w:szCs w:val="17"/>
          <w:color w:val="auto"/>
        </w:rPr>
        <w:t>Total Company revenue growth is expected to be between 10.75% and 11.25%. Combined internal revenue growth from yield and volume in the collection and disposal business is expected to be between 4% and 4.5%, primarily driven by the Company’s disciplined pricing programs which are expected to result in core price of 4.0% or greater and yield of approximately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6" w:name="page7"/>
    <w:bookmarkEnd w:id="6"/>
    <w:p>
      <w:pPr>
        <w:ind w:left="680"/>
        <w:spacing w:after="0"/>
        <w:rPr>
          <w:sz w:val="20"/>
          <w:szCs w:val="20"/>
          <w:color w:val="auto"/>
        </w:rPr>
      </w:pPr>
      <w:r>
        <w:rPr>
          <w:rFonts w:ascii="Arial" w:cs="Arial" w:eastAsia="Arial" w:hAnsi="Arial"/>
          <w:sz w:val="18"/>
          <w:szCs w:val="18"/>
          <w:b w:val="1"/>
          <w:bCs w:val="1"/>
          <w:u w:val="single" w:color="auto"/>
          <w:color w:val="auto"/>
        </w:rPr>
        <w:t>Profitability</w:t>
      </w:r>
    </w:p>
    <w:p>
      <w:pPr>
        <w:spacing w:after="0" w:line="184" w:lineRule="exact"/>
        <w:rPr>
          <w:sz w:val="20"/>
          <w:szCs w:val="20"/>
          <w:color w:val="auto"/>
        </w:rPr>
      </w:pPr>
    </w:p>
    <w:p>
      <w:pPr>
        <w:ind w:left="680" w:hanging="265"/>
        <w:spacing w:after="0"/>
        <w:tabs>
          <w:tab w:leader="none" w:pos="680" w:val="left"/>
        </w:tabs>
        <w:numPr>
          <w:ilvl w:val="0"/>
          <w:numId w:val="6"/>
        </w:numPr>
        <w:rPr>
          <w:rFonts w:ascii="Arial" w:cs="Arial" w:eastAsia="Arial" w:hAnsi="Arial"/>
          <w:sz w:val="25"/>
          <w:szCs w:val="25"/>
          <w:color w:val="auto"/>
        </w:rPr>
      </w:pPr>
      <w:r>
        <w:rPr>
          <w:rFonts w:ascii="Arial" w:cs="Arial" w:eastAsia="Arial" w:hAnsi="Arial"/>
          <w:sz w:val="18"/>
          <w:szCs w:val="18"/>
          <w:color w:val="auto"/>
        </w:rPr>
        <w:t>Adjusted operating EBITDA is expected to be between $4.75 and $4.9 billion for the full year.</w:t>
      </w:r>
      <w:r>
        <w:rPr>
          <w:rFonts w:ascii="Arial" w:cs="Arial" w:eastAsia="Arial" w:hAnsi="Arial"/>
          <w:sz w:val="29"/>
          <w:szCs w:val="29"/>
          <w:color w:val="auto"/>
          <w:vertAlign w:val="superscript"/>
        </w:rPr>
        <w:t>(a)</w:t>
      </w:r>
    </w:p>
    <w:p>
      <w:pPr>
        <w:ind w:left="680" w:right="1139" w:hanging="265"/>
        <w:spacing w:after="0" w:line="182" w:lineRule="auto"/>
        <w:tabs>
          <w:tab w:leader="none" w:pos="680" w:val="left"/>
        </w:tabs>
        <w:numPr>
          <w:ilvl w:val="0"/>
          <w:numId w:val="6"/>
        </w:numPr>
        <w:rPr>
          <w:rFonts w:ascii="Arial" w:cs="Arial" w:eastAsia="Arial" w:hAnsi="Arial"/>
          <w:sz w:val="33"/>
          <w:szCs w:val="33"/>
          <w:color w:val="auto"/>
          <w:vertAlign w:val="subscript"/>
        </w:rPr>
      </w:pPr>
      <w:r>
        <w:rPr>
          <w:rFonts w:ascii="Arial" w:cs="Arial" w:eastAsia="Arial" w:hAnsi="Arial"/>
          <w:sz w:val="15"/>
          <w:szCs w:val="15"/>
          <w:color w:val="auto"/>
        </w:rPr>
        <w:t>Synergies from the completed acquisition of Advanced Disposal are included in this measure and are expected to be between $50 million and $60 million in 2021.</w:t>
      </w:r>
    </w:p>
    <w:p>
      <w:pPr>
        <w:spacing w:after="0" w:line="166" w:lineRule="exact"/>
        <w:rPr>
          <w:rFonts w:ascii="Arial" w:cs="Arial" w:eastAsia="Arial" w:hAnsi="Arial"/>
          <w:sz w:val="33"/>
          <w:szCs w:val="33"/>
          <w:color w:val="auto"/>
          <w:vertAlign w:val="subscript"/>
        </w:rPr>
      </w:pPr>
    </w:p>
    <w:p>
      <w:pPr>
        <w:ind w:left="680"/>
        <w:spacing w:after="0"/>
        <w:rPr>
          <w:rFonts w:ascii="Arial" w:cs="Arial" w:eastAsia="Arial" w:hAnsi="Arial"/>
          <w:sz w:val="33"/>
          <w:szCs w:val="33"/>
          <w:color w:val="auto"/>
          <w:vertAlign w:val="subscript"/>
        </w:rPr>
      </w:pPr>
      <w:r>
        <w:rPr>
          <w:rFonts w:ascii="Arial" w:cs="Arial" w:eastAsia="Arial" w:hAnsi="Arial"/>
          <w:sz w:val="18"/>
          <w:szCs w:val="18"/>
          <w:b w:val="1"/>
          <w:bCs w:val="1"/>
          <w:u w:val="single" w:color="auto"/>
          <w:color w:val="auto"/>
        </w:rPr>
        <w:t>Free Cash Flow &amp; Capital Allocation</w:t>
      </w:r>
    </w:p>
    <w:p>
      <w:pPr>
        <w:spacing w:after="0" w:line="183" w:lineRule="exact"/>
        <w:rPr>
          <w:rFonts w:ascii="Arial" w:cs="Arial" w:eastAsia="Arial" w:hAnsi="Arial"/>
          <w:sz w:val="33"/>
          <w:szCs w:val="33"/>
          <w:color w:val="auto"/>
          <w:vertAlign w:val="subscript"/>
        </w:rPr>
      </w:pPr>
    </w:p>
    <w:p>
      <w:pPr>
        <w:ind w:left="680" w:hanging="265"/>
        <w:spacing w:after="0"/>
        <w:tabs>
          <w:tab w:leader="none" w:pos="680" w:val="left"/>
        </w:tabs>
        <w:numPr>
          <w:ilvl w:val="0"/>
          <w:numId w:val="6"/>
        </w:numPr>
        <w:rPr>
          <w:rFonts w:ascii="Arial" w:cs="Arial" w:eastAsia="Arial" w:hAnsi="Arial"/>
          <w:sz w:val="25"/>
          <w:szCs w:val="25"/>
          <w:color w:val="auto"/>
        </w:rPr>
      </w:pPr>
      <w:r>
        <w:rPr>
          <w:rFonts w:ascii="Arial" w:cs="Arial" w:eastAsia="Arial" w:hAnsi="Arial"/>
          <w:sz w:val="18"/>
          <w:szCs w:val="18"/>
          <w:color w:val="auto"/>
        </w:rPr>
        <w:t>Free cash flow is projected to be between $2.25 and $2.35 billion.</w:t>
      </w:r>
      <w:r>
        <w:rPr>
          <w:rFonts w:ascii="Arial" w:cs="Arial" w:eastAsia="Arial" w:hAnsi="Arial"/>
          <w:sz w:val="29"/>
          <w:szCs w:val="29"/>
          <w:color w:val="auto"/>
          <w:vertAlign w:val="superscript"/>
        </w:rPr>
        <w:t>(a)</w:t>
      </w:r>
    </w:p>
    <w:p>
      <w:pPr>
        <w:jc w:val="both"/>
        <w:ind w:left="680" w:right="1139" w:hanging="265"/>
        <w:spacing w:after="0" w:line="181" w:lineRule="auto"/>
        <w:tabs>
          <w:tab w:leader="none" w:pos="680" w:val="left"/>
        </w:tabs>
        <w:numPr>
          <w:ilvl w:val="0"/>
          <w:numId w:val="6"/>
        </w:numPr>
        <w:rPr>
          <w:rFonts w:ascii="Arial" w:cs="Arial" w:eastAsia="Arial" w:hAnsi="Arial"/>
          <w:sz w:val="38"/>
          <w:szCs w:val="38"/>
          <w:color w:val="auto"/>
          <w:vertAlign w:val="subscript"/>
        </w:rPr>
      </w:pPr>
      <w:r>
        <w:rPr>
          <w:rFonts w:ascii="Arial" w:cs="Arial" w:eastAsia="Arial" w:hAnsi="Arial"/>
          <w:sz w:val="16"/>
          <w:szCs w:val="16"/>
          <w:color w:val="auto"/>
        </w:rPr>
        <w:t>Capital expenditures are expected to be in the range of $1.78 to $1.88 billion.The Company is committed to returning its leverage ratio, as defined in its revolving credit facility financial covenant, to its targeted long-term range of between 2.5 and 3-to-1 during 2021.</w:t>
      </w:r>
    </w:p>
    <w:p>
      <w:pPr>
        <w:jc w:val="both"/>
        <w:ind w:left="680" w:right="1139" w:hanging="265"/>
        <w:spacing w:after="0" w:line="213" w:lineRule="auto"/>
        <w:tabs>
          <w:tab w:leader="none" w:pos="680" w:val="left"/>
        </w:tabs>
        <w:numPr>
          <w:ilvl w:val="0"/>
          <w:numId w:val="6"/>
        </w:numPr>
        <w:rPr>
          <w:rFonts w:ascii="Arial" w:cs="Arial" w:eastAsia="Arial" w:hAnsi="Arial"/>
          <w:sz w:val="42"/>
          <w:szCs w:val="42"/>
          <w:color w:val="auto"/>
          <w:vertAlign w:val="subscript"/>
        </w:rPr>
      </w:pPr>
      <w:r>
        <w:rPr>
          <w:rFonts w:ascii="Arial" w:cs="Arial" w:eastAsia="Arial" w:hAnsi="Arial"/>
          <w:sz w:val="16"/>
          <w:szCs w:val="16"/>
          <w:color w:val="auto"/>
        </w:rPr>
        <w:t>The Board of Directors has indicated its intention to increase the dividend by $0.12 per share to $2.30 on an annual basis for an approximate annual cost of $975 million. This represents the 18</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consecutive year of increases in the Company’s per share dividend. The Board of Directors must separately approve and declare each dividend.</w:t>
      </w:r>
    </w:p>
    <w:p>
      <w:pPr>
        <w:spacing w:after="0" w:line="3" w:lineRule="exact"/>
        <w:rPr>
          <w:rFonts w:ascii="Arial" w:cs="Arial" w:eastAsia="Arial" w:hAnsi="Arial"/>
          <w:sz w:val="42"/>
          <w:szCs w:val="42"/>
          <w:color w:val="auto"/>
          <w:vertAlign w:val="subscript"/>
        </w:rPr>
      </w:pPr>
    </w:p>
    <w:p>
      <w:pPr>
        <w:jc w:val="both"/>
        <w:ind w:left="680" w:right="1139" w:hanging="265"/>
        <w:spacing w:after="0" w:line="223" w:lineRule="auto"/>
        <w:tabs>
          <w:tab w:leader="none" w:pos="680" w:val="left"/>
        </w:tabs>
        <w:numPr>
          <w:ilvl w:val="0"/>
          <w:numId w:val="6"/>
        </w:numPr>
        <w:rPr>
          <w:rFonts w:ascii="Arial" w:cs="Arial" w:eastAsia="Arial" w:hAnsi="Arial"/>
          <w:sz w:val="42"/>
          <w:szCs w:val="42"/>
          <w:color w:val="auto"/>
          <w:vertAlign w:val="subscript"/>
        </w:rPr>
      </w:pPr>
      <w:r>
        <w:rPr>
          <w:rFonts w:ascii="Arial" w:cs="Arial" w:eastAsia="Arial" w:hAnsi="Arial"/>
          <w:sz w:val="16"/>
          <w:szCs w:val="16"/>
          <w:color w:val="auto"/>
        </w:rPr>
        <w:t>In December 2020, the Board of Directors refreshed the Company’s share repurchase authorization, allowing for the repurchase of up to $1.35 billion of the Company’s common stock, signaling confidence in the cash flow outlook.</w:t>
      </w:r>
    </w:p>
    <w:p>
      <w:pPr>
        <w:spacing w:after="0" w:line="190" w:lineRule="exact"/>
        <w:rPr>
          <w:sz w:val="20"/>
          <w:szCs w:val="20"/>
          <w:color w:val="auto"/>
        </w:rPr>
      </w:pPr>
    </w:p>
    <w:p>
      <w:pPr>
        <w:jc w:val="both"/>
        <w:ind w:right="1299"/>
        <w:spacing w:after="0" w:line="237" w:lineRule="auto"/>
        <w:rPr>
          <w:sz w:val="20"/>
          <w:szCs w:val="20"/>
          <w:color w:val="auto"/>
        </w:rPr>
      </w:pPr>
      <w:r>
        <w:rPr>
          <w:rFonts w:ascii="Arial" w:cs="Arial" w:eastAsia="Arial" w:hAnsi="Arial"/>
          <w:sz w:val="18"/>
          <w:szCs w:val="18"/>
          <w:color w:val="auto"/>
        </w:rPr>
        <w:t>Fish concluded, “In 2020, we quickly and successfully learned to operate our business with a lower cost structure while maintaining our focus on exceptional customer service. We also completed the acquisition of Advanced Disposal and accelerated our customer service digitalization investments, all while matching our highest adjusted operating EBITDA margin and generating strong cash flow. In 2021, we will continue to make investments in technology that transform our business and integrate the Advanced Disposal business, and we are well-positioned to generate strong returns.”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 w:lineRule="exact"/>
        <w:rPr>
          <w:sz w:val="20"/>
          <w:szCs w:val="20"/>
          <w:color w:val="auto"/>
        </w:rPr>
      </w:pPr>
    </w:p>
    <w:p>
      <w:pPr>
        <w:jc w:val="both"/>
        <w:ind w:left="660" w:right="1219" w:hanging="328"/>
        <w:spacing w:after="0" w:line="249" w:lineRule="auto"/>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information labeled "As Adjusted" in the table above, as well as adjusted SG&amp;A expenses, adjusted operating EBITDA outlook and free cash flow are non-GAAP measures. Please see "Non-GAAP Financial Measures" below and the reconciliations in the accompanying schedules for more information.</w:t>
      </w:r>
    </w:p>
    <w:p>
      <w:pPr>
        <w:spacing w:after="0" w:line="187" w:lineRule="exact"/>
        <w:rPr>
          <w:rFonts w:ascii="Arial" w:cs="Arial" w:eastAsia="Arial" w:hAnsi="Arial"/>
          <w:sz w:val="14"/>
          <w:szCs w:val="14"/>
          <w:color w:val="auto"/>
        </w:rPr>
      </w:pPr>
    </w:p>
    <w:p>
      <w:pPr>
        <w:ind w:left="660" w:right="1239" w:hanging="328"/>
        <w:spacing w:after="0" w:line="258" w:lineRule="auto"/>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Management defines operating EBITDA as GAAP income from operations before depreciation and amortization; this measure may not be comparable to similarly-titled measures reported by other companies.</w:t>
      </w:r>
    </w:p>
    <w:p>
      <w:pPr>
        <w:spacing w:after="0" w:line="180" w:lineRule="exact"/>
        <w:rPr>
          <w:rFonts w:ascii="Arial" w:cs="Arial" w:eastAsia="Arial" w:hAnsi="Arial"/>
          <w:sz w:val="14"/>
          <w:szCs w:val="14"/>
          <w:color w:val="auto"/>
        </w:rPr>
      </w:pPr>
    </w:p>
    <w:p>
      <w:pPr>
        <w:ind w:left="660" w:right="1219" w:hanging="328"/>
        <w:spacing w:after="0" w:line="258" w:lineRule="auto"/>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For purposes of this press release, all references to "Net income" refer to the financial statement line item "Net income attributable to Waste Management, Inc."</w:t>
      </w:r>
    </w:p>
    <w:p>
      <w:pPr>
        <w:spacing w:after="0" w:line="180" w:lineRule="exact"/>
        <w:rPr>
          <w:rFonts w:ascii="Arial" w:cs="Arial" w:eastAsia="Arial" w:hAnsi="Arial"/>
          <w:sz w:val="14"/>
          <w:szCs w:val="14"/>
          <w:color w:val="auto"/>
        </w:rPr>
      </w:pPr>
    </w:p>
    <w:p>
      <w:pPr>
        <w:jc w:val="both"/>
        <w:ind w:left="660" w:right="1219" w:hanging="328"/>
        <w:spacing w:after="0" w:line="244" w:lineRule="auto"/>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Core price is a performance metric used by management to evaluate the effectiveness of our pricing strategies; it is not derived from our financial statements and may not be comparable to measures presented by other companies. Core price is based on certain historical assumptions, which may differ from actual results, to allow for comparability between reporting periods and to reveal trends in results over time. Beginning with the fourth quarter 2019, the Company has updated its core price calculation. With advancements in technology, the Company began collecting additional transactional customer level data, which provides improved clarity of the impact of the Company’s pricing activities. While this does not change the year-over-year core price performance result, the new measure reflects a more precise calculation in the evaluation of revenue changes.</w:t>
      </w:r>
    </w:p>
    <w:p>
      <w:pPr>
        <w:spacing w:after="0" w:line="199" w:lineRule="exact"/>
        <w:rPr>
          <w:sz w:val="20"/>
          <w:szCs w:val="20"/>
          <w:color w:val="auto"/>
        </w:rPr>
      </w:pPr>
    </w:p>
    <w:p>
      <w:pPr>
        <w:jc w:val="both"/>
        <w:ind w:right="1239"/>
        <w:spacing w:after="0"/>
        <w:rPr>
          <w:sz w:val="20"/>
          <w:szCs w:val="20"/>
          <w:color w:val="auto"/>
        </w:rPr>
      </w:pPr>
      <w:r>
        <w:rPr>
          <w:rFonts w:ascii="Arial" w:cs="Arial" w:eastAsia="Arial" w:hAnsi="Arial"/>
          <w:sz w:val="18"/>
          <w:szCs w:val="18"/>
          <w:color w:val="auto"/>
        </w:rPr>
        <w:t>The Company will host a conference call at 10 a.m. (Eastern) today to discuss the fourth quarter and full year results. Information contained within this press release will be referenced and should be considered in conjunction with the call.</w:t>
      </w:r>
    </w:p>
    <w:p>
      <w:pPr>
        <w:spacing w:after="0" w:line="203" w:lineRule="exact"/>
        <w:rPr>
          <w:sz w:val="20"/>
          <w:szCs w:val="20"/>
          <w:color w:val="auto"/>
        </w:rPr>
      </w:pPr>
    </w:p>
    <w:p>
      <w:pPr>
        <w:jc w:val="both"/>
        <w:ind w:right="1219"/>
        <w:spacing w:after="0" w:line="238" w:lineRule="auto"/>
        <w:rPr>
          <w:sz w:val="20"/>
          <w:szCs w:val="20"/>
          <w:color w:val="auto"/>
        </w:rPr>
      </w:pPr>
      <w:r>
        <w:rPr>
          <w:rFonts w:ascii="Arial" w:cs="Arial" w:eastAsia="Arial" w:hAnsi="Arial"/>
          <w:sz w:val="18"/>
          <w:szCs w:val="18"/>
          <w:color w:val="auto"/>
        </w:rPr>
        <w:t xml:space="preserve">The conference call will be webcast live from the Investors section of Waste Management’s website </w:t>
      </w:r>
      <w:r>
        <w:rPr>
          <w:rFonts w:ascii="Arial" w:cs="Arial" w:eastAsia="Arial" w:hAnsi="Arial"/>
          <w:sz w:val="18"/>
          <w:szCs w:val="18"/>
          <w:u w:val="single" w:color="auto"/>
          <w:color w:val="auto"/>
        </w:rPr>
        <w:t>www.wm.com</w:t>
      </w:r>
      <w:r>
        <w:rPr>
          <w:rFonts w:ascii="Arial" w:cs="Arial" w:eastAsia="Arial" w:hAnsi="Arial"/>
          <w:sz w:val="18"/>
          <w:szCs w:val="18"/>
          <w:color w:val="auto"/>
        </w:rPr>
        <w:t>. To access the conference call by telephone, please dial (877) 710-6139 approximately 10 minutes prior to the scheduled start of the call. If you are calling from outside of the United States or Canada, please dial (706) 643-7398. Please utilize conference ID number 1965816 when prompted by the conference call operator.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86" w:right="1440" w:bottom="1440" w:gutter="0" w:footer="0" w:header="0"/>
        </w:sectPr>
      </w:pPr>
    </w:p>
    <w:bookmarkStart w:id="7" w:name="page8"/>
    <w:bookmarkEnd w:id="7"/>
    <w:p>
      <w:pPr>
        <w:jc w:val="both"/>
        <w:ind w:right="1299"/>
        <w:spacing w:after="0" w:line="238" w:lineRule="auto"/>
        <w:rPr>
          <w:sz w:val="20"/>
          <w:szCs w:val="20"/>
          <w:color w:val="auto"/>
        </w:rPr>
      </w:pPr>
      <w:r>
        <w:rPr>
          <w:rFonts w:ascii="Arial" w:cs="Arial" w:eastAsia="Arial" w:hAnsi="Arial"/>
          <w:sz w:val="18"/>
          <w:szCs w:val="18"/>
          <w:color w:val="auto"/>
        </w:rPr>
        <w:t xml:space="preserve">A replay of the conference call will be available on the Company’s website </w:t>
      </w:r>
      <w:r>
        <w:rPr>
          <w:rFonts w:ascii="Arial" w:cs="Arial" w:eastAsia="Arial" w:hAnsi="Arial"/>
          <w:sz w:val="18"/>
          <w:szCs w:val="18"/>
          <w:u w:val="single" w:color="auto"/>
          <w:color w:val="auto"/>
        </w:rPr>
        <w:t>www.wm.com</w:t>
      </w:r>
      <w:r>
        <w:rPr>
          <w:rFonts w:ascii="Arial" w:cs="Arial" w:eastAsia="Arial" w:hAnsi="Arial"/>
          <w:sz w:val="18"/>
          <w:szCs w:val="18"/>
          <w:color w:val="auto"/>
        </w:rPr>
        <w:t xml:space="preserve"> and by telephone from approximately 1:00 p.m. (Eastern) today through 5:00 p.m. (Eastern) on Thursday, March 4, 2021. To access the replay telephonically, please dial (855) 859-2056, or from outside of the United States or Canada dial (404) 537-3406 and use the replay conference ID number 1965816.</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WASTE MANAGEMENT</w:t>
      </w:r>
    </w:p>
    <w:p>
      <w:pPr>
        <w:spacing w:after="0" w:line="18" w:lineRule="exact"/>
        <w:rPr>
          <w:sz w:val="20"/>
          <w:szCs w:val="20"/>
          <w:color w:val="auto"/>
        </w:rPr>
      </w:pPr>
    </w:p>
    <w:p>
      <w:pPr>
        <w:jc w:val="both"/>
        <w:ind w:right="1299"/>
        <w:spacing w:after="0" w:line="237" w:lineRule="auto"/>
        <w:rPr>
          <w:sz w:val="20"/>
          <w:szCs w:val="20"/>
          <w:color w:val="auto"/>
        </w:rPr>
      </w:pPr>
      <w:r>
        <w:rPr>
          <w:rFonts w:ascii="Arial" w:cs="Arial" w:eastAsia="Arial" w:hAnsi="Arial"/>
          <w:sz w:val="18"/>
          <w:szCs w:val="18"/>
          <w:color w:val="auto"/>
        </w:rPr>
        <w:t xml:space="preserve">Waste Management, based in Houston, Texas, is the leading provider of comprehensive waste management environmental services in North America, providing services throughout the United States and Canada. Through its subsidiaries, the Company provides collection, transfer, disposal services, and recycling and resource recovery. It is also a leading developer, operator and owner of landfill gas-to-energy facilities in the United States. The Company’s customers include residential, commercial, industrial, and municipal customers throughout North America. To learn more information about Waste Management, visit </w:t>
      </w:r>
      <w:r>
        <w:rPr>
          <w:rFonts w:ascii="Arial" w:cs="Arial" w:eastAsia="Arial" w:hAnsi="Arial"/>
          <w:sz w:val="18"/>
          <w:szCs w:val="18"/>
          <w:u w:val="single" w:color="auto"/>
          <w:color w:val="auto"/>
        </w:rPr>
        <w:t>www.wm.com</w:t>
      </w:r>
      <w:r>
        <w:rPr>
          <w:rFonts w:ascii="Arial" w:cs="Arial" w:eastAsia="Arial" w:hAnsi="Arial"/>
          <w:sz w:val="18"/>
          <w:szCs w:val="18"/>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 w:lineRule="exact"/>
        <w:rPr>
          <w:sz w:val="20"/>
          <w:szCs w:val="20"/>
          <w:color w:val="auto"/>
        </w:rPr>
      </w:pPr>
    </w:p>
    <w:p>
      <w:pPr>
        <w:jc w:val="both"/>
        <w:ind w:right="1299"/>
        <w:spacing w:after="0" w:line="235" w:lineRule="auto"/>
        <w:rPr>
          <w:sz w:val="20"/>
          <w:szCs w:val="20"/>
          <w:color w:val="auto"/>
        </w:rPr>
      </w:pPr>
      <w:r>
        <w:rPr>
          <w:rFonts w:ascii="Arial" w:cs="Arial" w:eastAsia="Arial" w:hAnsi="Arial"/>
          <w:sz w:val="18"/>
          <w:szCs w:val="18"/>
          <w:color w:val="auto"/>
        </w:rPr>
        <w:t>The Company, from time to time, provides estimates of financial and other data, comments on expectations relating to future periods and makes statements of opinion, view or belief about current and future events. This press release contains a number of such forward-looking statements, including but not limited to, all statements under the heading “2021 Outlook”, as well as all statements regarding future performance or financial results of our business; future investments and results from investments; cost structure or efficiencies; integration of, and benefits from, the acquisition of Advanced Disposal Services, Inc. (“Advanced Disposal”); future leverage ratio; future share repurchases and future sustainability efforts. You should view these statements with caution. They are based on the facts and circumstances known to the Company as of the date the statements are made. These forward-looking statements are subject to risks and uncertainties that could cause actual results to be materially different from those set forth in such forward-looking statements, including but not limited to failure to implement our optimization, growth, and cost savings initiatives and overall business strategy; failure to identify acquisition targets and negotiate attractive terms; failure to consummate or integrate acquisitions; failure to obtain the results anticipated from acquisitions; failure to successfully integrate the acquisition of Advanced Disposal, realize anticipated synergies or obtain the results anticipated from such acquisition; environmental and other regulations, including developments related to emerging contaminants, gas emissions and renewable fuel; significant environmental, safety or other incidents resulting in liabilities or brand damage; failure to obtain and maintain necessary permits; failure to attract, hire and retain key team members and a high quality workforce; labor disruptions and wage-related regulations; significant storms and destructive events influenced by climate change; public health risk and other impacts of COVID-19 or similar pandemic conditions, including increased costs, social and commercial disruption and service reductions; increased competition; pricing actions; commodity price fluctuations; international trade restrictions; disposal alternatives and waste diversion; declining waste volumes; weakness in general economic conditions and capital markets; adoption of new tax legislation; fuel shortages; failure to develop and protect new technology; failure of technology to perform as expected, including implementation of a new enterprise resource planning system; failure to prevent, detect and address cybersecurity incidents or comply with privacy regulations; negative outcomes of litigation or governmental proceedings; and decisions or developments that result in impairment charges. Please also see the Company’s filings with the SEC, including Part I, Item 1A of the Company’s most recently filed Annual Report on Form 10-K as updated by our subsequent quarterly reports on Form 10-Q, for additional information regarding these and other risks and uncertainties applicable to its business. The Company assumes no obligation to update any forward-looking statement, including financial estimates and forecasts, whether as a result of future events, circumstances or developments or otherwise.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8" w:lineRule="exact"/>
        <w:rPr>
          <w:sz w:val="20"/>
          <w:szCs w:val="20"/>
          <w:color w:val="auto"/>
        </w:rPr>
      </w:pPr>
    </w:p>
    <w:p>
      <w:pPr>
        <w:jc w:val="both"/>
        <w:ind w:right="1299"/>
        <w:spacing w:after="0" w:line="236" w:lineRule="auto"/>
        <w:rPr>
          <w:sz w:val="20"/>
          <w:szCs w:val="20"/>
          <w:color w:val="auto"/>
        </w:rPr>
      </w:pPr>
      <w:r>
        <w:rPr>
          <w:rFonts w:ascii="Arial" w:cs="Arial" w:eastAsia="Arial" w:hAnsi="Arial"/>
          <w:sz w:val="18"/>
          <w:szCs w:val="18"/>
          <w:color w:val="auto"/>
        </w:rPr>
        <w:t>To supplement its financial information, the Company has presented, and/or may discuss on the conference call, adjusted earnings per diluted share, adjusted net income, adjusted income from operations, adjusted SG&amp;A expenses, adjusted operating EBITDA, adjusted operating EBITDA margin, and free cash flow, as well as projections of adjusted operating EBITDA and free cash flow for 2021. All of these items are non-GAAP financial measures, as defined in Regulation G of the Securities Exchange Act of 1934, as amended. The Company reports its financial results in compliance with GAAP but believes that also discussing non-GAAP measures provides investors with (i) financial measures the Company uses in the management of its business and (ii) additional, meaningful comparisons of current results to prior periods’ results by excluding items that the Company does not believe reflect its fundamental business performance and are not representative or indicative of its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8" w:name="page9"/>
    <w:bookmarkEnd w:id="8"/>
    <w:p>
      <w:pPr>
        <w:jc w:val="both"/>
        <w:ind w:right="1299"/>
        <w:spacing w:after="0" w:line="237" w:lineRule="auto"/>
        <w:rPr>
          <w:sz w:val="20"/>
          <w:szCs w:val="20"/>
          <w:color w:val="auto"/>
        </w:rPr>
      </w:pPr>
      <w:r>
        <w:rPr>
          <w:rFonts w:ascii="Arial" w:cs="Arial" w:eastAsia="Arial" w:hAnsi="Arial"/>
          <w:sz w:val="18"/>
          <w:szCs w:val="18"/>
          <w:color w:val="auto"/>
        </w:rPr>
        <w:t>In addition, the Company’s projected full year 2021 adjusted operating EBITDA is anticipated to exclude the effects of other events or circumstances in 2021 that are not representative or indicative of the Company’s results of operations. Such excluded items are not currently determinable, but may be significant, such as asset impairments and one-time items, charges, gains or losses from divestitures or litigation, and other items. Due to the uncertainty of the likelihood, amount and timing of any such items, the Company does not have information available to provide a quantitative reconciliation of such projection to the comparable GAAP measure.</w:t>
      </w:r>
    </w:p>
    <w:p>
      <w:pPr>
        <w:spacing w:after="0" w:line="189" w:lineRule="exact"/>
        <w:rPr>
          <w:sz w:val="20"/>
          <w:szCs w:val="20"/>
          <w:color w:val="auto"/>
        </w:rPr>
      </w:pPr>
    </w:p>
    <w:p>
      <w:pPr>
        <w:jc w:val="both"/>
        <w:ind w:right="1299"/>
        <w:spacing w:after="0" w:line="251" w:lineRule="auto"/>
        <w:rPr>
          <w:sz w:val="20"/>
          <w:szCs w:val="20"/>
          <w:color w:val="auto"/>
        </w:rPr>
      </w:pPr>
      <w:r>
        <w:rPr>
          <w:rFonts w:ascii="Arial" w:cs="Arial" w:eastAsia="Arial" w:hAnsi="Arial"/>
          <w:sz w:val="17"/>
          <w:szCs w:val="17"/>
          <w:color w:val="auto"/>
        </w:rPr>
        <w:t>The Company discusses free cash flow and provides a projection of free cash flow because the Company believes that it is indicative of its ability to pay its quarterly dividends, repurchase common stock, fund acquisitions and other investments and, in the absence of refinancings, to repay its debt obligations. Free cash flow is not intended to replace “Net cash provided by operating activities,” which is the most comparable GAAP measure. The Company believes free cash flow gives investors useful insight into how the Company views its liquidity, but the use of free cash flow as a liquidity measure has material limitations because it excludes certain expenditures that are required or that the Company has committed to, such as declared dividend payments and debt service requirements. The Company defines free cash flow as net cash provided by operating activities, less capital expenditures, plus proceeds from divestitures of businesses and other assets (net of cash divested); this definition may not be comparable to similarly-titled measures reported by other companies.</w:t>
      </w:r>
    </w:p>
    <w:p>
      <w:pPr>
        <w:spacing w:after="0" w:line="183" w:lineRule="exact"/>
        <w:rPr>
          <w:sz w:val="20"/>
          <w:szCs w:val="20"/>
          <w:color w:val="auto"/>
        </w:rPr>
      </w:pPr>
    </w:p>
    <w:p>
      <w:pPr>
        <w:jc w:val="both"/>
        <w:ind w:right="1299"/>
        <w:spacing w:after="0"/>
        <w:rPr>
          <w:sz w:val="20"/>
          <w:szCs w:val="20"/>
          <w:color w:val="auto"/>
        </w:rPr>
      </w:pPr>
      <w:r>
        <w:rPr>
          <w:rFonts w:ascii="Arial" w:cs="Arial" w:eastAsia="Arial" w:hAnsi="Arial"/>
          <w:sz w:val="18"/>
          <w:szCs w:val="18"/>
          <w:color w:val="auto"/>
        </w:rPr>
        <w:t>The quantitative reconciliations of non-GAAP measures to the most comparable GAAP measures are included in the accompanying schedules, with the exception of projected adjusted operating EBITDA. Non-GAAP measures should not be considered a substitute for financial measures presented in accordance with GAAP.</w:t>
      </w:r>
    </w:p>
    <w:p>
      <w:pPr>
        <w:spacing w:after="0" w:line="18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2400" w:type="dxa"/>
            <w:vAlign w:val="bottom"/>
            <w:gridSpan w:val="5"/>
          </w:tcPr>
          <w:p>
            <w:pPr>
              <w:jc w:val="right"/>
              <w:ind w:right="107"/>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Years Ended</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387"/>
              <w:spacing w:after="0"/>
              <w:rPr>
                <w:sz w:val="20"/>
                <w:szCs w:val="20"/>
                <w:color w:val="auto"/>
              </w:rPr>
            </w:pPr>
            <w:r>
              <w:rPr>
                <w:rFonts w:ascii="Arial" w:cs="Arial" w:eastAsia="Arial" w:hAnsi="Arial"/>
                <w:sz w:val="18"/>
                <w:szCs w:val="18"/>
                <w:b w:val="1"/>
                <w:bCs w:val="1"/>
                <w:color w:val="auto"/>
                <w:w w:val="93"/>
              </w:rPr>
              <w:t>December 31,</w:t>
            </w:r>
          </w:p>
        </w:tc>
        <w:tc>
          <w:tcPr>
            <w:tcW w:w="4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ind w:right="350"/>
              <w:spacing w:after="0"/>
              <w:rPr>
                <w:sz w:val="20"/>
                <w:szCs w:val="20"/>
                <w:color w:val="auto"/>
              </w:rPr>
            </w:pPr>
            <w:r>
              <w:rPr>
                <w:rFonts w:ascii="Arial" w:cs="Arial" w:eastAsia="Arial" w:hAnsi="Arial"/>
                <w:sz w:val="18"/>
                <w:szCs w:val="18"/>
                <w:b w:val="1"/>
                <w:bCs w:val="1"/>
                <w:color w:val="auto"/>
                <w:w w:val="94"/>
              </w:rPr>
              <w:t>2019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820" w:type="dxa"/>
            <w:vAlign w:val="bottom"/>
            <w:tcBorders>
              <w:top w:val="single" w:sz="8" w:color="auto"/>
              <w:bottom w:val="single" w:sz="8" w:color="auto"/>
            </w:tcBorders>
            <w:shd w:val="clear" w:color="auto" w:fill="CCEEFF"/>
          </w:tcPr>
          <w:p>
            <w:pPr>
              <w:jc w:val="right"/>
              <w:ind w:right="661"/>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4,067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4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3,846</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15,455</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tcPr>
          <w:p>
            <w:pPr>
              <w:spacing w:after="0"/>
              <w:rPr>
                <w:sz w:val="20"/>
                <w:szCs w:val="20"/>
                <w:color w:val="auto"/>
              </w:rPr>
            </w:pPr>
            <w:r>
              <w:rPr>
                <w:rFonts w:ascii="Arial" w:cs="Arial" w:eastAsia="Arial" w:hAnsi="Arial"/>
                <w:sz w:val="18"/>
                <w:szCs w:val="18"/>
                <w:color w:val="auto"/>
              </w:rPr>
              <w:t>Costs and expenses:</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w:t>
            </w:r>
          </w:p>
        </w:tc>
        <w:tc>
          <w:tcPr>
            <w:tcW w:w="8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2,500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2,314</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9,341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8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510</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445</w:t>
            </w: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1,728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1,631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8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436</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395</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Arial" w:cs="Arial" w:eastAsia="Arial" w:hAnsi="Arial"/>
                <w:sz w:val="18"/>
                <w:szCs w:val="18"/>
                <w:color w:val="auto"/>
              </w:rPr>
              <w:t>Restructuring</w:t>
            </w:r>
          </w:p>
        </w:tc>
        <w:tc>
          <w:tcPr>
            <w:tcW w:w="8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2"/>
        </w:trPr>
        <w:tc>
          <w:tcPr>
            <w:tcW w:w="52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(Gain) loss from divestitures, asset impairments and unusual</w:t>
            </w: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items, net</w:t>
            </w:r>
          </w:p>
        </w:tc>
        <w:tc>
          <w:tcPr>
            <w:tcW w:w="8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w:t>
            </w: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0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3,413</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3,191</w:t>
            </w:r>
          </w:p>
        </w:tc>
        <w:tc>
          <w:tcPr>
            <w:tcW w:w="3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12,784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12,749</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3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tcPr>
          <w:p>
            <w:pPr>
              <w:spacing w:after="0"/>
              <w:rPr>
                <w:sz w:val="20"/>
                <w:szCs w:val="20"/>
                <w:color w:val="auto"/>
              </w:rPr>
            </w:pPr>
            <w:r>
              <w:rPr>
                <w:rFonts w:ascii="Arial" w:cs="Arial" w:eastAsia="Arial" w:hAnsi="Arial"/>
                <w:sz w:val="18"/>
                <w:szCs w:val="18"/>
                <w:color w:val="auto"/>
              </w:rPr>
              <w:t>Other income (expense):</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8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Arial" w:cs="Arial" w:eastAsia="Arial" w:hAnsi="Arial"/>
                <w:sz w:val="18"/>
                <w:szCs w:val="18"/>
                <w:color w:val="auto"/>
              </w:rPr>
              <w:t>Loss on early extinguishment of debt, net</w:t>
            </w:r>
          </w:p>
        </w:tc>
        <w:tc>
          <w:tcPr>
            <w:tcW w:w="8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in net losses of unconsolidated entities</w:t>
            </w:r>
          </w:p>
        </w:tc>
        <w:tc>
          <w:tcPr>
            <w:tcW w:w="8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8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9"/>
        </w:trPr>
        <w:tc>
          <w:tcPr>
            <w:tcW w:w="5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(124)</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547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531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1,893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2,105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84</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0"/>
        </w:trPr>
        <w:tc>
          <w:tcPr>
            <w:tcW w:w="520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8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Net income (loss) attributable to noncontrolling interests</w:t>
            </w:r>
          </w:p>
        </w:tc>
        <w:tc>
          <w:tcPr>
            <w:tcW w:w="8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attributable to Waste Management, Inc.</w:t>
            </w:r>
          </w:p>
        </w:tc>
        <w:tc>
          <w:tcPr>
            <w:tcW w:w="820" w:type="dxa"/>
            <w:vAlign w:val="bottom"/>
            <w:tcBorders>
              <w:top w:val="single" w:sz="8" w:color="auto"/>
              <w:bottom w:val="single" w:sz="8" w:color="auto"/>
            </w:tcBorders>
          </w:tcPr>
          <w:p>
            <w:pPr>
              <w:jc w:val="right"/>
              <w:ind w:right="661"/>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64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34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1,496</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1,670</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2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Basic earnings per common share</w:t>
            </w:r>
          </w:p>
        </w:tc>
        <w:tc>
          <w:tcPr>
            <w:tcW w:w="820" w:type="dxa"/>
            <w:vAlign w:val="bottom"/>
            <w:tcBorders>
              <w:bottom w:val="single" w:sz="8" w:color="auto"/>
            </w:tcBorders>
            <w:shd w:val="clear" w:color="auto" w:fill="CCEEFF"/>
          </w:tcPr>
          <w:p>
            <w:pPr>
              <w:jc w:val="right"/>
              <w:ind w:right="661"/>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1.04</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64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1.05</w:t>
            </w:r>
          </w:p>
        </w:tc>
        <w:tc>
          <w:tcPr>
            <w:tcW w:w="3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3.54</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tcBorders>
              <w:bottom w:val="single" w:sz="8" w:color="CCEEFF"/>
            </w:tcBorders>
            <w:vMerge w:val="continue"/>
          </w:tcPr>
          <w:p>
            <w:pPr>
              <w:spacing w:after="0"/>
              <w:rPr>
                <w:sz w:val="20"/>
                <w:szCs w:val="20"/>
                <w:color w:val="auto"/>
              </w:rPr>
            </w:pPr>
          </w:p>
        </w:tc>
        <w:tc>
          <w:tcPr>
            <w:tcW w:w="820" w:type="dxa"/>
            <w:vAlign w:val="bottom"/>
            <w:tcBorders>
              <w:bottom w:val="single" w:sz="8" w:color="auto"/>
            </w:tcBorders>
          </w:tcPr>
          <w:p>
            <w:pPr>
              <w:jc w:val="right"/>
              <w:ind w:right="661"/>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1.03</w:t>
            </w:r>
          </w:p>
        </w:tc>
        <w:tc>
          <w:tcPr>
            <w:tcW w:w="2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800" w:type="dxa"/>
            <w:vAlign w:val="bottom"/>
            <w:tcBorders>
              <w:bottom w:val="single" w:sz="8" w:color="auto"/>
            </w:tcBorders>
          </w:tcPr>
          <w:p>
            <w:pPr>
              <w:jc w:val="right"/>
              <w:ind w:right="64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1.05</w:t>
            </w:r>
          </w:p>
        </w:tc>
        <w:tc>
          <w:tcPr>
            <w:tcW w:w="34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3.52</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4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2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Weighted average basic common shares outstanding</w:t>
            </w:r>
          </w:p>
        </w:tc>
        <w:tc>
          <w:tcPr>
            <w:tcW w:w="82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422.9</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424.5</w:t>
            </w:r>
          </w:p>
        </w:tc>
        <w:tc>
          <w:tcPr>
            <w:tcW w:w="3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423.0</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424.6</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Weighted average diluted common shares outstanding</w:t>
            </w: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vMerge w:val="continue"/>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8"/>
              </w:rPr>
              <w:t>425.1</w:t>
            </w:r>
          </w:p>
        </w:tc>
        <w:tc>
          <w:tcPr>
            <w:tcW w:w="2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8"/>
              </w:rPr>
              <w:t>427.4</w:t>
            </w:r>
          </w:p>
        </w:tc>
        <w:tc>
          <w:tcPr>
            <w:tcW w:w="340" w:type="dxa"/>
            <w:vAlign w:val="bottom"/>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425.1</w:t>
            </w:r>
          </w:p>
        </w:tc>
        <w:tc>
          <w:tcPr>
            <w:tcW w:w="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427.5</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5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31"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Pr>
          <w:p>
            <w:pPr>
              <w:jc w:val="center"/>
              <w:ind w:left="3090"/>
              <w:spacing w:after="0"/>
              <w:rPr>
                <w:sz w:val="20"/>
                <w:szCs w:val="20"/>
                <w:color w:val="auto"/>
              </w:rPr>
            </w:pPr>
            <w:r>
              <w:rPr>
                <w:rFonts w:ascii="Arial" w:cs="Arial" w:eastAsia="Arial" w:hAnsi="Arial"/>
                <w:sz w:val="18"/>
                <w:szCs w:val="18"/>
                <w:b w:val="1"/>
                <w:bCs w:val="1"/>
                <w:color w:val="auto"/>
              </w:rPr>
              <w:t>WASTE MANAGEMENT, INC.</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060" w:type="dxa"/>
            <w:vAlign w:val="bottom"/>
          </w:tcPr>
          <w:p>
            <w:pPr>
              <w:jc w:val="center"/>
              <w:ind w:left="309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60" w:type="dxa"/>
            <w:vAlign w:val="bottom"/>
          </w:tcPr>
          <w:p>
            <w:pPr>
              <w:jc w:val="center"/>
              <w:ind w:left="3090"/>
              <w:spacing w:after="0"/>
              <w:rPr>
                <w:sz w:val="20"/>
                <w:szCs w:val="20"/>
                <w:color w:val="auto"/>
              </w:rPr>
            </w:pPr>
            <w:r>
              <w:rPr>
                <w:rFonts w:ascii="Arial" w:cs="Arial" w:eastAsia="Arial" w:hAnsi="Arial"/>
                <w:sz w:val="18"/>
                <w:szCs w:val="18"/>
                <w:b w:val="1"/>
                <w:bCs w:val="1"/>
                <w:color w:val="auto"/>
                <w:w w:val="95"/>
              </w:rPr>
              <w:t>(In Millions)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60" w:type="dxa"/>
            <w:vAlign w:val="bottom"/>
          </w:tcPr>
          <w:p>
            <w:pPr>
              <w:jc w:val="center"/>
              <w:ind w:left="3090"/>
              <w:spacing w:after="0"/>
              <w:rPr>
                <w:sz w:val="20"/>
                <w:szCs w:val="20"/>
                <w:color w:val="auto"/>
              </w:rPr>
            </w:pPr>
            <w:r>
              <w:rPr>
                <w:rFonts w:ascii="Arial" w:cs="Arial" w:eastAsia="Arial" w:hAnsi="Arial"/>
                <w:sz w:val="18"/>
                <w:szCs w:val="18"/>
                <w:b w:val="1"/>
                <w:bCs w:val="1"/>
                <w:color w:val="auto"/>
                <w:w w:val="91"/>
              </w:rPr>
              <w:t>(Unaudited)</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06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2019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60" w:type="dxa"/>
            <w:vAlign w:val="bottom"/>
            <w:shd w:val="clear" w:color="auto" w:fill="CCEEFF"/>
          </w:tcPr>
          <w:p>
            <w:pPr>
              <w:ind w:left="372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54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553</w:t>
            </w:r>
          </w:p>
        </w:tc>
        <w:tc>
          <w:tcPr>
            <w:tcW w:w="40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ind w:left="180"/>
              <w:spacing w:after="0"/>
              <w:rPr>
                <w:sz w:val="20"/>
                <w:szCs w:val="20"/>
                <w:color w:val="auto"/>
              </w:rPr>
            </w:pPr>
            <w:r>
              <w:rPr>
                <w:rFonts w:ascii="Arial" w:cs="Arial" w:eastAsia="Arial" w:hAnsi="Arial"/>
                <w:sz w:val="18"/>
                <w:szCs w:val="18"/>
                <w:color w:val="auto"/>
              </w:rPr>
              <w:t>Receivables, net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2,624</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2,319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363</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6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3,540</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6,209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14,148</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8,994</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6,532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1,024</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1,639</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1,588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6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29,345</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27,743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60" w:type="dxa"/>
            <w:vAlign w:val="bottom"/>
            <w:vMerge w:val="restart"/>
          </w:tcPr>
          <w:p>
            <w:pPr>
              <w:ind w:left="2900"/>
              <w:spacing w:after="0"/>
              <w:rPr>
                <w:sz w:val="20"/>
                <w:szCs w:val="20"/>
                <w:color w:val="auto"/>
              </w:rPr>
            </w:pPr>
            <w:r>
              <w:rPr>
                <w:rFonts w:ascii="Arial" w:cs="Arial" w:eastAsia="Arial" w:hAnsi="Arial"/>
                <w:sz w:val="18"/>
                <w:szCs w:val="18"/>
                <w:b w:val="1"/>
                <w:bCs w:val="1"/>
                <w:color w:val="auto"/>
              </w:rPr>
              <w:t>LIABILITIES AND EQUITY</w:t>
            </w: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ind w:left="180"/>
              <w:spacing w:after="0"/>
              <w:rPr>
                <w:sz w:val="20"/>
                <w:szCs w:val="20"/>
                <w:color w:val="auto"/>
              </w:rPr>
            </w:pPr>
            <w:r>
              <w:rPr>
                <w:rFonts w:ascii="Arial" w:cs="Arial" w:eastAsia="Arial" w:hAnsi="Arial"/>
                <w:sz w:val="18"/>
                <w:szCs w:val="18"/>
                <w:color w:val="auto"/>
              </w:rPr>
              <w:t>Accounts payable, accrued liabilities and deferred revenues</w:t>
            </w:r>
          </w:p>
        </w:tc>
        <w:tc>
          <w:tcPr>
            <w:tcW w:w="5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3,002</w:t>
            </w:r>
          </w:p>
        </w:tc>
        <w:tc>
          <w:tcPr>
            <w:tcW w:w="400" w:type="dxa"/>
            <w:vAlign w:val="bottom"/>
            <w:gridSpan w:val="2"/>
          </w:tcPr>
          <w:p>
            <w:pPr>
              <w:jc w:val="right"/>
              <w:ind w:right="227"/>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2,926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551</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6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3,553</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13,259</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5,079</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4,249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6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21,891</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60" w:type="dxa"/>
            <w:vAlign w:val="bottom"/>
          </w:tcPr>
          <w:p>
            <w:pPr>
              <w:spacing w:after="0"/>
              <w:rPr>
                <w:sz w:val="20"/>
                <w:szCs w:val="20"/>
                <w:color w:val="auto"/>
              </w:rPr>
            </w:pPr>
            <w:r>
              <w:rPr>
                <w:rFonts w:ascii="Arial" w:cs="Arial" w:eastAsia="Arial" w:hAnsi="Arial"/>
                <w:sz w:val="18"/>
                <w:szCs w:val="18"/>
                <w:color w:val="auto"/>
              </w:rPr>
              <w:t>Equity:</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Waste Management, Inc. stockholders’ equity</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7,452</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equity</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7,454</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60" w:type="dxa"/>
            <w:vAlign w:val="bottom"/>
          </w:tcPr>
          <w:p>
            <w:pPr>
              <w:ind w:left="500"/>
              <w:spacing w:after="0"/>
              <w:rPr>
                <w:sz w:val="20"/>
                <w:szCs w:val="20"/>
                <w:color w:val="auto"/>
              </w:rPr>
            </w:pPr>
            <w:r>
              <w:rPr>
                <w:rFonts w:ascii="Arial" w:cs="Arial" w:eastAsia="Arial" w:hAnsi="Arial"/>
                <w:sz w:val="18"/>
                <w:szCs w:val="18"/>
                <w:color w:val="auto"/>
              </w:rPr>
              <w:t>Total liabilities and equity</w:t>
            </w:r>
          </w:p>
        </w:tc>
        <w:tc>
          <w:tcPr>
            <w:tcW w:w="28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29,345</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27,743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80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Years Ended</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72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2019</w:t>
            </w:r>
          </w:p>
        </w:tc>
        <w:tc>
          <w:tcPr>
            <w:tcW w:w="100" w:type="dxa"/>
            <w:vAlign w:val="bottom"/>
            <w:tcBorders>
              <w:bottom w:val="single" w:sz="8" w:color="CCEEFF"/>
            </w:tcBorders>
          </w:tcPr>
          <w:p>
            <w:pPr>
              <w:spacing w:after="0"/>
              <w:rPr>
                <w:sz w:val="18"/>
                <w:szCs w:val="18"/>
                <w:color w:val="auto"/>
              </w:rPr>
            </w:pPr>
          </w:p>
        </w:tc>
      </w:tr>
      <w:tr>
        <w:trPr>
          <w:trHeight w:val="209"/>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8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1,496</w:t>
            </w:r>
          </w:p>
        </w:tc>
        <w:tc>
          <w:tcPr>
            <w:tcW w:w="5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1,671</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consolidated net income to net cash provided by operating activities:</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1,671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1,574</w:t>
            </w:r>
          </w:p>
        </w:tc>
      </w:tr>
      <w:tr>
        <w:trPr>
          <w:trHeight w:val="216"/>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early extinguishment of debt, net</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r>
      <w:tr>
        <w:trPr>
          <w:trHeight w:val="216"/>
        </w:trPr>
        <w:tc>
          <w:tcPr>
            <w:tcW w:w="7720" w:type="dxa"/>
            <w:vAlign w:val="bottom"/>
          </w:tcPr>
          <w:p>
            <w:pPr>
              <w:ind w:left="180"/>
              <w:spacing w:after="0"/>
              <w:rPr>
                <w:sz w:val="20"/>
                <w:szCs w:val="20"/>
                <w:color w:val="auto"/>
              </w:rPr>
            </w:pPr>
            <w:r>
              <w:rPr>
                <w:rFonts w:ascii="Arial" w:cs="Arial" w:eastAsia="Arial" w:hAnsi="Arial"/>
                <w:sz w:val="18"/>
                <w:szCs w:val="18"/>
                <w:color w:val="auto"/>
              </w:rPr>
              <w:t>Other</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464</w:t>
            </w:r>
          </w:p>
        </w:tc>
      </w:tr>
      <w:tr>
        <w:trPr>
          <w:trHeight w:val="216"/>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r>
      <w:tr>
        <w:trPr>
          <w:trHeight w:val="210"/>
        </w:trPr>
        <w:tc>
          <w:tcPr>
            <w:tcW w:w="7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6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3,874</w:t>
            </w:r>
          </w:p>
        </w:tc>
        <w:tc>
          <w:tcPr>
            <w:tcW w:w="100" w:type="dxa"/>
            <w:vAlign w:val="bottom"/>
            <w:tcBorders>
              <w:bottom w:val="single" w:sz="8" w:color="CCEEFF"/>
            </w:tcBorders>
          </w:tcPr>
          <w:p>
            <w:pPr>
              <w:spacing w:after="0"/>
              <w:rPr>
                <w:sz w:val="18"/>
                <w:szCs w:val="18"/>
                <w:color w:val="auto"/>
              </w:rPr>
            </w:pPr>
          </w:p>
        </w:tc>
      </w:tr>
      <w:tr>
        <w:trPr>
          <w:trHeight w:val="209"/>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20" w:type="dxa"/>
            <w:vAlign w:val="bottom"/>
          </w:tcPr>
          <w:p>
            <w:pPr>
              <w:ind w:left="180"/>
              <w:spacing w:after="0"/>
              <w:rPr>
                <w:sz w:val="20"/>
                <w:szCs w:val="20"/>
                <w:color w:val="auto"/>
              </w:rPr>
            </w:pPr>
            <w:r>
              <w:rPr>
                <w:rFonts w:ascii="Arial" w:cs="Arial" w:eastAsia="Arial" w:hAnsi="Arial"/>
                <w:sz w:val="18"/>
                <w:szCs w:val="18"/>
                <w:color w:val="auto"/>
              </w:rPr>
              <w:t>Acquisitions of businesses, net of cash acquired</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(4,085)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(521)</w:t>
            </w:r>
          </w:p>
        </w:tc>
      </w:tr>
      <w:tr>
        <w:trPr>
          <w:trHeight w:val="216"/>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(1,818)</w:t>
            </w:r>
          </w:p>
        </w:tc>
      </w:tr>
      <w:tr>
        <w:trPr>
          <w:trHeight w:val="216"/>
        </w:trPr>
        <w:tc>
          <w:tcPr>
            <w:tcW w:w="7720" w:type="dxa"/>
            <w:vAlign w:val="bottom"/>
          </w:tcPr>
          <w:p>
            <w:pPr>
              <w:ind w:left="180"/>
              <w:spacing w:after="0"/>
              <w:rPr>
                <w:sz w:val="20"/>
                <w:szCs w:val="20"/>
                <w:color w:val="auto"/>
              </w:rPr>
            </w:pPr>
            <w:r>
              <w:rPr>
                <w:rFonts w:ascii="Arial" w:cs="Arial" w:eastAsia="Arial" w:hAnsi="Arial"/>
                <w:sz w:val="18"/>
                <w:szCs w:val="18"/>
                <w:color w:val="auto"/>
              </w:rPr>
              <w:t>Proceeds from divestitures of businesses and other assets (net of cash divested)</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885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r>
      <w:tr>
        <w:trPr>
          <w:trHeight w:val="216"/>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w:t>
            </w:r>
          </w:p>
        </w:tc>
      </w:tr>
      <w:tr>
        <w:trPr>
          <w:trHeight w:val="209"/>
        </w:trPr>
        <w:tc>
          <w:tcPr>
            <w:tcW w:w="7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investing activities</w:t>
            </w:r>
          </w:p>
        </w:tc>
        <w:tc>
          <w:tcPr>
            <w:tcW w:w="6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(4,847)</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(2,376)</w:t>
            </w:r>
          </w:p>
        </w:tc>
        <w:tc>
          <w:tcPr>
            <w:tcW w:w="100" w:type="dxa"/>
            <w:vAlign w:val="bottom"/>
            <w:tcBorders>
              <w:bottom w:val="single" w:sz="8" w:color="CCEEFF"/>
            </w:tcBorders>
          </w:tcPr>
          <w:p>
            <w:pPr>
              <w:spacing w:after="0"/>
              <w:rPr>
                <w:sz w:val="18"/>
                <w:szCs w:val="18"/>
                <w:color w:val="auto"/>
              </w:rPr>
            </w:pPr>
          </w:p>
        </w:tc>
      </w:tr>
      <w:tr>
        <w:trPr>
          <w:trHeight w:val="209"/>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20" w:type="dxa"/>
            <w:vAlign w:val="bottom"/>
          </w:tcPr>
          <w:p>
            <w:pPr>
              <w:ind w:left="180"/>
              <w:spacing w:after="0"/>
              <w:rPr>
                <w:sz w:val="20"/>
                <w:szCs w:val="20"/>
                <w:color w:val="auto"/>
              </w:rPr>
            </w:pPr>
            <w:r>
              <w:rPr>
                <w:rFonts w:ascii="Arial" w:cs="Arial" w:eastAsia="Arial" w:hAnsi="Arial"/>
                <w:sz w:val="18"/>
                <w:szCs w:val="18"/>
                <w:color w:val="auto"/>
              </w:rPr>
              <w:t>New borrowings</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5,790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4,683</w:t>
            </w:r>
          </w:p>
        </w:tc>
      </w:tr>
      <w:tr>
        <w:trPr>
          <w:trHeight w:val="216"/>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 repayments</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(7,807)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(533)</w:t>
            </w:r>
          </w:p>
        </w:tc>
      </w:tr>
      <w:tr>
        <w:trPr>
          <w:trHeight w:val="216"/>
        </w:trPr>
        <w:tc>
          <w:tcPr>
            <w:tcW w:w="7720" w:type="dxa"/>
            <w:vAlign w:val="bottom"/>
          </w:tcPr>
          <w:p>
            <w:pPr>
              <w:ind w:left="180"/>
              <w:spacing w:after="0"/>
              <w:rPr>
                <w:sz w:val="20"/>
                <w:szCs w:val="20"/>
                <w:color w:val="auto"/>
              </w:rPr>
            </w:pPr>
            <w:r>
              <w:rPr>
                <w:rFonts w:ascii="Arial" w:cs="Arial" w:eastAsia="Arial" w:hAnsi="Arial"/>
                <w:sz w:val="18"/>
                <w:szCs w:val="18"/>
                <w:color w:val="auto"/>
              </w:rPr>
              <w:t>Premiums paid on early extinguishment of debt</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r>
      <w:tr>
        <w:trPr>
          <w:trHeight w:val="216"/>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commercial paper borrowings (repayments)</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(1,001)</w:t>
            </w:r>
          </w:p>
        </w:tc>
      </w:tr>
      <w:tr>
        <w:trPr>
          <w:trHeight w:val="216"/>
        </w:trPr>
        <w:tc>
          <w:tcPr>
            <w:tcW w:w="7720" w:type="dxa"/>
            <w:vAlign w:val="bottom"/>
          </w:tcPr>
          <w:p>
            <w:pPr>
              <w:ind w:left="180"/>
              <w:spacing w:after="0"/>
              <w:rPr>
                <w:sz w:val="20"/>
                <w:szCs w:val="20"/>
                <w:color w:val="auto"/>
              </w:rPr>
            </w:pPr>
            <w:r>
              <w:rPr>
                <w:rFonts w:ascii="Arial" w:cs="Arial" w:eastAsia="Arial" w:hAnsi="Arial"/>
                <w:sz w:val="18"/>
                <w:szCs w:val="18"/>
                <w:color w:val="auto"/>
              </w:rPr>
              <w:t>Common stock repurchase program</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(248)</w:t>
            </w:r>
          </w:p>
        </w:tc>
      </w:tr>
      <w:tr>
        <w:trPr>
          <w:trHeight w:val="216"/>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dividends</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(876)</w:t>
            </w:r>
          </w:p>
        </w:tc>
      </w:tr>
      <w:tr>
        <w:trPr>
          <w:trHeight w:val="216"/>
        </w:trPr>
        <w:tc>
          <w:tcPr>
            <w:tcW w:w="7720" w:type="dxa"/>
            <w:vAlign w:val="bottom"/>
          </w:tcPr>
          <w:p>
            <w:pPr>
              <w:ind w:left="180"/>
              <w:spacing w:after="0"/>
              <w:rPr>
                <w:sz w:val="20"/>
                <w:szCs w:val="20"/>
                <w:color w:val="auto"/>
              </w:rPr>
            </w:pPr>
            <w:r>
              <w:rPr>
                <w:rFonts w:ascii="Arial" w:cs="Arial" w:eastAsia="Arial" w:hAnsi="Arial"/>
                <w:sz w:val="18"/>
                <w:szCs w:val="18"/>
                <w:color w:val="auto"/>
              </w:rPr>
              <w:t>Exercise of common stock options</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r>
      <w:tr>
        <w:trPr>
          <w:trHeight w:val="216"/>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payments associated with equity-based compensation transactions</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r>
      <w:tr>
        <w:trPr>
          <w:trHeight w:val="216"/>
        </w:trPr>
        <w:tc>
          <w:tcPr>
            <w:tcW w:w="772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10"/>
        </w:trPr>
        <w:tc>
          <w:tcPr>
            <w:tcW w:w="7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6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6"/>
              </w:rPr>
              <w:t>Effect of exchange rate changes on cash, cash equivalents and restricted cash and cash equivalents</w:t>
            </w:r>
          </w:p>
        </w:tc>
        <w:tc>
          <w:tcPr>
            <w:tcW w:w="6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8"/>
                <w:szCs w:val="18"/>
                <w:color w:val="auto"/>
              </w:rPr>
            </w:pPr>
          </w:p>
        </w:tc>
      </w:tr>
      <w:tr>
        <w:trPr>
          <w:trHeight w:val="209"/>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cash, cash equivalents and restricted cash and cash equivalents</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3,464</w:t>
            </w:r>
          </w:p>
        </w:tc>
        <w:tc>
          <w:tcPr>
            <w:tcW w:w="10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Cash, cash equivalents and restricted cash and cash equivalents at beginning of period</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3,647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183</w:t>
            </w:r>
          </w:p>
        </w:tc>
      </w:tr>
      <w:tr>
        <w:trPr>
          <w:trHeight w:val="209"/>
        </w:trPr>
        <w:tc>
          <w:tcPr>
            <w:tcW w:w="7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and cash equivalents at end of period</w:t>
            </w: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6"/>
        </w:trPr>
        <w:tc>
          <w:tcPr>
            <w:tcW w:w="77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00" w:type="dxa"/>
            <w:vAlign w:val="bottom"/>
            <w:gridSpan w:val="10"/>
          </w:tcPr>
          <w:p>
            <w:pPr>
              <w:jc w:val="center"/>
              <w:ind w:left="250"/>
              <w:spacing w:after="0"/>
              <w:rPr>
                <w:sz w:val="20"/>
                <w:szCs w:val="20"/>
                <w:color w:val="auto"/>
              </w:rPr>
            </w:pPr>
            <w:r>
              <w:rPr>
                <w:rFonts w:ascii="Arial" w:cs="Arial" w:eastAsia="Arial" w:hAnsi="Arial"/>
                <w:sz w:val="18"/>
                <w:szCs w:val="18"/>
                <w:b w:val="1"/>
                <w:bCs w:val="1"/>
                <w:color w:val="auto"/>
              </w:rPr>
              <w:t>WASTE MANAGEMENT, INC.</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00" w:type="dxa"/>
            <w:vAlign w:val="bottom"/>
            <w:gridSpan w:val="10"/>
          </w:tcPr>
          <w:p>
            <w:pPr>
              <w:jc w:val="center"/>
              <w:ind w:left="250"/>
              <w:spacing w:after="0"/>
              <w:rPr>
                <w:sz w:val="20"/>
                <w:szCs w:val="20"/>
                <w:color w:val="auto"/>
              </w:rPr>
            </w:pPr>
            <w:r>
              <w:rPr>
                <w:rFonts w:ascii="Arial" w:cs="Arial" w:eastAsia="Arial" w:hAnsi="Arial"/>
                <w:sz w:val="18"/>
                <w:szCs w:val="18"/>
                <w:b w:val="1"/>
                <w:bCs w:val="1"/>
                <w:color w:val="auto"/>
                <w:w w:val="99"/>
              </w:rPr>
              <w:t>SUMMARY DATA SHEET</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7"/>
          </w:tcPr>
          <w:p>
            <w:pPr>
              <w:jc w:val="center"/>
              <w:ind w:right="730"/>
              <w:spacing w:after="0"/>
              <w:rPr>
                <w:sz w:val="20"/>
                <w:szCs w:val="20"/>
                <w:color w:val="auto"/>
              </w:rPr>
            </w:pPr>
            <w:r>
              <w:rPr>
                <w:rFonts w:ascii="Arial" w:cs="Arial" w:eastAsia="Arial" w:hAnsi="Arial"/>
                <w:sz w:val="18"/>
                <w:szCs w:val="18"/>
                <w:b w:val="1"/>
                <w:bCs w:val="1"/>
                <w:color w:val="auto"/>
                <w:w w:val="95"/>
              </w:rPr>
              <w:t>(In Millions)</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7"/>
          </w:tcPr>
          <w:p>
            <w:pPr>
              <w:jc w:val="center"/>
              <w:ind w:right="73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180" w:type="dxa"/>
            <w:vAlign w:val="bottom"/>
            <w:gridSpan w:val="2"/>
          </w:tcPr>
          <w:p>
            <w:pPr>
              <w:spacing w:after="0"/>
              <w:rPr>
                <w:sz w:val="20"/>
                <w:szCs w:val="20"/>
                <w:color w:val="auto"/>
              </w:rPr>
            </w:pPr>
            <w:r>
              <w:rPr>
                <w:rFonts w:ascii="Arial" w:cs="Arial" w:eastAsia="Arial" w:hAnsi="Arial"/>
                <w:sz w:val="18"/>
                <w:szCs w:val="18"/>
                <w:b w:val="1"/>
                <w:bCs w:val="1"/>
                <w:color w:val="auto"/>
                <w:w w:val="90"/>
              </w:rPr>
              <w:t>Operating Revenues by Line of Business</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gridSpan w:val="9"/>
          </w:tcPr>
          <w:p>
            <w:pPr>
              <w:jc w:val="center"/>
              <w:ind w:right="470"/>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8"/>
          </w:tcPr>
          <w:p>
            <w:pPr>
              <w:jc w:val="right"/>
              <w:ind w:right="960"/>
              <w:spacing w:after="0"/>
              <w:rPr>
                <w:sz w:val="20"/>
                <w:szCs w:val="20"/>
                <w:color w:val="auto"/>
              </w:rPr>
            </w:pPr>
            <w:r>
              <w:rPr>
                <w:rFonts w:ascii="Arial" w:cs="Arial" w:eastAsia="Arial" w:hAnsi="Arial"/>
                <w:sz w:val="18"/>
                <w:szCs w:val="18"/>
                <w:b w:val="1"/>
                <w:bCs w:val="1"/>
                <w:color w:val="auto"/>
                <w:w w:val="97"/>
              </w:rPr>
              <w:t>Years Ended</w:t>
            </w:r>
          </w:p>
        </w:tc>
        <w:tc>
          <w:tcPr>
            <w:tcW w:w="0" w:type="dxa"/>
            <w:vAlign w:val="bottom"/>
          </w:tcPr>
          <w:p>
            <w:pPr>
              <w:spacing w:after="0"/>
              <w:rPr>
                <w:sz w:val="1"/>
                <w:szCs w:val="1"/>
                <w:color w:val="auto"/>
              </w:rPr>
            </w:pPr>
          </w:p>
        </w:tc>
      </w:tr>
      <w:tr>
        <w:trPr>
          <w:trHeight w:val="234"/>
        </w:trPr>
        <w:tc>
          <w:tcPr>
            <w:tcW w:w="2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4"/>
          </w:tcPr>
          <w:p>
            <w:pPr>
              <w:jc w:val="center"/>
              <w:ind w:left="270"/>
              <w:spacing w:after="0"/>
              <w:rPr>
                <w:sz w:val="20"/>
                <w:szCs w:val="20"/>
                <w:color w:val="auto"/>
              </w:rPr>
            </w:pPr>
            <w:r>
              <w:rPr>
                <w:rFonts w:ascii="Arial" w:cs="Arial" w:eastAsia="Arial" w:hAnsi="Arial"/>
                <w:sz w:val="18"/>
                <w:szCs w:val="18"/>
                <w:b w:val="1"/>
                <w:bCs w:val="1"/>
                <w:color w:val="auto"/>
                <w:w w:val="88"/>
              </w:rPr>
              <w:t>December 31,</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8"/>
          </w:tcPr>
          <w:p>
            <w:pPr>
              <w:jc w:val="right"/>
              <w:ind w:right="92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23"/>
        </w:trPr>
        <w:tc>
          <w:tcPr>
            <w:tcW w:w="276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89"/>
              </w:rPr>
              <w:t>2019</w:t>
            </w:r>
          </w:p>
        </w:tc>
        <w:tc>
          <w:tcPr>
            <w:tcW w:w="1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26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1"/>
              <w:spacing w:after="0"/>
              <w:rPr>
                <w:sz w:val="20"/>
                <w:szCs w:val="20"/>
                <w:color w:val="auto"/>
              </w:rPr>
            </w:pPr>
            <w:r>
              <w:rPr>
                <w:rFonts w:ascii="Arial" w:cs="Arial" w:eastAsia="Arial" w:hAnsi="Arial"/>
                <w:sz w:val="15"/>
                <w:szCs w:val="15"/>
                <w:color w:val="auto"/>
                <w:w w:val="71"/>
              </w:rPr>
              <w:t>$</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7"/>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4,102</w:t>
            </w:r>
          </w:p>
        </w:tc>
        <w:tc>
          <w:tcPr>
            <w:tcW w:w="1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Residential</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130"/>
              <w:spacing w:after="0"/>
              <w:rPr>
                <w:sz w:val="20"/>
                <w:szCs w:val="20"/>
                <w:color w:val="auto"/>
              </w:rPr>
            </w:pPr>
            <w:r>
              <w:rPr>
                <w:rFonts w:ascii="Arial" w:cs="Arial" w:eastAsia="Arial" w:hAnsi="Arial"/>
                <w:sz w:val="18"/>
                <w:szCs w:val="18"/>
                <w:color w:val="auto"/>
              </w:rPr>
              <w:t>747</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5"/>
          </w:tcPr>
          <w:p>
            <w:pPr>
              <w:jc w:val="right"/>
              <w:ind w:right="10"/>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4"/>
          </w:tcPr>
          <w:p>
            <w:pPr>
              <w:jc w:val="right"/>
              <w:ind w:right="160"/>
              <w:spacing w:after="0"/>
              <w:rPr>
                <w:sz w:val="20"/>
                <w:szCs w:val="20"/>
                <w:color w:val="auto"/>
              </w:rPr>
            </w:pPr>
            <w:r>
              <w:rPr>
                <w:rFonts w:ascii="Arial" w:cs="Arial" w:eastAsia="Arial" w:hAnsi="Arial"/>
                <w:sz w:val="18"/>
                <w:szCs w:val="18"/>
                <w:color w:val="auto"/>
              </w:rPr>
              <w:t>2,716</w:t>
            </w:r>
          </w:p>
        </w:tc>
        <w:tc>
          <w:tcPr>
            <w:tcW w:w="22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2,613</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743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10"/>
              <w:spacing w:after="0"/>
              <w:rPr>
                <w:sz w:val="20"/>
                <w:szCs w:val="20"/>
                <w:color w:val="auto"/>
              </w:rPr>
            </w:pPr>
            <w:r>
              <w:rPr>
                <w:rFonts w:ascii="Arial" w:cs="Arial" w:eastAsia="Arial" w:hAnsi="Arial"/>
                <w:sz w:val="18"/>
                <w:szCs w:val="18"/>
                <w:color w:val="auto"/>
              </w:rPr>
              <w:t>726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2,770</w:t>
            </w:r>
          </w:p>
        </w:tc>
        <w:tc>
          <w:tcPr>
            <w:tcW w:w="220" w:type="dxa"/>
            <w:vAlign w:val="bottom"/>
            <w:tcBorders>
              <w:left w:val="single" w:sz="8" w:color="CCEEFF"/>
            </w:tcBorders>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2,916</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Other collection</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3"/>
          </w:tcPr>
          <w:p>
            <w:pPr>
              <w:jc w:val="right"/>
              <w:ind w:right="130"/>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5"/>
          </w:tcPr>
          <w:p>
            <w:pPr>
              <w:jc w:val="right"/>
              <w:ind w:right="1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4"/>
          </w:tcPr>
          <w:p>
            <w:pPr>
              <w:jc w:val="right"/>
              <w:ind w:right="160"/>
              <w:spacing w:after="0"/>
              <w:rPr>
                <w:sz w:val="20"/>
                <w:szCs w:val="20"/>
                <w:color w:val="auto"/>
              </w:rPr>
            </w:pPr>
            <w:r>
              <w:rPr>
                <w:rFonts w:ascii="Arial" w:cs="Arial" w:eastAsia="Arial" w:hAnsi="Arial"/>
                <w:sz w:val="18"/>
                <w:szCs w:val="18"/>
                <w:color w:val="auto"/>
              </w:rPr>
              <w:t>465</w:t>
            </w:r>
          </w:p>
        </w:tc>
        <w:tc>
          <w:tcPr>
            <w:tcW w:w="220" w:type="dxa"/>
            <w:vAlign w:val="bottom"/>
          </w:tcPr>
          <w:p>
            <w:pPr>
              <w:spacing w:after="0"/>
              <w:rPr>
                <w:sz w:val="19"/>
                <w:szCs w:val="19"/>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09"/>
        </w:trPr>
        <w:tc>
          <w:tcPr>
            <w:tcW w:w="27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collection</w:t>
            </w:r>
          </w:p>
        </w:tc>
        <w:tc>
          <w:tcPr>
            <w:tcW w:w="4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2,694</w:t>
            </w:r>
          </w:p>
        </w:tc>
        <w:tc>
          <w:tcPr>
            <w:tcW w:w="260" w:type="dxa"/>
            <w:vAlign w:val="bottom"/>
            <w:tcBorders>
              <w:top w:val="single" w:sz="8" w:color="CCEEFF"/>
              <w:left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2,586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10,053</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left w:val="single" w:sz="8" w:color="CCEEFF"/>
            </w:tcBorders>
            <w:shd w:val="clear" w:color="auto" w:fill="CCEEFF"/>
          </w:tcPr>
          <w:p>
            <w:pPr>
              <w:spacing w:after="0"/>
              <w:rPr>
                <w:sz w:val="18"/>
                <w:szCs w:val="18"/>
                <w:color w:val="auto"/>
              </w:rPr>
            </w:pP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Landfill</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130"/>
              <w:spacing w:after="0"/>
              <w:rPr>
                <w:sz w:val="20"/>
                <w:szCs w:val="20"/>
                <w:color w:val="auto"/>
              </w:rPr>
            </w:pPr>
            <w:r>
              <w:rPr>
                <w:rFonts w:ascii="Arial" w:cs="Arial" w:eastAsia="Arial" w:hAnsi="Arial"/>
                <w:sz w:val="18"/>
                <w:szCs w:val="18"/>
                <w:color w:val="auto"/>
              </w:rPr>
              <w:t>960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5"/>
          </w:tcPr>
          <w:p>
            <w:pPr>
              <w:jc w:val="right"/>
              <w:ind w:right="10"/>
              <w:spacing w:after="0"/>
              <w:rPr>
                <w:sz w:val="20"/>
                <w:szCs w:val="20"/>
                <w:color w:val="auto"/>
              </w:rPr>
            </w:pPr>
            <w:r>
              <w:rPr>
                <w:rFonts w:ascii="Arial" w:cs="Arial" w:eastAsia="Arial" w:hAnsi="Arial"/>
                <w:sz w:val="18"/>
                <w:szCs w:val="18"/>
                <w:color w:val="auto"/>
              </w:rPr>
              <w:t>966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4"/>
          </w:tcPr>
          <w:p>
            <w:pPr>
              <w:jc w:val="right"/>
              <w:ind w:right="160"/>
              <w:spacing w:after="0"/>
              <w:rPr>
                <w:sz w:val="20"/>
                <w:szCs w:val="20"/>
                <w:color w:val="auto"/>
              </w:rPr>
            </w:pPr>
            <w:r>
              <w:rPr>
                <w:rFonts w:ascii="Arial" w:cs="Arial" w:eastAsia="Arial" w:hAnsi="Arial"/>
                <w:sz w:val="18"/>
                <w:szCs w:val="18"/>
                <w:color w:val="auto"/>
              </w:rPr>
              <w:t>3,667</w:t>
            </w:r>
          </w:p>
        </w:tc>
        <w:tc>
          <w:tcPr>
            <w:tcW w:w="22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3,846</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493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10"/>
              <w:spacing w:after="0"/>
              <w:rPr>
                <w:sz w:val="20"/>
                <w:szCs w:val="20"/>
                <w:color w:val="auto"/>
              </w:rPr>
            </w:pPr>
            <w:r>
              <w:rPr>
                <w:rFonts w:ascii="Arial" w:cs="Arial" w:eastAsia="Arial" w:hAnsi="Arial"/>
                <w:sz w:val="18"/>
                <w:szCs w:val="18"/>
                <w:color w:val="auto"/>
              </w:rPr>
              <w:t>463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1,855</w:t>
            </w:r>
          </w:p>
        </w:tc>
        <w:tc>
          <w:tcPr>
            <w:tcW w:w="220" w:type="dxa"/>
            <w:vAlign w:val="bottom"/>
            <w:tcBorders>
              <w:left w:val="single" w:sz="8" w:color="CCEEFF"/>
            </w:tcBorders>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1,820</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Recycling</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130"/>
              <w:spacing w:after="0"/>
              <w:rPr>
                <w:sz w:val="20"/>
                <w:szCs w:val="20"/>
                <w:color w:val="auto"/>
              </w:rPr>
            </w:pPr>
            <w:r>
              <w:rPr>
                <w:rFonts w:ascii="Arial" w:cs="Arial" w:eastAsia="Arial" w:hAnsi="Arial"/>
                <w:sz w:val="18"/>
                <w:szCs w:val="18"/>
                <w:color w:val="auto"/>
              </w:rPr>
              <w:t>308</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5"/>
          </w:tcPr>
          <w:p>
            <w:pPr>
              <w:jc w:val="right"/>
              <w:ind w:right="10"/>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4"/>
          </w:tcPr>
          <w:p>
            <w:pPr>
              <w:jc w:val="right"/>
              <w:ind w:right="160"/>
              <w:spacing w:after="0"/>
              <w:rPr>
                <w:sz w:val="20"/>
                <w:szCs w:val="20"/>
                <w:color w:val="auto"/>
              </w:rPr>
            </w:pPr>
            <w:r>
              <w:rPr>
                <w:rFonts w:ascii="Arial" w:cs="Arial" w:eastAsia="Arial" w:hAnsi="Arial"/>
                <w:sz w:val="18"/>
                <w:szCs w:val="18"/>
                <w:color w:val="auto"/>
              </w:rPr>
              <w:t>1,127</w:t>
            </w:r>
          </w:p>
        </w:tc>
        <w:tc>
          <w:tcPr>
            <w:tcW w:w="22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479</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10"/>
              <w:spacing w:after="0"/>
              <w:rPr>
                <w:sz w:val="20"/>
                <w:szCs w:val="20"/>
                <w:color w:val="auto"/>
              </w:rPr>
            </w:pPr>
            <w:r>
              <w:rPr>
                <w:rFonts w:ascii="Arial" w:cs="Arial" w:eastAsia="Arial" w:hAnsi="Arial"/>
                <w:sz w:val="18"/>
                <w:szCs w:val="18"/>
                <w:color w:val="auto"/>
              </w:rPr>
              <w:t>413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1,776</w:t>
            </w:r>
          </w:p>
        </w:tc>
        <w:tc>
          <w:tcPr>
            <w:tcW w:w="220" w:type="dxa"/>
            <w:vAlign w:val="bottom"/>
            <w:tcBorders>
              <w:left w:val="single" w:sz="8" w:color="CCEEFF"/>
            </w:tcBorders>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1,758</w:t>
            </w:r>
          </w:p>
        </w:tc>
        <w:tc>
          <w:tcPr>
            <w:tcW w:w="0" w:type="dxa"/>
            <w:vAlign w:val="bottom"/>
          </w:tcPr>
          <w:p>
            <w:pPr>
              <w:spacing w:after="0"/>
              <w:rPr>
                <w:sz w:val="1"/>
                <w:szCs w:val="1"/>
                <w:color w:val="auto"/>
              </w:rPr>
            </w:pPr>
          </w:p>
        </w:tc>
      </w:tr>
      <w:tr>
        <w:trPr>
          <w:trHeight w:val="229"/>
        </w:trPr>
        <w:tc>
          <w:tcPr>
            <w:tcW w:w="2760" w:type="dxa"/>
            <w:vAlign w:val="bottom"/>
          </w:tcPr>
          <w:p>
            <w:pPr>
              <w:spacing w:after="0"/>
              <w:rPr>
                <w:sz w:val="20"/>
                <w:szCs w:val="20"/>
                <w:color w:val="auto"/>
              </w:rPr>
            </w:pPr>
            <w:r>
              <w:rPr>
                <w:rFonts w:ascii="Arial" w:cs="Arial" w:eastAsia="Arial" w:hAnsi="Arial"/>
                <w:sz w:val="18"/>
                <w:szCs w:val="18"/>
                <w:color w:val="auto"/>
              </w:rPr>
              <w:t>Intercompany (a)</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3"/>
          </w:tcPr>
          <w:p>
            <w:pPr>
              <w:jc w:val="right"/>
              <w:ind w:right="70"/>
              <w:spacing w:after="0"/>
              <w:rPr>
                <w:sz w:val="20"/>
                <w:szCs w:val="20"/>
                <w:color w:val="auto"/>
              </w:rPr>
            </w:pPr>
            <w:r>
              <w:rPr>
                <w:rFonts w:ascii="Arial" w:cs="Arial" w:eastAsia="Arial" w:hAnsi="Arial"/>
                <w:sz w:val="18"/>
                <w:szCs w:val="18"/>
                <w:color w:val="auto"/>
              </w:rPr>
              <w:t>(867)</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5"/>
          </w:tcPr>
          <w:p>
            <w:pPr>
              <w:jc w:val="right"/>
              <w:spacing w:after="0"/>
              <w:rPr>
                <w:sz w:val="20"/>
                <w:szCs w:val="20"/>
                <w:color w:val="auto"/>
              </w:rPr>
            </w:pPr>
            <w:r>
              <w:rPr>
                <w:rFonts w:ascii="Arial" w:cs="Arial" w:eastAsia="Arial" w:hAnsi="Arial"/>
                <w:sz w:val="18"/>
                <w:szCs w:val="18"/>
                <w:color w:val="auto"/>
              </w:rPr>
              <w:t>(822)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4"/>
          </w:tcPr>
          <w:p>
            <w:pPr>
              <w:jc w:val="right"/>
              <w:ind w:right="100"/>
              <w:spacing w:after="0"/>
              <w:rPr>
                <w:sz w:val="20"/>
                <w:szCs w:val="20"/>
                <w:color w:val="auto"/>
              </w:rPr>
            </w:pPr>
            <w:r>
              <w:rPr>
                <w:rFonts w:ascii="Arial" w:cs="Arial" w:eastAsia="Arial" w:hAnsi="Arial"/>
                <w:sz w:val="18"/>
                <w:szCs w:val="18"/>
                <w:color w:val="auto"/>
                <w:w w:val="91"/>
              </w:rPr>
              <w:t>(3,260)</w:t>
            </w:r>
          </w:p>
        </w:tc>
        <w:tc>
          <w:tcPr>
            <w:tcW w:w="220" w:type="dxa"/>
            <w:vAlign w:val="bottom"/>
          </w:tcPr>
          <w:p>
            <w:pPr>
              <w:spacing w:after="0"/>
              <w:rPr>
                <w:sz w:val="19"/>
                <w:szCs w:val="19"/>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(3,249)</w:t>
            </w:r>
          </w:p>
        </w:tc>
        <w:tc>
          <w:tcPr>
            <w:tcW w:w="0" w:type="dxa"/>
            <w:vAlign w:val="bottom"/>
          </w:tcPr>
          <w:p>
            <w:pPr>
              <w:spacing w:after="0"/>
              <w:rPr>
                <w:sz w:val="1"/>
                <w:szCs w:val="1"/>
                <w:color w:val="auto"/>
              </w:rPr>
            </w:pPr>
          </w:p>
        </w:tc>
      </w:tr>
      <w:tr>
        <w:trPr>
          <w:trHeight w:val="223"/>
        </w:trPr>
        <w:tc>
          <w:tcPr>
            <w:tcW w:w="27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4,067</w:t>
            </w:r>
          </w:p>
        </w:tc>
        <w:tc>
          <w:tcPr>
            <w:tcW w:w="260" w:type="dxa"/>
            <w:vAlign w:val="bottom"/>
            <w:tcBorders>
              <w:top w:val="single" w:sz="8" w:color="CCEEFF"/>
              <w:left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41"/>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3,846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1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15,218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left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15,455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60" w:type="dxa"/>
            <w:vAlign w:val="bottom"/>
            <w:vMerge w:val="restart"/>
          </w:tcPr>
          <w:p>
            <w:pPr>
              <w:spacing w:after="0"/>
              <w:rPr>
                <w:sz w:val="20"/>
                <w:szCs w:val="20"/>
                <w:color w:val="auto"/>
              </w:rPr>
            </w:pPr>
            <w:r>
              <w:rPr>
                <w:rFonts w:ascii="Arial" w:cs="Arial" w:eastAsia="Arial" w:hAnsi="Arial"/>
                <w:sz w:val="18"/>
                <w:szCs w:val="18"/>
                <w:b w:val="1"/>
                <w:bCs w:val="1"/>
                <w:color w:val="auto"/>
              </w:rPr>
              <w:t>Internal Revenue Growth</w:t>
            </w: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7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00" w:type="dxa"/>
            <w:vAlign w:val="bottom"/>
            <w:gridSpan w:val="13"/>
          </w:tcPr>
          <w:p>
            <w:pPr>
              <w:jc w:val="center"/>
              <w:ind w:right="930"/>
              <w:spacing w:after="0"/>
              <w:rPr>
                <w:sz w:val="20"/>
                <w:szCs w:val="20"/>
                <w:color w:val="auto"/>
              </w:rPr>
            </w:pPr>
            <w:r>
              <w:rPr>
                <w:rFonts w:ascii="Arial" w:cs="Arial" w:eastAsia="Arial" w:hAnsi="Arial"/>
                <w:sz w:val="18"/>
                <w:szCs w:val="18"/>
                <w:b w:val="1"/>
                <w:bCs w:val="1"/>
                <w:color w:val="auto"/>
                <w:w w:val="90"/>
              </w:rPr>
              <w:t>Period-to-Period Change for the</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00" w:type="dxa"/>
            <w:vAlign w:val="bottom"/>
            <w:gridSpan w:val="16"/>
          </w:tcPr>
          <w:p>
            <w:pPr>
              <w:jc w:val="center"/>
              <w:ind w:right="940"/>
              <w:spacing w:after="0"/>
              <w:rPr>
                <w:sz w:val="20"/>
                <w:szCs w:val="20"/>
                <w:color w:val="auto"/>
              </w:rPr>
            </w:pPr>
            <w:r>
              <w:rPr>
                <w:rFonts w:ascii="Arial" w:cs="Arial" w:eastAsia="Arial" w:hAnsi="Arial"/>
                <w:sz w:val="18"/>
                <w:szCs w:val="18"/>
                <w:b w:val="1"/>
                <w:bCs w:val="1"/>
                <w:color w:val="auto"/>
                <w:w w:val="90"/>
              </w:rPr>
              <w:t>Period-to-Period Change for the</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7"/>
          </w:tcPr>
          <w:p>
            <w:pPr>
              <w:jc w:val="center"/>
              <w:ind w:right="20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7"/>
          </w:tcPr>
          <w:p>
            <w:pPr>
              <w:jc w:val="center"/>
              <w:ind w:right="280"/>
              <w:spacing w:after="0"/>
              <w:rPr>
                <w:sz w:val="20"/>
                <w:szCs w:val="20"/>
                <w:color w:val="auto"/>
              </w:rPr>
            </w:pPr>
            <w:r>
              <w:rPr>
                <w:rFonts w:ascii="Arial" w:cs="Arial" w:eastAsia="Arial" w:hAnsi="Arial"/>
                <w:sz w:val="18"/>
                <w:szCs w:val="18"/>
                <w:b w:val="1"/>
                <w:bCs w:val="1"/>
                <w:color w:val="auto"/>
                <w:w w:val="90"/>
              </w:rPr>
              <w:t>Year Ended</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80" w:type="dxa"/>
            <w:vAlign w:val="bottom"/>
            <w:gridSpan w:val="12"/>
          </w:tcPr>
          <w:p>
            <w:pPr>
              <w:jc w:val="center"/>
              <w:ind w:right="1030"/>
              <w:spacing w:after="0"/>
              <w:rPr>
                <w:sz w:val="20"/>
                <w:szCs w:val="20"/>
                <w:color w:val="auto"/>
              </w:rPr>
            </w:pPr>
            <w:r>
              <w:rPr>
                <w:rFonts w:ascii="Arial" w:cs="Arial" w:eastAsia="Arial" w:hAnsi="Arial"/>
                <w:sz w:val="18"/>
                <w:szCs w:val="18"/>
                <w:b w:val="1"/>
                <w:bCs w:val="1"/>
                <w:color w:val="auto"/>
                <w:w w:val="88"/>
              </w:rPr>
              <w:t>December 31, 2020 vs. 2019</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00" w:type="dxa"/>
            <w:vAlign w:val="bottom"/>
            <w:gridSpan w:val="12"/>
          </w:tcPr>
          <w:p>
            <w:pPr>
              <w:jc w:val="center"/>
              <w:spacing w:after="0"/>
              <w:rPr>
                <w:sz w:val="20"/>
                <w:szCs w:val="20"/>
                <w:color w:val="auto"/>
              </w:rPr>
            </w:pPr>
            <w:r>
              <w:rPr>
                <w:rFonts w:ascii="Arial" w:cs="Arial" w:eastAsia="Arial" w:hAnsi="Arial"/>
                <w:sz w:val="18"/>
                <w:szCs w:val="18"/>
                <w:b w:val="1"/>
                <w:bCs w:val="1"/>
                <w:color w:val="auto"/>
                <w:w w:val="88"/>
              </w:rPr>
              <w:t>December 31, 2020 vs. 2019</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76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3"/>
              </w:rPr>
              <w:t>As a % of</w:t>
            </w:r>
          </w:p>
        </w:tc>
        <w:tc>
          <w:tcPr>
            <w:tcW w:w="2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3"/>
              </w:rPr>
              <w:t>As a % of</w:t>
            </w:r>
          </w:p>
        </w:tc>
        <w:tc>
          <w:tcPr>
            <w:tcW w:w="2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6"/>
          </w:tcPr>
          <w:p>
            <w:pPr>
              <w:jc w:val="right"/>
              <w:ind w:right="320"/>
              <w:spacing w:after="0" w:line="191" w:lineRule="exact"/>
              <w:rPr>
                <w:sz w:val="20"/>
                <w:szCs w:val="20"/>
                <w:color w:val="auto"/>
              </w:rPr>
            </w:pPr>
            <w:r>
              <w:rPr>
                <w:rFonts w:ascii="Arial" w:cs="Arial" w:eastAsia="Arial" w:hAnsi="Arial"/>
                <w:sz w:val="18"/>
                <w:szCs w:val="18"/>
                <w:b w:val="1"/>
                <w:bCs w:val="1"/>
                <w:color w:val="auto"/>
                <w:w w:val="98"/>
              </w:rPr>
              <w:t>As a % of</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As a % of</w:t>
            </w:r>
          </w:p>
        </w:tc>
        <w:tc>
          <w:tcPr>
            <w:tcW w:w="2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Related</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70"/>
              <w:spacing w:after="0"/>
              <w:rPr>
                <w:sz w:val="20"/>
                <w:szCs w:val="20"/>
                <w:color w:val="auto"/>
              </w:rPr>
            </w:pPr>
            <w:r>
              <w:rPr>
                <w:rFonts w:ascii="Arial" w:cs="Arial" w:eastAsia="Arial" w:hAnsi="Arial"/>
                <w:sz w:val="18"/>
                <w:szCs w:val="18"/>
                <w:b w:val="1"/>
                <w:bCs w:val="1"/>
                <w:color w:val="auto"/>
                <w:w w:val="92"/>
              </w:rPr>
              <w:t>Total</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89"/>
              </w:rPr>
              <w:t>Related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34"/>
        </w:trPr>
        <w:tc>
          <w:tcPr>
            <w:tcW w:w="27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Amount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Business(b)</w:t>
            </w:r>
          </w:p>
        </w:tc>
        <w:tc>
          <w:tcPr>
            <w:tcW w:w="260" w:type="dxa"/>
            <w:vAlign w:val="bottom"/>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b w:val="1"/>
                <w:bCs w:val="1"/>
                <w:color w:val="auto"/>
                <w:w w:val="97"/>
              </w:rPr>
              <w:t>Amount</w:t>
            </w:r>
          </w:p>
        </w:tc>
        <w:tc>
          <w:tcPr>
            <w:tcW w:w="200" w:type="dxa"/>
            <w:vAlign w:val="bottom"/>
            <w:gridSpan w:val="2"/>
          </w:tcPr>
          <w:p>
            <w:pPr>
              <w:spacing w:after="0"/>
              <w:rPr>
                <w:sz w:val="20"/>
                <w:szCs w:val="20"/>
                <w:color w:val="auto"/>
              </w:rPr>
            </w:pPr>
          </w:p>
        </w:tc>
        <w:tc>
          <w:tcPr>
            <w:tcW w:w="9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Company(c)</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80" w:type="dxa"/>
            <w:vAlign w:val="bottom"/>
            <w:gridSpan w:val="9"/>
          </w:tcPr>
          <w:p>
            <w:pPr>
              <w:jc w:val="right"/>
              <w:ind w:right="260"/>
              <w:spacing w:after="0"/>
              <w:rPr>
                <w:sz w:val="20"/>
                <w:szCs w:val="20"/>
                <w:color w:val="auto"/>
              </w:rPr>
            </w:pPr>
            <w:r>
              <w:rPr>
                <w:rFonts w:ascii="Arial" w:cs="Arial" w:eastAsia="Arial" w:hAnsi="Arial"/>
                <w:sz w:val="18"/>
                <w:szCs w:val="18"/>
                <w:b w:val="1"/>
                <w:bCs w:val="1"/>
                <w:color w:val="auto"/>
                <w:w w:val="96"/>
              </w:rPr>
              <w:t>Amount   Business(b)</w:t>
            </w:r>
          </w:p>
        </w:tc>
        <w:tc>
          <w:tcPr>
            <w:tcW w:w="740" w:type="dxa"/>
            <w:vAlign w:val="bottom"/>
            <w:gridSpan w:val="5"/>
          </w:tcPr>
          <w:p>
            <w:pPr>
              <w:jc w:val="right"/>
              <w:ind w:right="4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11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Company(c)</w:t>
            </w:r>
          </w:p>
        </w:tc>
        <w:tc>
          <w:tcPr>
            <w:tcW w:w="0" w:type="dxa"/>
            <w:vAlign w:val="bottom"/>
          </w:tcPr>
          <w:p>
            <w:pPr>
              <w:spacing w:after="0"/>
              <w:rPr>
                <w:sz w:val="1"/>
                <w:szCs w:val="1"/>
                <w:color w:val="auto"/>
              </w:rPr>
            </w:pPr>
          </w:p>
        </w:tc>
      </w:tr>
      <w:tr>
        <w:trPr>
          <w:trHeight w:val="20"/>
        </w:trPr>
        <w:tc>
          <w:tcPr>
            <w:tcW w:w="27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Collection and disposal</w:t>
            </w:r>
          </w:p>
        </w:tc>
        <w:tc>
          <w:tcPr>
            <w:tcW w:w="4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60" w:type="dxa"/>
            <w:vAlign w:val="bottom"/>
            <w:vMerge w:val="continue"/>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1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4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299</w:t>
            </w:r>
          </w:p>
        </w:tc>
        <w:tc>
          <w:tcPr>
            <w:tcW w:w="2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Recycling commodities (d)</w:t>
            </w:r>
          </w:p>
        </w:tc>
        <w:tc>
          <w:tcPr>
            <w:tcW w:w="420" w:type="dxa"/>
            <w:vAlign w:val="bottom"/>
          </w:tcPr>
          <w:p>
            <w:pPr>
              <w:spacing w:after="0"/>
              <w:rPr>
                <w:sz w:val="18"/>
                <w:szCs w:val="18"/>
                <w:color w:val="auto"/>
              </w:rPr>
            </w:pP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71</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31.7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26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w w:val="95"/>
              </w:rPr>
              <w:t>Fuel surcharges and mandated fees</w:t>
            </w:r>
          </w:p>
        </w:tc>
        <w:tc>
          <w:tcPr>
            <w:tcW w:w="4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20" w:type="dxa"/>
            <w:vAlign w:val="bottom"/>
            <w:gridSpan w:val="4"/>
            <w:shd w:val="clear" w:color="auto" w:fill="CCEEFF"/>
          </w:tcPr>
          <w:p>
            <w:pPr>
              <w:jc w:val="right"/>
              <w:ind w:right="110"/>
              <w:spacing w:after="0"/>
              <w:rPr>
                <w:sz w:val="20"/>
                <w:szCs w:val="20"/>
                <w:color w:val="auto"/>
              </w:rPr>
            </w:pPr>
            <w:r>
              <w:rPr>
                <w:rFonts w:ascii="Arial" w:cs="Arial" w:eastAsia="Arial" w:hAnsi="Arial"/>
                <w:sz w:val="18"/>
                <w:szCs w:val="18"/>
                <w:color w:val="auto"/>
              </w:rPr>
              <w:t>(22.8)</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85"/>
              </w:rPr>
              <w:t>(151)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60" w:type="dxa"/>
            <w:vAlign w:val="bottom"/>
          </w:tcPr>
          <w:p>
            <w:pPr>
              <w:ind w:left="120"/>
              <w:spacing w:after="0"/>
              <w:rPr>
                <w:sz w:val="20"/>
                <w:szCs w:val="20"/>
                <w:color w:val="auto"/>
              </w:rPr>
            </w:pPr>
            <w:r>
              <w:rPr>
                <w:rFonts w:ascii="Arial" w:cs="Arial" w:eastAsia="Arial" w:hAnsi="Arial"/>
                <w:sz w:val="18"/>
                <w:szCs w:val="18"/>
                <w:color w:val="auto"/>
              </w:rPr>
              <w:t>Total average yield (e)</w:t>
            </w:r>
          </w:p>
        </w:tc>
        <w:tc>
          <w:tcPr>
            <w:tcW w:w="4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8"/>
                <w:szCs w:val="18"/>
                <w:color w:val="auto"/>
              </w:rPr>
            </w:pPr>
          </w:p>
        </w:tc>
        <w:tc>
          <w:tcPr>
            <w:tcW w:w="1220" w:type="dxa"/>
            <w:vAlign w:val="bottom"/>
            <w:gridSpan w:val="3"/>
          </w:tcPr>
          <w:p>
            <w:pPr>
              <w:jc w:val="right"/>
              <w:ind w:right="30"/>
              <w:spacing w:after="0"/>
              <w:rPr>
                <w:sz w:val="20"/>
                <w:szCs w:val="20"/>
                <w:color w:val="auto"/>
              </w:rPr>
            </w:pPr>
            <w:r>
              <w:rPr>
                <w:rFonts w:ascii="Arial" w:cs="Arial" w:eastAsia="Arial" w:hAnsi="Arial"/>
                <w:sz w:val="18"/>
                <w:szCs w:val="18"/>
                <w:color w:val="auto"/>
              </w:rPr>
              <w:t>3.1%</w:t>
            </w:r>
          </w:p>
        </w:tc>
        <w:tc>
          <w:tcPr>
            <w:tcW w:w="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223</w:t>
            </w:r>
          </w:p>
        </w:tc>
        <w:tc>
          <w:tcPr>
            <w:tcW w:w="22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Volume</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73"/>
              <w:spacing w:after="0"/>
              <w:rPr>
                <w:sz w:val="20"/>
                <w:szCs w:val="20"/>
                <w:color w:val="auto"/>
              </w:rPr>
            </w:pPr>
            <w:r>
              <w:rPr>
                <w:rFonts w:ascii="Arial" w:cs="Arial" w:eastAsia="Arial" w:hAnsi="Arial"/>
                <w:sz w:val="18"/>
                <w:szCs w:val="18"/>
                <w:color w:val="auto"/>
              </w:rPr>
              <w:t>(692)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60" w:type="dxa"/>
            <w:vAlign w:val="bottom"/>
            <w:vMerge w:val="restart"/>
          </w:tcPr>
          <w:p>
            <w:pPr>
              <w:ind w:left="120"/>
              <w:spacing w:after="0"/>
              <w:rPr>
                <w:sz w:val="20"/>
                <w:szCs w:val="20"/>
                <w:color w:val="auto"/>
              </w:rPr>
            </w:pPr>
            <w:r>
              <w:rPr>
                <w:rFonts w:ascii="Arial" w:cs="Arial" w:eastAsia="Arial" w:hAnsi="Arial"/>
                <w:sz w:val="18"/>
                <w:szCs w:val="18"/>
                <w:color w:val="auto"/>
              </w:rPr>
              <w:t>Internal revenue growth</w:t>
            </w: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6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8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(469)</w:t>
            </w:r>
          </w:p>
        </w:tc>
        <w:tc>
          <w:tcPr>
            <w:tcW w:w="220" w:type="dxa"/>
            <w:vAlign w:val="bottom"/>
            <w:vMerge w:val="continue"/>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Acquisitions</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6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20" w:type="dxa"/>
            <w:vAlign w:val="bottom"/>
            <w:tcBorders>
              <w:left w:val="single" w:sz="8" w:color="CCEEFF"/>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ind w:left="120"/>
              <w:spacing w:after="0"/>
              <w:rPr>
                <w:sz w:val="20"/>
                <w:szCs w:val="20"/>
                <w:color w:val="auto"/>
              </w:rPr>
            </w:pPr>
            <w:r>
              <w:rPr>
                <w:rFonts w:ascii="Arial" w:cs="Arial" w:eastAsia="Arial" w:hAnsi="Arial"/>
                <w:sz w:val="18"/>
                <w:szCs w:val="18"/>
                <w:color w:val="auto"/>
              </w:rPr>
              <w:t>Divestitures</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3"/>
          </w:tcPr>
          <w:p>
            <w:pPr>
              <w:ind w:left="380"/>
              <w:spacing w:after="0"/>
              <w:rPr>
                <w:sz w:val="20"/>
                <w:szCs w:val="20"/>
                <w:color w:val="auto"/>
              </w:rPr>
            </w:pPr>
            <w:r>
              <w:rPr>
                <w:rFonts w:ascii="Arial" w:cs="Arial" w:eastAsia="Arial" w:hAnsi="Arial"/>
                <w:sz w:val="18"/>
                <w:szCs w:val="18"/>
                <w:color w:val="auto"/>
                <w:w w:val="90"/>
              </w:rPr>
              <w:t>(5)</w:t>
            </w:r>
          </w:p>
        </w:tc>
        <w:tc>
          <w:tcPr>
            <w:tcW w:w="120" w:type="dxa"/>
            <w:vAlign w:val="bottom"/>
          </w:tcPr>
          <w:p>
            <w:pPr>
              <w:spacing w:after="0"/>
              <w:rPr>
                <w:sz w:val="18"/>
                <w:szCs w:val="18"/>
                <w:color w:val="auto"/>
              </w:rPr>
            </w:pPr>
          </w:p>
        </w:tc>
        <w:tc>
          <w:tcPr>
            <w:tcW w:w="1220" w:type="dxa"/>
            <w:vAlign w:val="bottom"/>
            <w:gridSpan w:val="3"/>
          </w:tcPr>
          <w:p>
            <w:pPr>
              <w:jc w:val="right"/>
              <w:ind w:right="11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5"/>
          </w:tcPr>
          <w:p>
            <w:pPr>
              <w:jc w:val="right"/>
              <w:ind w:right="73"/>
              <w:spacing w:after="0"/>
              <w:rPr>
                <w:sz w:val="20"/>
                <w:szCs w:val="20"/>
                <w:color w:val="auto"/>
              </w:rPr>
            </w:pPr>
            <w:r>
              <w:rPr>
                <w:rFonts w:ascii="Arial" w:cs="Arial" w:eastAsia="Arial" w:hAnsi="Arial"/>
                <w:sz w:val="18"/>
                <w:szCs w:val="18"/>
                <w:color w:val="auto"/>
              </w:rPr>
              <w:t>(8)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6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73"/>
              <w:spacing w:after="0"/>
              <w:rPr>
                <w:sz w:val="20"/>
                <w:szCs w:val="20"/>
                <w:color w:val="auto"/>
              </w:rPr>
            </w:pPr>
            <w:r>
              <w:rPr>
                <w:rFonts w:ascii="Arial" w:cs="Arial" w:eastAsia="Arial" w:hAnsi="Arial"/>
                <w:sz w:val="18"/>
                <w:szCs w:val="18"/>
                <w:color w:val="auto"/>
              </w:rPr>
              <w:t>(8)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60" w:type="dxa"/>
            <w:vAlign w:val="bottom"/>
          </w:tcPr>
          <w:p>
            <w:pPr>
              <w:ind w:left="220"/>
              <w:spacing w:after="0"/>
              <w:rPr>
                <w:sz w:val="20"/>
                <w:szCs w:val="20"/>
                <w:color w:val="auto"/>
              </w:rPr>
            </w:pPr>
            <w:r>
              <w:rPr>
                <w:rFonts w:ascii="Arial" w:cs="Arial" w:eastAsia="Arial" w:hAnsi="Arial"/>
                <w:sz w:val="18"/>
                <w:szCs w:val="18"/>
                <w:color w:val="auto"/>
              </w:rPr>
              <w:t>Total</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221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5.7</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(237</w:t>
            </w:r>
          </w:p>
        </w:tc>
        <w:tc>
          <w:tcPr>
            <w:tcW w:w="220" w:type="dxa"/>
            <w:vAlign w:val="bottom"/>
          </w:tcPr>
          <w:p>
            <w:pPr>
              <w:jc w:val="right"/>
              <w:ind w:right="73"/>
              <w:spacing w:after="0"/>
              <w:rPr>
                <w:sz w:val="20"/>
                <w:szCs w:val="20"/>
                <w:color w:val="auto"/>
              </w:rPr>
            </w:pPr>
            <w:r>
              <w:rPr>
                <w:rFonts w:ascii="Arial" w:cs="Arial" w:eastAsia="Arial" w:hAnsi="Arial"/>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0" w:type="dxa"/>
            <w:vAlign w:val="bottom"/>
            <w:gridSpan w:val="13"/>
          </w:tcPr>
          <w:p>
            <w:pPr>
              <w:jc w:val="center"/>
              <w:ind w:right="440"/>
              <w:spacing w:after="0"/>
              <w:rPr>
                <w:sz w:val="20"/>
                <w:szCs w:val="20"/>
                <w:color w:val="auto"/>
              </w:rPr>
            </w:pPr>
            <w:r>
              <w:rPr>
                <w:rFonts w:ascii="Arial" w:cs="Arial" w:eastAsia="Arial" w:hAnsi="Arial"/>
                <w:sz w:val="18"/>
                <w:szCs w:val="18"/>
                <w:b w:val="1"/>
                <w:bCs w:val="1"/>
                <w:color w:val="auto"/>
                <w:w w:val="90"/>
              </w:rPr>
              <w:t>Period-to-Period Change for the</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20" w:type="dxa"/>
            <w:vAlign w:val="bottom"/>
            <w:gridSpan w:val="12"/>
          </w:tcPr>
          <w:p>
            <w:pPr>
              <w:jc w:val="center"/>
              <w:ind w:left="190"/>
              <w:spacing w:after="0"/>
              <w:rPr>
                <w:sz w:val="20"/>
                <w:szCs w:val="20"/>
                <w:color w:val="auto"/>
              </w:rPr>
            </w:pPr>
            <w:r>
              <w:rPr>
                <w:rFonts w:ascii="Arial" w:cs="Arial" w:eastAsia="Arial" w:hAnsi="Arial"/>
                <w:sz w:val="18"/>
                <w:szCs w:val="18"/>
                <w:b w:val="1"/>
                <w:bCs w:val="1"/>
                <w:color w:val="auto"/>
                <w:w w:val="90"/>
              </w:rPr>
              <w:t>Period-to-Period Change for the</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40" w:type="dxa"/>
            <w:vAlign w:val="bottom"/>
            <w:gridSpan w:val="14"/>
          </w:tcPr>
          <w:p>
            <w:pPr>
              <w:jc w:val="center"/>
              <w:ind w:right="240"/>
              <w:spacing w:after="0"/>
              <w:rPr>
                <w:sz w:val="20"/>
                <w:szCs w:val="20"/>
                <w:color w:val="auto"/>
              </w:rPr>
            </w:pPr>
            <w:r>
              <w:rPr>
                <w:rFonts w:ascii="Arial" w:cs="Arial" w:eastAsia="Arial" w:hAnsi="Arial"/>
                <w:sz w:val="18"/>
                <w:szCs w:val="18"/>
                <w:b w:val="1"/>
                <w:bCs w:val="1"/>
                <w:color w:val="auto"/>
                <w:w w:val="89"/>
              </w:rPr>
              <w:t>Year Ended December 31, 2020 vs.</w:t>
            </w:r>
          </w:p>
        </w:tc>
        <w:tc>
          <w:tcPr>
            <w:tcW w:w="0" w:type="dxa"/>
            <w:vAlign w:val="bottom"/>
          </w:tcPr>
          <w:p>
            <w:pPr>
              <w:spacing w:after="0"/>
              <w:rPr>
                <w:sz w:val="1"/>
                <w:szCs w:val="1"/>
                <w:color w:val="auto"/>
              </w:rPr>
            </w:pPr>
          </w:p>
        </w:tc>
      </w:tr>
      <w:tr>
        <w:trPr>
          <w:trHeight w:val="234"/>
        </w:trPr>
        <w:tc>
          <w:tcPr>
            <w:tcW w:w="2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40" w:type="dxa"/>
            <w:vAlign w:val="bottom"/>
            <w:gridSpan w:val="17"/>
          </w:tcPr>
          <w:p>
            <w:pPr>
              <w:jc w:val="center"/>
              <w:ind w:right="490"/>
              <w:spacing w:after="0"/>
              <w:rPr>
                <w:sz w:val="20"/>
                <w:szCs w:val="20"/>
                <w:color w:val="auto"/>
              </w:rPr>
            </w:pPr>
            <w:r>
              <w:rPr>
                <w:rFonts w:ascii="Arial" w:cs="Arial" w:eastAsia="Arial" w:hAnsi="Arial"/>
                <w:sz w:val="18"/>
                <w:szCs w:val="18"/>
                <w:b w:val="1"/>
                <w:bCs w:val="1"/>
                <w:color w:val="auto"/>
                <w:w w:val="89"/>
              </w:rPr>
              <w:t>Three Months Ended December 31, 2020 vs. 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2420" w:type="dxa"/>
            <w:vAlign w:val="bottom"/>
            <w:tcBorders>
              <w:top w:val="single" w:sz="8" w:color="auto"/>
              <w:bottom w:val="single" w:sz="8" w:color="auto"/>
            </w:tcBorders>
            <w:gridSpan w:val="9"/>
          </w:tcPr>
          <w:p>
            <w:pPr>
              <w:jc w:val="center"/>
              <w:spacing w:after="0"/>
              <w:rPr>
                <w:sz w:val="20"/>
                <w:szCs w:val="20"/>
                <w:color w:val="auto"/>
              </w:rPr>
            </w:pPr>
            <w:r>
              <w:rPr>
                <w:rFonts w:ascii="Arial" w:cs="Arial" w:eastAsia="Arial" w:hAnsi="Arial"/>
                <w:sz w:val="18"/>
                <w:szCs w:val="18"/>
                <w:b w:val="1"/>
                <w:bCs w:val="1"/>
                <w:color w:val="auto"/>
                <w:w w:val="89"/>
              </w:rPr>
              <w:t>As a % of Related Business(b)</w:t>
            </w:r>
          </w:p>
        </w:tc>
        <w:tc>
          <w:tcPr>
            <w:tcW w:w="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680" w:type="dxa"/>
            <w:vAlign w:val="bottom"/>
            <w:tcBorders>
              <w:top w:val="single" w:sz="8" w:color="auto"/>
              <w:bottom w:val="single" w:sz="8" w:color="auto"/>
            </w:tcBorders>
            <w:gridSpan w:val="10"/>
          </w:tcPr>
          <w:p>
            <w:pPr>
              <w:jc w:val="center"/>
              <w:ind w:right="190"/>
              <w:spacing w:after="0"/>
              <w:rPr>
                <w:sz w:val="20"/>
                <w:szCs w:val="20"/>
                <w:color w:val="auto"/>
              </w:rPr>
            </w:pPr>
            <w:r>
              <w:rPr>
                <w:rFonts w:ascii="Arial" w:cs="Arial" w:eastAsia="Arial" w:hAnsi="Arial"/>
                <w:sz w:val="18"/>
                <w:szCs w:val="18"/>
                <w:b w:val="1"/>
                <w:bCs w:val="1"/>
                <w:color w:val="auto"/>
                <w:w w:val="89"/>
              </w:rPr>
              <w:t>As a % of Related Business(b)</w:t>
            </w:r>
          </w:p>
        </w:tc>
        <w:tc>
          <w:tcPr>
            <w:tcW w:w="2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6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Yield</w:t>
            </w:r>
          </w:p>
        </w:tc>
        <w:tc>
          <w:tcPr>
            <w:tcW w:w="4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gridSpan w:val="4"/>
          </w:tcPr>
          <w:p>
            <w:pPr>
              <w:jc w:val="center"/>
              <w:ind w:left="250"/>
              <w:spacing w:after="0"/>
              <w:rPr>
                <w:sz w:val="20"/>
                <w:szCs w:val="20"/>
                <w:color w:val="auto"/>
              </w:rPr>
            </w:pPr>
            <w:r>
              <w:rPr>
                <w:rFonts w:ascii="Arial" w:cs="Arial" w:eastAsia="Arial" w:hAnsi="Arial"/>
                <w:sz w:val="18"/>
                <w:szCs w:val="18"/>
                <w:b w:val="1"/>
                <w:bCs w:val="1"/>
                <w:color w:val="auto"/>
                <w:w w:val="89"/>
              </w:rPr>
              <w:t>Volume</w:t>
            </w: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rPr>
              <w:t>Yield</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Volume(f)</w:t>
            </w:r>
          </w:p>
        </w:tc>
        <w:tc>
          <w:tcPr>
            <w:tcW w:w="220" w:type="dxa"/>
            <w:vAlign w:val="bottom"/>
            <w:tcBorders>
              <w:bottom w:val="single" w:sz="8" w:color="CCEEFF"/>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5"/>
            <w:shd w:val="clear" w:color="auto" w:fill="CCEEFF"/>
          </w:tcPr>
          <w:p>
            <w:pPr>
              <w:ind w:left="380"/>
              <w:spacing w:after="0"/>
              <w:rPr>
                <w:sz w:val="20"/>
                <w:szCs w:val="20"/>
                <w:color w:val="auto"/>
              </w:rPr>
            </w:pPr>
            <w:r>
              <w:rPr>
                <w:rFonts w:ascii="Arial" w:cs="Arial" w:eastAsia="Arial" w:hAnsi="Arial"/>
                <w:sz w:val="18"/>
                <w:szCs w:val="18"/>
                <w:color w:val="auto"/>
              </w:rPr>
              <w:t>1.9%</w:t>
            </w:r>
          </w:p>
        </w:tc>
        <w:tc>
          <w:tcPr>
            <w:tcW w:w="76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2.4%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Industrial</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4"/>
          </w:tcPr>
          <w:p>
            <w:pPr>
              <w:ind w:left="38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gridSpan w:val="2"/>
          </w:tcPr>
          <w:p>
            <w:pPr>
              <w:jc w:val="right"/>
              <w:ind w:right="70"/>
              <w:spacing w:after="0"/>
              <w:rPr>
                <w:sz w:val="20"/>
                <w:szCs w:val="20"/>
                <w:color w:val="auto"/>
              </w:rPr>
            </w:pPr>
            <w:r>
              <w:rPr>
                <w:rFonts w:ascii="Arial" w:cs="Arial" w:eastAsia="Arial" w:hAnsi="Arial"/>
                <w:sz w:val="18"/>
                <w:szCs w:val="18"/>
                <w:color w:val="auto"/>
                <w:w w:val="97"/>
              </w:rPr>
              <w:t>(6.2)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gridSpan w:val="3"/>
          </w:tcPr>
          <w:p>
            <w:pPr>
              <w:ind w:left="4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Residential</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7"/>
              </w:rPr>
              <w:t>(1.4)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ind w:left="120"/>
              <w:spacing w:after="0"/>
              <w:rPr>
                <w:sz w:val="20"/>
                <w:szCs w:val="20"/>
                <w:color w:val="auto"/>
              </w:rPr>
            </w:pPr>
            <w:r>
              <w:rPr>
                <w:rFonts w:ascii="Arial" w:cs="Arial" w:eastAsia="Arial" w:hAnsi="Arial"/>
                <w:sz w:val="18"/>
                <w:szCs w:val="18"/>
                <w:color w:val="auto"/>
              </w:rPr>
              <w:t>Total collection</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4"/>
          </w:tcPr>
          <w:p>
            <w:pPr>
              <w:ind w:left="38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gridSpan w:val="2"/>
          </w:tcPr>
          <w:p>
            <w:pPr>
              <w:jc w:val="right"/>
              <w:ind w:right="70"/>
              <w:spacing w:after="0"/>
              <w:rPr>
                <w:sz w:val="20"/>
                <w:szCs w:val="20"/>
                <w:color w:val="auto"/>
              </w:rPr>
            </w:pPr>
            <w:r>
              <w:rPr>
                <w:rFonts w:ascii="Arial" w:cs="Arial" w:eastAsia="Arial" w:hAnsi="Arial"/>
                <w:sz w:val="18"/>
                <w:szCs w:val="18"/>
                <w:color w:val="auto"/>
                <w:w w:val="97"/>
              </w:rPr>
              <w:t>(3.8)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gridSpan w:val="3"/>
          </w:tcPr>
          <w:p>
            <w:pPr>
              <w:ind w:left="4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MSW</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Transfer</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4"/>
          </w:tcPr>
          <w:p>
            <w:pPr>
              <w:ind w:left="380"/>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gridSpan w:val="2"/>
          </w:tcPr>
          <w:p>
            <w:pPr>
              <w:jc w:val="right"/>
              <w:ind w:right="70"/>
              <w:spacing w:after="0"/>
              <w:rPr>
                <w:sz w:val="20"/>
                <w:szCs w:val="20"/>
                <w:color w:val="auto"/>
              </w:rPr>
            </w:pPr>
            <w:r>
              <w:rPr>
                <w:rFonts w:ascii="Arial" w:cs="Arial" w:eastAsia="Arial" w:hAnsi="Arial"/>
                <w:sz w:val="18"/>
                <w:szCs w:val="18"/>
                <w:color w:val="auto"/>
                <w:w w:val="97"/>
              </w:rPr>
              <w:t>(2.1)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gridSpan w:val="3"/>
          </w:tcPr>
          <w:p>
            <w:pPr>
              <w:ind w:left="4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Total collection and disposal</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5"/>
            <w:shd w:val="clear" w:color="auto" w:fill="CCEEFF"/>
          </w:tcPr>
          <w:p>
            <w:pPr>
              <w:ind w:left="380"/>
              <w:spacing w:after="0"/>
              <w:rPr>
                <w:sz w:val="20"/>
                <w:szCs w:val="20"/>
                <w:color w:val="auto"/>
              </w:rPr>
            </w:pPr>
            <w:r>
              <w:rPr>
                <w:rFonts w:ascii="Arial" w:cs="Arial" w:eastAsia="Arial" w:hAnsi="Arial"/>
                <w:sz w:val="18"/>
                <w:szCs w:val="18"/>
                <w:b w:val="1"/>
                <w:bCs w:val="1"/>
                <w:color w:val="auto"/>
              </w:rPr>
              <w:t>2.3%</w:t>
            </w:r>
          </w:p>
        </w:tc>
        <w:tc>
          <w:tcPr>
            <w:tcW w:w="76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2.2%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17"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Intercompany revenues between lines of business are eliminated in the Condensed Consolidated Financial Statements included herein.</w:t>
      </w:r>
    </w:p>
    <w:p>
      <w:pPr>
        <w:spacing w:after="0" w:line="23"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period by the prior year period’s related business revenue adjusted to exclude the impacts of divestitures for the current year period.</w:t>
      </w:r>
    </w:p>
    <w:p>
      <w:pPr>
        <w:ind w:left="340" w:hanging="332"/>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period by the prior year period’s total Company revenue adjusted to exclude the impacts of divestitures for the current year period.</w:t>
      </w: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impact of commodity price variability and changes in fees.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amounts reported herein represent the changes in our revenue attributable to average yield for the total Company.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Workday adjusted volume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7040" w:type="dxa"/>
            <w:vAlign w:val="bottom"/>
            <w:gridSpan w:val="9"/>
          </w:tcPr>
          <w:p>
            <w:pPr>
              <w:jc w:val="center"/>
              <w:ind w:left="4110"/>
              <w:spacing w:after="0"/>
              <w:rPr>
                <w:sz w:val="20"/>
                <w:szCs w:val="20"/>
                <w:color w:val="auto"/>
              </w:rPr>
            </w:pPr>
            <w:r>
              <w:rPr>
                <w:rFonts w:ascii="Arial" w:cs="Arial" w:eastAsia="Arial" w:hAnsi="Arial"/>
                <w:sz w:val="18"/>
                <w:szCs w:val="18"/>
                <w:b w:val="1"/>
                <w:bCs w:val="1"/>
                <w:color w:val="auto"/>
              </w:rPr>
              <w:t>WASTE MANAGEMENT, INC.</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740" w:type="dxa"/>
            <w:vAlign w:val="bottom"/>
            <w:gridSpan w:val="7"/>
          </w:tcPr>
          <w:p>
            <w:pPr>
              <w:jc w:val="center"/>
              <w:ind w:left="4410"/>
              <w:spacing w:after="0"/>
              <w:rPr>
                <w:sz w:val="20"/>
                <w:szCs w:val="20"/>
                <w:color w:val="auto"/>
              </w:rPr>
            </w:pPr>
            <w:r>
              <w:rPr>
                <w:rFonts w:ascii="Arial" w:cs="Arial" w:eastAsia="Arial" w:hAnsi="Arial"/>
                <w:sz w:val="18"/>
                <w:szCs w:val="18"/>
                <w:b w:val="1"/>
                <w:bCs w:val="1"/>
                <w:color w:val="auto"/>
                <w:w w:val="99"/>
              </w:rPr>
              <w:t>SUMMARY DATA SHEET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1660" w:type="dxa"/>
            <w:vAlign w:val="bottom"/>
            <w:gridSpan w:val="6"/>
          </w:tcPr>
          <w:p>
            <w:pPr>
              <w:jc w:val="center"/>
              <w:ind w:right="580"/>
              <w:spacing w:after="0"/>
              <w:rPr>
                <w:sz w:val="20"/>
                <w:szCs w:val="20"/>
                <w:color w:val="auto"/>
              </w:rPr>
            </w:pPr>
            <w:r>
              <w:rPr>
                <w:rFonts w:ascii="Arial" w:cs="Arial" w:eastAsia="Arial" w:hAnsi="Arial"/>
                <w:sz w:val="18"/>
                <w:szCs w:val="18"/>
                <w:b w:val="1"/>
                <w:bCs w:val="1"/>
                <w:color w:val="auto"/>
                <w:w w:val="95"/>
              </w:rPr>
              <w:t>(In Millions)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80" w:type="dxa"/>
            <w:vAlign w:val="bottom"/>
          </w:tcPr>
          <w:p>
            <w:pPr>
              <w:spacing w:after="0"/>
              <w:rPr>
                <w:sz w:val="20"/>
                <w:szCs w:val="20"/>
                <w:color w:val="auto"/>
              </w:rPr>
            </w:pPr>
          </w:p>
        </w:tc>
        <w:tc>
          <w:tcPr>
            <w:tcW w:w="1660" w:type="dxa"/>
            <w:vAlign w:val="bottom"/>
            <w:gridSpan w:val="6"/>
          </w:tcPr>
          <w:p>
            <w:pPr>
              <w:jc w:val="center"/>
              <w:ind w:right="580"/>
              <w:spacing w:after="0"/>
              <w:rPr>
                <w:sz w:val="20"/>
                <w:szCs w:val="20"/>
                <w:color w:val="auto"/>
              </w:rPr>
            </w:pPr>
            <w:r>
              <w:rPr>
                <w:rFonts w:ascii="Arial" w:cs="Arial" w:eastAsia="Arial" w:hAnsi="Arial"/>
                <w:sz w:val="18"/>
                <w:szCs w:val="18"/>
                <w:b w:val="1"/>
                <w:bCs w:val="1"/>
                <w:color w:val="auto"/>
                <w:w w:val="91"/>
              </w:rPr>
              <w:t>(Unaudited)</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080" w:type="dxa"/>
            <w:vAlign w:val="bottom"/>
          </w:tcPr>
          <w:p>
            <w:pPr>
              <w:spacing w:after="0"/>
              <w:rPr>
                <w:sz w:val="20"/>
                <w:szCs w:val="20"/>
                <w:color w:val="auto"/>
              </w:rPr>
            </w:pPr>
            <w:r>
              <w:rPr>
                <w:rFonts w:ascii="Arial" w:cs="Arial" w:eastAsia="Arial" w:hAnsi="Arial"/>
                <w:sz w:val="18"/>
                <w:szCs w:val="18"/>
                <w:b w:val="1"/>
                <w:bCs w:val="1"/>
                <w:color w:val="auto"/>
              </w:rPr>
              <w:t>Free Cash Flow (a)</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60" w:type="dxa"/>
            <w:vAlign w:val="bottom"/>
            <w:gridSpan w:val="10"/>
            <w:vMerge w:val="restart"/>
          </w:tcPr>
          <w:p>
            <w:pPr>
              <w:jc w:val="center"/>
              <w:ind w:right="540"/>
              <w:spacing w:after="0"/>
              <w:rPr>
                <w:sz w:val="20"/>
                <w:szCs w:val="20"/>
                <w:color w:val="auto"/>
              </w:rPr>
            </w:pPr>
            <w:r>
              <w:rPr>
                <w:rFonts w:ascii="Arial" w:cs="Arial" w:eastAsia="Arial" w:hAnsi="Arial"/>
                <w:sz w:val="18"/>
                <w:szCs w:val="18"/>
                <w:b w:val="1"/>
                <w:bCs w:val="1"/>
                <w:color w:val="auto"/>
                <w:w w:val="90"/>
              </w:rPr>
              <w:t>Three Months Ended</w:t>
            </w:r>
          </w:p>
        </w:tc>
        <w:tc>
          <w:tcPr>
            <w:tcW w:w="200" w:type="dxa"/>
            <w:vAlign w:val="bottom"/>
          </w:tcPr>
          <w:p>
            <w:pPr>
              <w:spacing w:after="0"/>
              <w:rPr>
                <w:sz w:val="24"/>
                <w:szCs w:val="24"/>
                <w:color w:val="auto"/>
              </w:rPr>
            </w:pPr>
          </w:p>
        </w:tc>
        <w:tc>
          <w:tcPr>
            <w:tcW w:w="1720" w:type="dxa"/>
            <w:vAlign w:val="bottom"/>
            <w:gridSpan w:val="6"/>
            <w:vMerge w:val="restart"/>
          </w:tcPr>
          <w:p>
            <w:pPr>
              <w:jc w:val="center"/>
              <w:ind w:left="550"/>
              <w:spacing w:after="0"/>
              <w:rPr>
                <w:sz w:val="20"/>
                <w:szCs w:val="20"/>
                <w:color w:val="auto"/>
              </w:rPr>
            </w:pPr>
            <w:r>
              <w:rPr>
                <w:rFonts w:ascii="Arial" w:cs="Arial" w:eastAsia="Arial" w:hAnsi="Arial"/>
                <w:sz w:val="18"/>
                <w:szCs w:val="18"/>
                <w:b w:val="1"/>
                <w:bCs w:val="1"/>
                <w:color w:val="auto"/>
                <w:w w:val="92"/>
              </w:rPr>
              <w:t>Year Ended</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5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60" w:type="dxa"/>
            <w:vAlign w:val="bottom"/>
            <w:gridSpan w:val="10"/>
            <w:vMerge w:val="continue"/>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gridSpan w:val="6"/>
            <w:vMerge w:val="continue"/>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60" w:type="dxa"/>
            <w:vAlign w:val="bottom"/>
            <w:gridSpan w:val="10"/>
          </w:tcPr>
          <w:p>
            <w:pPr>
              <w:jc w:val="center"/>
              <w:ind w:right="540"/>
              <w:spacing w:after="0"/>
              <w:rPr>
                <w:sz w:val="20"/>
                <w:szCs w:val="20"/>
                <w:color w:val="auto"/>
              </w:rPr>
            </w:pPr>
            <w:r>
              <w:rPr>
                <w:rFonts w:ascii="Arial" w:cs="Arial" w:eastAsia="Arial" w:hAnsi="Arial"/>
                <w:sz w:val="18"/>
                <w:szCs w:val="18"/>
                <w:b w:val="1"/>
                <w:bCs w:val="1"/>
                <w:color w:val="auto"/>
                <w:w w:val="90"/>
              </w:rPr>
              <w:t>December 31,</w:t>
            </w:r>
          </w:p>
        </w:tc>
        <w:tc>
          <w:tcPr>
            <w:tcW w:w="200" w:type="dxa"/>
            <w:vAlign w:val="bottom"/>
          </w:tcPr>
          <w:p>
            <w:pPr>
              <w:spacing w:after="0"/>
              <w:rPr>
                <w:sz w:val="20"/>
                <w:szCs w:val="20"/>
                <w:color w:val="auto"/>
              </w:rPr>
            </w:pPr>
          </w:p>
        </w:tc>
        <w:tc>
          <w:tcPr>
            <w:tcW w:w="1720" w:type="dxa"/>
            <w:vAlign w:val="bottom"/>
            <w:gridSpan w:val="6"/>
          </w:tcPr>
          <w:p>
            <w:pPr>
              <w:jc w:val="center"/>
              <w:ind w:left="550"/>
              <w:spacing w:after="0"/>
              <w:rPr>
                <w:sz w:val="20"/>
                <w:szCs w:val="20"/>
                <w:color w:val="auto"/>
              </w:rPr>
            </w:pPr>
            <w:r>
              <w:rPr>
                <w:rFonts w:ascii="Arial" w:cs="Arial" w:eastAsia="Arial" w:hAnsi="Arial"/>
                <w:sz w:val="18"/>
                <w:szCs w:val="18"/>
                <w:b w:val="1"/>
                <w:bCs w:val="1"/>
                <w:color w:val="auto"/>
                <w:w w:val="88"/>
              </w:rPr>
              <w:t>December 31,</w:t>
            </w: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0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6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CCEEFF"/>
            </w:tcBorders>
          </w:tcPr>
          <w:p>
            <w:pPr>
              <w:spacing w:after="0"/>
              <w:rPr>
                <w:sz w:val="18"/>
                <w:szCs w:val="18"/>
                <w:color w:val="auto"/>
              </w:rPr>
            </w:pPr>
          </w:p>
        </w:tc>
        <w:tc>
          <w:tcPr>
            <w:tcW w:w="6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2019</w:t>
            </w:r>
          </w:p>
        </w:tc>
        <w:tc>
          <w:tcPr>
            <w:tcW w:w="60" w:type="dxa"/>
            <w:vAlign w:val="bottom"/>
            <w:tcBorders>
              <w:top w:val="single" w:sz="8" w:color="auto"/>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3,403</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(394)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(1,632)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4"/>
          </w:tcPr>
          <w:p>
            <w:pPr>
              <w:jc w:val="right"/>
              <w:ind w:right="40"/>
              <w:spacing w:after="0"/>
              <w:rPr>
                <w:sz w:val="20"/>
                <w:szCs w:val="20"/>
                <w:color w:val="auto"/>
              </w:rPr>
            </w:pPr>
            <w:r>
              <w:rPr>
                <w:rFonts w:ascii="Arial" w:cs="Arial" w:eastAsia="Arial" w:hAnsi="Arial"/>
                <w:sz w:val="18"/>
                <w:szCs w:val="18"/>
                <w:color w:val="auto"/>
              </w:rPr>
              <w:t>(1,818)</w:t>
            </w:r>
          </w:p>
        </w:tc>
        <w:tc>
          <w:tcPr>
            <w:tcW w:w="0" w:type="dxa"/>
            <w:vAlign w:val="bottom"/>
          </w:tcPr>
          <w:p>
            <w:pPr>
              <w:spacing w:after="0"/>
              <w:rPr>
                <w:sz w:val="1"/>
                <w:szCs w:val="1"/>
                <w:color w:val="auto"/>
              </w:rPr>
            </w:pPr>
          </w:p>
        </w:tc>
      </w:tr>
      <w:tr>
        <w:trPr>
          <w:trHeight w:val="202"/>
        </w:trPr>
        <w:tc>
          <w:tcPr>
            <w:tcW w:w="5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Proceeds from divestitures of businesses and other assets (net of</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cash divested)</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865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885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2,656</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60" w:type="dxa"/>
            <w:vAlign w:val="bottom"/>
            <w:gridSpan w:val="10"/>
          </w:tcPr>
          <w:p>
            <w:pPr>
              <w:ind w:left="26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4"/>
                <w:szCs w:val="24"/>
                <w:color w:val="auto"/>
              </w:rPr>
            </w:pPr>
          </w:p>
        </w:tc>
        <w:tc>
          <w:tcPr>
            <w:tcW w:w="1720" w:type="dxa"/>
            <w:vAlign w:val="bottom"/>
            <w:gridSpan w:val="6"/>
          </w:tcPr>
          <w:p>
            <w:pPr>
              <w:jc w:val="right"/>
              <w:ind w:right="87"/>
              <w:spacing w:after="0"/>
              <w:rPr>
                <w:sz w:val="20"/>
                <w:szCs w:val="20"/>
                <w:color w:val="auto"/>
              </w:rPr>
            </w:pPr>
            <w:r>
              <w:rPr>
                <w:rFonts w:ascii="Arial" w:cs="Arial" w:eastAsia="Arial" w:hAnsi="Arial"/>
                <w:sz w:val="18"/>
                <w:szCs w:val="18"/>
                <w:b w:val="1"/>
                <w:bCs w:val="1"/>
                <w:color w:val="auto"/>
              </w:rPr>
              <w:t>Year Ended</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December 31,</w:t>
            </w: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6"/>
          </w:tcPr>
          <w:p>
            <w:pPr>
              <w:jc w:val="right"/>
              <w:ind w:right="7"/>
              <w:spacing w:after="0"/>
              <w:rPr>
                <w:sz w:val="20"/>
                <w:szCs w:val="20"/>
                <w:color w:val="auto"/>
              </w:rPr>
            </w:pPr>
            <w:r>
              <w:rPr>
                <w:rFonts w:ascii="Arial" w:cs="Arial" w:eastAsia="Arial" w:hAnsi="Arial"/>
                <w:sz w:val="18"/>
                <w:szCs w:val="18"/>
                <w:b w:val="1"/>
                <w:bCs w:val="1"/>
                <w:color w:val="auto"/>
              </w:rPr>
              <w:t>December 31,</w:t>
            </w:r>
          </w:p>
        </w:tc>
        <w:tc>
          <w:tcPr>
            <w:tcW w:w="8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2019</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2019</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Data</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Internalization of waste, based on disposal costs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68.3%</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Landfill amortizable tons (in millions)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112.0</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Acquisition Summary (b)</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Gross annualized revenue acquired</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1,212</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consideration , net of cash acquired</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4,083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4,085</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Cash paid for acquisitions consummated during the period, net of</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cash acquired</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4,083</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4,085</w:t>
            </w:r>
          </w:p>
        </w:tc>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Cash paid for acquisitions including contingent consideration and</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other items from prior periods, net of cash acquired</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4,084</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4,088</w:t>
            </w:r>
          </w:p>
        </w:tc>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527</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5080" w:type="dxa"/>
            <w:vAlign w:val="bottom"/>
          </w:tcPr>
          <w:p>
            <w:pPr>
              <w:spacing w:after="0"/>
              <w:rPr>
                <w:sz w:val="20"/>
                <w:szCs w:val="20"/>
                <w:color w:val="auto"/>
              </w:rPr>
            </w:pPr>
            <w:r>
              <w:rPr>
                <w:rFonts w:ascii="Arial" w:cs="Arial" w:eastAsia="Arial" w:hAnsi="Arial"/>
                <w:sz w:val="18"/>
                <w:szCs w:val="18"/>
                <w:b w:val="1"/>
                <w:bCs w:val="1"/>
                <w:color w:val="auto"/>
              </w:rPr>
              <w:t>Amortization, Accretion and Other Expenses for Landfills: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60" w:type="dxa"/>
            <w:vAlign w:val="bottom"/>
            <w:gridSpan w:val="10"/>
          </w:tcPr>
          <w:p>
            <w:pPr>
              <w:jc w:val="center"/>
              <w:ind w:right="540"/>
              <w:spacing w:after="0"/>
              <w:rPr>
                <w:sz w:val="20"/>
                <w:szCs w:val="20"/>
                <w:color w:val="auto"/>
              </w:rPr>
            </w:pPr>
            <w:r>
              <w:rPr>
                <w:rFonts w:ascii="Arial" w:cs="Arial" w:eastAsia="Arial" w:hAnsi="Arial"/>
                <w:sz w:val="18"/>
                <w:szCs w:val="18"/>
                <w:b w:val="1"/>
                <w:bCs w:val="1"/>
                <w:color w:val="auto"/>
                <w:w w:val="90"/>
              </w:rPr>
              <w:t>Three Months Ended</w:t>
            </w:r>
          </w:p>
        </w:tc>
        <w:tc>
          <w:tcPr>
            <w:tcW w:w="200" w:type="dxa"/>
            <w:vAlign w:val="bottom"/>
          </w:tcPr>
          <w:p>
            <w:pPr>
              <w:spacing w:after="0"/>
              <w:rPr>
                <w:sz w:val="24"/>
                <w:szCs w:val="24"/>
                <w:color w:val="auto"/>
              </w:rPr>
            </w:pPr>
          </w:p>
        </w:tc>
        <w:tc>
          <w:tcPr>
            <w:tcW w:w="1720" w:type="dxa"/>
            <w:vAlign w:val="bottom"/>
            <w:gridSpan w:val="6"/>
          </w:tcPr>
          <w:p>
            <w:pPr>
              <w:jc w:val="center"/>
              <w:ind w:left="550"/>
              <w:spacing w:after="0"/>
              <w:rPr>
                <w:sz w:val="20"/>
                <w:szCs w:val="20"/>
                <w:color w:val="auto"/>
              </w:rPr>
            </w:pPr>
            <w:r>
              <w:rPr>
                <w:rFonts w:ascii="Arial" w:cs="Arial" w:eastAsia="Arial" w:hAnsi="Arial"/>
                <w:sz w:val="18"/>
                <w:szCs w:val="18"/>
                <w:b w:val="1"/>
                <w:bCs w:val="1"/>
                <w:color w:val="auto"/>
                <w:w w:val="92"/>
              </w:rPr>
              <w:t>Year Ended</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60" w:type="dxa"/>
            <w:vAlign w:val="bottom"/>
            <w:gridSpan w:val="10"/>
          </w:tcPr>
          <w:p>
            <w:pPr>
              <w:jc w:val="center"/>
              <w:ind w:right="540"/>
              <w:spacing w:after="0"/>
              <w:rPr>
                <w:sz w:val="20"/>
                <w:szCs w:val="20"/>
                <w:color w:val="auto"/>
              </w:rPr>
            </w:pPr>
            <w:r>
              <w:rPr>
                <w:rFonts w:ascii="Arial" w:cs="Arial" w:eastAsia="Arial" w:hAnsi="Arial"/>
                <w:sz w:val="18"/>
                <w:szCs w:val="18"/>
                <w:b w:val="1"/>
                <w:bCs w:val="1"/>
                <w:color w:val="auto"/>
                <w:w w:val="90"/>
              </w:rPr>
              <w:t>December 31,</w:t>
            </w:r>
          </w:p>
        </w:tc>
        <w:tc>
          <w:tcPr>
            <w:tcW w:w="200" w:type="dxa"/>
            <w:vAlign w:val="bottom"/>
          </w:tcPr>
          <w:p>
            <w:pPr>
              <w:spacing w:after="0"/>
              <w:rPr>
                <w:sz w:val="20"/>
                <w:szCs w:val="20"/>
                <w:color w:val="auto"/>
              </w:rPr>
            </w:pPr>
          </w:p>
        </w:tc>
        <w:tc>
          <w:tcPr>
            <w:tcW w:w="1720" w:type="dxa"/>
            <w:vAlign w:val="bottom"/>
            <w:gridSpan w:val="6"/>
          </w:tcPr>
          <w:p>
            <w:pPr>
              <w:jc w:val="center"/>
              <w:ind w:left="550"/>
              <w:spacing w:after="0"/>
              <w:rPr>
                <w:sz w:val="20"/>
                <w:szCs w:val="20"/>
                <w:color w:val="auto"/>
              </w:rPr>
            </w:pPr>
            <w:r>
              <w:rPr>
                <w:rFonts w:ascii="Arial" w:cs="Arial" w:eastAsia="Arial" w:hAnsi="Arial"/>
                <w:sz w:val="18"/>
                <w:szCs w:val="18"/>
                <w:b w:val="1"/>
                <w:bCs w:val="1"/>
                <w:color w:val="auto"/>
                <w:w w:val="88"/>
              </w:rPr>
              <w:t>December 31,</w:t>
            </w: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2019</w:t>
            </w:r>
          </w:p>
        </w:tc>
        <w:tc>
          <w:tcPr>
            <w:tcW w:w="60" w:type="dxa"/>
            <w:vAlign w:val="bottom"/>
            <w:tcBorders>
              <w:top w:val="single" w:sz="8" w:color="auto"/>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Landfill amortization expense: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Cost basis of landfill assets</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18"/>
                <w:szCs w:val="18"/>
                <w:color w:val="auto"/>
              </w:rPr>
            </w:pPr>
          </w:p>
        </w:tc>
        <w:tc>
          <w:tcPr>
            <w:tcW w:w="3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472</w:t>
            </w:r>
          </w:p>
        </w:tc>
        <w:tc>
          <w:tcPr>
            <w:tcW w:w="440" w:type="dxa"/>
            <w:vAlign w:val="bottom"/>
            <w:gridSpan w:val="3"/>
          </w:tcPr>
          <w:p>
            <w:pPr>
              <w:jc w:val="right"/>
              <w:ind w:right="207"/>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489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 retirement costs</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96</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80" w:type="dxa"/>
            <w:vAlign w:val="bottom"/>
          </w:tcPr>
          <w:p>
            <w:pPr>
              <w:ind w:left="340"/>
              <w:spacing w:after="0"/>
              <w:rPr>
                <w:sz w:val="20"/>
                <w:szCs w:val="20"/>
                <w:color w:val="auto"/>
              </w:rPr>
            </w:pPr>
            <w:r>
              <w:rPr>
                <w:rFonts w:ascii="Arial" w:cs="Arial" w:eastAsia="Arial" w:hAnsi="Arial"/>
                <w:sz w:val="18"/>
                <w:szCs w:val="18"/>
                <w:color w:val="auto"/>
              </w:rPr>
              <w:t>Total landfill amortization expense</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134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135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568</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575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Accretion and other related expense</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105</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Pr>
          <w:p>
            <w:pPr>
              <w:ind w:left="180"/>
              <w:spacing w:after="0"/>
              <w:rPr>
                <w:sz w:val="20"/>
                <w:szCs w:val="20"/>
                <w:color w:val="auto"/>
              </w:rPr>
            </w:pPr>
            <w:r>
              <w:rPr>
                <w:rFonts w:ascii="Arial" w:cs="Arial" w:eastAsia="Arial" w:hAnsi="Arial"/>
                <w:sz w:val="18"/>
                <w:szCs w:val="18"/>
                <w:color w:val="auto"/>
              </w:rPr>
              <w:t>Landfill amortization, accretion and other related expense</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163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161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673</w:t>
            </w:r>
          </w:p>
        </w:tc>
        <w:tc>
          <w:tcPr>
            <w:tcW w:w="26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360" w:type="dxa"/>
            <w:vAlign w:val="bottom"/>
            <w:tcBorders>
              <w:top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340" w:hanging="332"/>
        <w:spacing w:after="0" w:line="255" w:lineRule="auto"/>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summary of free cash flow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2" w:lineRule="exact"/>
        <w:rPr>
          <w:rFonts w:ascii="Arial" w:cs="Arial" w:eastAsia="Arial" w:hAnsi="Arial"/>
          <w:sz w:val="18"/>
          <w:szCs w:val="18"/>
          <w:b w:val="1"/>
          <w:bCs w:val="1"/>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Represents amounts associated with business acquisitions consummated during the applicable period except where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7"/>
          </w:tcPr>
          <w:p>
            <w:pPr>
              <w:jc w:val="center"/>
              <w:ind w:left="510"/>
              <w:spacing w:after="0"/>
              <w:rPr>
                <w:sz w:val="20"/>
                <w:szCs w:val="20"/>
                <w:color w:val="auto"/>
              </w:rPr>
            </w:pPr>
            <w:r>
              <w:rPr>
                <w:rFonts w:ascii="Arial" w:cs="Arial" w:eastAsia="Arial" w:hAnsi="Arial"/>
                <w:sz w:val="18"/>
                <w:szCs w:val="18"/>
                <w:b w:val="1"/>
                <w:bCs w:val="1"/>
                <w:color w:val="auto"/>
                <w:w w:val="92"/>
              </w:rPr>
              <w:t>Three Months Ended</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December 31, 2020</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4"/>
              </w:rPr>
              <w:t>Diluted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4"/>
          </w:tcPr>
          <w:p>
            <w:pPr>
              <w:spacing w:after="0"/>
              <w:rPr>
                <w:sz w:val="20"/>
                <w:szCs w:val="20"/>
                <w:color w:val="auto"/>
              </w:rPr>
            </w:pPr>
            <w:r>
              <w:rPr>
                <w:rFonts w:ascii="Arial" w:cs="Arial" w:eastAsia="Arial" w:hAnsi="Arial"/>
                <w:sz w:val="18"/>
                <w:szCs w:val="18"/>
                <w:b w:val="1"/>
                <w:bCs w:val="1"/>
                <w:color w:val="auto"/>
              </w:rPr>
              <w:t>Income from</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80"/>
              <w:spacing w:after="0"/>
              <w:rPr>
                <w:sz w:val="20"/>
                <w:szCs w:val="20"/>
                <w:color w:val="auto"/>
              </w:rPr>
            </w:pPr>
            <w:r>
              <w:rPr>
                <w:rFonts w:ascii="Arial" w:cs="Arial" w:eastAsia="Arial" w:hAnsi="Arial"/>
                <w:sz w:val="18"/>
                <w:szCs w:val="18"/>
                <w:b w:val="1"/>
                <w:bCs w:val="1"/>
                <w:color w:val="auto"/>
              </w:rPr>
              <w:t>Pre-tax</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410"/>
              <w:spacing w:after="0"/>
              <w:rPr>
                <w:sz w:val="20"/>
                <w:szCs w:val="20"/>
                <w:color w:val="auto"/>
              </w:rPr>
            </w:pPr>
            <w:r>
              <w:rPr>
                <w:rFonts w:ascii="Arial" w:cs="Arial" w:eastAsia="Arial" w:hAnsi="Arial"/>
                <w:sz w:val="18"/>
                <w:szCs w:val="18"/>
                <w:b w:val="1"/>
                <w:bCs w:val="1"/>
                <w:color w:val="auto"/>
                <w:w w:val="90"/>
              </w:rPr>
              <w:t>Tax</w:t>
            </w:r>
          </w:p>
        </w:tc>
        <w:tc>
          <w:tcPr>
            <w:tcW w:w="220" w:type="dxa"/>
            <w:vAlign w:val="bottom"/>
          </w:tcPr>
          <w:p>
            <w:pPr>
              <w:spacing w:after="0"/>
              <w:rPr>
                <w:sz w:val="18"/>
                <w:szCs w:val="18"/>
                <w:color w:val="auto"/>
              </w:rPr>
            </w:pPr>
          </w:p>
        </w:tc>
        <w:tc>
          <w:tcPr>
            <w:tcW w:w="10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6"/>
              </w:rPr>
              <w:t>Net</w:t>
            </w:r>
          </w:p>
        </w:tc>
        <w:tc>
          <w:tcPr>
            <w:tcW w:w="1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Per Share</w:t>
            </w:r>
          </w:p>
        </w:tc>
        <w:tc>
          <w:tcPr>
            <w:tcW w:w="0" w:type="dxa"/>
            <w:vAlign w:val="bottom"/>
          </w:tcPr>
          <w:p>
            <w:pPr>
              <w:spacing w:after="0"/>
              <w:rPr>
                <w:sz w:val="1"/>
                <w:szCs w:val="1"/>
                <w:color w:val="auto"/>
              </w:rPr>
            </w:pPr>
          </w:p>
        </w:tc>
      </w:tr>
      <w:tr>
        <w:trPr>
          <w:trHeight w:val="234"/>
        </w:trPr>
        <w:tc>
          <w:tcPr>
            <w:tcW w:w="5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w w:val="92"/>
              </w:rPr>
              <w:t>Operations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ind w:left="60"/>
              <w:spacing w:after="0"/>
              <w:rPr>
                <w:sz w:val="20"/>
                <w:szCs w:val="20"/>
                <w:color w:val="auto"/>
              </w:rPr>
            </w:pPr>
            <w:r>
              <w:rPr>
                <w:rFonts w:ascii="Arial" w:cs="Arial" w:eastAsia="Arial" w:hAnsi="Arial"/>
                <w:sz w:val="18"/>
                <w:szCs w:val="18"/>
                <w:b w:val="1"/>
                <w:bCs w:val="1"/>
                <w:color w:val="auto"/>
              </w:rPr>
              <w:t>Income</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370"/>
              <w:spacing w:after="0"/>
              <w:rPr>
                <w:sz w:val="20"/>
                <w:szCs w:val="20"/>
                <w:color w:val="auto"/>
              </w:rPr>
            </w:pPr>
            <w:r>
              <w:rPr>
                <w:rFonts w:ascii="Arial" w:cs="Arial" w:eastAsia="Arial" w:hAnsi="Arial"/>
                <w:sz w:val="18"/>
                <w:szCs w:val="18"/>
                <w:b w:val="1"/>
                <w:bCs w:val="1"/>
                <w:color w:val="auto"/>
                <w:w w:val="86"/>
              </w:rPr>
              <w:t>Expense</w:t>
            </w:r>
          </w:p>
        </w:tc>
        <w:tc>
          <w:tcPr>
            <w:tcW w:w="12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Income (a)</w:t>
            </w:r>
          </w:p>
        </w:tc>
        <w:tc>
          <w:tcPr>
            <w:tcW w:w="10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210"/>
        </w:trPr>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reported amounts</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654</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547</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Advanced Disposal acquisition-related costs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Gain from divestitures, net (b)</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ind w:right="5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1180" w:type="dxa"/>
            <w:vAlign w:val="bottom"/>
            <w:gridSpan w:val="2"/>
          </w:tcPr>
          <w:p>
            <w:pPr>
              <w:jc w:val="right"/>
              <w:ind w:right="17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Enterprise resource planning system related costs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180"/>
              <w:spacing w:after="0"/>
              <w:rPr>
                <w:sz w:val="20"/>
                <w:szCs w:val="20"/>
                <w:color w:val="auto"/>
              </w:rPr>
            </w:pPr>
            <w:r>
              <w:rPr>
                <w:rFonts w:ascii="Arial" w:cs="Arial" w:eastAsia="Arial" w:hAnsi="Arial"/>
                <w:sz w:val="18"/>
                <w:szCs w:val="18"/>
                <w:color w:val="auto"/>
              </w:rPr>
              <w:t>Loss on extinguishment of debt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9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1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As adjusted amounts</w:t>
            </w:r>
          </w:p>
        </w:tc>
        <w:tc>
          <w:tcPr>
            <w:tcW w:w="3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b w:val="1"/>
                <w:bCs w:val="1"/>
                <w:color w:val="auto"/>
              </w:rPr>
              <w:t>706</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600</w:t>
            </w: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w:t>
            </w:r>
          </w:p>
        </w:tc>
        <w:tc>
          <w:tcPr>
            <w:tcW w:w="32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w w:val="81"/>
              </w:rPr>
              <w:t>(c)</w:t>
            </w:r>
          </w:p>
        </w:tc>
        <w:tc>
          <w:tcPr>
            <w:tcW w:w="220" w:type="dxa"/>
            <w:vAlign w:val="bottom"/>
            <w:tcBorders>
              <w:bottom w:val="single" w:sz="8" w:color="auto"/>
            </w:tcBorders>
          </w:tcPr>
          <w:p>
            <w:pPr>
              <w:jc w:val="right"/>
              <w:ind w:right="61"/>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481</w:t>
            </w: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180" w:type="dxa"/>
            <w:vAlign w:val="bottom"/>
            <w:shd w:val="clear" w:color="auto" w:fill="CCEEFF"/>
          </w:tcPr>
          <w:p>
            <w:pPr>
              <w:ind w:left="180"/>
              <w:spacing w:after="0" w:line="190" w:lineRule="exact"/>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436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b w:val="1"/>
                <w:bCs w:val="1"/>
                <w:color w:val="auto"/>
              </w:rPr>
              <w:t>As adjusted operating EBITDA</w:t>
            </w: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gridSpan w:val="7"/>
            <w:vMerge w:val="restart"/>
          </w:tcPr>
          <w:p>
            <w:pPr>
              <w:jc w:val="center"/>
              <w:ind w:left="510"/>
              <w:spacing w:after="0"/>
              <w:rPr>
                <w:sz w:val="20"/>
                <w:szCs w:val="20"/>
                <w:color w:val="auto"/>
              </w:rPr>
            </w:pPr>
            <w:r>
              <w:rPr>
                <w:rFonts w:ascii="Arial" w:cs="Arial" w:eastAsia="Arial" w:hAnsi="Arial"/>
                <w:sz w:val="18"/>
                <w:szCs w:val="18"/>
                <w:b w:val="1"/>
                <w:bCs w:val="1"/>
                <w:color w:val="auto"/>
                <w:w w:val="92"/>
              </w:rPr>
              <w:t>Three Months Ended</w:t>
            </w: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5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gridSpan w:val="7"/>
            <w:vMerge w:val="continue"/>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December 31, 2019</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4"/>
              </w:rPr>
              <w:t>Diluted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4"/>
          </w:tcPr>
          <w:p>
            <w:pPr>
              <w:spacing w:after="0"/>
              <w:rPr>
                <w:sz w:val="20"/>
                <w:szCs w:val="20"/>
                <w:color w:val="auto"/>
              </w:rPr>
            </w:pPr>
            <w:r>
              <w:rPr>
                <w:rFonts w:ascii="Arial" w:cs="Arial" w:eastAsia="Arial" w:hAnsi="Arial"/>
                <w:sz w:val="18"/>
                <w:szCs w:val="18"/>
                <w:b w:val="1"/>
                <w:bCs w:val="1"/>
                <w:color w:val="auto"/>
              </w:rPr>
              <w:t>Income from</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80"/>
              <w:spacing w:after="0"/>
              <w:rPr>
                <w:sz w:val="20"/>
                <w:szCs w:val="20"/>
                <w:color w:val="auto"/>
              </w:rPr>
            </w:pPr>
            <w:r>
              <w:rPr>
                <w:rFonts w:ascii="Arial" w:cs="Arial" w:eastAsia="Arial" w:hAnsi="Arial"/>
                <w:sz w:val="18"/>
                <w:szCs w:val="18"/>
                <w:b w:val="1"/>
                <w:bCs w:val="1"/>
                <w:color w:val="auto"/>
              </w:rPr>
              <w:t>Pre-tax</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410"/>
              <w:spacing w:after="0"/>
              <w:rPr>
                <w:sz w:val="20"/>
                <w:szCs w:val="20"/>
                <w:color w:val="auto"/>
              </w:rPr>
            </w:pPr>
            <w:r>
              <w:rPr>
                <w:rFonts w:ascii="Arial" w:cs="Arial" w:eastAsia="Arial" w:hAnsi="Arial"/>
                <w:sz w:val="18"/>
                <w:szCs w:val="18"/>
                <w:b w:val="1"/>
                <w:bCs w:val="1"/>
                <w:color w:val="auto"/>
                <w:w w:val="90"/>
              </w:rPr>
              <w:t>Tax</w:t>
            </w:r>
          </w:p>
        </w:tc>
        <w:tc>
          <w:tcPr>
            <w:tcW w:w="220" w:type="dxa"/>
            <w:vAlign w:val="bottom"/>
          </w:tcPr>
          <w:p>
            <w:pPr>
              <w:spacing w:after="0"/>
              <w:rPr>
                <w:sz w:val="18"/>
                <w:szCs w:val="18"/>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9"/>
              </w:rPr>
              <w:t>Net</w:t>
            </w:r>
          </w:p>
        </w:tc>
        <w:tc>
          <w:tcPr>
            <w:tcW w:w="1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Per Share</w:t>
            </w:r>
          </w:p>
        </w:tc>
        <w:tc>
          <w:tcPr>
            <w:tcW w:w="0" w:type="dxa"/>
            <w:vAlign w:val="bottom"/>
          </w:tcPr>
          <w:p>
            <w:pPr>
              <w:spacing w:after="0"/>
              <w:rPr>
                <w:sz w:val="1"/>
                <w:szCs w:val="1"/>
                <w:color w:val="auto"/>
              </w:rPr>
            </w:pPr>
          </w:p>
        </w:tc>
      </w:tr>
      <w:tr>
        <w:trPr>
          <w:trHeight w:val="234"/>
        </w:trPr>
        <w:tc>
          <w:tcPr>
            <w:tcW w:w="5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w w:val="92"/>
              </w:rPr>
              <w:t>Operations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ind w:left="60"/>
              <w:spacing w:after="0"/>
              <w:rPr>
                <w:sz w:val="20"/>
                <w:szCs w:val="20"/>
                <w:color w:val="auto"/>
              </w:rPr>
            </w:pPr>
            <w:r>
              <w:rPr>
                <w:rFonts w:ascii="Arial" w:cs="Arial" w:eastAsia="Arial" w:hAnsi="Arial"/>
                <w:sz w:val="18"/>
                <w:szCs w:val="18"/>
                <w:b w:val="1"/>
                <w:bCs w:val="1"/>
                <w:color w:val="auto"/>
              </w:rPr>
              <w:t>Income</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370"/>
              <w:spacing w:after="0"/>
              <w:rPr>
                <w:sz w:val="20"/>
                <w:szCs w:val="20"/>
                <w:color w:val="auto"/>
              </w:rPr>
            </w:pPr>
            <w:r>
              <w:rPr>
                <w:rFonts w:ascii="Arial" w:cs="Arial" w:eastAsia="Arial" w:hAnsi="Arial"/>
                <w:sz w:val="18"/>
                <w:szCs w:val="18"/>
                <w:b w:val="1"/>
                <w:bCs w:val="1"/>
                <w:color w:val="auto"/>
                <w:w w:val="86"/>
              </w:rPr>
              <w:t>Expense</w:t>
            </w:r>
          </w:p>
        </w:tc>
        <w:tc>
          <w:tcPr>
            <w:tcW w:w="12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Income (a)</w:t>
            </w:r>
          </w:p>
        </w:tc>
        <w:tc>
          <w:tcPr>
            <w:tcW w:w="10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209"/>
        </w:trPr>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reported amounts</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655</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531</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Loss from divestitures, asset impairments and unusual items, net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Advanced Disposal acquisition-related costs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3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Enterprise resource planning system related costs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180"/>
              <w:spacing w:after="0"/>
              <w:rPr>
                <w:sz w:val="20"/>
                <w:szCs w:val="20"/>
                <w:color w:val="auto"/>
              </w:rPr>
            </w:pPr>
            <w:r>
              <w:rPr>
                <w:rFonts w:ascii="Arial" w:cs="Arial" w:eastAsia="Arial" w:hAnsi="Arial"/>
                <w:sz w:val="18"/>
                <w:szCs w:val="18"/>
                <w:color w:val="auto"/>
              </w:rPr>
              <w:t>Restructuring</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3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9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1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As adjusted amounts</w:t>
            </w:r>
          </w:p>
        </w:tc>
        <w:tc>
          <w:tcPr>
            <w:tcW w:w="3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b w:val="1"/>
                <w:bCs w:val="1"/>
                <w:color w:val="auto"/>
              </w:rPr>
              <w:t>726</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606</w:t>
            </w: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w:t>
            </w:r>
          </w:p>
        </w:tc>
        <w:tc>
          <w:tcPr>
            <w:tcW w:w="32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w w:val="81"/>
              </w:rPr>
              <w:t>(c)</w:t>
            </w:r>
          </w:p>
        </w:tc>
        <w:tc>
          <w:tcPr>
            <w:tcW w:w="220" w:type="dxa"/>
            <w:vAlign w:val="bottom"/>
            <w:tcBorders>
              <w:bottom w:val="single" w:sz="8" w:color="auto"/>
            </w:tcBorders>
          </w:tcPr>
          <w:p>
            <w:pPr>
              <w:jc w:val="right"/>
              <w:ind w:right="61"/>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507</w:t>
            </w: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180" w:type="dxa"/>
            <w:vAlign w:val="bottom"/>
            <w:shd w:val="clear" w:color="auto" w:fill="CCEEFF"/>
          </w:tcPr>
          <w:p>
            <w:pPr>
              <w:ind w:left="180"/>
              <w:spacing w:after="0" w:line="190" w:lineRule="exact"/>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395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b w:val="1"/>
                <w:bCs w:val="1"/>
                <w:color w:val="auto"/>
              </w:rPr>
              <w:t>As adjusted operating EBITDA</w:t>
            </w: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1,121</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hanging="332"/>
        <w:spacing w:after="0" w:line="258" w:lineRule="auto"/>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For purposes of this press release table, all references to "Net income" refer to the financial statement line item "Net income attributable to Waste Management, Inc."</w:t>
      </w:r>
    </w:p>
    <w:p>
      <w:pPr>
        <w:spacing w:after="0" w:line="1" w:lineRule="exact"/>
        <w:rPr>
          <w:rFonts w:ascii="Arial" w:cs="Arial" w:eastAsia="Arial" w:hAnsi="Arial"/>
          <w:sz w:val="18"/>
          <w:szCs w:val="18"/>
          <w:b w:val="1"/>
          <w:bCs w:val="1"/>
          <w:color w:val="auto"/>
        </w:rPr>
      </w:pPr>
    </w:p>
    <w:p>
      <w:pPr>
        <w:ind w:left="340" w:right="20" w:hanging="332"/>
        <w:spacing w:after="0" w:line="250" w:lineRule="auto"/>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net gain from divestitures is related to the sale of our assets and businesses to GFL Environmental pursuant to an agreement executed to address divestitures required by the U.S. Department of Justice in connection with our acquisition of Advanced Disposal.</w:t>
      </w:r>
    </w:p>
    <w:p>
      <w:pPr>
        <w:jc w:val="both"/>
        <w:ind w:left="340" w:hanging="332"/>
        <w:spacing w:after="0" w:line="255" w:lineRule="auto"/>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Company calculates its effective tax rate based on actual dollars. When the effective tax rate is calculated by dividing the Tax Expense amount in the table above by the Pre-tax Income amount, differences occur due to rounding, as these items have been rounded in millions. The fourth quarter 2020 and 2019 adjusted effective tax rates were 19.8% and 16.3%,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321"/>
              <w:spacing w:after="0"/>
              <w:rPr>
                <w:sz w:val="20"/>
                <w:szCs w:val="20"/>
                <w:color w:val="auto"/>
              </w:rPr>
            </w:pPr>
            <w:r>
              <w:rPr>
                <w:rFonts w:ascii="Arial" w:cs="Arial" w:eastAsia="Arial" w:hAnsi="Arial"/>
                <w:sz w:val="18"/>
                <w:szCs w:val="18"/>
                <w:b w:val="1"/>
                <w:bCs w:val="1"/>
                <w:color w:val="auto"/>
                <w:w w:val="90"/>
              </w:rPr>
              <w:t>Year Ended</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center"/>
              <w:ind w:right="1"/>
              <w:spacing w:after="0"/>
              <w:rPr>
                <w:sz w:val="20"/>
                <w:szCs w:val="20"/>
                <w:color w:val="auto"/>
              </w:rPr>
            </w:pPr>
            <w:r>
              <w:rPr>
                <w:rFonts w:ascii="Arial" w:cs="Arial" w:eastAsia="Arial" w:hAnsi="Arial"/>
                <w:sz w:val="18"/>
                <w:szCs w:val="18"/>
                <w:b w:val="1"/>
                <w:bCs w:val="1"/>
                <w:color w:val="auto"/>
                <w:w w:val="90"/>
              </w:rPr>
              <w:t>December 31, 2020</w:t>
            </w: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1"/>
              </w:rPr>
              <w:t>Diluted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Income from</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color w:val="auto"/>
              </w:rPr>
              <w:t>Pre-tax</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61"/>
              <w:spacing w:after="0"/>
              <w:rPr>
                <w:sz w:val="20"/>
                <w:szCs w:val="20"/>
                <w:color w:val="auto"/>
              </w:rPr>
            </w:pPr>
            <w:r>
              <w:rPr>
                <w:rFonts w:ascii="Arial" w:cs="Arial" w:eastAsia="Arial" w:hAnsi="Arial"/>
                <w:sz w:val="18"/>
                <w:szCs w:val="18"/>
                <w:b w:val="1"/>
                <w:bCs w:val="1"/>
                <w:color w:val="auto"/>
                <w:w w:val="90"/>
              </w:rPr>
              <w:t>Tax</w:t>
            </w:r>
          </w:p>
        </w:tc>
        <w:tc>
          <w:tcPr>
            <w:tcW w:w="14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Net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Per Share</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Operations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ind w:left="140"/>
              <w:spacing w:after="0"/>
              <w:rPr>
                <w:sz w:val="20"/>
                <w:szCs w:val="20"/>
                <w:color w:val="auto"/>
              </w:rPr>
            </w:pPr>
            <w:r>
              <w:rPr>
                <w:rFonts w:ascii="Arial" w:cs="Arial" w:eastAsia="Arial" w:hAnsi="Arial"/>
                <w:sz w:val="18"/>
                <w:szCs w:val="18"/>
                <w:b w:val="1"/>
                <w:bCs w:val="1"/>
                <w:color w:val="auto"/>
              </w:rPr>
              <w:t>Income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421"/>
              <w:spacing w:after="0"/>
              <w:rPr>
                <w:sz w:val="20"/>
                <w:szCs w:val="20"/>
                <w:color w:val="auto"/>
              </w:rPr>
            </w:pPr>
            <w:r>
              <w:rPr>
                <w:rFonts w:ascii="Arial" w:cs="Arial" w:eastAsia="Arial" w:hAnsi="Arial"/>
                <w:sz w:val="18"/>
                <w:szCs w:val="18"/>
                <w:b w:val="1"/>
                <w:bCs w:val="1"/>
                <w:color w:val="auto"/>
                <w:w w:val="86"/>
              </w:rPr>
              <w:t>Expense</w:t>
            </w: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Income (a)</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reported amounts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2,434</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1,893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397</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Advanced Disposal acquisition-related costs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Loss on extinguishment of debt</w:t>
            </w: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61"/>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(Gain) loss from divestitures, asset impairments</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unusual items, net</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w w:val="95"/>
              </w:rPr>
              <w:t>Enterprise resource planning system related costs</w:t>
            </w: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61"/>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Restructuring</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3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000" w:type="dxa"/>
            <w:vAlign w:val="bottom"/>
            <w:shd w:val="clear" w:color="auto" w:fill="CCEEFF"/>
          </w:tcPr>
          <w:p>
            <w:pPr>
              <w:spacing w:after="0" w:line="142" w:lineRule="exact"/>
              <w:rPr>
                <w:sz w:val="20"/>
                <w:szCs w:val="20"/>
                <w:color w:val="auto"/>
              </w:rPr>
            </w:pPr>
            <w:r>
              <w:rPr>
                <w:rFonts w:ascii="Arial" w:cs="Arial" w:eastAsia="Arial" w:hAnsi="Arial"/>
                <w:sz w:val="16"/>
                <w:szCs w:val="16"/>
                <w:b w:val="1"/>
                <w:bCs w:val="1"/>
                <w:color w:val="auto"/>
              </w:rPr>
              <w:t>As adjusted amounts</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2,650</w:t>
            </w:r>
          </w:p>
        </w:tc>
        <w:tc>
          <w:tcPr>
            <w:tcW w:w="38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2,169</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41"/>
              <w:spacing w:after="0" w:line="142" w:lineRule="exact"/>
              <w:rPr>
                <w:sz w:val="20"/>
                <w:szCs w:val="20"/>
                <w:color w:val="auto"/>
              </w:rPr>
            </w:pPr>
            <w:r>
              <w:rPr>
                <w:rFonts w:ascii="Arial" w:cs="Arial" w:eastAsia="Arial" w:hAnsi="Arial"/>
                <w:sz w:val="16"/>
                <w:szCs w:val="16"/>
                <w:b w:val="1"/>
                <w:bCs w:val="1"/>
                <w:color w:val="auto"/>
                <w:w w:val="97"/>
              </w:rPr>
              <w:t>(b)</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1,713</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4.03</w:t>
            </w:r>
          </w:p>
        </w:tc>
        <w:tc>
          <w:tcPr>
            <w:tcW w:w="0" w:type="dxa"/>
            <w:vAlign w:val="bottom"/>
          </w:tcPr>
          <w:p>
            <w:pPr>
              <w:spacing w:after="0"/>
              <w:rPr>
                <w:sz w:val="1"/>
                <w:szCs w:val="1"/>
                <w:color w:val="auto"/>
              </w:rPr>
            </w:pPr>
          </w:p>
        </w:tc>
      </w:tr>
      <w:tr>
        <w:trPr>
          <w:trHeight w:val="81"/>
        </w:trPr>
        <w:tc>
          <w:tcPr>
            <w:tcW w:w="4000" w:type="dxa"/>
            <w:vAlign w:val="bottom"/>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1160" w:type="dxa"/>
            <w:vAlign w:val="bottom"/>
            <w:gridSpan w:val="2"/>
            <w:vMerge w:val="continue"/>
            <w:shd w:val="clear" w:color="auto" w:fill="CCEEFF"/>
          </w:tcPr>
          <w:p>
            <w:pPr>
              <w:spacing w:after="0"/>
              <w:rPr>
                <w:sz w:val="7"/>
                <w:szCs w:val="7"/>
                <w:color w:val="auto"/>
              </w:rPr>
            </w:pPr>
          </w:p>
        </w:tc>
        <w:tc>
          <w:tcPr>
            <w:tcW w:w="380" w:type="dxa"/>
            <w:vAlign w:val="bottom"/>
            <w:gridSpan w:val="2"/>
            <w:vMerge w:val="continue"/>
            <w:shd w:val="clear" w:color="auto" w:fill="CCEEFF"/>
          </w:tcPr>
          <w:p>
            <w:pPr>
              <w:spacing w:after="0"/>
              <w:rPr>
                <w:sz w:val="7"/>
                <w:szCs w:val="7"/>
                <w:color w:val="auto"/>
              </w:rPr>
            </w:pPr>
          </w:p>
        </w:tc>
        <w:tc>
          <w:tcPr>
            <w:tcW w:w="1120" w:type="dxa"/>
            <w:vAlign w:val="bottom"/>
            <w:gridSpan w:val="2"/>
            <w:vMerge w:val="continue"/>
            <w:shd w:val="clear" w:color="auto" w:fill="CCEEFF"/>
          </w:tcPr>
          <w:p>
            <w:pPr>
              <w:spacing w:after="0"/>
              <w:rPr>
                <w:sz w:val="7"/>
                <w:szCs w:val="7"/>
                <w:color w:val="auto"/>
              </w:rPr>
            </w:pPr>
          </w:p>
        </w:tc>
        <w:tc>
          <w:tcPr>
            <w:tcW w:w="280" w:type="dxa"/>
            <w:vAlign w:val="bottom"/>
            <w:gridSpan w:val="2"/>
            <w:vMerge w:val="continue"/>
            <w:shd w:val="clear" w:color="auto" w:fill="CCEEFF"/>
          </w:tcPr>
          <w:p>
            <w:pPr>
              <w:spacing w:after="0"/>
              <w:rPr>
                <w:sz w:val="7"/>
                <w:szCs w:val="7"/>
                <w:color w:val="auto"/>
              </w:rPr>
            </w:pPr>
          </w:p>
        </w:tc>
        <w:tc>
          <w:tcPr>
            <w:tcW w:w="1420" w:type="dxa"/>
            <w:vAlign w:val="bottom"/>
            <w:gridSpan w:val="2"/>
            <w:shd w:val="clear" w:color="auto" w:fill="CCEEFF"/>
          </w:tcPr>
          <w:p>
            <w:pPr>
              <w:jc w:val="right"/>
              <w:ind w:right="261"/>
              <w:spacing w:after="0" w:line="81" w:lineRule="exact"/>
              <w:rPr>
                <w:sz w:val="20"/>
                <w:szCs w:val="20"/>
                <w:color w:val="auto"/>
              </w:rPr>
            </w:pPr>
            <w:r>
              <w:rPr>
                <w:rFonts w:ascii="Arial" w:cs="Arial" w:eastAsia="Arial" w:hAnsi="Arial"/>
                <w:sz w:val="9"/>
                <w:szCs w:val="9"/>
                <w:b w:val="1"/>
                <w:bCs w:val="1"/>
                <w:color w:val="auto"/>
              </w:rPr>
              <w:t>456</w:t>
            </w:r>
          </w:p>
        </w:tc>
        <w:tc>
          <w:tcPr>
            <w:tcW w:w="140" w:type="dxa"/>
            <w:vAlign w:val="bottom"/>
            <w:vMerge w:val="continue"/>
            <w:shd w:val="clear" w:color="auto" w:fill="CCEEFF"/>
          </w:tcPr>
          <w:p>
            <w:pPr>
              <w:spacing w:after="0"/>
              <w:rPr>
                <w:sz w:val="7"/>
                <w:szCs w:val="7"/>
                <w:color w:val="auto"/>
              </w:rPr>
            </w:pPr>
          </w:p>
        </w:tc>
        <w:tc>
          <w:tcPr>
            <w:tcW w:w="1200" w:type="dxa"/>
            <w:vAlign w:val="bottom"/>
            <w:gridSpan w:val="2"/>
            <w:vMerge w:val="continue"/>
            <w:shd w:val="clear" w:color="auto" w:fill="CCEEFF"/>
          </w:tcPr>
          <w:p>
            <w:pPr>
              <w:spacing w:after="0"/>
              <w:rPr>
                <w:sz w:val="7"/>
                <w:szCs w:val="7"/>
                <w:color w:val="auto"/>
              </w:rPr>
            </w:pPr>
          </w:p>
        </w:tc>
        <w:tc>
          <w:tcPr>
            <w:tcW w:w="260" w:type="dxa"/>
            <w:vAlign w:val="bottom"/>
            <w:gridSpan w:val="2"/>
            <w:vMerge w:val="continue"/>
            <w:shd w:val="clear" w:color="auto" w:fill="CCEEFF"/>
          </w:tcPr>
          <w:p>
            <w:pPr>
              <w:spacing w:after="0"/>
              <w:rPr>
                <w:sz w:val="7"/>
                <w:szCs w:val="7"/>
                <w:color w:val="auto"/>
              </w:rPr>
            </w:pPr>
          </w:p>
        </w:tc>
        <w:tc>
          <w:tcPr>
            <w:tcW w:w="1180" w:type="dxa"/>
            <w:vAlign w:val="bottom"/>
            <w:gridSpan w:val="2"/>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CCEEFF"/>
            </w:tcBorders>
            <w:gridSpan w:val="2"/>
            <w:vMerge w:val="restart"/>
          </w:tcPr>
          <w:p>
            <w:pPr>
              <w:jc w:val="right"/>
              <w:ind w:right="20"/>
              <w:spacing w:after="0"/>
              <w:rPr>
                <w:sz w:val="20"/>
                <w:szCs w:val="20"/>
                <w:color w:val="auto"/>
              </w:rPr>
            </w:pPr>
            <w:r>
              <w:rPr>
                <w:rFonts w:ascii="Arial" w:cs="Arial" w:eastAsia="Arial" w:hAnsi="Arial"/>
                <w:sz w:val="18"/>
                <w:szCs w:val="18"/>
                <w:color w:val="auto"/>
              </w:rPr>
              <w:t>1,671</w:t>
            </w: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adjusted operating EBITDA</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4,321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gridSpan w:val="2"/>
            <w:vMerge w:val="restart"/>
          </w:tcPr>
          <w:p>
            <w:pPr>
              <w:jc w:val="center"/>
              <w:ind w:right="321"/>
              <w:spacing w:after="0"/>
              <w:rPr>
                <w:sz w:val="20"/>
                <w:szCs w:val="20"/>
                <w:color w:val="auto"/>
              </w:rPr>
            </w:pPr>
            <w:r>
              <w:rPr>
                <w:rFonts w:ascii="Arial" w:cs="Arial" w:eastAsia="Arial" w:hAnsi="Arial"/>
                <w:sz w:val="18"/>
                <w:szCs w:val="18"/>
                <w:b w:val="1"/>
                <w:bCs w:val="1"/>
                <w:color w:val="auto"/>
                <w:w w:val="90"/>
              </w:rPr>
              <w:t>Year Ended</w:t>
            </w: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4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center"/>
              <w:ind w:right="1"/>
              <w:spacing w:after="0"/>
              <w:rPr>
                <w:sz w:val="20"/>
                <w:szCs w:val="20"/>
                <w:color w:val="auto"/>
              </w:rPr>
            </w:pPr>
            <w:r>
              <w:rPr>
                <w:rFonts w:ascii="Arial" w:cs="Arial" w:eastAsia="Arial" w:hAnsi="Arial"/>
                <w:sz w:val="18"/>
                <w:szCs w:val="18"/>
                <w:b w:val="1"/>
                <w:bCs w:val="1"/>
                <w:color w:val="auto"/>
                <w:w w:val="90"/>
              </w:rPr>
              <w:t>December 31, 2019</w:t>
            </w: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1"/>
              </w:rPr>
              <w:t>Diluted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Income from</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color w:val="auto"/>
              </w:rPr>
              <w:t>Pre-tax</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61"/>
              <w:spacing w:after="0"/>
              <w:rPr>
                <w:sz w:val="20"/>
                <w:szCs w:val="20"/>
                <w:color w:val="auto"/>
              </w:rPr>
            </w:pPr>
            <w:r>
              <w:rPr>
                <w:rFonts w:ascii="Arial" w:cs="Arial" w:eastAsia="Arial" w:hAnsi="Arial"/>
                <w:sz w:val="18"/>
                <w:szCs w:val="18"/>
                <w:b w:val="1"/>
                <w:bCs w:val="1"/>
                <w:color w:val="auto"/>
                <w:w w:val="90"/>
              </w:rPr>
              <w:t>Tax</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Net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Per Share</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Operations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ind w:left="140"/>
              <w:spacing w:after="0"/>
              <w:rPr>
                <w:sz w:val="20"/>
                <w:szCs w:val="20"/>
                <w:color w:val="auto"/>
              </w:rPr>
            </w:pPr>
            <w:r>
              <w:rPr>
                <w:rFonts w:ascii="Arial" w:cs="Arial" w:eastAsia="Arial" w:hAnsi="Arial"/>
                <w:sz w:val="18"/>
                <w:szCs w:val="18"/>
                <w:b w:val="1"/>
                <w:bCs w:val="1"/>
                <w:color w:val="auto"/>
              </w:rPr>
              <w:t>Income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421"/>
              <w:spacing w:after="0"/>
              <w:rPr>
                <w:sz w:val="20"/>
                <w:szCs w:val="20"/>
                <w:color w:val="auto"/>
              </w:rPr>
            </w:pPr>
            <w:r>
              <w:rPr>
                <w:rFonts w:ascii="Arial" w:cs="Arial" w:eastAsia="Arial" w:hAnsi="Arial"/>
                <w:sz w:val="18"/>
                <w:szCs w:val="18"/>
                <w:b w:val="1"/>
                <w:bCs w:val="1"/>
                <w:color w:val="auto"/>
                <w:w w:val="86"/>
              </w:rPr>
              <w:t>Expense</w:t>
            </w: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Income (a)</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reported amounts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2,706</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434</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early extinguishment of debt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Impairment of an investment and other</w:t>
            </w: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Loss from divestitures, asset impairments and</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unusual items, net</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Advanced Disposal acquisition-related costs</w:t>
            </w: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61"/>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Enterprise resource planning system related costs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180"/>
              <w:spacing w:after="0"/>
              <w:rPr>
                <w:sz w:val="20"/>
                <w:szCs w:val="20"/>
                <w:color w:val="auto"/>
              </w:rPr>
            </w:pPr>
            <w:r>
              <w:rPr>
                <w:rFonts w:ascii="Arial" w:cs="Arial" w:eastAsia="Arial" w:hAnsi="Arial"/>
                <w:sz w:val="18"/>
                <w:szCs w:val="18"/>
                <w:color w:val="auto"/>
              </w:rPr>
              <w:t>Restructuring</w:t>
            </w:r>
          </w:p>
        </w:tc>
        <w:tc>
          <w:tcPr>
            <w:tcW w:w="1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261"/>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auto"/>
            </w:tcBorders>
            <w:shd w:val="clear" w:color="auto" w:fill="CCEEFF"/>
          </w:tcPr>
          <w:p>
            <w:pPr>
              <w:spacing w:after="0"/>
              <w:rPr>
                <w:sz w:val="18"/>
                <w:szCs w:val="18"/>
                <w:color w:val="auto"/>
              </w:rPr>
            </w:pPr>
          </w:p>
        </w:tc>
        <w:tc>
          <w:tcPr>
            <w:tcW w:w="10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000" w:type="dxa"/>
            <w:vAlign w:val="bottom"/>
          </w:tcPr>
          <w:p>
            <w:pPr>
              <w:spacing w:after="0" w:line="142" w:lineRule="exact"/>
              <w:rPr>
                <w:sz w:val="20"/>
                <w:szCs w:val="20"/>
                <w:color w:val="auto"/>
              </w:rPr>
            </w:pPr>
            <w:r>
              <w:rPr>
                <w:rFonts w:ascii="Arial" w:cs="Arial" w:eastAsia="Arial" w:hAnsi="Arial"/>
                <w:sz w:val="16"/>
                <w:szCs w:val="16"/>
                <w:b w:val="1"/>
                <w:bCs w:val="1"/>
                <w:color w:val="auto"/>
              </w:rPr>
              <w:t>As adjusted amounts</w:t>
            </w:r>
          </w:p>
        </w:tc>
        <w:tc>
          <w:tcPr>
            <w:tcW w:w="1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2,809</w:t>
            </w:r>
          </w:p>
        </w:tc>
        <w:tc>
          <w:tcPr>
            <w:tcW w:w="38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2,359</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spacing w:after="0"/>
              <w:rPr>
                <w:sz w:val="12"/>
                <w:szCs w:val="12"/>
                <w:color w:val="auto"/>
              </w:rPr>
            </w:pPr>
          </w:p>
        </w:tc>
        <w:tc>
          <w:tcPr>
            <w:tcW w:w="340" w:type="dxa"/>
            <w:vAlign w:val="bottom"/>
          </w:tcPr>
          <w:p>
            <w:pPr>
              <w:jc w:val="right"/>
              <w:ind w:right="41"/>
              <w:spacing w:after="0" w:line="142" w:lineRule="exact"/>
              <w:rPr>
                <w:sz w:val="20"/>
                <w:szCs w:val="20"/>
                <w:color w:val="auto"/>
              </w:rPr>
            </w:pPr>
            <w:r>
              <w:rPr>
                <w:rFonts w:ascii="Arial" w:cs="Arial" w:eastAsia="Arial" w:hAnsi="Arial"/>
                <w:sz w:val="16"/>
                <w:szCs w:val="16"/>
                <w:b w:val="1"/>
                <w:bCs w:val="1"/>
                <w:color w:val="auto"/>
                <w:w w:val="97"/>
              </w:rPr>
              <w:t>(b)</w:t>
            </w:r>
          </w:p>
        </w:tc>
        <w:tc>
          <w:tcPr>
            <w:tcW w:w="14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1,881</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4.40</w:t>
            </w:r>
          </w:p>
        </w:tc>
        <w:tc>
          <w:tcPr>
            <w:tcW w:w="0" w:type="dxa"/>
            <w:vAlign w:val="bottom"/>
          </w:tcPr>
          <w:p>
            <w:pPr>
              <w:spacing w:after="0"/>
              <w:rPr>
                <w:sz w:val="1"/>
                <w:szCs w:val="1"/>
                <w:color w:val="auto"/>
              </w:rPr>
            </w:pPr>
          </w:p>
        </w:tc>
      </w:tr>
      <w:tr>
        <w:trPr>
          <w:trHeight w:val="121"/>
        </w:trPr>
        <w:tc>
          <w:tcPr>
            <w:tcW w:w="400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280" w:type="dxa"/>
            <w:vAlign w:val="bottom"/>
            <w:gridSpan w:val="2"/>
            <w:vMerge w:val="continue"/>
          </w:tcPr>
          <w:p>
            <w:pPr>
              <w:spacing w:after="0"/>
              <w:rPr>
                <w:sz w:val="10"/>
                <w:szCs w:val="10"/>
                <w:color w:val="auto"/>
              </w:rPr>
            </w:pPr>
          </w:p>
        </w:tc>
        <w:tc>
          <w:tcPr>
            <w:tcW w:w="1420" w:type="dxa"/>
            <w:vAlign w:val="bottom"/>
            <w:gridSpan w:val="2"/>
          </w:tcPr>
          <w:p>
            <w:pPr>
              <w:jc w:val="right"/>
              <w:ind w:right="261"/>
              <w:spacing w:after="0" w:line="81" w:lineRule="exact"/>
              <w:rPr>
                <w:sz w:val="20"/>
                <w:szCs w:val="20"/>
                <w:color w:val="auto"/>
              </w:rPr>
            </w:pPr>
            <w:r>
              <w:rPr>
                <w:rFonts w:ascii="Arial" w:cs="Arial" w:eastAsia="Arial" w:hAnsi="Arial"/>
                <w:sz w:val="9"/>
                <w:szCs w:val="9"/>
                <w:b w:val="1"/>
                <w:bCs w:val="1"/>
                <w:color w:val="auto"/>
              </w:rPr>
              <w:t>477</w:t>
            </w:r>
          </w:p>
        </w:tc>
        <w:tc>
          <w:tcPr>
            <w:tcW w:w="140" w:type="dxa"/>
            <w:vAlign w:val="bottom"/>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4000" w:type="dxa"/>
            <w:vAlign w:val="bottom"/>
            <w:tcBorders>
              <w:top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Depreciation and amortization</w:t>
            </w: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CCEEFF"/>
            </w:tcBorders>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1,574</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b w:val="1"/>
                <w:bCs w:val="1"/>
                <w:color w:val="auto"/>
              </w:rPr>
              <w:t>As adjusted operating EBITDA</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4,383</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40" w:right="540" w:hanging="232"/>
        <w:spacing w:after="0" w:line="258" w:lineRule="auto"/>
        <w:tabs>
          <w:tab w:leader="none" w:pos="2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For purposes of this press release table, all references to "Net income" refer to the financial statement line item "Net income attributable to Waste Management, Inc."</w:t>
      </w:r>
    </w:p>
    <w:p>
      <w:pPr>
        <w:spacing w:after="0" w:line="1" w:lineRule="exact"/>
        <w:rPr>
          <w:rFonts w:ascii="Arial" w:cs="Arial" w:eastAsia="Arial" w:hAnsi="Arial"/>
          <w:sz w:val="18"/>
          <w:szCs w:val="18"/>
          <w:b w:val="1"/>
          <w:bCs w:val="1"/>
          <w:color w:val="auto"/>
        </w:rPr>
      </w:pPr>
    </w:p>
    <w:p>
      <w:pPr>
        <w:ind w:left="240" w:right="140" w:hanging="232"/>
        <w:spacing w:after="0" w:line="255" w:lineRule="auto"/>
        <w:tabs>
          <w:tab w:leader="none" w:pos="2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Company calculates its effective tax rate based on actual dollars. When the effective tax rate is calculated by dividing the Tax Expense amount in the table above by the Pre-tax Income amount, differences occur due to rounding, as these items have been rounded in millions. The full year 2020 and 2019 adjusted effective tax rate were 21.0% and 20.2%,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2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5"/>
          </w:tcPr>
          <w:p>
            <w:pPr>
              <w:jc w:val="right"/>
              <w:ind w:right="780"/>
              <w:spacing w:after="0"/>
              <w:rPr>
                <w:sz w:val="20"/>
                <w:szCs w:val="20"/>
                <w:color w:val="auto"/>
              </w:rPr>
            </w:pPr>
            <w:r>
              <w:rPr>
                <w:rFonts w:ascii="Arial" w:cs="Arial" w:eastAsia="Arial" w:hAnsi="Arial"/>
                <w:sz w:val="18"/>
                <w:szCs w:val="18"/>
                <w:b w:val="1"/>
                <w:bCs w:val="1"/>
                <w:color w:val="auto"/>
              </w:rPr>
              <w:t>Three Months Ended</w:t>
            </w:r>
          </w:p>
        </w:tc>
        <w:tc>
          <w:tcPr>
            <w:tcW w:w="12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4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Adjusted Operating EBITDA and Adjusted Operating EBITDA</w:t>
            </w:r>
          </w:p>
        </w:tc>
        <w:tc>
          <w:tcPr>
            <w:tcW w:w="200" w:type="dxa"/>
            <w:vAlign w:val="bottom"/>
          </w:tcPr>
          <w:p>
            <w:pPr>
              <w:spacing w:after="0"/>
              <w:rPr>
                <w:sz w:val="18"/>
                <w:szCs w:val="18"/>
                <w:color w:val="auto"/>
              </w:rPr>
            </w:pPr>
          </w:p>
        </w:tc>
        <w:tc>
          <w:tcPr>
            <w:tcW w:w="2780" w:type="dxa"/>
            <w:vAlign w:val="bottom"/>
            <w:gridSpan w:val="4"/>
          </w:tcPr>
          <w:p>
            <w:pPr>
              <w:ind w:left="420"/>
              <w:spacing w:after="0"/>
              <w:rPr>
                <w:sz w:val="20"/>
                <w:szCs w:val="20"/>
                <w:color w:val="auto"/>
              </w:rPr>
            </w:pPr>
            <w:r>
              <w:rPr>
                <w:rFonts w:ascii="Arial" w:cs="Arial" w:eastAsia="Arial" w:hAnsi="Arial"/>
                <w:sz w:val="18"/>
                <w:szCs w:val="18"/>
                <w:b w:val="1"/>
                <w:bCs w:val="1"/>
                <w:color w:val="auto"/>
              </w:rPr>
              <w:t>December 31, 2020</w:t>
            </w:r>
          </w:p>
        </w:tc>
        <w:tc>
          <w:tcPr>
            <w:tcW w:w="200" w:type="dxa"/>
            <w:vAlign w:val="bottom"/>
          </w:tcPr>
          <w:p>
            <w:pPr>
              <w:spacing w:after="0"/>
              <w:rPr>
                <w:sz w:val="18"/>
                <w:szCs w:val="18"/>
                <w:color w:val="auto"/>
              </w:rPr>
            </w:pPr>
          </w:p>
        </w:tc>
        <w:tc>
          <w:tcPr>
            <w:tcW w:w="2480" w:type="dxa"/>
            <w:vAlign w:val="bottom"/>
            <w:gridSpan w:val="3"/>
          </w:tcPr>
          <w:p>
            <w:pPr>
              <w:ind w:left="400"/>
              <w:spacing w:after="0"/>
              <w:rPr>
                <w:sz w:val="20"/>
                <w:szCs w:val="20"/>
                <w:color w:val="auto"/>
              </w:rPr>
            </w:pPr>
            <w:r>
              <w:rPr>
                <w:rFonts w:ascii="Arial" w:cs="Arial" w:eastAsia="Arial" w:hAnsi="Arial"/>
                <w:sz w:val="18"/>
                <w:szCs w:val="18"/>
                <w:b w:val="1"/>
                <w:bCs w:val="1"/>
                <w:color w:val="auto"/>
              </w:rPr>
              <w:t>December 31, 2019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400" w:type="dxa"/>
            <w:vAlign w:val="bottom"/>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ind w:left="220"/>
              <w:spacing w:after="0" w:line="191" w:lineRule="exact"/>
              <w:rPr>
                <w:sz w:val="20"/>
                <w:szCs w:val="20"/>
                <w:color w:val="auto"/>
              </w:rPr>
            </w:pPr>
            <w:r>
              <w:rPr>
                <w:rFonts w:ascii="Arial" w:cs="Arial" w:eastAsia="Arial" w:hAnsi="Arial"/>
                <w:sz w:val="18"/>
                <w:szCs w:val="18"/>
                <w:b w:val="1"/>
                <w:bCs w:val="1"/>
                <w:color w:val="auto"/>
              </w:rPr>
              <w:t>As a % of</w:t>
            </w:r>
          </w:p>
        </w:tc>
        <w:tc>
          <w:tcPr>
            <w:tcW w:w="3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ind w:left="240"/>
              <w:spacing w:after="0" w:line="191" w:lineRule="exact"/>
              <w:rPr>
                <w:sz w:val="20"/>
                <w:szCs w:val="20"/>
                <w:color w:val="auto"/>
              </w:rPr>
            </w:pPr>
            <w:r>
              <w:rPr>
                <w:rFonts w:ascii="Arial" w:cs="Arial" w:eastAsia="Arial" w:hAnsi="Arial"/>
                <w:sz w:val="18"/>
                <w:szCs w:val="18"/>
                <w:b w:val="1"/>
                <w:bCs w:val="1"/>
                <w:color w:val="auto"/>
              </w:rPr>
              <w:t>As a % of</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r>
              <w:rPr>
                <w:rFonts w:ascii="Arial" w:cs="Arial" w:eastAsia="Arial" w:hAnsi="Arial"/>
                <w:sz w:val="18"/>
                <w:szCs w:val="18"/>
                <w:b w:val="1"/>
                <w:bCs w:val="1"/>
                <w:i w:val="1"/>
                <w:iCs w:val="1"/>
                <w:color w:val="auto"/>
              </w:rPr>
              <w:t>Margin</w:t>
            </w:r>
          </w:p>
        </w:tc>
        <w:tc>
          <w:tcPr>
            <w:tcW w:w="200" w:type="dxa"/>
            <w:vAlign w:val="bottom"/>
          </w:tcPr>
          <w:p>
            <w:pPr>
              <w:spacing w:after="0"/>
              <w:rPr>
                <w:sz w:val="20"/>
                <w:szCs w:val="20"/>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Amount</w:t>
            </w:r>
          </w:p>
        </w:tc>
        <w:tc>
          <w:tcPr>
            <w:tcW w:w="1520" w:type="dxa"/>
            <w:vAlign w:val="bottom"/>
            <w:gridSpan w:val="2"/>
          </w:tcPr>
          <w:p>
            <w:pPr>
              <w:ind w:left="240"/>
              <w:spacing w:after="0"/>
              <w:rPr>
                <w:sz w:val="20"/>
                <w:szCs w:val="20"/>
                <w:color w:val="auto"/>
              </w:rPr>
            </w:pPr>
            <w:r>
              <w:rPr>
                <w:rFonts w:ascii="Arial" w:cs="Arial" w:eastAsia="Arial" w:hAnsi="Arial"/>
                <w:sz w:val="18"/>
                <w:szCs w:val="18"/>
                <w:b w:val="1"/>
                <w:bCs w:val="1"/>
                <w:color w:val="auto"/>
              </w:rPr>
              <w:t>Revenues</w:t>
            </w:r>
          </w:p>
        </w:tc>
        <w:tc>
          <w:tcPr>
            <w:tcW w:w="20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Amount</w:t>
            </w:r>
          </w:p>
        </w:tc>
        <w:tc>
          <w:tcPr>
            <w:tcW w:w="1420" w:type="dxa"/>
            <w:vAlign w:val="bottom"/>
            <w:gridSpan w:val="2"/>
          </w:tcPr>
          <w:p>
            <w:pPr>
              <w:ind w:left="260"/>
              <w:spacing w:after="0"/>
              <w:rPr>
                <w:sz w:val="20"/>
                <w:szCs w:val="20"/>
                <w:color w:val="auto"/>
              </w:rPr>
            </w:pPr>
            <w:r>
              <w:rPr>
                <w:rFonts w:ascii="Arial" w:cs="Arial" w:eastAsia="Arial" w:hAnsi="Arial"/>
                <w:sz w:val="18"/>
                <w:szCs w:val="18"/>
                <w:b w:val="1"/>
                <w:bCs w:val="1"/>
                <w:color w:val="auto"/>
              </w:rPr>
              <w:t>Revenues</w:t>
            </w:r>
          </w:p>
        </w:tc>
        <w:tc>
          <w:tcPr>
            <w:tcW w:w="0" w:type="dxa"/>
            <w:vAlign w:val="bottom"/>
          </w:tcPr>
          <w:p>
            <w:pPr>
              <w:spacing w:after="0"/>
              <w:rPr>
                <w:sz w:val="1"/>
                <w:szCs w:val="1"/>
                <w:color w:val="auto"/>
              </w:rPr>
            </w:pP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revenues, as reported</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4,067</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3,846</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Advanced disposal contribution</w:t>
            </w:r>
          </w:p>
        </w:tc>
        <w:tc>
          <w:tcPr>
            <w:tcW w:w="2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(205)</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operating revenues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3,862</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3,846</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operations, as reported</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654</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655</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Depreciation and amortization, as reported</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436</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395</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EBITDA, as reported</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1,090</w:t>
            </w:r>
          </w:p>
        </w:tc>
        <w:tc>
          <w:tcPr>
            <w:tcW w:w="2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b w:val="1"/>
                <w:bCs w:val="1"/>
                <w:color w:val="auto"/>
              </w:rPr>
              <w:t>26.8%</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1,050</w:t>
            </w:r>
          </w:p>
        </w:tc>
        <w:tc>
          <w:tcPr>
            <w:tcW w:w="2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27.3%</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Advanced Disposal acquisition-related costs</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w w:val="91"/>
              </w:rPr>
              <w:t>(Gain) loss from divestitures, asset impairments and unusual items, net</w:t>
            </w:r>
          </w:p>
        </w:tc>
        <w:tc>
          <w:tcPr>
            <w:tcW w:w="2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Enterprise resource planning system related costs</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Restructuring</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operating EBITDA</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1,142</w:t>
            </w:r>
          </w:p>
        </w:tc>
        <w:tc>
          <w:tcPr>
            <w:tcW w:w="2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b w:val="1"/>
                <w:bCs w:val="1"/>
                <w:color w:val="auto"/>
              </w:rPr>
              <w:t>28.1%</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1,121</w:t>
            </w:r>
          </w:p>
        </w:tc>
        <w:tc>
          <w:tcPr>
            <w:tcW w:w="2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29.1%</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b w:val="1"/>
                <w:bCs w:val="1"/>
                <w:color w:val="auto"/>
              </w:rPr>
              <w:t>Adjustments for Advanced Disposal's contribution:</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operations, as reported</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Depreciation and amortization, as reported</w:t>
            </w:r>
          </w:p>
        </w:tc>
        <w:tc>
          <w:tcPr>
            <w:tcW w:w="2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540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w w:val="98"/>
              </w:rPr>
              <w:t>Adjusted operating EBITDA less Advanced Disposal's operating</w:t>
            </w:r>
          </w:p>
        </w:tc>
        <w:tc>
          <w:tcPr>
            <w:tcW w:w="2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1,104</w:t>
            </w:r>
          </w:p>
        </w:tc>
        <w:tc>
          <w:tcPr>
            <w:tcW w:w="1520" w:type="dxa"/>
            <w:vAlign w:val="bottom"/>
            <w:gridSpan w:val="2"/>
            <w:shd w:val="clear" w:color="auto" w:fill="CCEEFF"/>
          </w:tcPr>
          <w:p>
            <w:pPr>
              <w:ind w:left="900"/>
              <w:spacing w:after="0"/>
              <w:rPr>
                <w:sz w:val="20"/>
                <w:szCs w:val="20"/>
                <w:color w:val="auto"/>
              </w:rPr>
            </w:pPr>
            <w:r>
              <w:rPr>
                <w:rFonts w:ascii="Arial" w:cs="Arial" w:eastAsia="Arial" w:hAnsi="Arial"/>
                <w:sz w:val="18"/>
                <w:szCs w:val="18"/>
                <w:b w:val="1"/>
                <w:bCs w:val="1"/>
                <w:color w:val="auto"/>
              </w:rPr>
              <w:t>28.6%</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1,121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29.1%</w:t>
            </w: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Fuel tax credits</w:t>
            </w:r>
          </w:p>
        </w:tc>
        <w:tc>
          <w:tcPr>
            <w:tcW w:w="2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(73)</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Further adjusted operating EBITDA (a)</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520" w:type="dxa"/>
            <w:vAlign w:val="bottom"/>
            <w:tcBorders>
              <w:top w:val="single" w:sz="8" w:color="CCEEFF"/>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b w:val="1"/>
                <w:bCs w:val="1"/>
                <w:color w:val="auto"/>
              </w:rPr>
              <w:t>28.2%</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27.2%</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4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tcPr>
          <w:p>
            <w:pPr>
              <w:ind w:left="880"/>
              <w:spacing w:after="0"/>
              <w:rPr>
                <w:sz w:val="20"/>
                <w:szCs w:val="20"/>
                <w:color w:val="auto"/>
              </w:rPr>
            </w:pPr>
            <w:r>
              <w:rPr>
                <w:rFonts w:ascii="Arial" w:cs="Arial" w:eastAsia="Arial" w:hAnsi="Arial"/>
                <w:sz w:val="18"/>
                <w:szCs w:val="18"/>
                <w:b w:val="1"/>
                <w:bCs w:val="1"/>
                <w:color w:val="auto"/>
              </w:rPr>
              <w:t>Years Ended</w:t>
            </w:r>
          </w:p>
        </w:tc>
        <w:tc>
          <w:tcPr>
            <w:tcW w:w="12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4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Adjusted Operating EBITDA and Adjusted Operating EBITDA</w:t>
            </w:r>
          </w:p>
        </w:tc>
        <w:tc>
          <w:tcPr>
            <w:tcW w:w="200" w:type="dxa"/>
            <w:vAlign w:val="bottom"/>
          </w:tcPr>
          <w:p>
            <w:pPr>
              <w:spacing w:after="0"/>
              <w:rPr>
                <w:sz w:val="19"/>
                <w:szCs w:val="19"/>
                <w:color w:val="auto"/>
              </w:rPr>
            </w:pPr>
          </w:p>
        </w:tc>
        <w:tc>
          <w:tcPr>
            <w:tcW w:w="2780" w:type="dxa"/>
            <w:vAlign w:val="bottom"/>
            <w:gridSpan w:val="4"/>
          </w:tcPr>
          <w:p>
            <w:pPr>
              <w:ind w:left="420"/>
              <w:spacing w:after="0"/>
              <w:rPr>
                <w:sz w:val="20"/>
                <w:szCs w:val="20"/>
                <w:color w:val="auto"/>
              </w:rPr>
            </w:pPr>
            <w:r>
              <w:rPr>
                <w:rFonts w:ascii="Arial" w:cs="Arial" w:eastAsia="Arial" w:hAnsi="Arial"/>
                <w:sz w:val="18"/>
                <w:szCs w:val="18"/>
                <w:b w:val="1"/>
                <w:bCs w:val="1"/>
                <w:color w:val="auto"/>
              </w:rPr>
              <w:t>December 31, 2020</w:t>
            </w:r>
          </w:p>
        </w:tc>
        <w:tc>
          <w:tcPr>
            <w:tcW w:w="200" w:type="dxa"/>
            <w:vAlign w:val="bottom"/>
          </w:tcPr>
          <w:p>
            <w:pPr>
              <w:spacing w:after="0"/>
              <w:rPr>
                <w:sz w:val="19"/>
                <w:szCs w:val="19"/>
                <w:color w:val="auto"/>
              </w:rPr>
            </w:pPr>
          </w:p>
        </w:tc>
        <w:tc>
          <w:tcPr>
            <w:tcW w:w="2480" w:type="dxa"/>
            <w:vAlign w:val="bottom"/>
            <w:gridSpan w:val="3"/>
          </w:tcPr>
          <w:p>
            <w:pPr>
              <w:ind w:left="400"/>
              <w:spacing w:after="0"/>
              <w:rPr>
                <w:sz w:val="20"/>
                <w:szCs w:val="20"/>
                <w:color w:val="auto"/>
              </w:rPr>
            </w:pPr>
            <w:r>
              <w:rPr>
                <w:rFonts w:ascii="Arial" w:cs="Arial" w:eastAsia="Arial" w:hAnsi="Arial"/>
                <w:sz w:val="18"/>
                <w:szCs w:val="18"/>
                <w:b w:val="1"/>
                <w:bCs w:val="1"/>
                <w:color w:val="auto"/>
              </w:rPr>
              <w:t>December 31, 2019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400" w:type="dxa"/>
            <w:vAlign w:val="bottom"/>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ind w:left="220"/>
              <w:spacing w:after="0" w:line="191" w:lineRule="exact"/>
              <w:rPr>
                <w:sz w:val="20"/>
                <w:szCs w:val="20"/>
                <w:color w:val="auto"/>
              </w:rPr>
            </w:pPr>
            <w:r>
              <w:rPr>
                <w:rFonts w:ascii="Arial" w:cs="Arial" w:eastAsia="Arial" w:hAnsi="Arial"/>
                <w:sz w:val="18"/>
                <w:szCs w:val="18"/>
                <w:b w:val="1"/>
                <w:bCs w:val="1"/>
                <w:color w:val="auto"/>
              </w:rPr>
              <w:t>As a % of</w:t>
            </w:r>
          </w:p>
        </w:tc>
        <w:tc>
          <w:tcPr>
            <w:tcW w:w="3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ind w:left="240"/>
              <w:spacing w:after="0" w:line="191" w:lineRule="exact"/>
              <w:rPr>
                <w:sz w:val="20"/>
                <w:szCs w:val="20"/>
                <w:color w:val="auto"/>
              </w:rPr>
            </w:pPr>
            <w:r>
              <w:rPr>
                <w:rFonts w:ascii="Arial" w:cs="Arial" w:eastAsia="Arial" w:hAnsi="Arial"/>
                <w:sz w:val="18"/>
                <w:szCs w:val="18"/>
                <w:b w:val="1"/>
                <w:bCs w:val="1"/>
                <w:color w:val="auto"/>
              </w:rPr>
              <w:t>As a % of</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r>
              <w:rPr>
                <w:rFonts w:ascii="Arial" w:cs="Arial" w:eastAsia="Arial" w:hAnsi="Arial"/>
                <w:sz w:val="18"/>
                <w:szCs w:val="18"/>
                <w:b w:val="1"/>
                <w:bCs w:val="1"/>
                <w:i w:val="1"/>
                <w:iCs w:val="1"/>
                <w:color w:val="auto"/>
              </w:rPr>
              <w:t>Margin</w:t>
            </w:r>
          </w:p>
        </w:tc>
        <w:tc>
          <w:tcPr>
            <w:tcW w:w="200" w:type="dxa"/>
            <w:vAlign w:val="bottom"/>
          </w:tcPr>
          <w:p>
            <w:pPr>
              <w:spacing w:after="0"/>
              <w:rPr>
                <w:sz w:val="20"/>
                <w:szCs w:val="20"/>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Amount</w:t>
            </w:r>
          </w:p>
        </w:tc>
        <w:tc>
          <w:tcPr>
            <w:tcW w:w="1520" w:type="dxa"/>
            <w:vAlign w:val="bottom"/>
            <w:gridSpan w:val="2"/>
          </w:tcPr>
          <w:p>
            <w:pPr>
              <w:ind w:left="240"/>
              <w:spacing w:after="0"/>
              <w:rPr>
                <w:sz w:val="20"/>
                <w:szCs w:val="20"/>
                <w:color w:val="auto"/>
              </w:rPr>
            </w:pPr>
            <w:r>
              <w:rPr>
                <w:rFonts w:ascii="Arial" w:cs="Arial" w:eastAsia="Arial" w:hAnsi="Arial"/>
                <w:sz w:val="18"/>
                <w:szCs w:val="18"/>
                <w:b w:val="1"/>
                <w:bCs w:val="1"/>
                <w:color w:val="auto"/>
              </w:rPr>
              <w:t>Revenues</w:t>
            </w:r>
          </w:p>
        </w:tc>
        <w:tc>
          <w:tcPr>
            <w:tcW w:w="20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Amount</w:t>
            </w:r>
          </w:p>
        </w:tc>
        <w:tc>
          <w:tcPr>
            <w:tcW w:w="1420" w:type="dxa"/>
            <w:vAlign w:val="bottom"/>
            <w:gridSpan w:val="2"/>
          </w:tcPr>
          <w:p>
            <w:pPr>
              <w:ind w:left="260"/>
              <w:spacing w:after="0"/>
              <w:rPr>
                <w:sz w:val="20"/>
                <w:szCs w:val="20"/>
                <w:color w:val="auto"/>
              </w:rPr>
            </w:pPr>
            <w:r>
              <w:rPr>
                <w:rFonts w:ascii="Arial" w:cs="Arial" w:eastAsia="Arial" w:hAnsi="Arial"/>
                <w:sz w:val="18"/>
                <w:szCs w:val="18"/>
                <w:b w:val="1"/>
                <w:bCs w:val="1"/>
                <w:color w:val="auto"/>
              </w:rPr>
              <w:t>Revenues</w:t>
            </w:r>
          </w:p>
        </w:tc>
        <w:tc>
          <w:tcPr>
            <w:tcW w:w="0" w:type="dxa"/>
            <w:vAlign w:val="bottom"/>
          </w:tcPr>
          <w:p>
            <w:pPr>
              <w:spacing w:after="0"/>
              <w:rPr>
                <w:sz w:val="1"/>
                <w:szCs w:val="1"/>
                <w:color w:val="auto"/>
              </w:rPr>
            </w:pP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revenues, as reported</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15,218</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15,455</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w w:val="97"/>
              </w:rPr>
              <w:t>Advanced Disposal's contribution - operating revenues, as reported</w:t>
            </w:r>
          </w:p>
        </w:tc>
        <w:tc>
          <w:tcPr>
            <w:tcW w:w="2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(205)</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operating revenues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15,013</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15,455</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operations, as reported</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2,434</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2,706</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Depreciation and amortization, as reported</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1,671</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1,574</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EBITDA, as reported</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4,105</w:t>
            </w:r>
          </w:p>
        </w:tc>
        <w:tc>
          <w:tcPr>
            <w:tcW w:w="2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b w:val="1"/>
                <w:bCs w:val="1"/>
                <w:color w:val="auto"/>
              </w:rPr>
              <w:t>27.0%</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4,280</w:t>
            </w:r>
          </w:p>
        </w:tc>
        <w:tc>
          <w:tcPr>
            <w:tcW w:w="2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27.7%</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Advanced Disposal acquisition-related costs</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w w:val="91"/>
              </w:rPr>
              <w:t>(Gain) loss from divestitures, asset impairments and unusual items, net</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57</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Enterprise resource planning system related costs</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Restructuring</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operating EBITDA</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4,321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520" w:type="dxa"/>
            <w:vAlign w:val="bottom"/>
            <w:tcBorders>
              <w:top w:val="single" w:sz="8" w:color="CCEEFF"/>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b w:val="1"/>
                <w:bCs w:val="1"/>
                <w:color w:val="auto"/>
              </w:rPr>
              <w:t>28.4%</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4,383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28.4%</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b w:val="1"/>
                <w:bCs w:val="1"/>
                <w:color w:val="auto"/>
              </w:rPr>
              <w:t>Adjustments for Advanced Disposal's contribution:</w:t>
            </w: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operations, as reported</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Depreciation and amortization, as reported</w:t>
            </w:r>
          </w:p>
        </w:tc>
        <w:tc>
          <w:tcPr>
            <w:tcW w:w="2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540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w w:val="98"/>
              </w:rPr>
              <w:t>Adjusted operating EBITDA less Advanced Disposal's operating</w:t>
            </w: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4,283</w:t>
            </w:r>
          </w:p>
        </w:tc>
        <w:tc>
          <w:tcPr>
            <w:tcW w:w="220" w:type="dxa"/>
            <w:vAlign w:val="bottom"/>
            <w:tcBorders>
              <w:top w:val="single" w:sz="8" w:color="CCEEFF"/>
            </w:tcBorders>
            <w:vMerge w:val="restart"/>
            <w:shd w:val="clear" w:color="auto" w:fill="CCEEFF"/>
          </w:tcPr>
          <w:p>
            <w:pPr>
              <w:spacing w:after="0"/>
              <w:rPr>
                <w:sz w:val="15"/>
                <w:szCs w:val="15"/>
                <w:color w:val="auto"/>
              </w:rPr>
            </w:pPr>
          </w:p>
        </w:tc>
        <w:tc>
          <w:tcPr>
            <w:tcW w:w="12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CCEEFF"/>
            </w:tcBorders>
            <w:vMerge w:val="continue"/>
            <w:shd w:val="clear" w:color="auto" w:fill="CCEEFF"/>
          </w:tcPr>
          <w:p>
            <w:pPr>
              <w:spacing w:after="0"/>
              <w:rPr>
                <w:sz w:val="19"/>
                <w:szCs w:val="19"/>
                <w:color w:val="auto"/>
              </w:rPr>
            </w:pPr>
          </w:p>
        </w:tc>
        <w:tc>
          <w:tcPr>
            <w:tcW w:w="152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b w:val="1"/>
                <w:bCs w:val="1"/>
                <w:color w:val="auto"/>
              </w:rPr>
              <w:t>28.5%</w:t>
            </w:r>
          </w:p>
        </w:tc>
        <w:tc>
          <w:tcPr>
            <w:tcW w:w="2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220" w:right="260" w:hanging="215"/>
        <w:spacing w:after="0" w:line="282" w:lineRule="auto"/>
        <w:rPr>
          <w:sz w:val="20"/>
          <w:szCs w:val="20"/>
          <w:color w:val="auto"/>
        </w:rPr>
      </w:pPr>
      <w:r>
        <w:rPr>
          <w:rFonts w:ascii="Arial" w:cs="Arial" w:eastAsia="Arial" w:hAnsi="Arial"/>
          <w:sz w:val="18"/>
          <w:szCs w:val="18"/>
          <w:b w:val="1"/>
          <w:bCs w:val="1"/>
          <w:color w:val="auto"/>
        </w:rPr>
        <w:t>(a)</w:t>
      </w:r>
      <w:r>
        <w:rPr>
          <w:rFonts w:ascii="Arial" w:cs="Arial" w:eastAsia="Arial" w:hAnsi="Arial"/>
          <w:sz w:val="18"/>
          <w:szCs w:val="18"/>
          <w:color w:val="auto"/>
        </w:rPr>
        <w:t>Further adjusting for Advanced Disposal's operating EBITDA contribution and the fuel tax credit benefit, our fourth quarter 2020 operating EBITDA</w:t>
      </w:r>
      <w:r>
        <w:rPr>
          <w:rFonts w:ascii="Arial" w:cs="Arial" w:eastAsia="Arial" w:hAnsi="Arial"/>
          <w:sz w:val="18"/>
          <w:szCs w:val="18"/>
          <w:b w:val="1"/>
          <w:bCs w:val="1"/>
          <w:color w:val="auto"/>
        </w:rPr>
        <w:t xml:space="preserve"> </w:t>
      </w:r>
      <w:r>
        <w:rPr>
          <w:rFonts w:ascii="Arial" w:cs="Arial" w:eastAsia="Arial" w:hAnsi="Arial"/>
          <w:sz w:val="18"/>
          <w:szCs w:val="18"/>
          <w:color w:val="auto"/>
        </w:rPr>
        <w:t>grew $43 million or 4.1% as compared with the same period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2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6"/>
          </w:tcPr>
          <w:p>
            <w:pPr>
              <w:jc w:val="right"/>
              <w:ind w:right="780"/>
              <w:spacing w:after="0"/>
              <w:rPr>
                <w:sz w:val="20"/>
                <w:szCs w:val="20"/>
                <w:color w:val="auto"/>
              </w:rPr>
            </w:pPr>
            <w:r>
              <w:rPr>
                <w:rFonts w:ascii="Arial" w:cs="Arial" w:eastAsia="Arial" w:hAnsi="Arial"/>
                <w:sz w:val="18"/>
                <w:szCs w:val="18"/>
                <w:b w:val="1"/>
                <w:bCs w:val="1"/>
                <w:color w:val="auto"/>
              </w:rPr>
              <w:t>Three Months Ended</w:t>
            </w:r>
          </w:p>
        </w:tc>
        <w:tc>
          <w:tcPr>
            <w:tcW w:w="12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0" w:type="dxa"/>
            <w:vAlign w:val="bottom"/>
            <w:gridSpan w:val="7"/>
          </w:tcPr>
          <w:p>
            <w:pPr>
              <w:jc w:val="right"/>
              <w:ind w:right="920"/>
              <w:spacing w:after="0"/>
              <w:rPr>
                <w:sz w:val="20"/>
                <w:szCs w:val="20"/>
                <w:color w:val="auto"/>
              </w:rPr>
            </w:pPr>
            <w:r>
              <w:rPr>
                <w:rFonts w:ascii="Arial" w:cs="Arial" w:eastAsia="Arial" w:hAnsi="Arial"/>
                <w:sz w:val="18"/>
                <w:szCs w:val="18"/>
                <w:b w:val="1"/>
                <w:bCs w:val="1"/>
                <w:color w:val="auto"/>
              </w:rPr>
              <w:t>December 31, 2020</w:t>
            </w:r>
          </w:p>
        </w:tc>
        <w:tc>
          <w:tcPr>
            <w:tcW w:w="200" w:type="dxa"/>
            <w:vAlign w:val="bottom"/>
          </w:tcPr>
          <w:p>
            <w:pPr>
              <w:spacing w:after="0"/>
              <w:rPr>
                <w:sz w:val="19"/>
                <w:szCs w:val="19"/>
                <w:color w:val="auto"/>
              </w:rPr>
            </w:pPr>
          </w:p>
        </w:tc>
        <w:tc>
          <w:tcPr>
            <w:tcW w:w="2480" w:type="dxa"/>
            <w:vAlign w:val="bottom"/>
            <w:gridSpan w:val="3"/>
          </w:tcPr>
          <w:p>
            <w:pPr>
              <w:ind w:left="400"/>
              <w:spacing w:after="0"/>
              <w:rPr>
                <w:sz w:val="20"/>
                <w:szCs w:val="20"/>
                <w:color w:val="auto"/>
              </w:rPr>
            </w:pPr>
            <w:r>
              <w:rPr>
                <w:rFonts w:ascii="Arial" w:cs="Arial" w:eastAsia="Arial" w:hAnsi="Arial"/>
                <w:sz w:val="18"/>
                <w:szCs w:val="18"/>
                <w:b w:val="1"/>
                <w:bCs w:val="1"/>
                <w:color w:val="auto"/>
              </w:rPr>
              <w:t>December 31, 2019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4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ind w:left="60"/>
              <w:spacing w:after="0" w:line="191" w:lineRule="exact"/>
              <w:rPr>
                <w:sz w:val="20"/>
                <w:szCs w:val="20"/>
                <w:color w:val="auto"/>
              </w:rPr>
            </w:pPr>
            <w:r>
              <w:rPr>
                <w:rFonts w:ascii="Arial" w:cs="Arial" w:eastAsia="Arial" w:hAnsi="Arial"/>
                <w:sz w:val="18"/>
                <w:szCs w:val="18"/>
                <w:b w:val="1"/>
                <w:bCs w:val="1"/>
                <w:color w:val="auto"/>
              </w:rPr>
              <w:t>As a % of</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ind w:left="240"/>
              <w:spacing w:after="0" w:line="191" w:lineRule="exact"/>
              <w:rPr>
                <w:sz w:val="20"/>
                <w:szCs w:val="20"/>
                <w:color w:val="auto"/>
              </w:rPr>
            </w:pPr>
            <w:r>
              <w:rPr>
                <w:rFonts w:ascii="Arial" w:cs="Arial" w:eastAsia="Arial" w:hAnsi="Arial"/>
                <w:sz w:val="18"/>
                <w:szCs w:val="18"/>
                <w:b w:val="1"/>
                <w:bCs w:val="1"/>
                <w:color w:val="auto"/>
              </w:rPr>
              <w:t>As a % of</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r>
              <w:rPr>
                <w:rFonts w:ascii="Arial" w:cs="Arial" w:eastAsia="Arial" w:hAnsi="Arial"/>
                <w:sz w:val="18"/>
                <w:szCs w:val="18"/>
                <w:b w:val="1"/>
                <w:bCs w:val="1"/>
                <w:i w:val="1"/>
                <w:iCs w:val="1"/>
                <w:color w:val="auto"/>
                <w:w w:val="97"/>
              </w:rPr>
              <w:t>Adjusted SG&amp;A Expenses and Adjusted SG&amp;A Expenses Margin</w:t>
            </w:r>
          </w:p>
        </w:tc>
        <w:tc>
          <w:tcPr>
            <w:tcW w:w="180" w:type="dxa"/>
            <w:vAlign w:val="bottom"/>
          </w:tcPr>
          <w:p>
            <w:pPr>
              <w:spacing w:after="0"/>
              <w:rPr>
                <w:sz w:val="20"/>
                <w:szCs w:val="20"/>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Amount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3"/>
          </w:tcPr>
          <w:p>
            <w:pPr>
              <w:ind w:left="80"/>
              <w:spacing w:after="0"/>
              <w:rPr>
                <w:sz w:val="20"/>
                <w:szCs w:val="20"/>
                <w:color w:val="auto"/>
              </w:rPr>
            </w:pPr>
            <w:r>
              <w:rPr>
                <w:rFonts w:ascii="Arial" w:cs="Arial" w:eastAsia="Arial" w:hAnsi="Arial"/>
                <w:sz w:val="18"/>
                <w:szCs w:val="18"/>
                <w:b w:val="1"/>
                <w:bCs w:val="1"/>
                <w:color w:val="auto"/>
              </w:rPr>
              <w:t>Revenues</w:t>
            </w:r>
          </w:p>
        </w:tc>
        <w:tc>
          <w:tcPr>
            <w:tcW w:w="20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Amount</w:t>
            </w:r>
          </w:p>
        </w:tc>
        <w:tc>
          <w:tcPr>
            <w:tcW w:w="1420" w:type="dxa"/>
            <w:vAlign w:val="bottom"/>
            <w:gridSpan w:val="2"/>
          </w:tcPr>
          <w:p>
            <w:pPr>
              <w:ind w:left="260"/>
              <w:spacing w:after="0"/>
              <w:rPr>
                <w:sz w:val="20"/>
                <w:szCs w:val="20"/>
                <w:color w:val="auto"/>
              </w:rPr>
            </w:pPr>
            <w:r>
              <w:rPr>
                <w:rFonts w:ascii="Arial" w:cs="Arial" w:eastAsia="Arial" w:hAnsi="Arial"/>
                <w:sz w:val="18"/>
                <w:szCs w:val="18"/>
                <w:b w:val="1"/>
                <w:bCs w:val="1"/>
                <w:color w:val="auto"/>
              </w:rPr>
              <w:t>Revenues</w:t>
            </w:r>
          </w:p>
        </w:tc>
        <w:tc>
          <w:tcPr>
            <w:tcW w:w="0" w:type="dxa"/>
            <w:vAlign w:val="bottom"/>
          </w:tcPr>
          <w:p>
            <w:pPr>
              <w:spacing w:after="0"/>
              <w:rPr>
                <w:sz w:val="1"/>
                <w:szCs w:val="1"/>
                <w:color w:val="auto"/>
              </w:rPr>
            </w:pP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revenues, as reported</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4,067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3,846</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SG&amp;A expenses, as reported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510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12.5%</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445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11.6%</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Advanced Disposal acquisition-related costs</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180"/>
              <w:spacing w:after="0"/>
              <w:rPr>
                <w:sz w:val="20"/>
                <w:szCs w:val="20"/>
                <w:color w:val="auto"/>
              </w:rPr>
            </w:pPr>
            <w:r>
              <w:rPr>
                <w:rFonts w:ascii="Arial" w:cs="Arial" w:eastAsia="Arial" w:hAnsi="Arial"/>
                <w:sz w:val="18"/>
                <w:szCs w:val="18"/>
                <w:color w:val="auto"/>
              </w:rPr>
              <w:t>Enterprise resource planning system related costs</w:t>
            </w:r>
          </w:p>
        </w:tc>
        <w:tc>
          <w:tcPr>
            <w:tcW w:w="1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SG&amp;A expenses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gridSpan w:val="3"/>
            <w:shd w:val="clear" w:color="auto" w:fill="CCEEFF"/>
          </w:tcPr>
          <w:p>
            <w:pPr>
              <w:jc w:val="right"/>
              <w:ind w:right="120"/>
              <w:spacing w:after="0" w:line="223" w:lineRule="exact"/>
              <w:rPr>
                <w:sz w:val="20"/>
                <w:szCs w:val="20"/>
                <w:color w:val="auto"/>
              </w:rPr>
            </w:pPr>
            <w:r>
              <w:rPr>
                <w:rFonts w:ascii="Arial" w:cs="Arial" w:eastAsia="Arial" w:hAnsi="Arial"/>
                <w:sz w:val="14"/>
                <w:szCs w:val="14"/>
                <w:b w:val="1"/>
                <w:bCs w:val="1"/>
                <w:color w:val="auto"/>
              </w:rPr>
              <w:t>10.4</w:t>
            </w:r>
            <w:r>
              <w:rPr>
                <w:rFonts w:ascii="Arial" w:cs="Arial" w:eastAsia="Arial" w:hAnsi="Arial"/>
                <w:sz w:val="25"/>
                <w:szCs w:val="25"/>
                <w:b w:val="1"/>
                <w:bCs w:val="1"/>
                <w:color w:val="auto"/>
                <w:vertAlign w:val="superscript"/>
              </w:rPr>
              <w:t>%</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CCEEFF"/>
              <w:bottom w:val="single" w:sz="8" w:color="CCEEFF"/>
            </w:tcBorders>
            <w:gridSpan w:val="2"/>
            <w:shd w:val="clear" w:color="auto" w:fill="CCEEFF"/>
          </w:tcPr>
          <w:p>
            <w:pPr>
              <w:jc w:val="right"/>
              <w:spacing w:after="0" w:line="223" w:lineRule="exact"/>
              <w:rPr>
                <w:sz w:val="20"/>
                <w:szCs w:val="20"/>
                <w:color w:val="auto"/>
              </w:rPr>
            </w:pPr>
            <w:r>
              <w:rPr>
                <w:rFonts w:ascii="Arial" w:cs="Arial" w:eastAsia="Arial" w:hAnsi="Arial"/>
                <w:sz w:val="14"/>
                <w:szCs w:val="14"/>
                <w:b w:val="1"/>
                <w:bCs w:val="1"/>
                <w:color w:val="auto"/>
              </w:rPr>
              <w:t>10.7</w:t>
            </w:r>
            <w:r>
              <w:rPr>
                <w:rFonts w:ascii="Arial" w:cs="Arial" w:eastAsia="Arial" w:hAnsi="Arial"/>
                <w:sz w:val="25"/>
                <w:szCs w:val="25"/>
                <w:b w:val="1"/>
                <w:bCs w:val="1"/>
                <w:color w:val="auto"/>
                <w:vertAlign w:val="superscript"/>
              </w:rPr>
              <w:t>%</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4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jc w:val="right"/>
              <w:ind w:right="1100"/>
              <w:spacing w:after="0"/>
              <w:rPr>
                <w:sz w:val="20"/>
                <w:szCs w:val="20"/>
                <w:color w:val="auto"/>
              </w:rPr>
            </w:pPr>
            <w:r>
              <w:rPr>
                <w:rFonts w:ascii="Arial" w:cs="Arial" w:eastAsia="Arial" w:hAnsi="Arial"/>
                <w:sz w:val="18"/>
                <w:szCs w:val="18"/>
                <w:b w:val="1"/>
                <w:bCs w:val="1"/>
                <w:color w:val="auto"/>
              </w:rPr>
              <w:t>Years Ended</w:t>
            </w:r>
          </w:p>
        </w:tc>
        <w:tc>
          <w:tcPr>
            <w:tcW w:w="12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0" w:type="dxa"/>
            <w:vAlign w:val="bottom"/>
            <w:gridSpan w:val="7"/>
          </w:tcPr>
          <w:p>
            <w:pPr>
              <w:jc w:val="right"/>
              <w:ind w:right="920"/>
              <w:spacing w:after="0"/>
              <w:rPr>
                <w:sz w:val="20"/>
                <w:szCs w:val="20"/>
                <w:color w:val="auto"/>
              </w:rPr>
            </w:pPr>
            <w:r>
              <w:rPr>
                <w:rFonts w:ascii="Arial" w:cs="Arial" w:eastAsia="Arial" w:hAnsi="Arial"/>
                <w:sz w:val="18"/>
                <w:szCs w:val="18"/>
                <w:b w:val="1"/>
                <w:bCs w:val="1"/>
                <w:color w:val="auto"/>
              </w:rPr>
              <w:t>December 31, 2020</w:t>
            </w:r>
          </w:p>
        </w:tc>
        <w:tc>
          <w:tcPr>
            <w:tcW w:w="200" w:type="dxa"/>
            <w:vAlign w:val="bottom"/>
          </w:tcPr>
          <w:p>
            <w:pPr>
              <w:spacing w:after="0"/>
              <w:rPr>
                <w:sz w:val="18"/>
                <w:szCs w:val="18"/>
                <w:color w:val="auto"/>
              </w:rPr>
            </w:pPr>
          </w:p>
        </w:tc>
        <w:tc>
          <w:tcPr>
            <w:tcW w:w="2480" w:type="dxa"/>
            <w:vAlign w:val="bottom"/>
            <w:gridSpan w:val="3"/>
          </w:tcPr>
          <w:p>
            <w:pPr>
              <w:ind w:left="400"/>
              <w:spacing w:after="0"/>
              <w:rPr>
                <w:sz w:val="20"/>
                <w:szCs w:val="20"/>
                <w:color w:val="auto"/>
              </w:rPr>
            </w:pPr>
            <w:r>
              <w:rPr>
                <w:rFonts w:ascii="Arial" w:cs="Arial" w:eastAsia="Arial" w:hAnsi="Arial"/>
                <w:sz w:val="18"/>
                <w:szCs w:val="18"/>
                <w:b w:val="1"/>
                <w:bCs w:val="1"/>
                <w:color w:val="auto"/>
              </w:rPr>
              <w:t>December 31, 2019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4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ind w:left="60"/>
              <w:spacing w:after="0" w:line="191" w:lineRule="exact"/>
              <w:rPr>
                <w:sz w:val="20"/>
                <w:szCs w:val="20"/>
                <w:color w:val="auto"/>
              </w:rPr>
            </w:pPr>
            <w:r>
              <w:rPr>
                <w:rFonts w:ascii="Arial" w:cs="Arial" w:eastAsia="Arial" w:hAnsi="Arial"/>
                <w:sz w:val="18"/>
                <w:szCs w:val="18"/>
                <w:b w:val="1"/>
                <w:bCs w:val="1"/>
                <w:color w:val="auto"/>
              </w:rPr>
              <w:t>As a % of</w:t>
            </w:r>
          </w:p>
        </w:tc>
        <w:tc>
          <w:tcPr>
            <w:tcW w:w="300" w:type="dxa"/>
            <w:vAlign w:val="bottom"/>
            <w:gridSpan w:val="2"/>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ind w:left="240"/>
              <w:spacing w:after="0" w:line="191" w:lineRule="exact"/>
              <w:rPr>
                <w:sz w:val="20"/>
                <w:szCs w:val="20"/>
                <w:color w:val="auto"/>
              </w:rPr>
            </w:pPr>
            <w:r>
              <w:rPr>
                <w:rFonts w:ascii="Arial" w:cs="Arial" w:eastAsia="Arial" w:hAnsi="Arial"/>
                <w:sz w:val="18"/>
                <w:szCs w:val="18"/>
                <w:b w:val="1"/>
                <w:bCs w:val="1"/>
                <w:color w:val="auto"/>
              </w:rPr>
              <w:t>As a % of</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r>
              <w:rPr>
                <w:rFonts w:ascii="Arial" w:cs="Arial" w:eastAsia="Arial" w:hAnsi="Arial"/>
                <w:sz w:val="18"/>
                <w:szCs w:val="18"/>
                <w:b w:val="1"/>
                <w:bCs w:val="1"/>
                <w:i w:val="1"/>
                <w:iCs w:val="1"/>
                <w:color w:val="auto"/>
                <w:w w:val="97"/>
              </w:rPr>
              <w:t>Adjusted SG&amp;A Expenses and Adjusted SG&amp;A Expenses Margin</w:t>
            </w:r>
          </w:p>
        </w:tc>
        <w:tc>
          <w:tcPr>
            <w:tcW w:w="180" w:type="dxa"/>
            <w:vAlign w:val="bottom"/>
          </w:tcPr>
          <w:p>
            <w:pPr>
              <w:spacing w:after="0"/>
              <w:rPr>
                <w:sz w:val="20"/>
                <w:szCs w:val="20"/>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Amount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3"/>
          </w:tcPr>
          <w:p>
            <w:pPr>
              <w:ind w:left="80"/>
              <w:spacing w:after="0"/>
              <w:rPr>
                <w:sz w:val="20"/>
                <w:szCs w:val="20"/>
                <w:color w:val="auto"/>
              </w:rPr>
            </w:pPr>
            <w:r>
              <w:rPr>
                <w:rFonts w:ascii="Arial" w:cs="Arial" w:eastAsia="Arial" w:hAnsi="Arial"/>
                <w:sz w:val="18"/>
                <w:szCs w:val="18"/>
                <w:b w:val="1"/>
                <w:bCs w:val="1"/>
                <w:color w:val="auto"/>
              </w:rPr>
              <w:t>Revenues</w:t>
            </w:r>
          </w:p>
        </w:tc>
        <w:tc>
          <w:tcPr>
            <w:tcW w:w="20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Amount</w:t>
            </w:r>
          </w:p>
        </w:tc>
        <w:tc>
          <w:tcPr>
            <w:tcW w:w="1420" w:type="dxa"/>
            <w:vAlign w:val="bottom"/>
            <w:gridSpan w:val="2"/>
          </w:tcPr>
          <w:p>
            <w:pPr>
              <w:ind w:left="260"/>
              <w:spacing w:after="0"/>
              <w:rPr>
                <w:sz w:val="20"/>
                <w:szCs w:val="20"/>
                <w:color w:val="auto"/>
              </w:rPr>
            </w:pPr>
            <w:r>
              <w:rPr>
                <w:rFonts w:ascii="Arial" w:cs="Arial" w:eastAsia="Arial" w:hAnsi="Arial"/>
                <w:sz w:val="18"/>
                <w:szCs w:val="18"/>
                <w:b w:val="1"/>
                <w:bCs w:val="1"/>
                <w:color w:val="auto"/>
              </w:rPr>
              <w:t>Revenues</w:t>
            </w:r>
          </w:p>
        </w:tc>
        <w:tc>
          <w:tcPr>
            <w:tcW w:w="0" w:type="dxa"/>
            <w:vAlign w:val="bottom"/>
          </w:tcPr>
          <w:p>
            <w:pPr>
              <w:spacing w:after="0"/>
              <w:rPr>
                <w:sz w:val="1"/>
                <w:szCs w:val="1"/>
                <w:color w:val="auto"/>
              </w:rPr>
            </w:pP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revenues, as reported</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15,218</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15,455</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SG&amp;A expenses, as reported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1,728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11.4%</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1,631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10.6%</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Advanced Disposal acquisition-related costs</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180"/>
              <w:spacing w:after="0"/>
              <w:rPr>
                <w:sz w:val="20"/>
                <w:szCs w:val="20"/>
                <w:color w:val="auto"/>
              </w:rPr>
            </w:pPr>
            <w:r>
              <w:rPr>
                <w:rFonts w:ascii="Arial" w:cs="Arial" w:eastAsia="Arial" w:hAnsi="Arial"/>
                <w:sz w:val="18"/>
                <w:szCs w:val="18"/>
                <w:color w:val="auto"/>
              </w:rPr>
              <w:t>Enterprise resource planning system related costs</w:t>
            </w:r>
          </w:p>
        </w:tc>
        <w:tc>
          <w:tcPr>
            <w:tcW w:w="1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SG&amp;A expenses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CCEEFF"/>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10.2%</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1,588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10.3%</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180"/>
              <w:spacing w:after="0"/>
              <w:rPr>
                <w:sz w:val="20"/>
                <w:szCs w:val="20"/>
                <w:color w:val="auto"/>
              </w:rPr>
            </w:pPr>
            <w:r>
              <w:rPr>
                <w:rFonts w:ascii="Arial" w:cs="Arial" w:eastAsia="Arial" w:hAnsi="Arial"/>
                <w:sz w:val="18"/>
                <w:szCs w:val="18"/>
                <w:color w:val="auto"/>
              </w:rPr>
              <w:t>Advanced Disposal SG&amp;A spending</w:t>
            </w:r>
          </w:p>
        </w:tc>
        <w:tc>
          <w:tcPr>
            <w:tcW w:w="180" w:type="dxa"/>
            <w:vAlign w:val="bottom"/>
          </w:tcPr>
          <w:p>
            <w:pPr>
              <w:spacing w:after="0" w:line="20" w:lineRule="exact"/>
              <w:rPr>
                <w:sz w:val="1"/>
                <w:szCs w:val="1"/>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Further adjusted SG&amp;A expenses (a)</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1,532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2021 Projected Free Cash Flow Reconciliation (b)</w:t>
            </w: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Scenario 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w w:val="96"/>
              </w:rPr>
              <w:t>Scenario 2</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4,130</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(1,780)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3"/>
          </w:tcPr>
          <w:p>
            <w:pPr>
              <w:jc w:val="right"/>
              <w:ind w:right="240"/>
              <w:spacing w:after="0"/>
              <w:rPr>
                <w:sz w:val="20"/>
                <w:szCs w:val="20"/>
                <w:color w:val="auto"/>
              </w:rPr>
            </w:pPr>
            <w:r>
              <w:rPr>
                <w:rFonts w:ascii="Arial" w:cs="Arial" w:eastAsia="Arial" w:hAnsi="Arial"/>
                <w:sz w:val="18"/>
                <w:szCs w:val="18"/>
                <w:color w:val="auto"/>
              </w:rPr>
              <w:t>(1,880)</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Proceeds from divestitures of businesses and other assets (net of cash</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divested)</w:t>
            </w: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400" w:type="dxa"/>
            <w:vAlign w:val="bottom"/>
          </w:tcPr>
          <w:p>
            <w:pPr>
              <w:spacing w:after="0"/>
              <w:rPr>
                <w:sz w:val="20"/>
                <w:szCs w:val="20"/>
                <w:color w:val="auto"/>
              </w:rPr>
            </w:pPr>
            <w:r>
              <w:rPr>
                <w:rFonts w:ascii="Arial" w:cs="Arial" w:eastAsia="Arial" w:hAnsi="Arial"/>
                <w:sz w:val="18"/>
                <w:szCs w:val="18"/>
                <w:b w:val="1"/>
                <w:bCs w:val="1"/>
                <w:color w:val="auto"/>
              </w:rPr>
              <w:t>Free cash flow</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2,250</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2,350</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-728345</wp:posOffset>
            </wp:positionV>
            <wp:extent cx="188595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85950" cy="14605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-445135</wp:posOffset>
            </wp:positionV>
            <wp:extent cx="1885950" cy="274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85950" cy="274320"/>
                    </a:xfrm>
                    <a:prstGeom prst="rect">
                      <a:avLst/>
                    </a:prstGeom>
                    <a:noFill/>
                  </pic:spPr>
                </pic:pic>
              </a:graphicData>
            </a:graphic>
          </wp:anchor>
        </w:drawing>
      </w:r>
    </w:p>
    <w:p>
      <w:pPr>
        <w:spacing w:after="0" w:line="209" w:lineRule="exact"/>
        <w:rPr>
          <w:sz w:val="20"/>
          <w:szCs w:val="20"/>
          <w:color w:val="auto"/>
        </w:rPr>
      </w:pPr>
    </w:p>
    <w:p>
      <w:pPr>
        <w:ind w:left="240" w:right="120" w:hanging="232"/>
        <w:spacing w:after="0" w:line="258" w:lineRule="auto"/>
        <w:tabs>
          <w:tab w:leader="none" w:pos="24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Excluding the $25 million of SG&amp;A spending associated with the acquired Advanced Disposal operations, SG&amp;A improved by $56 million for the full year 2020 as compared with same period prior year.</w:t>
      </w:r>
    </w:p>
    <w:p>
      <w:pPr>
        <w:spacing w:after="0" w:line="1" w:lineRule="exact"/>
        <w:rPr>
          <w:rFonts w:ascii="Arial" w:cs="Arial" w:eastAsia="Arial" w:hAnsi="Arial"/>
          <w:sz w:val="18"/>
          <w:szCs w:val="18"/>
          <w:b w:val="1"/>
          <w:bCs w:val="1"/>
          <w:color w:val="auto"/>
        </w:rPr>
      </w:pPr>
    </w:p>
    <w:p>
      <w:pPr>
        <w:ind w:left="240" w:right="160" w:hanging="232"/>
        <w:spacing w:after="0" w:line="290" w:lineRule="auto"/>
        <w:tabs>
          <w:tab w:leader="none" w:pos="240" w:val="left"/>
        </w:tabs>
        <w:numPr>
          <w:ilvl w:val="0"/>
          <w:numId w:val="12"/>
        </w:numPr>
        <w:rPr>
          <w:rFonts w:ascii="Arial" w:cs="Arial" w:eastAsia="Arial" w:hAnsi="Arial"/>
          <w:sz w:val="17"/>
          <w:szCs w:val="17"/>
          <w:b w:val="1"/>
          <w:bCs w:val="1"/>
          <w:color w:val="auto"/>
        </w:rPr>
      </w:pPr>
      <w:r>
        <w:rPr>
          <w:rFonts w:ascii="Arial" w:cs="Arial" w:eastAsia="Arial" w:hAnsi="Arial"/>
          <w:sz w:val="17"/>
          <w:szCs w:val="17"/>
          <w:color w:val="auto"/>
        </w:rPr>
        <w:t>The reconciliation includes two scenarios that illustrate our projected free cash flow range for 2021. The amounts used in the reconciliation are subject to many variables, some of which are not under our control and, therefore, are not necessarily indicative of actual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04"/>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2021-02-18T06:18:34Z</dcterms:created>
  <dcterms:modified xsi:type="dcterms:W3CDTF">2021-02-18T06:18:34Z</dcterms:modified>
</cp:coreProperties>
</file>