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455295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2" w:lineRule="exact"/>
        <w:rPr>
          <w:sz w:val="24"/>
          <w:szCs w:val="24"/>
          <w:color w:val="auto"/>
        </w:rPr>
      </w:pPr>
    </w:p>
    <w:p>
      <w:pPr>
        <w:ind w:left="5220"/>
        <w:spacing w:after="0"/>
        <w:rPr>
          <w:sz w:val="20"/>
          <w:szCs w:val="20"/>
          <w:color w:val="auto"/>
        </w:rPr>
      </w:pPr>
      <w:r>
        <w:rPr>
          <w:rFonts w:ascii="Arial" w:cs="Arial" w:eastAsia="Arial" w:hAnsi="Arial"/>
          <w:sz w:val="22"/>
          <w:szCs w:val="22"/>
          <w:b w:val="1"/>
          <w:bCs w:val="1"/>
          <w:color w:val="auto"/>
        </w:rPr>
        <w:t>_________</w:t>
      </w:r>
    </w:p>
    <w:p>
      <w:pPr>
        <w:spacing w:after="0" w:line="2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53" w:lineRule="exact"/>
        <w:rPr>
          <w:sz w:val="24"/>
          <w:szCs w:val="24"/>
          <w:color w:val="auto"/>
        </w:rPr>
      </w:pPr>
    </w:p>
    <w:p>
      <w:pPr>
        <w:ind w:left="5220"/>
        <w:spacing w:after="0"/>
        <w:rPr>
          <w:sz w:val="20"/>
          <w:szCs w:val="20"/>
          <w:color w:val="auto"/>
        </w:rPr>
      </w:pPr>
      <w:r>
        <w:rPr>
          <w:rFonts w:ascii="Arial" w:cs="Arial" w:eastAsia="Arial" w:hAnsi="Arial"/>
          <w:sz w:val="22"/>
          <w:szCs w:val="22"/>
          <w:b w:val="1"/>
          <w:bCs w:val="1"/>
          <w:color w:val="auto"/>
        </w:rPr>
        <w:t>_________</w:t>
      </w: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7"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spacing w:after="0" w:line="38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July 14, 2008</w:t>
      </w:r>
    </w:p>
    <w:p>
      <w:pPr>
        <w:spacing w:after="0" w:line="200" w:lineRule="exact"/>
        <w:rPr>
          <w:sz w:val="24"/>
          <w:szCs w:val="24"/>
          <w:color w:val="auto"/>
        </w:rPr>
      </w:pPr>
    </w:p>
    <w:p>
      <w:pPr>
        <w:spacing w:after="0" w:line="35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855" w:right="359" w:bottom="1440" w:gutter="0" w:footer="0" w:header="0"/>
        </w:sectPr>
      </w:pPr>
    </w:p>
    <w:p>
      <w:pPr>
        <w:spacing w:after="0" w:line="200" w:lineRule="exact"/>
        <w:rPr>
          <w:sz w:val="24"/>
          <w:szCs w:val="24"/>
          <w:color w:val="auto"/>
        </w:rPr>
      </w:pPr>
    </w:p>
    <w:p>
      <w:pPr>
        <w:spacing w:after="0" w:line="333"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3"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820" w:space="720"/>
            <w:col w:w="3100"/>
          </w:cols>
          <w:pgMar w:left="240" w:top="855" w:right="359" w:bottom="1440" w:gutter="0" w:footer="0" w:header="0"/>
          <w:type w:val="continuous"/>
        </w:sectPr>
      </w:pPr>
    </w:p>
    <w:p>
      <w:pPr>
        <w:spacing w:after="0" w:line="358" w:lineRule="exact"/>
        <w:rPr>
          <w:sz w:val="24"/>
          <w:szCs w:val="24"/>
          <w:color w:val="auto"/>
        </w:rPr>
      </w:pPr>
    </w:p>
    <w:p>
      <w:pPr>
        <w:ind w:left="1320" w:right="232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855" w:right="359" w:bottom="1440" w:gutter="0" w:footer="0" w:header="0"/>
          <w:type w:val="continuous"/>
        </w:sectPr>
      </w:pP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353"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500" w:hanging="492"/>
        <w:spacing w:after="0" w:line="236" w:lineRule="auto"/>
        <w:tabs>
          <w:tab w:leader="none" w:pos="500" w:val="left"/>
        </w:tabs>
        <w:numPr>
          <w:ilvl w:val="0"/>
          <w:numId w:val="1"/>
        </w:numPr>
        <w:rPr>
          <w:rFonts w:ascii="Arial" w:cs="Arial" w:eastAsia="Arial" w:hAnsi="Arial"/>
          <w:sz w:val="43"/>
          <w:szCs w:val="43"/>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51" w:lineRule="exact"/>
        <w:rPr>
          <w:rFonts w:ascii="Arial" w:cs="Arial" w:eastAsia="Arial" w:hAnsi="Arial"/>
          <w:sz w:val="43"/>
          <w:szCs w:val="43"/>
          <w:color w:val="auto"/>
          <w:vertAlign w:val="subscript"/>
        </w:rPr>
      </w:pPr>
    </w:p>
    <w:p>
      <w:pPr>
        <w:ind w:left="500" w:hanging="492"/>
        <w:spacing w:after="0" w:line="237" w:lineRule="auto"/>
        <w:tabs>
          <w:tab w:leader="none" w:pos="500" w:val="left"/>
        </w:tabs>
        <w:numPr>
          <w:ilvl w:val="0"/>
          <w:numId w:val="1"/>
        </w:numPr>
        <w:rPr>
          <w:rFonts w:ascii="Arial" w:cs="Arial" w:eastAsia="Arial" w:hAnsi="Arial"/>
          <w:sz w:val="43"/>
          <w:szCs w:val="43"/>
          <w:color w:val="auto"/>
          <w:vertAlign w:val="subscript"/>
        </w:rPr>
      </w:pPr>
      <w:r>
        <w:rPr>
          <w:rFonts w:ascii="Arial" w:cs="Arial" w:eastAsia="Arial" w:hAnsi="Arial"/>
          <w:sz w:val="18"/>
          <w:szCs w:val="18"/>
          <w:color w:val="auto"/>
        </w:rPr>
        <w:t>Soliciting material pursuant to Rule 14a-12 under the Exchange Act (17 CFR 240.14a-12)</w:t>
      </w:r>
    </w:p>
    <w:p>
      <w:pPr>
        <w:spacing w:after="0" w:line="51" w:lineRule="exact"/>
        <w:rPr>
          <w:rFonts w:ascii="Arial" w:cs="Arial" w:eastAsia="Arial" w:hAnsi="Arial"/>
          <w:sz w:val="43"/>
          <w:szCs w:val="43"/>
          <w:color w:val="auto"/>
          <w:vertAlign w:val="subscript"/>
        </w:rPr>
      </w:pPr>
    </w:p>
    <w:p>
      <w:pPr>
        <w:ind w:left="500" w:hanging="492"/>
        <w:spacing w:after="0" w:line="237" w:lineRule="auto"/>
        <w:tabs>
          <w:tab w:leader="none" w:pos="500" w:val="left"/>
        </w:tabs>
        <w:numPr>
          <w:ilvl w:val="0"/>
          <w:numId w:val="1"/>
        </w:numPr>
        <w:rPr>
          <w:rFonts w:ascii="Arial" w:cs="Arial" w:eastAsia="Arial" w:hAnsi="Arial"/>
          <w:sz w:val="43"/>
          <w:szCs w:val="43"/>
          <w:color w:val="auto"/>
          <w:vertAlign w:val="subscript"/>
        </w:rPr>
      </w:pPr>
      <w:r>
        <w:rPr>
          <w:rFonts w:ascii="Arial" w:cs="Arial" w:eastAsia="Arial" w:hAnsi="Arial"/>
          <w:sz w:val="18"/>
          <w:szCs w:val="18"/>
          <w:color w:val="auto"/>
        </w:rPr>
        <w:t>Pre-commencement communications pursuant to Rule 14d-2(b) under the Exchange Act (17 CFR 240.14d-2(b))</w:t>
      </w:r>
    </w:p>
    <w:p>
      <w:pPr>
        <w:spacing w:after="0" w:line="51" w:lineRule="exact"/>
        <w:rPr>
          <w:rFonts w:ascii="Arial" w:cs="Arial" w:eastAsia="Arial" w:hAnsi="Arial"/>
          <w:sz w:val="43"/>
          <w:szCs w:val="43"/>
          <w:color w:val="auto"/>
          <w:vertAlign w:val="subscript"/>
        </w:rPr>
      </w:pPr>
    </w:p>
    <w:p>
      <w:pPr>
        <w:ind w:left="500" w:hanging="492"/>
        <w:spacing w:after="0" w:line="237" w:lineRule="auto"/>
        <w:tabs>
          <w:tab w:leader="none" w:pos="500" w:val="left"/>
        </w:tabs>
        <w:numPr>
          <w:ilvl w:val="0"/>
          <w:numId w:val="1"/>
        </w:numPr>
        <w:rPr>
          <w:rFonts w:ascii="Arial" w:cs="Arial" w:eastAsia="Arial" w:hAnsi="Arial"/>
          <w:sz w:val="43"/>
          <w:szCs w:val="43"/>
          <w:color w:val="auto"/>
          <w:vertAlign w:val="sub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300"/>
          </w:cols>
          <w:pgMar w:left="240" w:top="85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8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information, including the text of the exhibit attached hereto, is furnished pursuant to Items 2.02 and 9.01 of Form 8-K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July 14, 2008, Waste Management, Inc. (the “Company”) issued a press release regarding the Company’s preliminary financial results for the quarter ended June 30, 2008. The full text of the Company’s press release is attached hereto as Exhibit 99.1.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4" w:lineRule="exact"/>
        <w:rPr>
          <w:sz w:val="20"/>
          <w:szCs w:val="20"/>
          <w:color w:val="auto"/>
        </w:rPr>
      </w:pP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1110615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91" w:right="3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WASTE MANAGEMENT, INC.</w:t>
      </w:r>
    </w:p>
    <w:p>
      <w:pPr>
        <w:spacing w:after="0" w:line="3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14, 2008</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80645</wp:posOffset>
            </wp:positionV>
            <wp:extent cx="174498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4980" cy="21590"/>
                    </a:xfrm>
                    <a:prstGeom prst="rect">
                      <a:avLst/>
                    </a:prstGeom>
                    <a:noFill/>
                  </pic:spPr>
                </pic:pic>
              </a:graphicData>
            </a:graphic>
          </wp:anchor>
        </w:drawing>
      </w:r>
    </w:p>
    <w:p>
      <w:pPr>
        <w:spacing w:after="0" w:line="23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Rick L Wittenbraker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661" w:right="10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3"/>
          </w:tcPr>
          <w:p>
            <w:pPr>
              <w:ind w:left="660"/>
              <w:spacing w:after="0"/>
              <w:rPr>
                <w:sz w:val="20"/>
                <w:szCs w:val="20"/>
                <w:color w:val="auto"/>
              </w:rPr>
            </w:pPr>
            <w:r>
              <w:rPr>
                <w:rFonts w:ascii="Arial" w:cs="Arial" w:eastAsia="Arial" w:hAnsi="Arial"/>
                <w:sz w:val="18"/>
                <w:szCs w:val="18"/>
                <w:b w:val="1"/>
                <w:bCs w:val="1"/>
                <w:color w:val="auto"/>
              </w:rPr>
              <w:t>Exhibit Number</w:t>
            </w:r>
          </w:p>
        </w:tc>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17"/>
                <w:szCs w:val="17"/>
                <w:color w:val="auto"/>
              </w:rPr>
            </w:pPr>
          </w:p>
        </w:tc>
      </w:tr>
      <w:tr>
        <w:trPr>
          <w:trHeight w:val="345"/>
        </w:trPr>
        <w:tc>
          <w:tcPr>
            <w:tcW w:w="6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9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99.1</w:t>
            </w:r>
          </w:p>
        </w:tc>
        <w:tc>
          <w:tcPr>
            <w:tcW w:w="360" w:type="dxa"/>
            <w:vAlign w:val="bottom"/>
            <w:shd w:val="clear" w:color="auto" w:fill="CCFFCC"/>
          </w:tcPr>
          <w:p>
            <w:pPr>
              <w:spacing w:after="0"/>
              <w:rPr>
                <w:sz w:val="18"/>
                <w:szCs w:val="18"/>
                <w:color w:val="auto"/>
              </w:rPr>
            </w:pPr>
          </w:p>
        </w:tc>
        <w:tc>
          <w:tcPr>
            <w:tcW w:w="9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Press Release, dated July 14, 2008.</w:t>
            </w:r>
          </w:p>
        </w:tc>
        <w:tc>
          <w:tcPr>
            <w:tcW w:w="20" w:type="dxa"/>
            <w:vAlign w:val="bottom"/>
          </w:tcPr>
          <w:p>
            <w:pPr>
              <w:spacing w:after="0"/>
              <w:rPr>
                <w:sz w:val="18"/>
                <w:szCs w:val="18"/>
                <w:color w:val="auto"/>
              </w:rPr>
            </w:pPr>
          </w:p>
        </w:tc>
      </w:tr>
      <w:tr>
        <w:trPr>
          <w:trHeight w:val="1199"/>
        </w:trPr>
        <w:tc>
          <w:tcPr>
            <w:tcW w:w="6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-910590</wp:posOffset>
            </wp:positionV>
            <wp:extent cx="7267575" cy="904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904875"/>
                    </a:xfrm>
                    <a:prstGeom prst="rect">
                      <a:avLst/>
                    </a:prstGeom>
                    <a:noFill/>
                  </pic:spPr>
                </pic:pic>
              </a:graphicData>
            </a:graphic>
          </wp:anchor>
        </w:drawing>
      </w:r>
    </w:p>
    <w:p>
      <w:pPr>
        <w:sectPr>
          <w:pgSz w:w="11900" w:h="16838" w:orient="portrait"/>
          <w:cols w:equalWidth="0" w:num="1">
            <w:col w:w="11440"/>
          </w:cols>
          <w:pgMar w:left="240" w:top="904"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55" w:lineRule="exact"/>
        <w:rPr>
          <w:sz w:val="20"/>
          <w:szCs w:val="20"/>
          <w:color w:val="auto"/>
        </w:rPr>
      </w:pPr>
    </w:p>
    <w:p>
      <w:pPr>
        <w:jc w:val="center"/>
        <w:spacing w:after="0"/>
        <w:rPr>
          <w:sz w:val="20"/>
          <w:szCs w:val="20"/>
          <w:color w:val="auto"/>
        </w:rPr>
      </w:pPr>
      <w:r>
        <w:rPr>
          <w:sz w:val="1"/>
          <w:szCs w:val="1"/>
          <w:color w:val="auto"/>
        </w:rPr>
        <w:drawing>
          <wp:inline distT="0" distB="0" distL="0" distR="0">
            <wp:extent cx="137160" cy="1371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Waste Management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#08-10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Preliminary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2008 Revenue and Earnings Per Diluted Share</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HOUSTON – July 14, 2008 – </w:t>
      </w:r>
      <w:r>
        <w:rPr>
          <w:rFonts w:ascii="Arial" w:cs="Arial" w:eastAsia="Arial" w:hAnsi="Arial"/>
          <w:sz w:val="18"/>
          <w:szCs w:val="18"/>
          <w:color w:val="auto"/>
        </w:rPr>
        <w:t>Waste Management, Inc. (NYSE: WMI) today announced preliminary revenue and earnings per diluted share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2008. Waste Management expects to report revenues of $3.49 billion, a 3.9% increase compared with the second quarter of 2007. Reported earnings for the second quarter of 2008 are expected to be $0.64 per diluted share, which includes a combined $0.02 to $0.03 per diluted share benefit to earnings from favorable income tax items and a reduction in interest expense associated with the early retirement of a senior note. Adjusting for these items, Waste Management expects earnings to be $0.61 or $0.62 per diluted share, which exceeds the current Wall Street consensus estimate of $0.58 per diluted share.</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previously announced, the Company plans to release its financial results for the second quarter of 2008 prior to the opening of the stock market on July 29, 2008 and will host a conference call that day to discuss in detail the quarter’s results.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David P. Steiner, Waste Management’s CEO, stated, “Our preliminary second quarter 2008 revenue and earnings per diluted share reflect the strength of our operations and our continued ability to achieve our financial objectives. Our internal revenue growth from yield on base business and volume are similar in this quarter to those in the first quarter of 2008.”</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expected second quarter operating results are preliminary and subject to management and the Company's auditors completing their quarterly closing review procedures.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Cautionary Statement Regarding Non-GAAP Financial Information</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i w:val="1"/>
          <w:iCs w:val="1"/>
          <w:color w:val="auto"/>
        </w:rPr>
        <w:t>This press release contains a discussion of earnings per diluted share, as adjusted for certain items, which is a non-GAAP measure,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(ii) financial measures the Company uses in the management of its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Information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This press release contains forward-looking statements. In addition, the Company, and others on its behalf, in the future may make statements that constitute forward-looking statements. The forward-looking statements that the Company makes are the Company’s expectations, opinions, views or beliefs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2008 and beyond and that could cause actual results to be materially different from those that may be set forth in forward-looking statements made by the Company. We caution you not to place undue reliance on any forward-looking statements, which speak only as of their dates. The risks that we face include the following:</w:t>
      </w:r>
    </w:p>
    <w:p>
      <w:pPr>
        <w:spacing w:after="0" w:line="24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accounting review of our second quarter of 2008 is not complete and there could be adjustments from that review;</w:t>
      </w:r>
    </w:p>
    <w:p>
      <w:pPr>
        <w:spacing w:after="0" w:line="33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may be unable to maintain or expand margins if we are unable to control costs or raise prices;</w:t>
      </w:r>
    </w:p>
    <w:p>
      <w:pPr>
        <w:spacing w:after="0" w:line="33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may not be able to successfully execute or continue our operational or other margin improvement plans and programs, including pricing increases; passing on increased costs to our customers; reducing costs due to our operational improvement programs; and divesting under-performing assets and purchasing accretive businesses, any of which could negatively affect our revenue and margins;</w:t>
      </w:r>
    </w:p>
    <w:p>
      <w:pPr>
        <w:spacing w:after="0" w:line="2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weather conditions cause our quarter–to-quarter results to fluctuate, and harsh weather or natural disasters may cause us to temporarily shut down operations;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inflation, higher interest rates and other general and local economic conditions may negatively affect the volumes of waste generated, our financing costs and other expenses;</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requirements may increase our expenses;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regulations, including regulations to limit greenhouse gas emissions, may negatively impact our business by, among other things, restricting our operations, increasing costs of operations or requiring additional capital expenditures;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33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increased costs to obtain financial assurance or the inadequacy of our insurance coverages could negatively impact our liquidity and increase our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 w:name="page7"/>
    <w:bookmarkEnd w:id="6"/>
    <w:p>
      <w:pPr>
        <w:ind w:left="328"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22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fluctuating commodity prices may have negative effects on our operating revenue and expenses;</w:t>
      </w:r>
    </w:p>
    <w:p>
      <w:pPr>
        <w:spacing w:after="0" w:line="333"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trends toward recycling, waste reduction at the source and prohibiting the disposal of certain types of wastes could have negative effects on volumes of waste going to landfills and waste-to-energy facilities;</w:t>
      </w:r>
    </w:p>
    <w:p>
      <w:pPr>
        <w:spacing w:after="0" w:line="224"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been chosen to be represented by unions, which could lead to labor disruptions, including strikes and lock-outs, which could adversely affect our results of operations and cash flows;</w:t>
      </w:r>
    </w:p>
    <w:p>
      <w:pPr>
        <w:spacing w:after="0" w:line="23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224"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increase our costs, or lead to an impairment charge;</w:t>
      </w:r>
    </w:p>
    <w:p>
      <w:pPr>
        <w:spacing w:after="0" w:line="224"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 and</w:t>
      </w:r>
    </w:p>
    <w:p>
      <w:pPr>
        <w:spacing w:after="0" w:line="224"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may reduce or eliminate our dividend or share repurchase program or we may need to raise additional capital if cash flows are less than we expect or capital expenditures or acquisition spending are more than we expect, and we may not be able to obtain any needed capital on acceptable terms.</w:t>
      </w:r>
    </w:p>
    <w:p>
      <w:pPr>
        <w:spacing w:after="0" w:line="235" w:lineRule="exact"/>
        <w:rPr>
          <w:sz w:val="20"/>
          <w:szCs w:val="20"/>
          <w:color w:val="auto"/>
        </w:rPr>
      </w:pPr>
    </w:p>
    <w:p>
      <w:pPr>
        <w:ind w:left="8" w:right="500"/>
        <w:spacing w:after="0" w:line="342" w:lineRule="auto"/>
        <w:rPr>
          <w:sz w:val="20"/>
          <w:szCs w:val="20"/>
          <w:color w:val="auto"/>
        </w:rPr>
      </w:pPr>
      <w:r>
        <w:rPr>
          <w:rFonts w:ascii="Arial" w:cs="Arial" w:eastAsia="Arial" w:hAnsi="Arial"/>
          <w:sz w:val="16"/>
          <w:szCs w:val="16"/>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2007.</w:t>
      </w:r>
    </w:p>
    <w:p>
      <w:pPr>
        <w:spacing w:after="0" w:line="17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561975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088"/>
      </w:cols>
      <w:pgMar w:left="572" w:top="6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2019-12-20T16:38:56Z</dcterms:created>
  <dcterms:modified xsi:type="dcterms:W3CDTF">2019-12-20T16:38:56Z</dcterms:modified>
</cp:coreProperties>
</file>