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5,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(State or Other</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29" w:right="339" w:bottom="1440" w:gutter="0" w:footer="0" w:header="0"/>
          <w:type w:val="continuous"/>
        </w:sectPr>
      </w:pPr>
    </w:p>
    <w:p>
      <w:pPr>
        <w:spacing w:after="0" w:line="21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announced, on June 3, 2024, Waste Management, Inc. (the “Company”), Stag Merger Sub Inc., an indirect wholly-owned subsidiary of the Company (“Merger Sub”), and Stericycle, Inc. (“Stericycle”) entered into an Agreement and Plan of Merger (the “Merger Agreement”) pursuant to which, upon the terms and subject to the conditions set forth in the Merger Agreement, Merger Sub will merge with and into Stericycle, and Stericycle will continue as the surviving company and an indirect, wholly-owned subsidiary of the Company (the “Merger”).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satisfaction of one of the closing conditions in the Merger Agreement, the waiting period under the Hart-Scott-Rodino Antitrust Improvements Act of 1976, as amended, with respect to the Merger expired at 11:59 p.m. Eastern Time on September 5, 2024. The Merger has also received antitrust clearance from the Competition Authority (</w:t>
      </w:r>
      <w:r>
        <w:rPr>
          <w:rFonts w:ascii="Times New Roman" w:cs="Times New Roman" w:eastAsia="Times New Roman" w:hAnsi="Times New Roman"/>
          <w:sz w:val="18"/>
          <w:szCs w:val="18"/>
          <w:i w:val="1"/>
          <w:iCs w:val="1"/>
          <w:color w:val="auto"/>
        </w:rPr>
        <w:t>Autoridade da Concorrência</w:t>
      </w:r>
      <w:r>
        <w:rPr>
          <w:rFonts w:ascii="Times New Roman" w:cs="Times New Roman" w:eastAsia="Times New Roman" w:hAnsi="Times New Roman"/>
          <w:sz w:val="18"/>
          <w:szCs w:val="18"/>
          <w:color w:val="auto"/>
        </w:rPr>
        <w:t>) of Portugal and confirmation from the UK Competition and Markets Authority that it has no further questions. In addition, the Merger has received foreign investment approval from the UK Investment Security Unit within the Cabinet Office. Stericycle previously announced that its stockholders voted to approve the adoption of the Merger Agreement (and thereby approve the Merger) on August 14, 2024, satisfying another closing condition.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continues to expect to complete the Merger as early as the fourth quarter of 2024, subject to the satisfaction or waiver of other customary closing conditions specified in the Merger Agreement, including the clearance of the Merger under the Canadian Competition Act, the Spanish Competition Act and foreign investment laws of Spain.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federal securities laws about the Company, Stericycle and the proposed Merger, including but not limited to all statements about the timing of the closing of the Merger and ability to consummate and the Merger, which are made pursuant to the safe harbor provisions of the Private Securities Litigation Reform Act of 1995. You should view these statements with caution and should not place undue reliance on such statements. They are based on the facts and circumstances known to the Company and Stericycle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or to obtain such approvals on satisfactory conditions; inability to satisfy other closing conditions; the occurrence of any event, change or other circumstance that could give rise to the termination of the Merger Agreement; the effects that any termination of the Merger Agreement may have on Stericycle or its business; legal proceedings that may be instituted related to the Merger or otherwise; unexpected costs, charges or expenses; and other risks and uncertainties described in the Company’s and Stericycle’s filings with the U.S. Securities and Exchange Commission (the “SEC”), including Part I, Item 1A of each company’s most recently filed Annual Report on Form 10-K and subsequent reports on Form 10-Q, which are incorporated herein by reference, and in other documents that the Company or Stericycle file or furnish with the SEC. Except to the extent required by law, neither the Company nor Stericycle assume any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86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6, 2024                                                               </w:t>
            </w:r>
          </w:p>
        </w:tc>
        <w:tc>
          <w:tcPr>
            <w:tcW w:w="6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4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4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891"/>
        </w:trPr>
        <w:tc>
          <w:tcPr>
            <w:tcW w:w="4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2024-09-06T06:38:00Z</dcterms:created>
  <dcterms:modified xsi:type="dcterms:W3CDTF">2024-09-06T06:38:00Z</dcterms:modified>
</cp:coreProperties>
</file>