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203200</wp:posOffset>
            </wp:positionV>
            <wp:extent cx="57607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2540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263525</wp:posOffset>
            </wp:positionV>
            <wp:extent cx="5760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auto"/>
        </w:rPr>
        <w:t>SCHEDULE 14A</w:t>
      </w:r>
    </w:p>
    <w:p>
      <w:pPr>
        <w:spacing w:after="0" w:line="113"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the Securities Exchange Act of 1934</w:t>
      </w:r>
    </w:p>
    <w:p>
      <w:pPr>
        <w:spacing w:after="0" w:line="70" w:lineRule="exact"/>
        <w:rPr>
          <w:sz w:val="24"/>
          <w:szCs w:val="24"/>
          <w:color w:val="auto"/>
        </w:rPr>
      </w:pPr>
    </w:p>
    <w:p>
      <w:pPr>
        <w:ind w:left="8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8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820"/>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8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88" w:lineRule="exact"/>
        <w:rPr>
          <w:sz w:val="24"/>
          <w:szCs w:val="24"/>
          <w:color w:val="auto"/>
        </w:rPr>
      </w:pPr>
    </w:p>
    <w:p>
      <w:pPr>
        <w:jc w:val="center"/>
        <w:ind w:right="-820"/>
        <w:spacing w:after="0"/>
        <w:rPr>
          <w:sz w:val="20"/>
          <w:szCs w:val="20"/>
          <w:color w:val="auto"/>
        </w:rPr>
      </w:pPr>
      <w:r>
        <w:rPr>
          <w:rFonts w:ascii="Arial" w:cs="Arial" w:eastAsia="Arial" w:hAnsi="Arial"/>
          <w:sz w:val="22"/>
          <w:szCs w:val="22"/>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53975</wp:posOffset>
            </wp:positionV>
            <wp:extent cx="5760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05"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246380</wp:posOffset>
            </wp:positionV>
            <wp:extent cx="5760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ind w:left="820"/>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1180" w:hanging="364"/>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1180" w:hanging="364"/>
        <w:spacing w:after="0"/>
        <w:tabs>
          <w:tab w:leader="none" w:pos="11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7" w:lineRule="exact"/>
        <w:rPr>
          <w:rFonts w:ascii="MS PGothic" w:cs="MS PGothic" w:eastAsia="MS PGothic" w:hAnsi="MS PGothic"/>
          <w:sz w:val="18"/>
          <w:szCs w:val="18"/>
          <w:color w:val="auto"/>
        </w:rPr>
      </w:pPr>
    </w:p>
    <w:p>
      <w:pPr>
        <w:ind w:left="1540" w:hanging="364"/>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540" w:hanging="364"/>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540" w:right="379" w:hanging="364"/>
        <w:spacing w:after="0" w:line="277" w:lineRule="auto"/>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2" w:lineRule="exact"/>
        <w:rPr>
          <w:rFonts w:ascii="Arial" w:cs="Arial" w:eastAsia="Arial" w:hAnsi="Arial"/>
          <w:sz w:val="18"/>
          <w:szCs w:val="18"/>
          <w:color w:val="auto"/>
        </w:rPr>
      </w:pPr>
    </w:p>
    <w:p>
      <w:pPr>
        <w:ind w:left="1540" w:hanging="364"/>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540" w:hanging="364"/>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80" w:hanging="364"/>
        <w:spacing w:after="0"/>
        <w:tabs>
          <w:tab w:leader="none" w:pos="11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jc w:val="both"/>
        <w:ind w:left="1180" w:right="179" w:hanging="364"/>
        <w:spacing w:after="0" w:line="263" w:lineRule="auto"/>
        <w:tabs>
          <w:tab w:leader="none" w:pos="11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5" w:lineRule="exact"/>
        <w:rPr>
          <w:rFonts w:ascii="MS PGothic" w:cs="MS PGothic" w:eastAsia="MS PGothic" w:hAnsi="MS PGothic"/>
          <w:sz w:val="18"/>
          <w:szCs w:val="18"/>
          <w:color w:val="auto"/>
        </w:rPr>
      </w:pPr>
    </w:p>
    <w:p>
      <w:pPr>
        <w:ind w:left="1540" w:hanging="364"/>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540" w:hanging="364"/>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540" w:hanging="364"/>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540" w:hanging="364"/>
        <w:spacing w:after="0"/>
        <w:tabs>
          <w:tab w:leader="none" w:pos="1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971550</wp:posOffset>
            </wp:positionH>
            <wp:positionV relativeFrom="paragraph">
              <wp:posOffset>-3884930</wp:posOffset>
            </wp:positionV>
            <wp:extent cx="5306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06060" cy="889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-3482340</wp:posOffset>
            </wp:positionV>
            <wp:extent cx="5306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06060" cy="825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-2941955</wp:posOffset>
            </wp:positionV>
            <wp:extent cx="5306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06060" cy="825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-2530475</wp:posOffset>
            </wp:positionV>
            <wp:extent cx="5306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06060" cy="889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-2127885</wp:posOffset>
            </wp:positionV>
            <wp:extent cx="530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06060" cy="825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-1038860</wp:posOffset>
            </wp:positionV>
            <wp:extent cx="5306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06060" cy="825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-627380</wp:posOffset>
            </wp:positionV>
            <wp:extent cx="5306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06060" cy="889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-224790</wp:posOffset>
            </wp:positionV>
            <wp:extent cx="5306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06060" cy="889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177800</wp:posOffset>
            </wp:positionV>
            <wp:extent cx="53060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06060"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271780</wp:posOffset>
            </wp:positionV>
            <wp:extent cx="5760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314960</wp:posOffset>
            </wp:positionV>
            <wp:extent cx="57607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260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516255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203200</wp:posOffset>
            </wp:positionV>
            <wp:extent cx="205740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20" w:right="2680"/>
        <w:spacing w:after="0" w:line="327" w:lineRule="auto"/>
        <w:rPr>
          <w:sz w:val="20"/>
          <w:szCs w:val="20"/>
          <w:color w:val="auto"/>
        </w:rPr>
      </w:pPr>
      <w:r>
        <w:rPr>
          <w:rFonts w:ascii="Arial" w:cs="Arial" w:eastAsia="Arial" w:hAnsi="Arial"/>
          <w:sz w:val="36"/>
          <w:szCs w:val="36"/>
          <w:b w:val="1"/>
          <w:bCs w:val="1"/>
          <w:color w:val="477258"/>
        </w:rPr>
        <w:t>NOTICE OF ANNUAL MEETING OF STOCKHOLDERS</w:t>
      </w:r>
    </w:p>
    <w:p>
      <w:pPr>
        <w:sectPr>
          <w:pgSz w:w="11900" w:h="16838" w:orient="portrait"/>
          <w:cols w:equalWidth="0" w:num="1">
            <w:col w:w="9880"/>
          </w:cols>
          <w:pgMar w:left="580" w:top="131" w:right="1439" w:bottom="1440" w:gutter="0" w:footer="0" w:header="0"/>
        </w:sectPr>
      </w:pPr>
    </w:p>
    <w:p>
      <w:pPr>
        <w:spacing w:after="0" w:line="161" w:lineRule="exact"/>
        <w:rPr>
          <w:sz w:val="20"/>
          <w:szCs w:val="20"/>
          <w:color w:val="auto"/>
        </w:rPr>
      </w:pPr>
    </w:p>
    <w:p>
      <w:pPr>
        <w:jc w:val="both"/>
        <w:ind w:left="820"/>
        <w:spacing w:after="0" w:line="251" w:lineRule="auto"/>
        <w:rPr>
          <w:sz w:val="20"/>
          <w:szCs w:val="20"/>
          <w:color w:val="auto"/>
        </w:rPr>
      </w:pPr>
      <w:r>
        <w:rPr>
          <w:rFonts w:ascii="Arial" w:cs="Arial" w:eastAsia="Arial" w:hAnsi="Arial"/>
          <w:sz w:val="18"/>
          <w:szCs w:val="18"/>
          <w:color w:val="auto"/>
        </w:rPr>
        <w:t>Due to on-going public health concerns related to the COVID-19 pandemic, we will be holding a virtual Annual Meeting. You may access and participate in the virtual Annual Meeting using your control number, including asking questions, examining the list of registered stockholders and voting shares, if you were a stockholder of record as of the close of business on the record date or held shares through a bank, broker, or nominee on that date.</w:t>
      </w:r>
    </w:p>
    <w:p>
      <w:pPr>
        <w:spacing w:after="0" w:line="200" w:lineRule="exact"/>
        <w:rPr>
          <w:sz w:val="20"/>
          <w:szCs w:val="20"/>
          <w:color w:val="auto"/>
        </w:rPr>
      </w:pPr>
    </w:p>
    <w:p>
      <w:pPr>
        <w:spacing w:after="0" w:line="20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Virtual Meeting Date:</w:t>
      </w:r>
    </w:p>
    <w:p>
      <w:pPr>
        <w:spacing w:after="0" w:line="13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Tuesday, May 11, 2021</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Virtual Meeting Time:</w:t>
      </w:r>
    </w:p>
    <w:p>
      <w:pPr>
        <w:spacing w:after="0" w:line="13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11:00 a.m. Central Time</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Virtual Meeting Location:</w:t>
      </w:r>
    </w:p>
    <w:p>
      <w:pPr>
        <w:spacing w:after="0" w:line="13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www.virtualshareholdermeeting.com/WM2021</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Record Date:</w:t>
      </w:r>
    </w:p>
    <w:p>
      <w:pPr>
        <w:spacing w:after="0" w:line="13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March 17, 2021</w:t>
      </w:r>
    </w:p>
    <w:p>
      <w:pPr>
        <w:spacing w:after="0" w:line="90" w:lineRule="exact"/>
        <w:rPr>
          <w:sz w:val="20"/>
          <w:szCs w:val="20"/>
          <w:color w:val="auto"/>
        </w:rPr>
      </w:pPr>
    </w:p>
    <w:p>
      <w:pPr>
        <w:ind w:left="820" w:right="340"/>
        <w:spacing w:after="0" w:line="271" w:lineRule="auto"/>
        <w:rPr>
          <w:sz w:val="20"/>
          <w:szCs w:val="20"/>
          <w:color w:val="auto"/>
        </w:rPr>
      </w:pPr>
      <w:r>
        <w:rPr>
          <w:rFonts w:ascii="Arial" w:cs="Arial" w:eastAsia="Arial" w:hAnsi="Arial"/>
          <w:sz w:val="20"/>
          <w:szCs w:val="20"/>
          <w:b w:val="1"/>
          <w:bCs w:val="1"/>
          <w:color w:val="477258"/>
        </w:rPr>
        <w:t>Agenda for the Annual Meeting (or any adjournment or postponement thereof):</w:t>
      </w:r>
    </w:p>
    <w:p>
      <w:pPr>
        <w:spacing w:after="0" w:line="74" w:lineRule="exact"/>
        <w:rPr>
          <w:sz w:val="20"/>
          <w:szCs w:val="20"/>
          <w:color w:val="auto"/>
        </w:rPr>
      </w:pPr>
    </w:p>
    <w:p>
      <w:pPr>
        <w:jc w:val="both"/>
        <w:ind w:left="1000" w:hanging="184"/>
        <w:spacing w:after="0" w:line="261" w:lineRule="auto"/>
        <w:tabs>
          <w:tab w:leader="none" w:pos="1000" w:val="left"/>
        </w:tabs>
        <w:numPr>
          <w:ilvl w:val="0"/>
          <w:numId w:val="4"/>
        </w:numPr>
        <w:rPr>
          <w:rFonts w:ascii="Arial" w:cs="Arial" w:eastAsia="Arial" w:hAnsi="Arial"/>
          <w:sz w:val="18"/>
          <w:szCs w:val="18"/>
          <w:color w:val="477258"/>
        </w:rPr>
      </w:pPr>
      <w:r>
        <w:rPr>
          <w:rFonts w:ascii="Arial" w:cs="Arial" w:eastAsia="Arial" w:hAnsi="Arial"/>
          <w:sz w:val="18"/>
          <w:szCs w:val="18"/>
          <w:color w:val="auto"/>
        </w:rPr>
        <w:t>To elect the nine nominees named in the attached proxy statement to our Board of Directors;</w:t>
      </w:r>
    </w:p>
    <w:p>
      <w:pPr>
        <w:spacing w:after="0" w:line="305" w:lineRule="exact"/>
        <w:rPr>
          <w:rFonts w:ascii="Arial" w:cs="Arial" w:eastAsia="Arial" w:hAnsi="Arial"/>
          <w:sz w:val="18"/>
          <w:szCs w:val="18"/>
          <w:color w:val="477258"/>
        </w:rPr>
      </w:pPr>
    </w:p>
    <w:p>
      <w:pPr>
        <w:jc w:val="both"/>
        <w:ind w:left="1000" w:hanging="184"/>
        <w:spacing w:after="0" w:line="254" w:lineRule="auto"/>
        <w:tabs>
          <w:tab w:leader="none" w:pos="1000" w:val="left"/>
        </w:tabs>
        <w:numPr>
          <w:ilvl w:val="0"/>
          <w:numId w:val="4"/>
        </w:numPr>
        <w:rPr>
          <w:rFonts w:ascii="Arial" w:cs="Arial" w:eastAsia="Arial" w:hAnsi="Arial"/>
          <w:sz w:val="18"/>
          <w:szCs w:val="18"/>
          <w:color w:val="477258"/>
        </w:rPr>
      </w:pPr>
      <w:r>
        <w:rPr>
          <w:rFonts w:ascii="Arial" w:cs="Arial" w:eastAsia="Arial" w:hAnsi="Arial"/>
          <w:sz w:val="18"/>
          <w:szCs w:val="18"/>
          <w:color w:val="auto"/>
        </w:rPr>
        <w:t>To vote on a proposal to ratify the appointment of Ernst &amp; Young LLP as our independent registered public accounting firm for the fiscal year ending December 31, 2021;</w:t>
      </w:r>
    </w:p>
    <w:p>
      <w:pPr>
        <w:spacing w:after="0" w:line="95" w:lineRule="exact"/>
        <w:rPr>
          <w:rFonts w:ascii="Arial" w:cs="Arial" w:eastAsia="Arial" w:hAnsi="Arial"/>
          <w:sz w:val="18"/>
          <w:szCs w:val="18"/>
          <w:color w:val="477258"/>
        </w:rPr>
      </w:pPr>
    </w:p>
    <w:p>
      <w:pPr>
        <w:ind w:left="1000" w:hanging="184"/>
        <w:spacing w:after="0" w:line="261" w:lineRule="auto"/>
        <w:tabs>
          <w:tab w:leader="none" w:pos="1000" w:val="left"/>
        </w:tabs>
        <w:numPr>
          <w:ilvl w:val="0"/>
          <w:numId w:val="4"/>
        </w:numPr>
        <w:rPr>
          <w:rFonts w:ascii="Arial" w:cs="Arial" w:eastAsia="Arial" w:hAnsi="Arial"/>
          <w:sz w:val="18"/>
          <w:szCs w:val="18"/>
          <w:color w:val="477258"/>
        </w:rPr>
      </w:pPr>
      <w:r>
        <w:rPr>
          <w:rFonts w:ascii="Arial" w:cs="Arial" w:eastAsia="Arial" w:hAnsi="Arial"/>
          <w:sz w:val="18"/>
          <w:szCs w:val="18"/>
          <w:color w:val="auto"/>
        </w:rPr>
        <w:t>To vote on a non-binding, advisory proposal to approve our executive compensation; and</w:t>
      </w:r>
    </w:p>
    <w:p>
      <w:pPr>
        <w:spacing w:after="0" w:line="89" w:lineRule="exact"/>
        <w:rPr>
          <w:rFonts w:ascii="Arial" w:cs="Arial" w:eastAsia="Arial" w:hAnsi="Arial"/>
          <w:sz w:val="18"/>
          <w:szCs w:val="18"/>
          <w:color w:val="477258"/>
        </w:rPr>
      </w:pPr>
    </w:p>
    <w:p>
      <w:pPr>
        <w:ind w:left="1000" w:right="20" w:hanging="184"/>
        <w:spacing w:after="0" w:line="261" w:lineRule="auto"/>
        <w:tabs>
          <w:tab w:leader="none" w:pos="1000" w:val="left"/>
        </w:tabs>
        <w:numPr>
          <w:ilvl w:val="0"/>
          <w:numId w:val="4"/>
        </w:numPr>
        <w:rPr>
          <w:rFonts w:ascii="Arial" w:cs="Arial" w:eastAsia="Arial" w:hAnsi="Arial"/>
          <w:sz w:val="18"/>
          <w:szCs w:val="18"/>
          <w:color w:val="477258"/>
        </w:rPr>
      </w:pPr>
      <w:r>
        <w:rPr>
          <w:rFonts w:ascii="Arial" w:cs="Arial" w:eastAsia="Arial" w:hAnsi="Arial"/>
          <w:sz w:val="18"/>
          <w:szCs w:val="18"/>
          <w:color w:val="auto"/>
        </w:rPr>
        <w:t>To conduct other business that is properly raised at the meeting.</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477258"/>
        </w:rPr>
        <w:t>IMPORTANT NOTICE OF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-184785</wp:posOffset>
            </wp:positionV>
            <wp:extent cx="2811780" cy="509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11780" cy="5092065"/>
                    </a:xfrm>
                    <a:prstGeom prst="rect">
                      <a:avLst/>
                    </a:prstGeom>
                    <a:noFill/>
                  </pic:spPr>
                </pic:pic>
              </a:graphicData>
            </a:graphic>
          </wp:anchor>
        </w:drawing>
      </w:r>
    </w:p>
    <w:p>
      <w:pPr>
        <w:spacing w:after="0" w:line="1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477258"/>
        </w:rPr>
        <w:t>AVAILABILITY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477258"/>
        </w:rPr>
        <w:t>OF PROXY MATERIALS:</w:t>
      </w:r>
    </w:p>
    <w:p>
      <w:pPr>
        <w:spacing w:after="0" w:line="4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b w:val="1"/>
          <w:bCs w:val="1"/>
          <w:color w:val="auto"/>
        </w:rPr>
        <w:t>This Notice of Annual Meeting and Proxy Statement and the Company’s Annual Report on Form 10 -K for the year ended December 31, 2020 are available on the “Investors” webpage at www.wm.com.</w:t>
      </w:r>
    </w:p>
    <w:p>
      <w:pPr>
        <w:spacing w:after="0" w:line="39" w:lineRule="exact"/>
        <w:rPr>
          <w:sz w:val="20"/>
          <w:szCs w:val="20"/>
          <w:color w:val="auto"/>
        </w:rPr>
      </w:pPr>
    </w:p>
    <w:p>
      <w:pPr>
        <w:jc w:val="both"/>
        <w:ind w:left="920" w:right="120"/>
        <w:spacing w:after="0" w:line="253" w:lineRule="auto"/>
        <w:rPr>
          <w:sz w:val="20"/>
          <w:szCs w:val="20"/>
          <w:color w:val="auto"/>
        </w:rPr>
      </w:pPr>
      <w:r>
        <w:rPr>
          <w:rFonts w:ascii="Arial" w:cs="Arial" w:eastAsia="Arial" w:hAnsi="Arial"/>
          <w:sz w:val="18"/>
          <w:szCs w:val="18"/>
          <w:color w:val="auto"/>
        </w:rPr>
        <w:t>You may submit your proxy via the Internet by following the instructions provided in the Notice or, if you received printed copies of the proxy materials, on your proxy card.</w:t>
      </w:r>
    </w:p>
    <w:p>
      <w:pPr>
        <w:spacing w:after="0" w:line="43" w:lineRule="exact"/>
        <w:rPr>
          <w:sz w:val="20"/>
          <w:szCs w:val="20"/>
          <w:color w:val="auto"/>
        </w:rPr>
      </w:pPr>
    </w:p>
    <w:p>
      <w:pPr>
        <w:jc w:val="both"/>
        <w:ind w:left="920" w:right="120"/>
        <w:spacing w:after="0" w:line="251" w:lineRule="auto"/>
        <w:rPr>
          <w:sz w:val="20"/>
          <w:szCs w:val="20"/>
          <w:color w:val="auto"/>
        </w:rPr>
      </w:pPr>
      <w:r>
        <w:rPr>
          <w:rFonts w:ascii="Arial" w:cs="Arial" w:eastAsia="Arial" w:hAnsi="Arial"/>
          <w:sz w:val="18"/>
          <w:szCs w:val="18"/>
          <w:color w:val="auto"/>
        </w:rPr>
        <w:t>If you received printed copies of the materials in accordance with the instructions in the Notice, you also have the option to submit your proxy by telephone by calling the toll-free number listed on your proxy card. Telephone voting is available 24 hours per day until 11:59 p.m., Eastern Time, on May 10, 2021.</w:t>
      </w:r>
    </w:p>
    <w:p>
      <w:pPr>
        <w:spacing w:after="0" w:line="50" w:lineRule="exact"/>
        <w:rPr>
          <w:sz w:val="20"/>
          <w:szCs w:val="20"/>
          <w:color w:val="auto"/>
        </w:rPr>
      </w:pPr>
    </w:p>
    <w:p>
      <w:pPr>
        <w:jc w:val="both"/>
        <w:ind w:left="920" w:right="120"/>
        <w:spacing w:after="0" w:line="252" w:lineRule="auto"/>
        <w:rPr>
          <w:sz w:val="20"/>
          <w:szCs w:val="20"/>
          <w:color w:val="auto"/>
        </w:rPr>
      </w:pPr>
      <w:r>
        <w:rPr>
          <w:rFonts w:ascii="Arial" w:cs="Arial" w:eastAsia="Arial" w:hAnsi="Arial"/>
          <w:sz w:val="18"/>
          <w:szCs w:val="18"/>
          <w:color w:val="auto"/>
        </w:rPr>
        <w:t>If you received printed copies of the proxy materials in accordance with the instructions in the Notice and would like to submit your proxy by mail, please mark, sign and date your proxy card and return it promptly in the postage-paid envelope provided.</w:t>
      </w:r>
    </w:p>
    <w:p>
      <w:pPr>
        <w:spacing w:after="0" w:line="261"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If your shares of Common Stock are held in street name, you will receive instructions from your broker, bank or nominee that you must follow in order to have your shares of Common Stock voted at the Annual Meeting.</w:t>
      </w:r>
    </w:p>
    <w:p>
      <w:pPr>
        <w:spacing w:after="0" w:line="558" w:lineRule="exact"/>
        <w:rPr>
          <w:sz w:val="20"/>
          <w:szCs w:val="20"/>
          <w:color w:val="auto"/>
        </w:rPr>
      </w:pPr>
    </w:p>
    <w:p>
      <w:pPr>
        <w:sectPr>
          <w:pgSz w:w="11900" w:h="16838" w:orient="portrait"/>
          <w:cols w:equalWidth="0" w:num="2">
            <w:col w:w="5240" w:space="320"/>
            <w:col w:w="4320"/>
          </w:cols>
          <w:pgMar w:left="580" w:top="131" w:right="1439" w:bottom="1440" w:gutter="0" w:footer="0" w:header="0"/>
          <w:type w:val="continuous"/>
        </w:sectPr>
      </w:pPr>
    </w:p>
    <w:p>
      <w:pPr>
        <w:spacing w:after="0" w:line="38"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The Board of Directors recommends that stockholders vote FOR each of the proposals on the meeting agenda.</w:t>
      </w:r>
    </w:p>
    <w:p>
      <w:pPr>
        <w:spacing w:after="0" w:line="302" w:lineRule="exact"/>
        <w:rPr>
          <w:sz w:val="20"/>
          <w:szCs w:val="20"/>
          <w:color w:val="auto"/>
        </w:rPr>
      </w:pPr>
    </w:p>
    <w:p>
      <w:pPr>
        <w:jc w:val="both"/>
        <w:ind w:left="820"/>
        <w:spacing w:after="0" w:line="278" w:lineRule="auto"/>
        <w:rPr>
          <w:sz w:val="20"/>
          <w:szCs w:val="20"/>
          <w:color w:val="auto"/>
        </w:rPr>
      </w:pPr>
      <w:r>
        <w:rPr>
          <w:rFonts w:ascii="Arial" w:cs="Arial" w:eastAsia="Arial" w:hAnsi="Arial"/>
          <w:sz w:val="18"/>
          <w:szCs w:val="18"/>
          <w:color w:val="auto"/>
        </w:rPr>
        <w:t xml:space="preserve">Your vote is important. </w:t>
      </w:r>
      <w:r>
        <w:rPr>
          <w:rFonts w:ascii="Arial" w:cs="Arial" w:eastAsia="Arial" w:hAnsi="Arial"/>
          <w:sz w:val="18"/>
          <w:szCs w:val="18"/>
          <w:b w:val="1"/>
          <w:bCs w:val="1"/>
          <w:color w:val="auto"/>
        </w:rPr>
        <w:t>We urge all stockholders — whether attending the virtual Annual Meeting</w:t>
      </w:r>
      <w:r>
        <w:rPr>
          <w:rFonts w:ascii="Arial" w:cs="Arial" w:eastAsia="Arial" w:hAnsi="Arial"/>
          <w:sz w:val="18"/>
          <w:szCs w:val="18"/>
          <w:color w:val="auto"/>
        </w:rPr>
        <w:t xml:space="preserve"> </w:t>
      </w:r>
      <w:r>
        <w:rPr>
          <w:rFonts w:ascii="Arial" w:cs="Arial" w:eastAsia="Arial" w:hAnsi="Arial"/>
          <w:sz w:val="18"/>
          <w:szCs w:val="18"/>
          <w:b w:val="1"/>
          <w:bCs w:val="1"/>
          <w:color w:val="auto"/>
        </w:rPr>
        <w:t>or not — to vote and submit their proxies as soon as possible using one of the methods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207010</wp:posOffset>
            </wp:positionV>
            <wp:extent cx="1328420" cy="45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8420" cy="45402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80"/>
        <w:spacing w:after="0" w:line="256" w:lineRule="auto"/>
        <w:rPr>
          <w:sz w:val="20"/>
          <w:szCs w:val="20"/>
          <w:color w:val="auto"/>
        </w:rPr>
      </w:pPr>
      <w:r>
        <w:rPr>
          <w:rFonts w:ascii="Arial" w:cs="Arial" w:eastAsia="Arial" w:hAnsi="Arial"/>
          <w:sz w:val="18"/>
          <w:szCs w:val="18"/>
          <w:color w:val="auto"/>
        </w:rPr>
        <w:t xml:space="preserve">Courtney A. Tippy </w:t>
      </w:r>
      <w:r>
        <w:rPr>
          <w:rFonts w:ascii="Arial" w:cs="Arial" w:eastAsia="Arial" w:hAnsi="Arial"/>
          <w:sz w:val="18"/>
          <w:szCs w:val="18"/>
          <w:i w:val="1"/>
          <w:iCs w:val="1"/>
          <w:color w:val="auto"/>
        </w:rPr>
        <w:t xml:space="preserve">Corporate Secretary </w:t>
      </w:r>
      <w:r>
        <w:rPr>
          <w:rFonts w:ascii="Arial" w:cs="Arial" w:eastAsia="Arial" w:hAnsi="Arial"/>
          <w:sz w:val="18"/>
          <w:szCs w:val="18"/>
          <w:color w:val="auto"/>
        </w:rPr>
        <w:t>March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 xml:space="preserve">Enroll in Electronic Delivery Today. </w:t>
      </w:r>
      <w:r>
        <w:rPr>
          <w:rFonts w:ascii="Arial" w:cs="Arial" w:eastAsia="Arial" w:hAnsi="Arial"/>
          <w:sz w:val="18"/>
          <w:szCs w:val="18"/>
          <w:color w:val="auto"/>
        </w:rPr>
        <w:t>Help us save paper,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money! If you are a beneficial owner, visit </w:t>
      </w:r>
      <w:r>
        <w:rPr>
          <w:rFonts w:ascii="Arial" w:cs="Arial" w:eastAsia="Arial" w:hAnsi="Arial"/>
          <w:sz w:val="18"/>
          <w:szCs w:val="18"/>
          <w:b w:val="1"/>
          <w:bCs w:val="1"/>
          <w:color w:val="auto"/>
        </w:rPr>
        <w:t>http://www.proxyvote.com</w:t>
      </w:r>
      <w:r>
        <w:rPr>
          <w:rFonts w:ascii="Arial" w:cs="Arial" w:eastAsia="Arial" w:hAnsi="Arial"/>
          <w:sz w:val="18"/>
          <w:szCs w:val="18"/>
          <w:color w:val="auto"/>
        </w:rPr>
        <w:t xml:space="preserve"> or follow the instructions on the Notice, proxy card or voting instructions. All stockholders may also enroll at </w:t>
      </w:r>
      <w:r>
        <w:rPr>
          <w:rFonts w:ascii="Arial" w:cs="Arial" w:eastAsia="Arial" w:hAnsi="Arial"/>
          <w:sz w:val="18"/>
          <w:szCs w:val="18"/>
          <w:b w:val="1"/>
          <w:bCs w:val="1"/>
          <w:color w:val="auto"/>
        </w:rPr>
        <w:t>https://enroll.icsdelivery.com/wmi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362585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660" w:space="580"/>
            <w:col w:w="6640"/>
          </w:cols>
          <w:pgMar w:left="580" w:top="131" w:right="143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401955</wp:posOffset>
            </wp:positionV>
            <wp:extent cx="30003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spacing w:after="0"/>
        <w:rPr>
          <w:rFonts w:ascii="Arial" w:cs="Arial" w:eastAsia="Arial" w:hAnsi="Arial"/>
          <w:sz w:val="18"/>
          <w:szCs w:val="18"/>
          <w:b w:val="1"/>
          <w:bCs w:val="1"/>
          <w:u w:val="single" w:color="auto"/>
          <w:color w:val="477258"/>
        </w:rPr>
      </w:pPr>
      <w:hyperlink w:anchor="page3">
        <w:r>
          <w:rPr>
            <w:rFonts w:ascii="Arial" w:cs="Arial" w:eastAsia="Arial" w:hAnsi="Arial"/>
            <w:sz w:val="18"/>
            <w:szCs w:val="18"/>
            <w:b w:val="1"/>
            <w:bCs w:val="1"/>
            <w:u w:val="single" w:color="auto"/>
            <w:color w:val="477258"/>
          </w:rPr>
          <w:t>GENERAL INFORMATION</w:t>
        </w:r>
      </w:hyperlink>
    </w:p>
    <w:p>
      <w:pPr>
        <w:spacing w:after="0" w:line="36" w:lineRule="exact"/>
        <w:rPr>
          <w:sz w:val="20"/>
          <w:szCs w:val="20"/>
          <w:color w:val="auto"/>
        </w:rPr>
      </w:pPr>
    </w:p>
    <w:p>
      <w:pPr>
        <w:ind w:left="1000" w:right="1140" w:hanging="179"/>
        <w:spacing w:after="0" w:line="291" w:lineRule="auto"/>
        <w:rPr>
          <w:rFonts w:ascii="Arial" w:cs="Arial" w:eastAsia="Arial" w:hAnsi="Arial"/>
          <w:sz w:val="18"/>
          <w:szCs w:val="18"/>
          <w:u w:val="single" w:color="auto"/>
          <w:color w:val="0000EE"/>
        </w:rPr>
      </w:pPr>
      <w:hyperlink w:anchor="page6">
        <w:r>
          <w:rPr>
            <w:rFonts w:ascii="Arial" w:cs="Arial" w:eastAsia="Arial" w:hAnsi="Arial"/>
            <w:sz w:val="18"/>
            <w:szCs w:val="18"/>
            <w:b w:val="1"/>
            <w:bCs w:val="1"/>
            <w:u w:val="single" w:color="auto"/>
            <w:color w:val="477258"/>
          </w:rPr>
          <w:t>BOARD OF DIRECTORS</w:t>
        </w:r>
      </w:hyperlink>
      <w:r>
        <w:rPr>
          <w:rFonts w:ascii="Arial" w:cs="Arial" w:eastAsia="Arial" w:hAnsi="Arial"/>
          <w:sz w:val="18"/>
          <w:szCs w:val="18"/>
          <w:b w:val="1"/>
          <w:bCs w:val="1"/>
          <w:u w:val="single" w:color="auto"/>
          <w:color w:val="477258"/>
        </w:rPr>
        <w:t xml:space="preserve"> </w:t>
      </w:r>
      <w:hyperlink w:anchor="page6">
        <w:r>
          <w:rPr>
            <w:rFonts w:ascii="Arial" w:cs="Arial" w:eastAsia="Arial" w:hAnsi="Arial"/>
            <w:sz w:val="18"/>
            <w:szCs w:val="18"/>
            <w:u w:val="single" w:color="auto"/>
            <w:color w:val="0000EE"/>
          </w:rPr>
          <w:t>Nominees for Director</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Leadership Structure</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Independence of Board Members</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Meetings and Board Committees</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Role in Risk Oversight</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516890</wp:posOffset>
            </wp:positionH>
            <wp:positionV relativeFrom="paragraph">
              <wp:posOffset>-652780</wp:posOffset>
            </wp:positionV>
            <wp:extent cx="30003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00375"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-344170</wp:posOffset>
            </wp:positionV>
            <wp:extent cx="30003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00375"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-35560</wp:posOffset>
            </wp:positionV>
            <wp:extent cx="30003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spacing w:after="0" w:line="205" w:lineRule="exact"/>
        <w:rPr>
          <w:rFonts w:ascii="Arial" w:cs="Arial" w:eastAsia="Arial" w:hAnsi="Arial"/>
          <w:sz w:val="18"/>
          <w:szCs w:val="18"/>
          <w:u w:val="single" w:color="auto"/>
          <w:color w:val="0000EE"/>
        </w:rPr>
      </w:pPr>
    </w:p>
    <w:p>
      <w:pPr>
        <w:ind w:left="1000" w:right="500"/>
        <w:spacing w:after="0" w:line="281"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Oversight of ESG Risk and Performance</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Audit Committee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-177800</wp:posOffset>
            </wp:positionV>
            <wp:extent cx="30003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ind w:left="10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Audit Committee Report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-1905</wp:posOffset>
            </wp:positionV>
            <wp:extent cx="300037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00375" cy="291465"/>
                    </a:xfrm>
                    <a:prstGeom prst="rect">
                      <a:avLst/>
                    </a:prstGeom>
                    <a:noFill/>
                  </pic:spPr>
                </pic:pic>
              </a:graphicData>
            </a:graphic>
          </wp:anchor>
        </w:drawing>
      </w:r>
    </w:p>
    <w:p>
      <w:pPr>
        <w:spacing w:after="0" w:line="3" w:lineRule="exact"/>
        <w:rPr>
          <w:sz w:val="20"/>
          <w:szCs w:val="20"/>
          <w:color w:val="auto"/>
        </w:rPr>
      </w:pPr>
    </w:p>
    <w:p>
      <w:pPr>
        <w:ind w:left="1180" w:hanging="179"/>
        <w:spacing w:after="0" w:line="261" w:lineRule="auto"/>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Management Development and Compensation</w:t>
        </w:r>
      </w:hyperlink>
      <w:r>
        <w:rPr>
          <w:rFonts w:ascii="Arial" w:cs="Arial" w:eastAsia="Arial" w:hAnsi="Arial"/>
          <w:sz w:val="18"/>
          <w:szCs w:val="18"/>
          <w:u w:val="single" w:color="auto"/>
          <w:color w:val="0000EE"/>
        </w:rPr>
        <w:t xml:space="preserve"> </w:t>
      </w:r>
      <w:hyperlink w:anchor="page12">
        <w:r>
          <w:rPr>
            <w:rFonts w:ascii="Arial" w:cs="Arial" w:eastAsia="Arial" w:hAnsi="Arial"/>
            <w:sz w:val="18"/>
            <w:szCs w:val="18"/>
            <w:u w:val="single" w:color="auto"/>
            <w:color w:val="0000EE"/>
          </w:rPr>
          <w:t>Committee</w:t>
        </w:r>
      </w:hyperlink>
    </w:p>
    <w:p>
      <w:pPr>
        <w:spacing w:after="0" w:line="22" w:lineRule="exact"/>
        <w:rPr>
          <w:sz w:val="20"/>
          <w:szCs w:val="20"/>
          <w:color w:val="auto"/>
        </w:rPr>
      </w:pPr>
    </w:p>
    <w:p>
      <w:pPr>
        <w:ind w:left="100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Compensation Committee Report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-1905</wp:posOffset>
            </wp:positionV>
            <wp:extent cx="3000375"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00375" cy="291465"/>
                    </a:xfrm>
                    <a:prstGeom prst="rect">
                      <a:avLst/>
                    </a:prstGeom>
                    <a:noFill/>
                  </pic:spPr>
                </pic:pic>
              </a:graphicData>
            </a:graphic>
          </wp:anchor>
        </w:drawing>
      </w:r>
    </w:p>
    <w:p>
      <w:pPr>
        <w:spacing w:after="0" w:line="3" w:lineRule="exact"/>
        <w:rPr>
          <w:sz w:val="20"/>
          <w:szCs w:val="20"/>
          <w:color w:val="auto"/>
        </w:rPr>
      </w:pPr>
    </w:p>
    <w:p>
      <w:pPr>
        <w:ind w:left="100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Compensation Committee Interlocks and</w:t>
        </w:r>
      </w:hyperlink>
    </w:p>
    <w:p>
      <w:pPr>
        <w:spacing w:after="0" w:line="9" w:lineRule="exact"/>
        <w:rPr>
          <w:sz w:val="20"/>
          <w:szCs w:val="20"/>
          <w:color w:val="auto"/>
        </w:rPr>
      </w:pPr>
    </w:p>
    <w:p>
      <w:pPr>
        <w:ind w:left="11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Insider Participation</w:t>
        </w:r>
      </w:hyperlink>
    </w:p>
    <w:p>
      <w:pPr>
        <w:spacing w:after="0" w:line="50" w:lineRule="exact"/>
        <w:rPr>
          <w:sz w:val="20"/>
          <w:szCs w:val="20"/>
          <w:color w:val="auto"/>
        </w:rPr>
      </w:pPr>
    </w:p>
    <w:p>
      <w:pPr>
        <w:ind w:left="1000" w:right="540"/>
        <w:spacing w:after="0" w:line="281" w:lineRule="auto"/>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Nominating and Governance Committee</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Related Party Transactions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-177800</wp:posOffset>
            </wp:positionV>
            <wp:extent cx="300037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ind w:left="1000" w:right="440"/>
        <w:spacing w:after="0" w:line="266" w:lineRule="auto"/>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Board of Directors Governing Documents</w:t>
        </w:r>
      </w:hyperlink>
      <w:r>
        <w:rPr>
          <w:rFonts w:ascii="Arial" w:cs="Arial" w:eastAsia="Arial" w:hAnsi="Arial"/>
          <w:sz w:val="18"/>
          <w:szCs w:val="18"/>
          <w:u w:val="single" w:color="auto"/>
          <w:color w:val="0000EE"/>
        </w:rPr>
        <w:t xml:space="preserve"> </w:t>
      </w:r>
      <w:hyperlink w:anchor="page15">
        <w:r>
          <w:rPr>
            <w:rFonts w:ascii="Arial" w:cs="Arial" w:eastAsia="Arial" w:hAnsi="Arial"/>
            <w:sz w:val="18"/>
            <w:szCs w:val="18"/>
            <w:u w:val="single" w:color="auto"/>
            <w:color w:val="0000EE"/>
          </w:rPr>
          <w:t>Non-Employee Director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-161290</wp:posOffset>
            </wp:positionV>
            <wp:extent cx="300037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ind w:left="1000" w:right="400" w:hanging="179"/>
        <w:spacing w:after="0" w:line="268" w:lineRule="auto"/>
        <w:rPr>
          <w:rFonts w:ascii="Arial" w:cs="Arial" w:eastAsia="Arial" w:hAnsi="Arial"/>
          <w:sz w:val="18"/>
          <w:szCs w:val="18"/>
          <w:b w:val="1"/>
          <w:bCs w:val="1"/>
          <w:u w:val="single" w:color="auto"/>
          <w:color w:val="477258"/>
        </w:rPr>
      </w:pPr>
      <w:hyperlink w:anchor="page17">
        <w:r>
          <w:rPr>
            <w:rFonts w:ascii="Arial" w:cs="Arial" w:eastAsia="Arial" w:hAnsi="Arial"/>
            <w:sz w:val="18"/>
            <w:szCs w:val="18"/>
            <w:b w:val="1"/>
            <w:bCs w:val="1"/>
            <w:u w:val="single" w:color="auto"/>
            <w:color w:val="477258"/>
          </w:rPr>
          <w:t>ELECTION OF DIRECTORS (Item 1 on the</w:t>
        </w:r>
      </w:hyperlink>
      <w:r>
        <w:rPr>
          <w:rFonts w:ascii="Arial" w:cs="Arial" w:eastAsia="Arial" w:hAnsi="Arial"/>
          <w:sz w:val="18"/>
          <w:szCs w:val="18"/>
          <w:b w:val="1"/>
          <w:bCs w:val="1"/>
          <w:u w:val="single" w:color="auto"/>
          <w:color w:val="477258"/>
        </w:rPr>
        <w:t xml:space="preserve"> </w:t>
      </w:r>
      <w:hyperlink w:anchor="page17">
        <w:r>
          <w:rPr>
            <w:rFonts w:ascii="Arial" w:cs="Arial" w:eastAsia="Arial" w:hAnsi="Arial"/>
            <w:sz w:val="18"/>
            <w:szCs w:val="18"/>
            <w:b w:val="1"/>
            <w:bCs w:val="1"/>
            <w:u w:val="single" w:color="auto"/>
            <w:color w:val="477258"/>
          </w:rPr>
          <w:t>Proxy Card)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-10160</wp:posOffset>
            </wp:positionV>
            <wp:extent cx="3000375"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00375" cy="265430"/>
                    </a:xfrm>
                    <a:prstGeom prst="rect">
                      <a:avLst/>
                    </a:prstGeom>
                    <a:noFill/>
                  </pic:spPr>
                </pic:pic>
              </a:graphicData>
            </a:graphic>
          </wp:anchor>
        </w:drawing>
      </w:r>
    </w:p>
    <w:p>
      <w:pPr>
        <w:ind w:left="820" w:right="1120"/>
        <w:spacing w:after="0"/>
        <w:rPr>
          <w:rFonts w:ascii="Arial" w:cs="Arial" w:eastAsia="Arial" w:hAnsi="Arial"/>
          <w:sz w:val="18"/>
          <w:szCs w:val="18"/>
          <w:b w:val="1"/>
          <w:bCs w:val="1"/>
          <w:u w:val="single" w:color="auto"/>
          <w:color w:val="477258"/>
        </w:rPr>
      </w:pPr>
      <w:hyperlink w:anchor="page22">
        <w:r>
          <w:rPr>
            <w:rFonts w:ascii="Arial" w:cs="Arial" w:eastAsia="Arial" w:hAnsi="Arial"/>
            <w:sz w:val="18"/>
            <w:szCs w:val="18"/>
            <w:b w:val="1"/>
            <w:bCs w:val="1"/>
            <w:u w:val="single" w:color="auto"/>
            <w:color w:val="477258"/>
          </w:rPr>
          <w:t>DIRECTOR AND OFFICER STOCK</w:t>
        </w:r>
      </w:hyperlink>
      <w:r>
        <w:rPr>
          <w:rFonts w:ascii="Arial" w:cs="Arial" w:eastAsia="Arial" w:hAnsi="Arial"/>
          <w:sz w:val="18"/>
          <w:szCs w:val="18"/>
          <w:b w:val="1"/>
          <w:bCs w:val="1"/>
          <w:u w:val="single" w:color="auto"/>
          <w:color w:val="477258"/>
        </w:rPr>
        <w:t xml:space="preserve"> </w:t>
      </w:r>
      <w:hyperlink w:anchor="page22">
        <w:r>
          <w:rPr>
            <w:rFonts w:ascii="Arial" w:cs="Arial" w:eastAsia="Arial" w:hAnsi="Arial"/>
            <w:sz w:val="18"/>
            <w:szCs w:val="18"/>
            <w:b w:val="1"/>
            <w:bCs w:val="1"/>
            <w:u w:val="single" w:color="auto"/>
            <w:color w:val="477258"/>
          </w:rPr>
          <w:t>OWNERSHIP</w:t>
        </w:r>
      </w:hyperlink>
    </w:p>
    <w:p>
      <w:pPr>
        <w:ind w:left="820"/>
        <w:spacing w:after="0"/>
        <w:rPr>
          <w:rFonts w:ascii="Arial" w:cs="Arial" w:eastAsia="Arial" w:hAnsi="Arial"/>
          <w:sz w:val="18"/>
          <w:szCs w:val="18"/>
          <w:b w:val="1"/>
          <w:bCs w:val="1"/>
          <w:u w:val="single" w:color="auto"/>
          <w:color w:val="477258"/>
        </w:rPr>
      </w:pPr>
      <w:hyperlink w:anchor="page23">
        <w:r>
          <w:rPr>
            <w:rFonts w:ascii="Arial" w:cs="Arial" w:eastAsia="Arial" w:hAnsi="Arial"/>
            <w:sz w:val="18"/>
            <w:szCs w:val="18"/>
            <w:b w:val="1"/>
            <w:bCs w:val="1"/>
            <w:u w:val="single" w:color="auto"/>
            <w:color w:val="477258"/>
          </w:rPr>
          <w:t>SECURITY OWNERSHIP OF CERTAIN</w:t>
        </w:r>
      </w:hyperlink>
    </w:p>
    <w:p>
      <w:pPr>
        <w:spacing w:after="0" w:line="22" w:lineRule="exact"/>
        <w:rPr>
          <w:sz w:val="20"/>
          <w:szCs w:val="20"/>
          <w:color w:val="auto"/>
        </w:rPr>
      </w:pPr>
    </w:p>
    <w:p>
      <w:pPr>
        <w:ind w:left="1000"/>
        <w:spacing w:after="0"/>
        <w:rPr>
          <w:rFonts w:ascii="Arial" w:cs="Arial" w:eastAsia="Arial" w:hAnsi="Arial"/>
          <w:sz w:val="18"/>
          <w:szCs w:val="18"/>
          <w:b w:val="1"/>
          <w:bCs w:val="1"/>
          <w:u w:val="single" w:color="auto"/>
          <w:color w:val="477258"/>
        </w:rPr>
      </w:pPr>
      <w:hyperlink w:anchor="page23">
        <w:r>
          <w:rPr>
            <w:rFonts w:ascii="Arial" w:cs="Arial" w:eastAsia="Arial" w:hAnsi="Arial"/>
            <w:sz w:val="18"/>
            <w:szCs w:val="18"/>
            <w:b w:val="1"/>
            <w:bCs w:val="1"/>
            <w:u w:val="single" w:color="auto"/>
            <w:color w:val="477258"/>
          </w:rPr>
          <w:t>BENEFICIAL OWNERS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6350</wp:posOffset>
            </wp:positionV>
            <wp:extent cx="300037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spacing w:after="0" w:line="8" w:lineRule="exact"/>
        <w:rPr>
          <w:sz w:val="20"/>
          <w:szCs w:val="20"/>
          <w:color w:val="auto"/>
        </w:rPr>
      </w:pPr>
    </w:p>
    <w:p>
      <w:pPr>
        <w:ind w:left="820"/>
        <w:spacing w:after="0"/>
        <w:rPr>
          <w:rFonts w:ascii="Arial" w:cs="Arial" w:eastAsia="Arial" w:hAnsi="Arial"/>
          <w:sz w:val="18"/>
          <w:szCs w:val="18"/>
          <w:b w:val="1"/>
          <w:bCs w:val="1"/>
          <w:u w:val="single" w:color="auto"/>
          <w:color w:val="477258"/>
        </w:rPr>
      </w:pPr>
      <w:hyperlink w:anchor="page24">
        <w:r>
          <w:rPr>
            <w:rFonts w:ascii="Arial" w:cs="Arial" w:eastAsia="Arial" w:hAnsi="Arial"/>
            <w:sz w:val="18"/>
            <w:szCs w:val="18"/>
            <w:b w:val="1"/>
            <w:bCs w:val="1"/>
            <w:u w:val="single" w:color="auto"/>
            <w:color w:val="477258"/>
          </w:rPr>
          <w:t>EXECUTIVE OFFICERS</w:t>
        </w:r>
      </w:hyperlink>
    </w:p>
    <w:p>
      <w:pPr>
        <w:spacing w:after="0" w:line="36" w:lineRule="exact"/>
        <w:rPr>
          <w:sz w:val="20"/>
          <w:szCs w:val="20"/>
          <w:color w:val="auto"/>
        </w:rPr>
      </w:pPr>
    </w:p>
    <w:p>
      <w:pPr>
        <w:ind w:left="820"/>
        <w:spacing w:after="0"/>
        <w:rPr>
          <w:rFonts w:ascii="Arial" w:cs="Arial" w:eastAsia="Arial" w:hAnsi="Arial"/>
          <w:sz w:val="18"/>
          <w:szCs w:val="18"/>
          <w:b w:val="1"/>
          <w:bCs w:val="1"/>
          <w:u w:val="single" w:color="auto"/>
          <w:color w:val="477258"/>
        </w:rPr>
      </w:pPr>
      <w:hyperlink w:anchor="page25">
        <w:r>
          <w:rPr>
            <w:rFonts w:ascii="Arial" w:cs="Arial" w:eastAsia="Arial" w:hAnsi="Arial"/>
            <w:sz w:val="18"/>
            <w:szCs w:val="18"/>
            <w:b w:val="1"/>
            <w:bCs w:val="1"/>
            <w:u w:val="single" w:color="auto"/>
            <w:color w:val="477258"/>
          </w:rPr>
          <w:t>EXECUTIVE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11430</wp:posOffset>
            </wp:positionV>
            <wp:extent cx="30003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spacing w:after="0" w:line="16" w:lineRule="exact"/>
        <w:rPr>
          <w:sz w:val="20"/>
          <w:szCs w:val="20"/>
          <w:color w:val="auto"/>
        </w:rPr>
      </w:pPr>
    </w:p>
    <w:p>
      <w:pPr>
        <w:ind w:left="1000"/>
        <w:spacing w:after="0"/>
        <w:rPr>
          <w:rFonts w:ascii="Arial" w:cs="Arial" w:eastAsia="Arial" w:hAnsi="Arial"/>
          <w:sz w:val="18"/>
          <w:szCs w:val="18"/>
          <w:b w:val="1"/>
          <w:bCs w:val="1"/>
          <w:u w:val="single" w:color="auto"/>
          <w:color w:val="477258"/>
        </w:rPr>
      </w:pPr>
      <w:hyperlink w:anchor="page25">
        <w:r>
          <w:rPr>
            <w:rFonts w:ascii="Arial" w:cs="Arial" w:eastAsia="Arial" w:hAnsi="Arial"/>
            <w:sz w:val="18"/>
            <w:szCs w:val="18"/>
            <w:b w:val="1"/>
            <w:bCs w:val="1"/>
            <w:u w:val="single" w:color="auto"/>
            <w:color w:val="477258"/>
          </w:rPr>
          <w:t>Compensation Discussion and Analysis</w:t>
        </w:r>
      </w:hyperlink>
    </w:p>
    <w:p>
      <w:pPr>
        <w:spacing w:after="0" w:line="58" w:lineRule="exact"/>
        <w:rPr>
          <w:sz w:val="20"/>
          <w:szCs w:val="20"/>
          <w:color w:val="auto"/>
        </w:rPr>
      </w:pPr>
    </w:p>
    <w:p>
      <w:pPr>
        <w:ind w:left="11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Introduction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-1905</wp:posOffset>
            </wp:positionV>
            <wp:extent cx="300037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spacing w:after="0" w:line="16" w:lineRule="exact"/>
        <w:rPr>
          <w:sz w:val="20"/>
          <w:szCs w:val="20"/>
          <w:color w:val="auto"/>
        </w:rPr>
      </w:pPr>
    </w:p>
    <w:p>
      <w:pPr>
        <w:ind w:left="11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Executive Summary</w:t>
        </w:r>
      </w:hyperlink>
    </w:p>
    <w:p>
      <w:pPr>
        <w:spacing w:after="0" w:line="36" w:lineRule="exact"/>
        <w:rPr>
          <w:sz w:val="20"/>
          <w:szCs w:val="20"/>
          <w:color w:val="auto"/>
        </w:rPr>
      </w:pPr>
    </w:p>
    <w:p>
      <w:pPr>
        <w:ind w:left="1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2020 Pay-For Performance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-1905</wp:posOffset>
            </wp:positionV>
            <wp:extent cx="30003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00375" cy="154305"/>
                    </a:xfrm>
                    <a:prstGeom prst="rect">
                      <a:avLst/>
                    </a:prstGeom>
                    <a:noFill/>
                  </pic:spPr>
                </pic:pic>
              </a:graphicData>
            </a:graphic>
          </wp:anchor>
        </w:drawing>
      </w:r>
    </w:p>
    <w:p>
      <w:pPr>
        <w:spacing w:after="0" w:line="16" w:lineRule="exact"/>
        <w:rPr>
          <w:sz w:val="20"/>
          <w:szCs w:val="20"/>
          <w:color w:val="auto"/>
        </w:rPr>
      </w:pPr>
    </w:p>
    <w:p>
      <w:pPr>
        <w:ind w:left="1180" w:right="60"/>
        <w:spacing w:after="0" w:line="293"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Consideration of Stockholder Advisory Vote</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2021 Compensation Program Preview</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4800" w:val="left"/>
        </w:tabs>
        <w:rPr>
          <w:sz w:val="20"/>
          <w:szCs w:val="20"/>
          <w:color w:val="auto"/>
        </w:rPr>
      </w:pPr>
      <w:r>
        <w:rPr>
          <w:rFonts w:ascii="Arial" w:cs="Arial" w:eastAsia="Arial" w:hAnsi="Arial"/>
          <w:sz w:val="14"/>
          <w:szCs w:val="14"/>
          <w:b w:val="1"/>
          <w:bCs w:val="1"/>
          <w:u w:val="single" w:color="auto"/>
          <w:color w:val="auto"/>
        </w:rPr>
        <w:t>Page</w:t>
      </w:r>
      <w:r>
        <w:rPr>
          <w:sz w:val="20"/>
          <w:szCs w:val="20"/>
          <w:color w:val="auto"/>
        </w:rPr>
        <w:tab/>
      </w:r>
      <w:r>
        <w:rPr>
          <w:rFonts w:ascii="Arial" w:cs="Arial" w:eastAsia="Arial" w:hAnsi="Arial"/>
          <w:sz w:val="14"/>
          <w:szCs w:val="14"/>
          <w:b w:val="1"/>
          <w:bCs w:val="1"/>
          <w:u w:val="single" w:color="auto"/>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17780</wp:posOffset>
            </wp:positionV>
            <wp:extent cx="3043555"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43555" cy="291465"/>
                    </a:xfrm>
                    <a:prstGeom prst="rect">
                      <a:avLst/>
                    </a:prstGeom>
                    <a:noFill/>
                  </pic:spPr>
                </pic:pic>
              </a:graphicData>
            </a:graphic>
          </wp:anchor>
        </w:drawing>
      </w:r>
    </w:p>
    <w:p>
      <w:pPr>
        <w:spacing w:after="0" w:line="3" w:lineRule="exact"/>
        <w:rPr>
          <w:sz w:val="20"/>
          <w:szCs w:val="20"/>
          <w:color w:val="auto"/>
        </w:rPr>
      </w:pPr>
    </w:p>
    <w:p>
      <w:pPr>
        <w:ind w:left="760" w:hanging="555"/>
        <w:spacing w:after="0"/>
        <w:tabs>
          <w:tab w:leader="none" w:pos="760" w:val="left"/>
        </w:tabs>
        <w:numPr>
          <w:ilvl w:val="0"/>
          <w:numId w:val="5"/>
        </w:numPr>
        <w:rPr>
          <w:rFonts w:ascii="Arial" w:cs="Arial" w:eastAsia="Arial" w:hAnsi="Arial"/>
          <w:sz w:val="18"/>
          <w:szCs w:val="18"/>
          <w:color w:val="0000EE"/>
        </w:rPr>
      </w:pPr>
      <w:hyperlink w:anchor="page28">
        <w:r>
          <w:rPr>
            <w:rFonts w:ascii="Arial" w:cs="Arial" w:eastAsia="Arial" w:hAnsi="Arial"/>
            <w:sz w:val="18"/>
            <w:szCs w:val="18"/>
            <w:color w:val="0000EE"/>
          </w:rPr>
          <w:t>Our Compensation Philosophy for Named</w:t>
        </w:r>
      </w:hyperlink>
    </w:p>
    <w:tbl>
      <w:tblPr>
        <w:tblLayout w:type="fixed"/>
        <w:tblInd w:w="200" w:type="dxa"/>
        <w:tblCellMar>
          <w:top w:w="0" w:type="dxa"/>
          <w:left w:w="0" w:type="dxa"/>
          <w:bottom w:w="0" w:type="dxa"/>
          <w:right w:w="0" w:type="dxa"/>
        </w:tblCellMar>
      </w:tblPr>
      <w:tr>
        <w:trPr>
          <w:trHeight w:val="196"/>
        </w:trPr>
        <w:tc>
          <w:tcPr>
            <w:tcW w:w="120" w:type="dxa"/>
            <w:vAlign w:val="bottom"/>
            <w:tcBorders>
              <w:top w:val="single" w:sz="8" w:color="0000EE"/>
              <w:bottom w:val="single" w:sz="8" w:color="0000EE"/>
            </w:tcBorders>
            <w:vMerge w:val="restart"/>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4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Executive Officers</w:t>
              </w:r>
            </w:hyperlink>
          </w:p>
        </w:tc>
        <w:tc>
          <w:tcPr>
            <w:tcW w:w="1880" w:type="dxa"/>
            <w:vAlign w:val="bottom"/>
            <w:tcBorders>
              <w:top w:val="single" w:sz="8" w:color="0000EE"/>
              <w:bottom w:val="single" w:sz="8" w:color="0000EE"/>
            </w:tcBorders>
            <w:vMerge w:val="restart"/>
          </w:tcPr>
          <w:p>
            <w:pPr>
              <w:spacing w:after="0"/>
              <w:rPr>
                <w:sz w:val="17"/>
                <w:szCs w:val="17"/>
                <w:color w:val="auto"/>
              </w:rPr>
            </w:pPr>
          </w:p>
        </w:tc>
        <w:tc>
          <w:tcPr>
            <w:tcW w:w="480" w:type="dxa"/>
            <w:vAlign w:val="bottom"/>
            <w:vMerge w:val="restart"/>
          </w:tcPr>
          <w:p>
            <w:pPr>
              <w:spacing w:after="0"/>
              <w:rPr>
                <w:sz w:val="17"/>
                <w:szCs w:val="17"/>
                <w:color w:val="auto"/>
              </w:rPr>
            </w:pPr>
          </w:p>
        </w:tc>
        <w:tc>
          <w:tcPr>
            <w:tcW w:w="220" w:type="dxa"/>
            <w:vAlign w:val="bottom"/>
            <w:tcBorders>
              <w:bottom w:val="single" w:sz="8" w:color="0000EE"/>
            </w:tcBorders>
          </w:tcPr>
          <w:p>
            <w:pPr>
              <w:jc w:val="right"/>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0" w:type="dxa"/>
            <w:vAlign w:val="bottom"/>
          </w:tcPr>
          <w:p>
            <w:pPr>
              <w:spacing w:after="0"/>
              <w:rPr>
                <w:sz w:val="1"/>
                <w:szCs w:val="1"/>
                <w:color w:val="auto"/>
              </w:rPr>
            </w:pPr>
          </w:p>
        </w:tc>
      </w:tr>
      <w:tr>
        <w:trPr>
          <w:trHeight w:val="21"/>
        </w:trPr>
        <w:tc>
          <w:tcPr>
            <w:tcW w:w="120" w:type="dxa"/>
            <w:vAlign w:val="bottom"/>
            <w:tcBorders>
              <w:bottom w:val="single" w:sz="8" w:color="0000EE"/>
            </w:tcBorders>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760" w:hanging="555"/>
        <w:spacing w:after="0" w:line="183" w:lineRule="auto"/>
        <w:tabs>
          <w:tab w:leader="none" w:pos="760" w:val="left"/>
        </w:tabs>
        <w:numPr>
          <w:ilvl w:val="0"/>
          <w:numId w:val="6"/>
        </w:numPr>
        <w:rPr>
          <w:rFonts w:ascii="Arial" w:cs="Arial" w:eastAsia="Arial" w:hAnsi="Arial"/>
          <w:sz w:val="15"/>
          <w:szCs w:val="15"/>
          <w:u w:val="single" w:color="auto"/>
          <w:color w:val="0000EE"/>
        </w:rPr>
      </w:pPr>
      <w:hyperlink w:anchor="page29">
        <w:r>
          <w:rPr>
            <w:rFonts w:ascii="Arial" w:cs="Arial" w:eastAsia="Arial" w:hAnsi="Arial"/>
            <w:sz w:val="15"/>
            <w:szCs w:val="15"/>
            <w:u w:val="single" w:color="auto"/>
            <w:color w:val="0000EE"/>
          </w:rPr>
          <w:t>Overview of Elements of Our 2020</w:t>
        </w:r>
      </w:hyperlink>
    </w:p>
    <w:tbl>
      <w:tblPr>
        <w:tblLayout w:type="fixed"/>
        <w:tblInd w:w="100" w:type="dxa"/>
        <w:tblCellMar>
          <w:top w:w="0" w:type="dxa"/>
          <w:left w:w="0" w:type="dxa"/>
          <w:bottom w:w="0" w:type="dxa"/>
          <w:right w:w="0" w:type="dxa"/>
        </w:tblCellMar>
      </w:tblPr>
      <w:tr>
        <w:trPr>
          <w:trHeight w:val="157"/>
        </w:trPr>
        <w:tc>
          <w:tcPr>
            <w:tcW w:w="100" w:type="dxa"/>
            <w:vAlign w:val="bottom"/>
            <w:vMerge w:val="restart"/>
          </w:tcPr>
          <w:p>
            <w:pPr>
              <w:spacing w:after="0"/>
              <w:rPr>
                <w:sz w:val="13"/>
                <w:szCs w:val="13"/>
                <w:color w:val="auto"/>
              </w:rPr>
            </w:pPr>
          </w:p>
        </w:tc>
        <w:tc>
          <w:tcPr>
            <w:tcW w:w="120" w:type="dxa"/>
            <w:vAlign w:val="bottom"/>
            <w:tcBorders>
              <w:top w:val="single" w:sz="8" w:color="0000EE"/>
            </w:tcBorders>
            <w:vMerge w:val="restart"/>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60" w:type="dxa"/>
            <w:vAlign w:val="bottom"/>
            <w:gridSpan w:val="12"/>
          </w:tcPr>
          <w:p>
            <w:pPr>
              <w:spacing w:after="0" w:line="157" w:lineRule="exact"/>
              <w:rPr>
                <w:rFonts w:ascii="Arial" w:cs="Arial" w:eastAsia="Arial" w:hAnsi="Arial"/>
                <w:sz w:val="18"/>
                <w:szCs w:val="18"/>
                <w:color w:val="0000EE"/>
              </w:rPr>
            </w:pPr>
            <w:hyperlink w:anchor="page29">
              <w:r>
                <w:rPr>
                  <w:rFonts w:ascii="Arial" w:cs="Arial" w:eastAsia="Arial" w:hAnsi="Arial"/>
                  <w:sz w:val="18"/>
                  <w:szCs w:val="18"/>
                  <w:color w:val="0000EE"/>
                </w:rPr>
                <w:t>Compensation Program</w:t>
              </w:r>
            </w:hyperlink>
          </w:p>
        </w:tc>
        <w:tc>
          <w:tcPr>
            <w:tcW w:w="340" w:type="dxa"/>
            <w:vAlign w:val="bottom"/>
            <w:gridSpan w:val="2"/>
          </w:tcPr>
          <w:p>
            <w:pPr>
              <w:jc w:val="right"/>
              <w:ind w:right="20"/>
              <w:spacing w:after="0" w:line="157" w:lineRule="exact"/>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00" w:type="dxa"/>
            <w:vAlign w:val="bottom"/>
            <w:vMerge w:val="continue"/>
          </w:tcPr>
          <w:p>
            <w:pPr>
              <w:spacing w:after="0"/>
              <w:rPr>
                <w:sz w:val="4"/>
                <w:szCs w:val="4"/>
                <w:color w:val="auto"/>
              </w:rPr>
            </w:pPr>
          </w:p>
        </w:tc>
        <w:tc>
          <w:tcPr>
            <w:tcW w:w="120" w:type="dxa"/>
            <w:vAlign w:val="bottom"/>
            <w:tcBorders>
              <w:top w:val="single" w:sz="8" w:color="0000EE"/>
              <w:bottom w:val="single" w:sz="8" w:color="0000EE"/>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740" w:type="dxa"/>
            <w:vAlign w:val="bottom"/>
            <w:tcBorders>
              <w:top w:val="single" w:sz="8" w:color="0000EE"/>
              <w:bottom w:val="single" w:sz="8" w:color="CCEEFF"/>
            </w:tcBorders>
          </w:tcPr>
          <w:p>
            <w:pPr>
              <w:spacing w:after="0"/>
              <w:rPr>
                <w:sz w:val="4"/>
                <w:szCs w:val="4"/>
                <w:color w:val="auto"/>
              </w:rPr>
            </w:pPr>
          </w:p>
        </w:tc>
        <w:tc>
          <w:tcPr>
            <w:tcW w:w="20" w:type="dxa"/>
            <w:vAlign w:val="bottom"/>
            <w:tcBorders>
              <w:top w:val="single" w:sz="8" w:color="0000EE"/>
              <w:bottom w:val="single" w:sz="8" w:color="CCEEFF"/>
            </w:tcBorders>
          </w:tcPr>
          <w:p>
            <w:pPr>
              <w:spacing w:after="0"/>
              <w:rPr>
                <w:sz w:val="4"/>
                <w:szCs w:val="4"/>
                <w:color w:val="auto"/>
              </w:rPr>
            </w:pPr>
          </w:p>
        </w:tc>
        <w:tc>
          <w:tcPr>
            <w:tcW w:w="100" w:type="dxa"/>
            <w:vAlign w:val="bottom"/>
            <w:tcBorders>
              <w:top w:val="single" w:sz="8" w:color="0000EE"/>
              <w:bottom w:val="single" w:sz="8" w:color="CCEEFF"/>
            </w:tcBorders>
          </w:tcPr>
          <w:p>
            <w:pPr>
              <w:spacing w:after="0"/>
              <w:rPr>
                <w:sz w:val="4"/>
                <w:szCs w:val="4"/>
                <w:color w:val="auto"/>
              </w:rPr>
            </w:pPr>
          </w:p>
        </w:tc>
        <w:tc>
          <w:tcPr>
            <w:tcW w:w="220" w:type="dxa"/>
            <w:vAlign w:val="bottom"/>
            <w:tcBorders>
              <w:top w:val="single" w:sz="8" w:color="0000EE"/>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top w:val="single" w:sz="8" w:color="0000EE"/>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00" w:type="dxa"/>
            <w:vAlign w:val="bottom"/>
            <w:vMerge w:val="restart"/>
          </w:tcPr>
          <w:p>
            <w:pPr>
              <w:spacing w:after="0"/>
              <w:rPr>
                <w:sz w:val="13"/>
                <w:szCs w:val="13"/>
                <w:color w:val="auto"/>
              </w:rPr>
            </w:pPr>
          </w:p>
        </w:tc>
        <w:tc>
          <w:tcPr>
            <w:tcW w:w="120" w:type="dxa"/>
            <w:vAlign w:val="bottom"/>
            <w:vMerge w:val="restart"/>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80" w:type="dxa"/>
            <w:vAlign w:val="bottom"/>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040" w:type="dxa"/>
            <w:vAlign w:val="bottom"/>
            <w:tcBorders>
              <w:bottom w:val="single" w:sz="8" w:color="0000EE"/>
            </w:tcBorders>
            <w:gridSpan w:val="13"/>
            <w:shd w:val="clear" w:color="auto" w:fill="CCEEFF"/>
          </w:tcPr>
          <w:p>
            <w:pPr>
              <w:spacing w:after="0" w:line="156" w:lineRule="exact"/>
              <w:rPr>
                <w:rFonts w:ascii="Arial" w:cs="Arial" w:eastAsia="Arial" w:hAnsi="Arial"/>
                <w:sz w:val="18"/>
                <w:szCs w:val="18"/>
                <w:color w:val="0000EE"/>
              </w:rPr>
            </w:pPr>
            <w:hyperlink w:anchor="page30">
              <w:r>
                <w:rPr>
                  <w:rFonts w:ascii="Arial" w:cs="Arial" w:eastAsia="Arial" w:hAnsi="Arial"/>
                  <w:sz w:val="18"/>
                  <w:szCs w:val="18"/>
                  <w:color w:val="0000EE"/>
                </w:rPr>
                <w:t>How Named Executive Officer Compensation</w:t>
              </w:r>
            </w:hyperlink>
          </w:p>
        </w:tc>
        <w:tc>
          <w:tcPr>
            <w:tcW w:w="340" w:type="dxa"/>
            <w:vAlign w:val="bottom"/>
            <w:tcBorders>
              <w:bottom w:val="single" w:sz="8" w:color="CCEEFF"/>
            </w:tcBorders>
            <w:gridSpan w:val="2"/>
            <w:vMerge w:val="restart"/>
            <w:shd w:val="clear" w:color="auto" w:fill="CCEEFF"/>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00" w:type="dxa"/>
            <w:vAlign w:val="bottom"/>
            <w:vMerge w:val="continue"/>
          </w:tcPr>
          <w:p>
            <w:pPr>
              <w:spacing w:after="0"/>
              <w:rPr>
                <w:sz w:val="4"/>
                <w:szCs w:val="4"/>
                <w:color w:val="auto"/>
              </w:rPr>
            </w:pPr>
          </w:p>
        </w:tc>
        <w:tc>
          <w:tcPr>
            <w:tcW w:w="120" w:type="dxa"/>
            <w:vAlign w:val="bottom"/>
            <w:tcBorders>
              <w:bottom w:val="single" w:sz="8" w:color="0000EE"/>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760" w:type="dxa"/>
            <w:vAlign w:val="bottom"/>
            <w:tcBorders>
              <w:bottom w:val="single" w:sz="8" w:color="CCEEFF"/>
            </w:tcBorders>
            <w:gridSpan w:val="2"/>
            <w:vMerge w:val="restart"/>
            <w:shd w:val="clear" w:color="auto" w:fill="CCEEFF"/>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Decisions are Made</w:t>
              </w:r>
            </w:hyperlink>
          </w:p>
        </w:tc>
        <w:tc>
          <w:tcPr>
            <w:tcW w:w="2100" w:type="dxa"/>
            <w:vAlign w:val="bottom"/>
            <w:tcBorders>
              <w:bottom w:val="single" w:sz="8" w:color="CCEEFF"/>
            </w:tcBorders>
            <w:gridSpan w:val="10"/>
            <w:vMerge w:val="restart"/>
            <w:shd w:val="clear" w:color="auto" w:fill="CCEEFF"/>
          </w:tcPr>
          <w:p>
            <w:pPr>
              <w:spacing w:after="0"/>
              <w:rPr>
                <w:sz w:val="4"/>
                <w:szCs w:val="4"/>
                <w:color w:val="auto"/>
              </w:rPr>
            </w:pPr>
          </w:p>
        </w:tc>
        <w:tc>
          <w:tcPr>
            <w:tcW w:w="340" w:type="dxa"/>
            <w:vAlign w:val="bottom"/>
            <w:tcBorders>
              <w:bottom w:val="single" w:sz="8" w:color="CCEEFF"/>
            </w:tcBorders>
            <w:gridSpan w:val="2"/>
            <w:vMerge w:val="continue"/>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00" w:type="dxa"/>
            <w:vAlign w:val="bottom"/>
            <w:vMerge w:val="restart"/>
          </w:tcPr>
          <w:p>
            <w:pPr>
              <w:spacing w:after="0"/>
              <w:rPr>
                <w:sz w:val="11"/>
                <w:szCs w:val="11"/>
                <w:color w:val="auto"/>
              </w:rPr>
            </w:pPr>
          </w:p>
        </w:tc>
        <w:tc>
          <w:tcPr>
            <w:tcW w:w="120" w:type="dxa"/>
            <w:vAlign w:val="bottom"/>
            <w:vMerge w:val="restart"/>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80" w:type="dxa"/>
            <w:vAlign w:val="bottom"/>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gridSpan w:val="2"/>
            <w:vMerge w:val="continue"/>
            <w:shd w:val="clear" w:color="auto" w:fill="CCEEFF"/>
          </w:tcPr>
          <w:p>
            <w:pPr>
              <w:spacing w:after="0"/>
              <w:rPr>
                <w:sz w:val="11"/>
                <w:szCs w:val="11"/>
                <w:color w:val="auto"/>
              </w:rPr>
            </w:pPr>
          </w:p>
        </w:tc>
        <w:tc>
          <w:tcPr>
            <w:tcW w:w="2100" w:type="dxa"/>
            <w:vAlign w:val="bottom"/>
            <w:gridSpan w:val="10"/>
            <w:vMerge w:val="continue"/>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100" w:type="dxa"/>
            <w:vAlign w:val="bottom"/>
            <w:vMerge w:val="continue"/>
          </w:tcPr>
          <w:p>
            <w:pPr>
              <w:spacing w:after="0"/>
              <w:rPr>
                <w:sz w:val="4"/>
                <w:szCs w:val="4"/>
                <w:color w:val="auto"/>
              </w:rPr>
            </w:pPr>
          </w:p>
        </w:tc>
        <w:tc>
          <w:tcPr>
            <w:tcW w:w="120" w:type="dxa"/>
            <w:vAlign w:val="bottom"/>
            <w:tcBorders>
              <w:bottom w:val="single" w:sz="8" w:color="0000EE"/>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520" w:type="dxa"/>
            <w:vAlign w:val="bottom"/>
            <w:gridSpan w:val="10"/>
            <w:vMerge w:val="restart"/>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Named Executives’ 2020 Compensation</w:t>
              </w:r>
            </w:hyperlink>
          </w:p>
        </w:tc>
        <w:tc>
          <w:tcPr>
            <w:tcW w:w="520" w:type="dxa"/>
            <w:vAlign w:val="bottom"/>
            <w:gridSpan w:val="3"/>
            <w:vMerge w:val="restart"/>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00" w:type="dxa"/>
            <w:vAlign w:val="bottom"/>
            <w:vMerge w:val="restart"/>
          </w:tcPr>
          <w:p>
            <w:pPr>
              <w:spacing w:after="0"/>
              <w:rPr>
                <w:sz w:val="11"/>
                <w:szCs w:val="11"/>
                <w:color w:val="auto"/>
              </w:rPr>
            </w:pPr>
          </w:p>
        </w:tc>
        <w:tc>
          <w:tcPr>
            <w:tcW w:w="120" w:type="dxa"/>
            <w:vAlign w:val="bottom"/>
            <w:vMerge w:val="restart"/>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20" w:type="dxa"/>
            <w:vAlign w:val="bottom"/>
            <w:tcBorders>
              <w:bottom w:val="single" w:sz="8" w:color="0000EE"/>
            </w:tcBorders>
            <w:gridSpan w:val="10"/>
            <w:vMerge w:val="continue"/>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00" w:type="dxa"/>
            <w:vAlign w:val="bottom"/>
            <w:vMerge w:val="continue"/>
          </w:tcPr>
          <w:p>
            <w:pPr>
              <w:spacing w:after="0"/>
              <w:rPr>
                <w:sz w:val="6"/>
                <w:szCs w:val="6"/>
                <w:color w:val="auto"/>
              </w:rPr>
            </w:pPr>
          </w:p>
        </w:tc>
        <w:tc>
          <w:tcPr>
            <w:tcW w:w="120" w:type="dxa"/>
            <w:vAlign w:val="bottom"/>
            <w:tcBorders>
              <w:bottom w:val="single" w:sz="8" w:color="0000EE"/>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60" w:type="dxa"/>
            <w:vAlign w:val="bottom"/>
            <w:gridSpan w:val="12"/>
            <w:vMerge w:val="restart"/>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Program and Results</w:t>
              </w:r>
            </w:hyperlink>
          </w:p>
        </w:tc>
        <w:tc>
          <w:tcPr>
            <w:tcW w:w="340" w:type="dxa"/>
            <w:vAlign w:val="bottom"/>
            <w:gridSpan w:val="2"/>
            <w:vMerge w:val="restart"/>
          </w:tcPr>
          <w:p>
            <w:pPr>
              <w:jc w:val="right"/>
              <w:ind w:right="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00" w:type="dxa"/>
            <w:vAlign w:val="bottom"/>
            <w:vMerge w:val="restart"/>
          </w:tcPr>
          <w:p>
            <w:pPr>
              <w:spacing w:after="0"/>
              <w:rPr>
                <w:sz w:val="8"/>
                <w:szCs w:val="8"/>
                <w:color w:val="auto"/>
              </w:rPr>
            </w:pPr>
          </w:p>
        </w:tc>
        <w:tc>
          <w:tcPr>
            <w:tcW w:w="120" w:type="dxa"/>
            <w:vAlign w:val="bottom"/>
            <w:vMerge w:val="restart"/>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60" w:type="dxa"/>
            <w:vAlign w:val="bottom"/>
            <w:gridSpan w:val="12"/>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00" w:type="dxa"/>
            <w:vAlign w:val="bottom"/>
            <w:vMerge w:val="continue"/>
          </w:tcPr>
          <w:p>
            <w:pPr>
              <w:spacing w:after="0"/>
              <w:rPr>
                <w:sz w:val="7"/>
                <w:szCs w:val="7"/>
                <w:color w:val="auto"/>
              </w:rPr>
            </w:pPr>
          </w:p>
        </w:tc>
        <w:tc>
          <w:tcPr>
            <w:tcW w:w="120" w:type="dxa"/>
            <w:vAlign w:val="bottom"/>
            <w:tcBorders>
              <w:bottom w:val="single" w:sz="8" w:color="0000EE"/>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3620" w:type="dxa"/>
            <w:vAlign w:val="bottom"/>
            <w:tcBorders>
              <w:bottom w:val="single" w:sz="8" w:color="CCEEFF"/>
            </w:tcBorders>
            <w:gridSpan w:val="11"/>
            <w:vMerge w:val="restart"/>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Post-Employment and Change in Control</w:t>
              </w:r>
            </w:hyperlink>
          </w:p>
        </w:tc>
        <w:tc>
          <w:tcPr>
            <w:tcW w:w="420" w:type="dxa"/>
            <w:vAlign w:val="bottom"/>
            <w:tcBorders>
              <w:bottom w:val="single" w:sz="8" w:color="CCEEFF"/>
            </w:tcBorders>
            <w:gridSpan w:val="2"/>
            <w:vMerge w:val="restart"/>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00" w:type="dxa"/>
            <w:vAlign w:val="bottom"/>
            <w:vMerge w:val="restart"/>
          </w:tcPr>
          <w:p>
            <w:pPr>
              <w:spacing w:after="0"/>
              <w:rPr>
                <w:sz w:val="8"/>
                <w:szCs w:val="8"/>
                <w:color w:val="auto"/>
              </w:rPr>
            </w:pPr>
          </w:p>
        </w:tc>
        <w:tc>
          <w:tcPr>
            <w:tcW w:w="120" w:type="dxa"/>
            <w:vAlign w:val="bottom"/>
            <w:vMerge w:val="restart"/>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80" w:type="dxa"/>
            <w:vAlign w:val="bottom"/>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620" w:type="dxa"/>
            <w:vAlign w:val="bottom"/>
            <w:tcBorders>
              <w:bottom w:val="single" w:sz="8" w:color="0000EE"/>
            </w:tcBorders>
            <w:gridSpan w:val="11"/>
            <w:vMerge w:val="continue"/>
            <w:shd w:val="clear" w:color="auto" w:fill="CCEEFF"/>
          </w:tcPr>
          <w:p>
            <w:pPr>
              <w:spacing w:after="0"/>
              <w:rPr>
                <w:sz w:val="8"/>
                <w:szCs w:val="8"/>
                <w:color w:val="auto"/>
              </w:rPr>
            </w:pPr>
          </w:p>
        </w:tc>
        <w:tc>
          <w:tcPr>
            <w:tcW w:w="42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0" w:type="dxa"/>
            <w:vAlign w:val="bottom"/>
            <w:vMerge w:val="continue"/>
          </w:tcPr>
          <w:p>
            <w:pPr>
              <w:spacing w:after="0"/>
              <w:rPr>
                <w:sz w:val="8"/>
                <w:szCs w:val="8"/>
                <w:color w:val="auto"/>
              </w:rPr>
            </w:pPr>
          </w:p>
        </w:tc>
        <w:tc>
          <w:tcPr>
            <w:tcW w:w="120" w:type="dxa"/>
            <w:vAlign w:val="bottom"/>
            <w:tcBorders>
              <w:bottom w:val="single" w:sz="8" w:color="0000EE"/>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000" w:type="dxa"/>
            <w:vAlign w:val="bottom"/>
            <w:tcBorders>
              <w:bottom w:val="single" w:sz="8" w:color="CCEEFF"/>
            </w:tcBorders>
            <w:gridSpan w:val="7"/>
            <w:vMerge w:val="restart"/>
            <w:shd w:val="clear" w:color="auto" w:fill="CCEEFF"/>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Compensation; Clawback Policies</w:t>
              </w:r>
            </w:hyperlink>
          </w:p>
        </w:tc>
        <w:tc>
          <w:tcPr>
            <w:tcW w:w="860" w:type="dxa"/>
            <w:vAlign w:val="bottom"/>
            <w:tcBorders>
              <w:bottom w:val="single" w:sz="8" w:color="CCEEFF"/>
            </w:tcBorders>
            <w:gridSpan w:val="5"/>
            <w:vMerge w:val="restart"/>
            <w:shd w:val="clear" w:color="auto" w:fill="CCEEFF"/>
          </w:tcPr>
          <w:p>
            <w:pPr>
              <w:spacing w:after="0"/>
              <w:rPr>
                <w:sz w:val="8"/>
                <w:szCs w:val="8"/>
                <w:color w:val="auto"/>
              </w:rPr>
            </w:pPr>
          </w:p>
        </w:tc>
        <w:tc>
          <w:tcPr>
            <w:tcW w:w="340" w:type="dxa"/>
            <w:vAlign w:val="bottom"/>
            <w:tcBorders>
              <w:bottom w:val="single" w:sz="8" w:color="CCEEFF"/>
            </w:tcBorders>
            <w:gridSpan w:val="2"/>
            <w:vMerge w:val="restart"/>
            <w:shd w:val="clear" w:color="auto" w:fill="CCEEFF"/>
          </w:tcPr>
          <w:p>
            <w:pPr>
              <w:jc w:val="right"/>
              <w:ind w:right="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c>
          <w:tcPr>
            <w:tcW w:w="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20" w:type="dxa"/>
            <w:vAlign w:val="bottom"/>
            <w:gridSpan w:val="2"/>
            <w:vMerge w:val="restart"/>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c>
          <w:tcPr>
            <w:tcW w:w="80" w:type="dxa"/>
            <w:vAlign w:val="bottom"/>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000" w:type="dxa"/>
            <w:vAlign w:val="bottom"/>
            <w:gridSpan w:val="7"/>
            <w:vMerge w:val="continue"/>
            <w:shd w:val="clear" w:color="auto" w:fill="CCEEFF"/>
          </w:tcPr>
          <w:p>
            <w:pPr>
              <w:spacing w:after="0"/>
              <w:rPr>
                <w:sz w:val="6"/>
                <w:szCs w:val="6"/>
                <w:color w:val="auto"/>
              </w:rPr>
            </w:pPr>
          </w:p>
        </w:tc>
        <w:tc>
          <w:tcPr>
            <w:tcW w:w="860" w:type="dxa"/>
            <w:vAlign w:val="bottom"/>
            <w:gridSpan w:val="5"/>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4440" w:type="dxa"/>
            <w:vAlign w:val="bottom"/>
            <w:gridSpan w:val="16"/>
            <w:vMerge w:val="restart"/>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Compensation Policies and Practices.   37</w:t>
              </w:r>
            </w:hyperlink>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440" w:type="dxa"/>
            <w:vAlign w:val="bottom"/>
            <w:gridSpan w:val="1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gridSpan w:val="2"/>
            <w:vMerge w:val="restart"/>
          </w:tcPr>
          <w:p>
            <w:pPr>
              <w:jc w:val="right"/>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10</w:t>
              </w:r>
            </w:hyperlink>
          </w:p>
        </w:tc>
        <w:tc>
          <w:tcPr>
            <w:tcW w:w="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80" w:type="dxa"/>
            <w:vAlign w:val="bottom"/>
            <w:tcBorders>
              <w:right w:val="single" w:sz="8" w:color="CCEEFF"/>
            </w:tcBorders>
            <w:gridSpan w:val="8"/>
            <w:shd w:val="clear" w:color="auto" w:fill="CCEEFF"/>
          </w:tcPr>
          <w:p>
            <w:pPr>
              <w:spacing w:after="0"/>
              <w:rPr>
                <w:rFonts w:ascii="Arial" w:cs="Arial" w:eastAsia="Arial" w:hAnsi="Arial"/>
                <w:sz w:val="18"/>
                <w:szCs w:val="18"/>
                <w:b w:val="1"/>
                <w:bCs w:val="1"/>
                <w:color w:val="477258"/>
              </w:rPr>
            </w:pPr>
            <w:hyperlink w:anchor="page41">
              <w:r>
                <w:rPr>
                  <w:rFonts w:ascii="Arial" w:cs="Arial" w:eastAsia="Arial" w:hAnsi="Arial"/>
                  <w:sz w:val="18"/>
                  <w:szCs w:val="18"/>
                  <w:b w:val="1"/>
                  <w:bCs w:val="1"/>
                  <w:color w:val="477258"/>
                </w:rPr>
                <w:t>Executive Compensation Tables</w:t>
              </w:r>
            </w:hyperlink>
          </w:p>
        </w:tc>
        <w:tc>
          <w:tcPr>
            <w:tcW w:w="1140" w:type="dxa"/>
            <w:vAlign w:val="bottom"/>
            <w:gridSpan w:val="6"/>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477258"/>
          </w:tcPr>
          <w:p>
            <w:pPr>
              <w:spacing w:after="0"/>
              <w:rPr>
                <w:sz w:val="2"/>
                <w:szCs w:val="2"/>
                <w:color w:val="auto"/>
              </w:rPr>
            </w:pPr>
          </w:p>
        </w:tc>
        <w:tc>
          <w:tcPr>
            <w:tcW w:w="180" w:type="dxa"/>
            <w:vAlign w:val="bottom"/>
            <w:shd w:val="clear" w:color="auto" w:fill="477258"/>
          </w:tcPr>
          <w:p>
            <w:pPr>
              <w:spacing w:after="0"/>
              <w:rPr>
                <w:sz w:val="2"/>
                <w:szCs w:val="2"/>
                <w:color w:val="auto"/>
              </w:rPr>
            </w:pPr>
          </w:p>
        </w:tc>
        <w:tc>
          <w:tcPr>
            <w:tcW w:w="1740" w:type="dxa"/>
            <w:vAlign w:val="bottom"/>
            <w:shd w:val="clear" w:color="auto" w:fill="477258"/>
          </w:tcPr>
          <w:p>
            <w:pPr>
              <w:spacing w:after="0"/>
              <w:rPr>
                <w:sz w:val="2"/>
                <w:szCs w:val="2"/>
                <w:color w:val="auto"/>
              </w:rPr>
            </w:pPr>
          </w:p>
        </w:tc>
        <w:tc>
          <w:tcPr>
            <w:tcW w:w="20" w:type="dxa"/>
            <w:vAlign w:val="bottom"/>
            <w:shd w:val="clear" w:color="auto" w:fill="477258"/>
          </w:tcPr>
          <w:p>
            <w:pPr>
              <w:spacing w:after="0"/>
              <w:rPr>
                <w:sz w:val="2"/>
                <w:szCs w:val="2"/>
                <w:color w:val="auto"/>
              </w:rPr>
            </w:pPr>
          </w:p>
        </w:tc>
        <w:tc>
          <w:tcPr>
            <w:tcW w:w="100" w:type="dxa"/>
            <w:vAlign w:val="bottom"/>
            <w:shd w:val="clear" w:color="auto" w:fill="477258"/>
          </w:tcPr>
          <w:p>
            <w:pPr>
              <w:spacing w:after="0"/>
              <w:rPr>
                <w:sz w:val="2"/>
                <w:szCs w:val="2"/>
                <w:color w:val="auto"/>
              </w:rPr>
            </w:pPr>
          </w:p>
        </w:tc>
        <w:tc>
          <w:tcPr>
            <w:tcW w:w="220" w:type="dxa"/>
            <w:vAlign w:val="bottom"/>
            <w:shd w:val="clear" w:color="auto" w:fill="477258"/>
          </w:tcPr>
          <w:p>
            <w:pPr>
              <w:spacing w:after="0"/>
              <w:rPr>
                <w:sz w:val="2"/>
                <w:szCs w:val="2"/>
                <w:color w:val="auto"/>
              </w:rPr>
            </w:pPr>
          </w:p>
        </w:tc>
        <w:tc>
          <w:tcPr>
            <w:tcW w:w="440" w:type="dxa"/>
            <w:vAlign w:val="bottom"/>
            <w:shd w:val="clear" w:color="auto" w:fill="477258"/>
          </w:tcPr>
          <w:p>
            <w:pPr>
              <w:spacing w:after="0"/>
              <w:rPr>
                <w:sz w:val="2"/>
                <w:szCs w:val="2"/>
                <w:color w:val="auto"/>
              </w:rPr>
            </w:pPr>
          </w:p>
        </w:tc>
        <w:tc>
          <w:tcPr>
            <w:tcW w:w="200" w:type="dxa"/>
            <w:vAlign w:val="bottom"/>
            <w:tcBorders>
              <w:right w:val="single" w:sz="8" w:color="CCEEFF"/>
            </w:tcBorders>
            <w:shd w:val="clear" w:color="auto" w:fill="477258"/>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3"/>
        </w:trPr>
        <w:tc>
          <w:tcPr>
            <w:tcW w:w="220" w:type="dxa"/>
            <w:vAlign w:val="bottom"/>
            <w:tcBorders>
              <w:bottom w:val="single" w:sz="8" w:color="0000EE"/>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2700" w:type="dxa"/>
            <w:vAlign w:val="bottom"/>
            <w:gridSpan w:val="6"/>
            <w:vMerge w:val="restart"/>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Summary Compensation Table</w:t>
              </w:r>
            </w:hyperlink>
          </w:p>
        </w:tc>
        <w:tc>
          <w:tcPr>
            <w:tcW w:w="200" w:type="dxa"/>
            <w:vAlign w:val="bottom"/>
            <w:vMerge w:val="restart"/>
          </w:tcPr>
          <w:p>
            <w:pPr>
              <w:spacing w:after="0"/>
              <w:rPr>
                <w:sz w:val="5"/>
                <w:szCs w:val="5"/>
                <w:color w:val="auto"/>
              </w:rPr>
            </w:pPr>
          </w:p>
        </w:tc>
        <w:tc>
          <w:tcPr>
            <w:tcW w:w="1140" w:type="dxa"/>
            <w:vAlign w:val="bottom"/>
            <w:gridSpan w:val="6"/>
            <w:vMerge w:val="restart"/>
          </w:tcPr>
          <w:p>
            <w:pPr>
              <w:spacing w:after="0"/>
              <w:rPr>
                <w:sz w:val="5"/>
                <w:szCs w:val="5"/>
                <w:color w:val="auto"/>
              </w:rPr>
            </w:pPr>
          </w:p>
        </w:tc>
        <w:tc>
          <w:tcPr>
            <w:tcW w:w="340" w:type="dxa"/>
            <w:vAlign w:val="bottom"/>
            <w:gridSpan w:val="2"/>
            <w:vMerge w:val="restart"/>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20" w:type="dxa"/>
            <w:vAlign w:val="bottom"/>
            <w:gridSpan w:val="2"/>
            <w:vMerge w:val="restart"/>
          </w:tcPr>
          <w:p>
            <w:pPr>
              <w:jc w:val="right"/>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10</w:t>
              </w:r>
            </w:hyperlink>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2700" w:type="dxa"/>
            <w:vAlign w:val="bottom"/>
            <w:gridSpan w:val="6"/>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140" w:type="dxa"/>
            <w:vAlign w:val="bottom"/>
            <w:gridSpan w:val="6"/>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220" w:type="dxa"/>
            <w:vAlign w:val="bottom"/>
            <w:tcBorders>
              <w:bottom w:val="single" w:sz="8" w:color="0000EE"/>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restart"/>
            <w:shd w:val="clear" w:color="auto" w:fill="CCEEFF"/>
          </w:tcPr>
          <w:p>
            <w:pPr>
              <w:spacing w:after="0"/>
              <w:rPr>
                <w:sz w:val="7"/>
                <w:szCs w:val="7"/>
                <w:color w:val="auto"/>
              </w:rPr>
            </w:pPr>
          </w:p>
        </w:tc>
        <w:tc>
          <w:tcPr>
            <w:tcW w:w="3240" w:type="dxa"/>
            <w:vAlign w:val="bottom"/>
            <w:tcBorders>
              <w:bottom w:val="single" w:sz="8" w:color="CCEEFF"/>
            </w:tcBorders>
            <w:gridSpan w:val="9"/>
            <w:vMerge w:val="restart"/>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Grant of Plan-Based Awards in 2020</w:t>
              </w:r>
            </w:hyperlink>
          </w:p>
        </w:tc>
        <w:tc>
          <w:tcPr>
            <w:tcW w:w="800" w:type="dxa"/>
            <w:vAlign w:val="bottom"/>
            <w:tcBorders>
              <w:bottom w:val="single" w:sz="8" w:color="CCEEFF"/>
            </w:tcBorders>
            <w:gridSpan w:val="4"/>
            <w:vMerge w:val="restart"/>
            <w:shd w:val="clear" w:color="auto" w:fill="CCEEFF"/>
          </w:tcPr>
          <w:p>
            <w:pPr>
              <w:spacing w:after="0"/>
              <w:rPr>
                <w:sz w:val="7"/>
                <w:szCs w:val="7"/>
                <w:color w:val="auto"/>
              </w:rPr>
            </w:pPr>
          </w:p>
        </w:tc>
        <w:tc>
          <w:tcPr>
            <w:tcW w:w="340" w:type="dxa"/>
            <w:vAlign w:val="bottom"/>
            <w:tcBorders>
              <w:bottom w:val="single" w:sz="8" w:color="CCEEFF"/>
            </w:tcBorders>
            <w:gridSpan w:val="2"/>
            <w:vMerge w:val="restart"/>
            <w:shd w:val="clear" w:color="auto" w:fill="CCEEFF"/>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6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3240" w:type="dxa"/>
            <w:vAlign w:val="bottom"/>
            <w:gridSpan w:val="9"/>
            <w:vMerge w:val="continue"/>
            <w:shd w:val="clear" w:color="auto" w:fill="CCEEFF"/>
          </w:tcPr>
          <w:p>
            <w:pPr>
              <w:spacing w:after="0"/>
              <w:rPr>
                <w:sz w:val="10"/>
                <w:szCs w:val="10"/>
                <w:color w:val="auto"/>
              </w:rPr>
            </w:pPr>
          </w:p>
        </w:tc>
        <w:tc>
          <w:tcPr>
            <w:tcW w:w="800" w:type="dxa"/>
            <w:vAlign w:val="bottom"/>
            <w:gridSpan w:val="4"/>
            <w:vMerge w:val="continue"/>
            <w:shd w:val="clear" w:color="auto" w:fill="CCEEFF"/>
          </w:tcPr>
          <w:p>
            <w:pPr>
              <w:spacing w:after="0"/>
              <w:rPr>
                <w:sz w:val="10"/>
                <w:szCs w:val="10"/>
                <w:color w:val="auto"/>
              </w:rPr>
            </w:pPr>
          </w:p>
        </w:tc>
        <w:tc>
          <w:tcPr>
            <w:tcW w:w="34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0" w:type="dxa"/>
            <w:vAlign w:val="bottom"/>
            <w:gridSpan w:val="2"/>
            <w:vMerge w:val="restart"/>
          </w:tcPr>
          <w:p>
            <w:pPr>
              <w:jc w:val="right"/>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11</w:t>
              </w:r>
            </w:hyperlink>
          </w:p>
        </w:tc>
        <w:tc>
          <w:tcPr>
            <w:tcW w:w="8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900" w:type="dxa"/>
            <w:vAlign w:val="bottom"/>
            <w:tcBorders>
              <w:top w:val="single" w:sz="8" w:color="0000EE"/>
              <w:bottom w:val="single" w:sz="8" w:color="0000EE"/>
            </w:tcBorders>
            <w:gridSpan w:val="7"/>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Outstanding Equity Awards as of</w:t>
              </w:r>
            </w:hyperlink>
          </w:p>
        </w:tc>
        <w:tc>
          <w:tcPr>
            <w:tcW w:w="340" w:type="dxa"/>
            <w:vAlign w:val="bottom"/>
            <w:tcBorders>
              <w:top w:val="single" w:sz="8" w:color="0000EE"/>
            </w:tcBorders>
            <w:gridSpan w:val="2"/>
          </w:tcPr>
          <w:p>
            <w:pPr>
              <w:spacing w:after="0"/>
              <w:rPr>
                <w:sz w:val="17"/>
                <w:szCs w:val="17"/>
                <w:color w:val="auto"/>
              </w:rPr>
            </w:pPr>
          </w:p>
        </w:tc>
        <w:tc>
          <w:tcPr>
            <w:tcW w:w="800" w:type="dxa"/>
            <w:vAlign w:val="bottom"/>
            <w:tcBorders>
              <w:top w:val="single" w:sz="8" w:color="CCEEFF"/>
            </w:tcBorders>
            <w:gridSpan w:val="4"/>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20" w:type="dxa"/>
            <w:vAlign w:val="bottom"/>
            <w:tcBorders>
              <w:bottom w:val="single" w:sz="8" w:color="0000EE"/>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40" w:type="dxa"/>
            <w:vAlign w:val="bottom"/>
            <w:vMerge w:val="restart"/>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December 31, 2020</w:t>
              </w:r>
            </w:hyperlink>
          </w:p>
        </w:tc>
        <w:tc>
          <w:tcPr>
            <w:tcW w:w="2120" w:type="dxa"/>
            <w:vAlign w:val="bottom"/>
            <w:gridSpan w:val="11"/>
            <w:vMerge w:val="restart"/>
          </w:tcPr>
          <w:p>
            <w:pPr>
              <w:spacing w:after="0"/>
              <w:rPr>
                <w:sz w:val="5"/>
                <w:szCs w:val="5"/>
                <w:color w:val="auto"/>
              </w:rPr>
            </w:pPr>
          </w:p>
        </w:tc>
        <w:tc>
          <w:tcPr>
            <w:tcW w:w="340" w:type="dxa"/>
            <w:vAlign w:val="bottom"/>
            <w:gridSpan w:val="2"/>
            <w:vMerge w:val="restart"/>
          </w:tcPr>
          <w:p>
            <w:pPr>
              <w:jc w:val="right"/>
              <w:ind w:right="2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20" w:type="dxa"/>
            <w:vAlign w:val="bottom"/>
            <w:gridSpan w:val="2"/>
            <w:vMerge w:val="restart"/>
          </w:tcPr>
          <w:p>
            <w:pPr>
              <w:jc w:val="right"/>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11</w:t>
              </w:r>
            </w:hyperlink>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2120" w:type="dxa"/>
            <w:vAlign w:val="bottom"/>
            <w:gridSpan w:val="11"/>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20" w:type="dxa"/>
            <w:vAlign w:val="bottom"/>
            <w:tcBorders>
              <w:bottom w:val="single" w:sz="8" w:color="0000EE"/>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20" w:type="dxa"/>
            <w:vAlign w:val="bottom"/>
            <w:gridSpan w:val="14"/>
            <w:vMerge w:val="restart"/>
          </w:tcPr>
          <w:p>
            <w:pPr>
              <w:ind w:left="180"/>
              <w:spacing w:after="0" w:line="168" w:lineRule="exact"/>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Option Exercises and Stock Vested</w:t>
              </w:r>
            </w:hyperlink>
          </w:p>
        </w:tc>
        <w:tc>
          <w:tcPr>
            <w:tcW w:w="340" w:type="dxa"/>
            <w:vAlign w:val="bottom"/>
            <w:gridSpan w:val="2"/>
            <w:vMerge w:val="restart"/>
          </w:tcPr>
          <w:p>
            <w:pPr>
              <w:jc w:val="right"/>
              <w:ind w:right="20"/>
              <w:spacing w:after="0" w:line="168" w:lineRule="exact"/>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20" w:type="dxa"/>
            <w:vAlign w:val="bottom"/>
            <w:gridSpan w:val="14"/>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-93345</wp:posOffset>
            </wp:positionV>
            <wp:extent cx="304355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43555" cy="154305"/>
                    </a:xfrm>
                    <a:prstGeom prst="rect">
                      <a:avLst/>
                    </a:prstGeom>
                    <a:noFill/>
                  </pic:spPr>
                </pic:pic>
              </a:graphicData>
            </a:graphic>
          </wp:anchor>
        </w:drawing>
      </w:r>
    </w:p>
    <w:p>
      <w:pPr>
        <w:ind w:left="760" w:hanging="664"/>
        <w:spacing w:after="0" w:line="181" w:lineRule="auto"/>
        <w:tabs>
          <w:tab w:leader="none" w:pos="760" w:val="left"/>
        </w:tabs>
        <w:numPr>
          <w:ilvl w:val="0"/>
          <w:numId w:val="7"/>
        </w:numPr>
        <w:rPr>
          <w:rFonts w:ascii="Arial" w:cs="Arial" w:eastAsia="Arial" w:hAnsi="Arial"/>
          <w:sz w:val="15"/>
          <w:szCs w:val="15"/>
          <w:u w:val="single" w:color="auto"/>
          <w:color w:val="0000EE"/>
        </w:rPr>
      </w:pPr>
      <w:hyperlink w:anchor="page46">
        <w:r>
          <w:rPr>
            <w:rFonts w:ascii="Arial" w:cs="Arial" w:eastAsia="Arial" w:hAnsi="Arial"/>
            <w:sz w:val="15"/>
            <w:szCs w:val="15"/>
            <w:u w:val="single" w:color="auto"/>
            <w:color w:val="0000EE"/>
          </w:rPr>
          <w:t>Nonqualified Deferred Compensation in 2020  44</w:t>
        </w:r>
      </w:hyperlink>
    </w:p>
    <w:p>
      <w:pPr>
        <w:spacing w:after="0"/>
        <w:tabs>
          <w:tab w:leader="none" w:pos="0" w:val="left"/>
        </w:tabs>
        <w:numPr>
          <w:ilvl w:val="0"/>
          <w:numId w:val="7"/>
        </w:numPr>
        <w:rPr>
          <w:rFonts w:ascii="Arial" w:cs="Arial" w:eastAsia="Arial" w:hAnsi="Arial"/>
          <w:sz w:val="18"/>
          <w:szCs w:val="18"/>
          <w:color w:val="0000EE"/>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-70485</wp:posOffset>
            </wp:positionV>
            <wp:extent cx="3043555"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43555" cy="291465"/>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71"/>
        </w:trPr>
        <w:tc>
          <w:tcPr>
            <w:tcW w:w="220" w:type="dxa"/>
            <w:vAlign w:val="bottom"/>
            <w:tcBorders>
              <w:top w:val="single" w:sz="8" w:color="0000EE"/>
              <w:bottom w:val="single" w:sz="8" w:color="0000EE"/>
            </w:tcBorders>
            <w:vMerge w:val="restart"/>
          </w:tcPr>
          <w:p>
            <w:pPr>
              <w:jc w:val="right"/>
              <w:spacing w:after="0" w:line="193"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13</w:t>
              </w:r>
            </w:hyperlink>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580" w:type="dxa"/>
            <w:vAlign w:val="bottom"/>
            <w:tcBorders>
              <w:bottom w:val="single" w:sz="8" w:color="0000EE"/>
            </w:tcBorders>
            <w:gridSpan w:val="10"/>
          </w:tcPr>
          <w:p>
            <w:pPr>
              <w:spacing w:after="0" w:line="71" w:lineRule="exact"/>
              <w:rPr>
                <w:rFonts w:ascii="Arial" w:cs="Arial" w:eastAsia="Arial" w:hAnsi="Arial"/>
                <w:sz w:val="8"/>
                <w:szCs w:val="8"/>
                <w:color w:val="0000EE"/>
              </w:rPr>
            </w:pPr>
            <w:hyperlink w:anchor="page47">
              <w:r>
                <w:rPr>
                  <w:rFonts w:ascii="Arial" w:cs="Arial" w:eastAsia="Arial" w:hAnsi="Arial"/>
                  <w:sz w:val="8"/>
                  <w:szCs w:val="8"/>
                  <w:color w:val="0000EE"/>
                </w:rPr>
                <w:t>Potential Payments Upon Termination or</w:t>
              </w:r>
            </w:hyperlink>
          </w:p>
        </w:tc>
        <w:tc>
          <w:tcPr>
            <w:tcW w:w="400" w:type="dxa"/>
            <w:vAlign w:val="bottom"/>
            <w:gridSpan w:val="3"/>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20" w:type="dxa"/>
            <w:vAlign w:val="bottom"/>
            <w:tcBorders>
              <w:bottom w:val="single" w:sz="8" w:color="0000EE"/>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gridSpan w:val="3"/>
            <w:vMerge w:val="restart"/>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Change in Control</w:t>
              </w:r>
            </w:hyperlink>
          </w:p>
        </w:tc>
        <w:tc>
          <w:tcPr>
            <w:tcW w:w="2180" w:type="dxa"/>
            <w:vAlign w:val="bottom"/>
            <w:gridSpan w:val="9"/>
            <w:vMerge w:val="restart"/>
          </w:tcPr>
          <w:p>
            <w:pPr>
              <w:spacing w:after="0"/>
              <w:rPr>
                <w:sz w:val="8"/>
                <w:szCs w:val="8"/>
                <w:color w:val="auto"/>
              </w:rPr>
            </w:pPr>
          </w:p>
        </w:tc>
        <w:tc>
          <w:tcPr>
            <w:tcW w:w="400" w:type="dxa"/>
            <w:vAlign w:val="bottom"/>
            <w:gridSpan w:val="2"/>
            <w:vMerge w:val="restart"/>
          </w:tcPr>
          <w:p>
            <w:pPr>
              <w:jc w:val="right"/>
              <w:ind w:right="2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gridSpan w:val="3"/>
            <w:vMerge w:val="continue"/>
          </w:tcPr>
          <w:p>
            <w:pPr>
              <w:spacing w:after="0"/>
              <w:rPr>
                <w:sz w:val="6"/>
                <w:szCs w:val="6"/>
                <w:color w:val="auto"/>
              </w:rPr>
            </w:pPr>
          </w:p>
        </w:tc>
        <w:tc>
          <w:tcPr>
            <w:tcW w:w="2180" w:type="dxa"/>
            <w:vAlign w:val="bottom"/>
            <w:gridSpan w:val="9"/>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vMerge w:val="restart"/>
          </w:tcPr>
          <w:p>
            <w:pPr>
              <w:jc w:val="right"/>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80" w:type="dxa"/>
            <w:vAlign w:val="bottom"/>
            <w:tcBorders>
              <w:bottom w:val="single" w:sz="8" w:color="0000EE"/>
            </w:tcBorders>
            <w:gridSpan w:val="1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Potential Consideration Upon Termination of</w:t>
              </w:r>
            </w:hyperlink>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20" w:type="dxa"/>
            <w:vAlign w:val="bottom"/>
            <w:tcBorders>
              <w:bottom w:val="single" w:sz="8" w:color="0000EE"/>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0" w:type="dxa"/>
            <w:vAlign w:val="bottom"/>
            <w:gridSpan w:val="12"/>
            <w:vMerge w:val="restart"/>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Employment</w:t>
              </w:r>
            </w:hyperlink>
          </w:p>
        </w:tc>
        <w:tc>
          <w:tcPr>
            <w:tcW w:w="400" w:type="dxa"/>
            <w:vAlign w:val="bottom"/>
            <w:gridSpan w:val="2"/>
            <w:vMerge w:val="restart"/>
          </w:tcPr>
          <w:p>
            <w:pPr>
              <w:jc w:val="right"/>
              <w:ind w:right="2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0" w:type="dxa"/>
            <w:vAlign w:val="bottom"/>
            <w:gridSpan w:val="12"/>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vMerge w:val="restart"/>
          </w:tcPr>
          <w:p>
            <w:pPr>
              <w:jc w:val="right"/>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60" w:type="dxa"/>
            <w:vAlign w:val="bottom"/>
            <w:gridSpan w:val="9"/>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Chief Executive Officer Pay Ratio</w:t>
              </w:r>
            </w:hyperlink>
          </w:p>
        </w:tc>
        <w:tc>
          <w:tcPr>
            <w:tcW w:w="1020" w:type="dxa"/>
            <w:vAlign w:val="bottom"/>
            <w:gridSpan w:val="4"/>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20" w:type="dxa"/>
            <w:vAlign w:val="bottom"/>
            <w:tcBorders>
              <w:bottom w:val="single" w:sz="8" w:color="0000EE"/>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2880" w:type="dxa"/>
            <w:vAlign w:val="bottom"/>
            <w:gridSpan w:val="8"/>
            <w:vMerge w:val="restart"/>
          </w:tcPr>
          <w:p>
            <w:pPr>
              <w:spacing w:after="0" w:line="203" w:lineRule="exact"/>
              <w:rPr>
                <w:rFonts w:ascii="Arial" w:cs="Arial" w:eastAsia="Arial" w:hAnsi="Arial"/>
                <w:sz w:val="18"/>
                <w:szCs w:val="18"/>
                <w:color w:val="0000EE"/>
              </w:rPr>
            </w:pPr>
            <w:hyperlink w:anchor="page50">
              <w:r>
                <w:rPr>
                  <w:rFonts w:ascii="Arial" w:cs="Arial" w:eastAsia="Arial" w:hAnsi="Arial"/>
                  <w:sz w:val="18"/>
                  <w:szCs w:val="18"/>
                  <w:color w:val="0000EE"/>
                </w:rPr>
                <w:t>Equity Compensation Plan Table</w:t>
              </w:r>
            </w:hyperlink>
          </w:p>
        </w:tc>
        <w:tc>
          <w:tcPr>
            <w:tcW w:w="80" w:type="dxa"/>
            <w:vAlign w:val="bottom"/>
            <w:vMerge w:val="restart"/>
          </w:tcPr>
          <w:p>
            <w:pPr>
              <w:spacing w:after="0"/>
              <w:rPr>
                <w:sz w:val="2"/>
                <w:szCs w:val="2"/>
                <w:color w:val="auto"/>
              </w:rPr>
            </w:pPr>
          </w:p>
        </w:tc>
        <w:tc>
          <w:tcPr>
            <w:tcW w:w="1020" w:type="dxa"/>
            <w:vAlign w:val="bottom"/>
            <w:gridSpan w:val="4"/>
            <w:vMerge w:val="restart"/>
          </w:tcPr>
          <w:p>
            <w:pPr>
              <w:spacing w:after="0"/>
              <w:rPr>
                <w:sz w:val="2"/>
                <w:szCs w:val="2"/>
                <w:color w:val="auto"/>
              </w:rPr>
            </w:pPr>
          </w:p>
        </w:tc>
        <w:tc>
          <w:tcPr>
            <w:tcW w:w="400" w:type="dxa"/>
            <w:vAlign w:val="bottom"/>
            <w:gridSpan w:val="2"/>
            <w:vMerge w:val="restart"/>
          </w:tcPr>
          <w:p>
            <w:pPr>
              <w:jc w:val="right"/>
              <w:ind w:right="20"/>
              <w:spacing w:after="0" w:line="203" w:lineRule="exact"/>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2880" w:type="dxa"/>
            <w:vAlign w:val="bottom"/>
            <w:gridSpan w:val="8"/>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vMerge w:val="restart"/>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80" w:type="dxa"/>
            <w:vAlign w:val="bottom"/>
          </w:tcPr>
          <w:p>
            <w:pPr>
              <w:spacing w:after="0"/>
              <w:rPr>
                <w:sz w:val="17"/>
                <w:szCs w:val="17"/>
                <w:color w:val="auto"/>
              </w:rPr>
            </w:pPr>
          </w:p>
        </w:tc>
        <w:tc>
          <w:tcPr>
            <w:tcW w:w="3140" w:type="dxa"/>
            <w:vAlign w:val="bottom"/>
            <w:tcBorders>
              <w:bottom w:val="single" w:sz="8" w:color="477258"/>
            </w:tcBorders>
            <w:gridSpan w:val="9"/>
            <w:shd w:val="clear" w:color="auto" w:fill="CCEEFF"/>
          </w:tcPr>
          <w:p>
            <w:pPr>
              <w:spacing w:after="0" w:line="182" w:lineRule="exact"/>
              <w:rPr>
                <w:rFonts w:ascii="Arial" w:cs="Arial" w:eastAsia="Arial" w:hAnsi="Arial"/>
                <w:sz w:val="18"/>
                <w:szCs w:val="18"/>
                <w:b w:val="1"/>
                <w:bCs w:val="1"/>
                <w:color w:val="477258"/>
              </w:rPr>
            </w:pPr>
            <w:hyperlink w:anchor="page51">
              <w:r>
                <w:rPr>
                  <w:rFonts w:ascii="Arial" w:cs="Arial" w:eastAsia="Arial" w:hAnsi="Arial"/>
                  <w:sz w:val="18"/>
                  <w:szCs w:val="18"/>
                  <w:b w:val="1"/>
                  <w:bCs w:val="1"/>
                  <w:color w:val="477258"/>
                </w:rPr>
                <w:t>RATIFICATION OF INDEPENDENT</w:t>
              </w:r>
            </w:hyperlink>
          </w:p>
        </w:tc>
        <w:tc>
          <w:tcPr>
            <w:tcW w:w="1000" w:type="dxa"/>
            <w:vAlign w:val="bottom"/>
            <w:tcBorders>
              <w:bottom w:val="single" w:sz="8" w:color="CCEEFF"/>
            </w:tcBorders>
            <w:gridSpan w:val="4"/>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0000EE"/>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3960" w:type="dxa"/>
            <w:vAlign w:val="bottom"/>
            <w:tcBorders>
              <w:bottom w:val="single" w:sz="8" w:color="CCEEFF"/>
            </w:tcBorders>
            <w:gridSpan w:val="12"/>
            <w:vMerge w:val="restart"/>
            <w:shd w:val="clear" w:color="auto" w:fill="CCEEFF"/>
          </w:tcPr>
          <w:p>
            <w:pPr>
              <w:spacing w:after="0" w:line="196" w:lineRule="exact"/>
              <w:rPr>
                <w:rFonts w:ascii="Arial" w:cs="Arial" w:eastAsia="Arial" w:hAnsi="Arial"/>
                <w:sz w:val="18"/>
                <w:szCs w:val="18"/>
                <w:b w:val="1"/>
                <w:bCs w:val="1"/>
                <w:color w:val="477258"/>
              </w:rPr>
            </w:pPr>
            <w:hyperlink w:anchor="page51">
              <w:r>
                <w:rPr>
                  <w:rFonts w:ascii="Arial" w:cs="Arial" w:eastAsia="Arial" w:hAnsi="Arial"/>
                  <w:sz w:val="18"/>
                  <w:szCs w:val="18"/>
                  <w:b w:val="1"/>
                  <w:bCs w:val="1"/>
                  <w:color w:val="477258"/>
                </w:rPr>
                <w:t>REGISTERED PUBLIC ACCOUNTING FIRM</w:t>
              </w:r>
            </w:hyperlink>
          </w:p>
        </w:tc>
        <w:tc>
          <w:tcPr>
            <w:tcW w:w="200" w:type="dxa"/>
            <w:vAlign w:val="bottom"/>
            <w:tcBorders>
              <w:bottom w:val="single" w:sz="8" w:color="CCEEFF"/>
            </w:tcBorders>
            <w:gridSpan w:val="2"/>
            <w:vMerge w:val="restart"/>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20" w:type="dxa"/>
            <w:vAlign w:val="bottom"/>
            <w:vMerge w:val="restart"/>
          </w:tcPr>
          <w:p>
            <w:pPr>
              <w:jc w:val="right"/>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80" w:type="dxa"/>
            <w:vAlign w:val="bottom"/>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960" w:type="dxa"/>
            <w:vAlign w:val="bottom"/>
            <w:tcBorders>
              <w:bottom w:val="single" w:sz="8" w:color="477258"/>
            </w:tcBorders>
            <w:gridSpan w:val="12"/>
            <w:vMerge w:val="continue"/>
            <w:shd w:val="clear" w:color="auto" w:fill="CCEEFF"/>
          </w:tcPr>
          <w:p>
            <w:pPr>
              <w:spacing w:after="0"/>
              <w:rPr>
                <w:sz w:val="13"/>
                <w:szCs w:val="13"/>
                <w:color w:val="auto"/>
              </w:rPr>
            </w:pPr>
          </w:p>
        </w:tc>
        <w:tc>
          <w:tcPr>
            <w:tcW w:w="200" w:type="dxa"/>
            <w:vAlign w:val="bottom"/>
            <w:tcBorders>
              <w:bottom w:val="single" w:sz="8" w:color="CCEEFF"/>
            </w:tcBorders>
            <w:gridSpan w:val="2"/>
            <w:vMerge w:val="continue"/>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20" w:type="dxa"/>
            <w:vAlign w:val="bottom"/>
            <w:tcBorders>
              <w:bottom w:val="single" w:sz="8" w:color="0000E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2480" w:type="dxa"/>
            <w:vAlign w:val="bottom"/>
            <w:tcBorders>
              <w:bottom w:val="single" w:sz="8" w:color="CCEEFF"/>
            </w:tcBorders>
            <w:gridSpan w:val="6"/>
            <w:vMerge w:val="restart"/>
            <w:shd w:val="clear" w:color="auto" w:fill="CCEEFF"/>
          </w:tcPr>
          <w:p>
            <w:pPr>
              <w:spacing w:after="0" w:line="196" w:lineRule="exact"/>
              <w:rPr>
                <w:rFonts w:ascii="Arial" w:cs="Arial" w:eastAsia="Arial" w:hAnsi="Arial"/>
                <w:sz w:val="18"/>
                <w:szCs w:val="18"/>
                <w:b w:val="1"/>
                <w:bCs w:val="1"/>
                <w:color w:val="477258"/>
              </w:rPr>
            </w:pPr>
            <w:hyperlink w:anchor="page51">
              <w:r>
                <w:rPr>
                  <w:rFonts w:ascii="Arial" w:cs="Arial" w:eastAsia="Arial" w:hAnsi="Arial"/>
                  <w:sz w:val="18"/>
                  <w:szCs w:val="18"/>
                  <w:b w:val="1"/>
                  <w:bCs w:val="1"/>
                  <w:color w:val="477258"/>
                </w:rPr>
                <w:t>(Item 2 on the Proxy Card)</w:t>
              </w:r>
            </w:hyperlink>
          </w:p>
        </w:tc>
        <w:tc>
          <w:tcPr>
            <w:tcW w:w="1680" w:type="dxa"/>
            <w:vAlign w:val="bottom"/>
            <w:tcBorders>
              <w:bottom w:val="single" w:sz="8" w:color="CCEEFF"/>
            </w:tcBorders>
            <w:gridSpan w:val="8"/>
            <w:vMerge w:val="restart"/>
            <w:shd w:val="clear" w:color="auto" w:fill="CCEEFF"/>
          </w:tcPr>
          <w:p>
            <w:pPr>
              <w:spacing w:after="0"/>
              <w:rPr>
                <w:sz w:val="5"/>
                <w:szCs w:val="5"/>
                <w:color w:val="auto"/>
              </w:rPr>
            </w:pPr>
          </w:p>
        </w:tc>
        <w:tc>
          <w:tcPr>
            <w:tcW w:w="400" w:type="dxa"/>
            <w:vAlign w:val="bottom"/>
            <w:tcBorders>
              <w:bottom w:val="single" w:sz="8" w:color="CCEEFF"/>
            </w:tcBorders>
            <w:gridSpan w:val="2"/>
            <w:vMerge w:val="restart"/>
            <w:shd w:val="clear" w:color="auto" w:fill="CCEEFF"/>
          </w:tcPr>
          <w:p>
            <w:pPr>
              <w:jc w:val="right"/>
              <w:ind w:right="20"/>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20" w:type="dxa"/>
            <w:vAlign w:val="bottom"/>
            <w:vMerge w:val="restart"/>
          </w:tcPr>
          <w:p>
            <w:pPr>
              <w:jc w:val="right"/>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c>
          <w:tcPr>
            <w:tcW w:w="80" w:type="dxa"/>
            <w:vAlign w:val="bottom"/>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80" w:type="dxa"/>
            <w:vAlign w:val="bottom"/>
            <w:gridSpan w:val="6"/>
            <w:vMerge w:val="continue"/>
            <w:shd w:val="clear" w:color="auto" w:fill="CCEEFF"/>
          </w:tcPr>
          <w:p>
            <w:pPr>
              <w:spacing w:after="0"/>
              <w:rPr>
                <w:sz w:val="10"/>
                <w:szCs w:val="10"/>
                <w:color w:val="auto"/>
              </w:rPr>
            </w:pPr>
          </w:p>
        </w:tc>
        <w:tc>
          <w:tcPr>
            <w:tcW w:w="1680" w:type="dxa"/>
            <w:vAlign w:val="bottom"/>
            <w:gridSpan w:val="8"/>
            <w:vMerge w:val="continue"/>
            <w:shd w:val="clear" w:color="auto" w:fill="CCEEFF"/>
          </w:tcPr>
          <w:p>
            <w:pPr>
              <w:spacing w:after="0"/>
              <w:rPr>
                <w:sz w:val="10"/>
                <w:szCs w:val="10"/>
                <w:color w:val="auto"/>
              </w:rPr>
            </w:pPr>
          </w:p>
        </w:tc>
        <w:tc>
          <w:tcPr>
            <w:tcW w:w="4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477258"/>
            </w:tcBorders>
            <w:shd w:val="clear" w:color="auto" w:fill="CCEEFF"/>
          </w:tcPr>
          <w:p>
            <w:pPr>
              <w:spacing w:after="0" w:line="20" w:lineRule="exact"/>
              <w:rPr>
                <w:sz w:val="1"/>
                <w:szCs w:val="1"/>
                <w:color w:val="auto"/>
              </w:rPr>
            </w:pPr>
          </w:p>
        </w:tc>
        <w:tc>
          <w:tcPr>
            <w:tcW w:w="180" w:type="dxa"/>
            <w:vAlign w:val="bottom"/>
            <w:tcBorders>
              <w:top w:val="single" w:sz="8" w:color="477258"/>
            </w:tcBorders>
            <w:shd w:val="clear" w:color="auto" w:fill="CCEEFF"/>
          </w:tcPr>
          <w:p>
            <w:pPr>
              <w:spacing w:after="0" w:line="20" w:lineRule="exact"/>
              <w:rPr>
                <w:sz w:val="1"/>
                <w:szCs w:val="1"/>
                <w:color w:val="auto"/>
              </w:rPr>
            </w:pPr>
          </w:p>
        </w:tc>
        <w:tc>
          <w:tcPr>
            <w:tcW w:w="1100" w:type="dxa"/>
            <w:vAlign w:val="bottom"/>
            <w:tcBorders>
              <w:top w:val="single" w:sz="8" w:color="477258"/>
            </w:tcBorders>
            <w:shd w:val="clear" w:color="auto" w:fill="CCEEFF"/>
          </w:tcPr>
          <w:p>
            <w:pPr>
              <w:spacing w:after="0" w:line="20" w:lineRule="exact"/>
              <w:rPr>
                <w:sz w:val="1"/>
                <w:szCs w:val="1"/>
                <w:color w:val="auto"/>
              </w:rPr>
            </w:pPr>
          </w:p>
        </w:tc>
        <w:tc>
          <w:tcPr>
            <w:tcW w:w="20" w:type="dxa"/>
            <w:vAlign w:val="bottom"/>
            <w:tcBorders>
              <w:top w:val="single" w:sz="8" w:color="477258"/>
            </w:tcBorders>
            <w:shd w:val="clear" w:color="auto" w:fill="CCEEFF"/>
          </w:tcPr>
          <w:p>
            <w:pPr>
              <w:spacing w:after="0" w:line="20" w:lineRule="exact"/>
              <w:rPr>
                <w:sz w:val="1"/>
                <w:szCs w:val="1"/>
                <w:color w:val="auto"/>
              </w:rPr>
            </w:pPr>
          </w:p>
        </w:tc>
        <w:tc>
          <w:tcPr>
            <w:tcW w:w="500" w:type="dxa"/>
            <w:vAlign w:val="bottom"/>
            <w:tcBorders>
              <w:top w:val="single" w:sz="8" w:color="477258"/>
            </w:tcBorders>
            <w:shd w:val="clear" w:color="auto" w:fill="CCEEFF"/>
          </w:tcPr>
          <w:p>
            <w:pPr>
              <w:spacing w:after="0" w:line="20" w:lineRule="exact"/>
              <w:rPr>
                <w:sz w:val="1"/>
                <w:szCs w:val="1"/>
                <w:color w:val="auto"/>
              </w:rPr>
            </w:pPr>
          </w:p>
        </w:tc>
        <w:tc>
          <w:tcPr>
            <w:tcW w:w="500" w:type="dxa"/>
            <w:vAlign w:val="bottom"/>
            <w:tcBorders>
              <w:top w:val="single" w:sz="8" w:color="477258"/>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20" w:type="dxa"/>
            <w:vAlign w:val="bottom"/>
            <w:tcBorders>
              <w:bottom w:val="single" w:sz="8" w:color="0000EE"/>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3100" w:type="dxa"/>
            <w:vAlign w:val="bottom"/>
            <w:gridSpan w:val="8"/>
            <w:vMerge w:val="restart"/>
          </w:tcPr>
          <w:p>
            <w:pPr>
              <w:spacing w:after="0" w:line="182" w:lineRule="exact"/>
              <w:rPr>
                <w:rFonts w:ascii="Arial" w:cs="Arial" w:eastAsia="Arial" w:hAnsi="Arial"/>
                <w:sz w:val="18"/>
                <w:szCs w:val="18"/>
                <w:b w:val="1"/>
                <w:bCs w:val="1"/>
                <w:color w:val="477258"/>
              </w:rPr>
            </w:pPr>
            <w:hyperlink w:anchor="page52">
              <w:r>
                <w:rPr>
                  <w:rFonts w:ascii="Arial" w:cs="Arial" w:eastAsia="Arial" w:hAnsi="Arial"/>
                  <w:sz w:val="18"/>
                  <w:szCs w:val="18"/>
                  <w:b w:val="1"/>
                  <w:bCs w:val="1"/>
                  <w:color w:val="477258"/>
                </w:rPr>
                <w:t>ADVISORY VOTE ON EXECUTIVE</w:t>
              </w:r>
            </w:hyperlink>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20" w:type="dxa"/>
            <w:vAlign w:val="bottom"/>
          </w:tcPr>
          <w:p>
            <w:pPr>
              <w:jc w:val="right"/>
              <w:spacing w:after="0" w:line="135" w:lineRule="exact"/>
              <w:rPr>
                <w:rFonts w:ascii="Arial" w:cs="Arial" w:eastAsia="Arial" w:hAnsi="Arial"/>
                <w:sz w:val="15"/>
                <w:szCs w:val="15"/>
                <w:color w:val="0000EE"/>
              </w:rPr>
            </w:pPr>
            <w:hyperlink w:anchor="page25">
              <w:r>
                <w:rPr>
                  <w:rFonts w:ascii="Arial" w:cs="Arial" w:eastAsia="Arial" w:hAnsi="Arial"/>
                  <w:sz w:val="15"/>
                  <w:szCs w:val="15"/>
                  <w:color w:val="0000EE"/>
                </w:rPr>
                <w:t>23</w:t>
              </w:r>
            </w:hyperlink>
          </w:p>
        </w:tc>
        <w:tc>
          <w:tcPr>
            <w:tcW w:w="80" w:type="dxa"/>
            <w:vAlign w:val="bottom"/>
          </w:tcPr>
          <w:p>
            <w:pPr>
              <w:spacing w:after="0"/>
              <w:rPr>
                <w:sz w:val="11"/>
                <w:szCs w:val="11"/>
                <w:color w:val="auto"/>
              </w:rPr>
            </w:pPr>
          </w:p>
        </w:tc>
        <w:tc>
          <w:tcPr>
            <w:tcW w:w="3100" w:type="dxa"/>
            <w:vAlign w:val="bottom"/>
            <w:tcBorders>
              <w:bottom w:val="single" w:sz="8" w:color="477258"/>
            </w:tcBorders>
            <w:gridSpan w:val="8"/>
            <w:vMerge w:val="continue"/>
          </w:tcPr>
          <w:p>
            <w:pPr>
              <w:spacing w:after="0"/>
              <w:rPr>
                <w:sz w:val="11"/>
                <w:szCs w:val="11"/>
                <w:color w:val="auto"/>
              </w:rPr>
            </w:pPr>
          </w:p>
        </w:tc>
        <w:tc>
          <w:tcPr>
            <w:tcW w:w="1180" w:type="dxa"/>
            <w:vAlign w:val="bottom"/>
            <w:gridSpan w:val="6"/>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vMerge w:val="restart"/>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20" w:type="dxa"/>
            <w:vAlign w:val="bottom"/>
            <w:tcBorders>
              <w:bottom w:val="single" w:sz="8" w:color="0000EE"/>
            </w:tcBorders>
          </w:tcPr>
          <w:p>
            <w:pPr>
              <w:spacing w:after="0"/>
              <w:rPr>
                <w:sz w:val="5"/>
                <w:szCs w:val="5"/>
                <w:color w:val="auto"/>
              </w:rPr>
            </w:pPr>
          </w:p>
        </w:tc>
        <w:tc>
          <w:tcPr>
            <w:tcW w:w="80" w:type="dxa"/>
            <w:vAlign w:val="bottom"/>
            <w:vMerge w:val="restart"/>
          </w:tcPr>
          <w:p>
            <w:pPr>
              <w:spacing w:after="0"/>
              <w:rPr>
                <w:sz w:val="5"/>
                <w:szCs w:val="5"/>
                <w:color w:val="auto"/>
              </w:rPr>
            </w:pPr>
          </w:p>
        </w:tc>
        <w:tc>
          <w:tcPr>
            <w:tcW w:w="180" w:type="dxa"/>
            <w:vAlign w:val="bottom"/>
            <w:vMerge w:val="restart"/>
          </w:tcPr>
          <w:p>
            <w:pPr>
              <w:spacing w:after="0"/>
              <w:rPr>
                <w:sz w:val="5"/>
                <w:szCs w:val="5"/>
                <w:color w:val="auto"/>
              </w:rPr>
            </w:pPr>
          </w:p>
        </w:tc>
        <w:tc>
          <w:tcPr>
            <w:tcW w:w="4160" w:type="dxa"/>
            <w:vAlign w:val="bottom"/>
            <w:gridSpan w:val="14"/>
            <w:vMerge w:val="restart"/>
          </w:tcPr>
          <w:p>
            <w:pPr>
              <w:spacing w:after="0" w:line="176" w:lineRule="exact"/>
              <w:rPr>
                <w:rFonts w:ascii="Arial" w:cs="Arial" w:eastAsia="Arial" w:hAnsi="Arial"/>
                <w:sz w:val="18"/>
                <w:szCs w:val="18"/>
                <w:b w:val="1"/>
                <w:bCs w:val="1"/>
                <w:color w:val="477258"/>
              </w:rPr>
            </w:pPr>
            <w:hyperlink w:anchor="page52">
              <w:r>
                <w:rPr>
                  <w:rFonts w:ascii="Arial" w:cs="Arial" w:eastAsia="Arial" w:hAnsi="Arial"/>
                  <w:sz w:val="18"/>
                  <w:szCs w:val="18"/>
                  <w:b w:val="1"/>
                  <w:bCs w:val="1"/>
                  <w:color w:val="477258"/>
                </w:rPr>
                <w:t>COMPENSATION (Item 3 on the Proxy Card)</w:t>
              </w:r>
            </w:hyperlink>
          </w:p>
        </w:tc>
        <w:tc>
          <w:tcPr>
            <w:tcW w:w="400" w:type="dxa"/>
            <w:vAlign w:val="bottom"/>
            <w:gridSpan w:val="2"/>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 w:type="dxa"/>
            <w:vAlign w:val="bottom"/>
            <w:vMerge w:val="restart"/>
          </w:tcPr>
          <w:p>
            <w:pPr>
              <w:jc w:val="right"/>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c>
          <w:tcPr>
            <w:tcW w:w="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4160" w:type="dxa"/>
            <w:vAlign w:val="bottom"/>
            <w:gridSpan w:val="14"/>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477258"/>
            </w:tcBorders>
          </w:tcPr>
          <w:p>
            <w:pPr>
              <w:spacing w:after="0" w:line="20" w:lineRule="exact"/>
              <w:rPr>
                <w:sz w:val="1"/>
                <w:szCs w:val="1"/>
                <w:color w:val="auto"/>
              </w:rPr>
            </w:pPr>
          </w:p>
        </w:tc>
        <w:tc>
          <w:tcPr>
            <w:tcW w:w="180" w:type="dxa"/>
            <w:vAlign w:val="bottom"/>
            <w:tcBorders>
              <w:top w:val="single" w:sz="8" w:color="477258"/>
            </w:tcBorders>
          </w:tcPr>
          <w:p>
            <w:pPr>
              <w:spacing w:after="0" w:line="20" w:lineRule="exact"/>
              <w:rPr>
                <w:sz w:val="1"/>
                <w:szCs w:val="1"/>
                <w:color w:val="auto"/>
              </w:rPr>
            </w:pPr>
          </w:p>
        </w:tc>
        <w:tc>
          <w:tcPr>
            <w:tcW w:w="1100" w:type="dxa"/>
            <w:vAlign w:val="bottom"/>
            <w:tcBorders>
              <w:top w:val="single" w:sz="8" w:color="477258"/>
            </w:tcBorders>
          </w:tcPr>
          <w:p>
            <w:pPr>
              <w:spacing w:after="0" w:line="20" w:lineRule="exact"/>
              <w:rPr>
                <w:sz w:val="1"/>
                <w:szCs w:val="1"/>
                <w:color w:val="auto"/>
              </w:rPr>
            </w:pPr>
          </w:p>
        </w:tc>
        <w:tc>
          <w:tcPr>
            <w:tcW w:w="20" w:type="dxa"/>
            <w:vAlign w:val="bottom"/>
            <w:tcBorders>
              <w:top w:val="single" w:sz="8" w:color="477258"/>
            </w:tcBorders>
          </w:tcPr>
          <w:p>
            <w:pPr>
              <w:spacing w:after="0" w:line="20" w:lineRule="exact"/>
              <w:rPr>
                <w:sz w:val="1"/>
                <w:szCs w:val="1"/>
                <w:color w:val="auto"/>
              </w:rPr>
            </w:pPr>
          </w:p>
        </w:tc>
        <w:tc>
          <w:tcPr>
            <w:tcW w:w="500" w:type="dxa"/>
            <w:vAlign w:val="bottom"/>
            <w:tcBorders>
              <w:top w:val="single" w:sz="8" w:color="477258"/>
            </w:tcBorders>
          </w:tcPr>
          <w:p>
            <w:pPr>
              <w:spacing w:after="0" w:line="20" w:lineRule="exact"/>
              <w:rPr>
                <w:sz w:val="1"/>
                <w:szCs w:val="1"/>
                <w:color w:val="auto"/>
              </w:rPr>
            </w:pPr>
          </w:p>
        </w:tc>
        <w:tc>
          <w:tcPr>
            <w:tcW w:w="500" w:type="dxa"/>
            <w:vAlign w:val="bottom"/>
            <w:tcBorders>
              <w:top w:val="single" w:sz="8" w:color="477258"/>
            </w:tcBorders>
          </w:tcPr>
          <w:p>
            <w:pPr>
              <w:spacing w:after="0" w:line="20" w:lineRule="exact"/>
              <w:rPr>
                <w:sz w:val="1"/>
                <w:szCs w:val="1"/>
                <w:color w:val="auto"/>
              </w:rPr>
            </w:pPr>
          </w:p>
        </w:tc>
        <w:tc>
          <w:tcPr>
            <w:tcW w:w="440" w:type="dxa"/>
            <w:vAlign w:val="bottom"/>
            <w:tcBorders>
              <w:top w:val="single" w:sz="8" w:color="477258"/>
            </w:tcBorders>
          </w:tcPr>
          <w:p>
            <w:pPr>
              <w:spacing w:after="0" w:line="20" w:lineRule="exact"/>
              <w:rPr>
                <w:sz w:val="1"/>
                <w:szCs w:val="1"/>
                <w:color w:val="auto"/>
              </w:rPr>
            </w:pPr>
          </w:p>
        </w:tc>
        <w:tc>
          <w:tcPr>
            <w:tcW w:w="40" w:type="dxa"/>
            <w:vAlign w:val="bottom"/>
            <w:tcBorders>
              <w:top w:val="single" w:sz="8" w:color="477258"/>
            </w:tcBorders>
          </w:tcPr>
          <w:p>
            <w:pPr>
              <w:spacing w:after="0" w:line="20" w:lineRule="exact"/>
              <w:rPr>
                <w:sz w:val="1"/>
                <w:szCs w:val="1"/>
                <w:color w:val="auto"/>
              </w:rPr>
            </w:pPr>
          </w:p>
        </w:tc>
        <w:tc>
          <w:tcPr>
            <w:tcW w:w="100" w:type="dxa"/>
            <w:vAlign w:val="bottom"/>
            <w:tcBorders>
              <w:top w:val="single" w:sz="8" w:color="477258"/>
            </w:tcBorders>
          </w:tcPr>
          <w:p>
            <w:pPr>
              <w:spacing w:after="0" w:line="20" w:lineRule="exact"/>
              <w:rPr>
                <w:sz w:val="1"/>
                <w:szCs w:val="1"/>
                <w:color w:val="auto"/>
              </w:rPr>
            </w:pPr>
          </w:p>
        </w:tc>
        <w:tc>
          <w:tcPr>
            <w:tcW w:w="80" w:type="dxa"/>
            <w:vAlign w:val="bottom"/>
            <w:tcBorders>
              <w:top w:val="single" w:sz="8" w:color="477258"/>
            </w:tcBorders>
          </w:tcPr>
          <w:p>
            <w:pPr>
              <w:spacing w:after="0" w:line="20" w:lineRule="exact"/>
              <w:rPr>
                <w:sz w:val="1"/>
                <w:szCs w:val="1"/>
                <w:color w:val="auto"/>
              </w:rPr>
            </w:pPr>
          </w:p>
        </w:tc>
        <w:tc>
          <w:tcPr>
            <w:tcW w:w="620" w:type="dxa"/>
            <w:vAlign w:val="bottom"/>
            <w:tcBorders>
              <w:top w:val="single" w:sz="8" w:color="477258"/>
            </w:tcBorders>
          </w:tcPr>
          <w:p>
            <w:pPr>
              <w:spacing w:after="0" w:line="20" w:lineRule="exact"/>
              <w:rPr>
                <w:sz w:val="1"/>
                <w:szCs w:val="1"/>
                <w:color w:val="auto"/>
              </w:rPr>
            </w:pPr>
          </w:p>
        </w:tc>
        <w:tc>
          <w:tcPr>
            <w:tcW w:w="200" w:type="dxa"/>
            <w:vAlign w:val="bottom"/>
            <w:tcBorders>
              <w:top w:val="single" w:sz="8" w:color="477258"/>
            </w:tcBorders>
          </w:tcPr>
          <w:p>
            <w:pPr>
              <w:spacing w:after="0" w:line="20" w:lineRule="exact"/>
              <w:rPr>
                <w:sz w:val="1"/>
                <w:szCs w:val="1"/>
                <w:color w:val="auto"/>
              </w:rPr>
            </w:pPr>
          </w:p>
        </w:tc>
        <w:tc>
          <w:tcPr>
            <w:tcW w:w="140" w:type="dxa"/>
            <w:vAlign w:val="bottom"/>
            <w:tcBorders>
              <w:top w:val="single" w:sz="8" w:color="47725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 w:type="dxa"/>
            <w:vAlign w:val="bottom"/>
            <w:tcBorders>
              <w:bottom w:val="single" w:sz="8" w:color="0000EE"/>
            </w:tcBorders>
            <w:vMerge w:val="continue"/>
          </w:tcPr>
          <w:p>
            <w:pPr>
              <w:spacing w:after="0"/>
              <w:rPr>
                <w:sz w:val="8"/>
                <w:szCs w:val="8"/>
                <w:color w:val="auto"/>
              </w:rPr>
            </w:pPr>
          </w:p>
        </w:tc>
        <w:tc>
          <w:tcPr>
            <w:tcW w:w="80" w:type="dxa"/>
            <w:vAlign w:val="bottom"/>
            <w:vMerge w:val="restart"/>
          </w:tcPr>
          <w:p>
            <w:pPr>
              <w:spacing w:after="0"/>
              <w:rPr>
                <w:sz w:val="8"/>
                <w:szCs w:val="8"/>
                <w:color w:val="auto"/>
              </w:rPr>
            </w:pPr>
          </w:p>
        </w:tc>
        <w:tc>
          <w:tcPr>
            <w:tcW w:w="4340" w:type="dxa"/>
            <w:vAlign w:val="bottom"/>
            <w:tcBorders>
              <w:bottom w:val="single" w:sz="8" w:color="CCEEFF"/>
            </w:tcBorders>
            <w:gridSpan w:val="15"/>
            <w:vMerge w:val="restart"/>
            <w:shd w:val="clear" w:color="auto" w:fill="CCEEFF"/>
          </w:tcPr>
          <w:p>
            <w:pPr>
              <w:spacing w:after="0"/>
              <w:rPr>
                <w:rFonts w:ascii="Arial" w:cs="Arial" w:eastAsia="Arial" w:hAnsi="Arial"/>
                <w:sz w:val="18"/>
                <w:szCs w:val="18"/>
                <w:b w:val="1"/>
                <w:bCs w:val="1"/>
                <w:color w:val="477258"/>
              </w:rPr>
            </w:pPr>
            <w:hyperlink w:anchor="page52">
              <w:r>
                <w:rPr>
                  <w:rFonts w:ascii="Arial" w:cs="Arial" w:eastAsia="Arial" w:hAnsi="Arial"/>
                  <w:sz w:val="18"/>
                  <w:szCs w:val="18"/>
                  <w:b w:val="1"/>
                  <w:bCs w:val="1"/>
                  <w:color w:val="477258"/>
                </w:rPr>
                <w:t>OTHER MATTERS</w:t>
              </w:r>
            </w:hyperlink>
          </w:p>
        </w:tc>
        <w:tc>
          <w:tcPr>
            <w:tcW w:w="400" w:type="dxa"/>
            <w:vAlign w:val="bottom"/>
            <w:tcBorders>
              <w:bottom w:val="single" w:sz="8" w:color="CCEEFF"/>
            </w:tcBorders>
            <w:gridSpan w:val="2"/>
            <w:vMerge w:val="restart"/>
            <w:shd w:val="clear" w:color="auto" w:fill="CCEEFF"/>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60" w:type="dxa"/>
            <w:vAlign w:val="bottom"/>
            <w:tcBorders>
              <w:bottom w:val="single" w:sz="8" w:color="CCEEFF"/>
            </w:tcBorders>
            <w:vMerge w:val="restart"/>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20" w:type="dxa"/>
            <w:vAlign w:val="bottom"/>
            <w:vMerge w:val="restart"/>
          </w:tcPr>
          <w:p>
            <w:pPr>
              <w:jc w:val="right"/>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c>
          <w:tcPr>
            <w:tcW w:w="80" w:type="dxa"/>
            <w:vAlign w:val="bottom"/>
            <w:vMerge w:val="continue"/>
          </w:tcPr>
          <w:p>
            <w:pPr>
              <w:spacing w:after="0"/>
              <w:rPr>
                <w:sz w:val="8"/>
                <w:szCs w:val="8"/>
                <w:color w:val="auto"/>
              </w:rPr>
            </w:pPr>
          </w:p>
        </w:tc>
        <w:tc>
          <w:tcPr>
            <w:tcW w:w="4340" w:type="dxa"/>
            <w:vAlign w:val="bottom"/>
            <w:gridSpan w:val="15"/>
            <w:vMerge w:val="continue"/>
            <w:shd w:val="clear" w:color="auto" w:fill="CCEEFF"/>
          </w:tcPr>
          <w:p>
            <w:pPr>
              <w:spacing w:after="0"/>
              <w:rPr>
                <w:sz w:val="8"/>
                <w:szCs w:val="8"/>
                <w:color w:val="auto"/>
              </w:rPr>
            </w:pPr>
          </w:p>
        </w:tc>
        <w:tc>
          <w:tcPr>
            <w:tcW w:w="400" w:type="dxa"/>
            <w:vAlign w:val="bottom"/>
            <w:gridSpan w:val="2"/>
            <w:vMerge w:val="continue"/>
            <w:shd w:val="clear" w:color="auto" w:fill="CCEEFF"/>
          </w:tcPr>
          <w:p>
            <w:pPr>
              <w:spacing w:after="0"/>
              <w:rPr>
                <w:sz w:val="8"/>
                <w:szCs w:val="8"/>
                <w:color w:val="auto"/>
              </w:rPr>
            </w:pPr>
          </w:p>
        </w:tc>
        <w:tc>
          <w:tcPr>
            <w:tcW w:w="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20" w:type="dxa"/>
            <w:vAlign w:val="bottom"/>
            <w:tcBorders>
              <w:bottom w:val="single" w:sz="8" w:color="0000EE"/>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477258"/>
            </w:tcBorders>
          </w:tcPr>
          <w:p>
            <w:pPr>
              <w:spacing w:after="0"/>
              <w:rPr>
                <w:sz w:val="8"/>
                <w:szCs w:val="8"/>
                <w:color w:val="auto"/>
              </w:rPr>
            </w:pPr>
          </w:p>
        </w:tc>
        <w:tc>
          <w:tcPr>
            <w:tcW w:w="180" w:type="dxa"/>
            <w:vAlign w:val="bottom"/>
            <w:tcBorders>
              <w:top w:val="single" w:sz="8" w:color="477258"/>
            </w:tcBorders>
          </w:tcPr>
          <w:p>
            <w:pPr>
              <w:spacing w:after="0"/>
              <w:rPr>
                <w:sz w:val="8"/>
                <w:szCs w:val="8"/>
                <w:color w:val="auto"/>
              </w:rPr>
            </w:pPr>
          </w:p>
        </w:tc>
        <w:tc>
          <w:tcPr>
            <w:tcW w:w="180" w:type="dxa"/>
            <w:vAlign w:val="bottom"/>
            <w:tcBorders>
              <w:top w:val="single" w:sz="8" w:color="477258"/>
            </w:tcBorders>
          </w:tcPr>
          <w:p>
            <w:pPr>
              <w:spacing w:after="0"/>
              <w:rPr>
                <w:sz w:val="8"/>
                <w:szCs w:val="8"/>
                <w:color w:val="auto"/>
              </w:rPr>
            </w:pPr>
          </w:p>
        </w:tc>
        <w:tc>
          <w:tcPr>
            <w:tcW w:w="1100" w:type="dxa"/>
            <w:vAlign w:val="bottom"/>
            <w:tcBorders>
              <w:top w:val="single" w:sz="8" w:color="477258"/>
            </w:tcBorders>
          </w:tcPr>
          <w:p>
            <w:pPr>
              <w:spacing w:after="0"/>
              <w:rPr>
                <w:sz w:val="8"/>
                <w:szCs w:val="8"/>
                <w:color w:val="auto"/>
              </w:rPr>
            </w:pPr>
          </w:p>
        </w:tc>
        <w:tc>
          <w:tcPr>
            <w:tcW w:w="20" w:type="dxa"/>
            <w:vAlign w:val="bottom"/>
            <w:tcBorders>
              <w:top w:val="single" w:sz="8" w:color="477258"/>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4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20" w:type="dxa"/>
            <w:vAlign w:val="bottom"/>
            <w:tcBorders>
              <w:bottom w:val="single" w:sz="8" w:color="0000EE"/>
            </w:tcBorders>
          </w:tcPr>
          <w:p>
            <w:pPr>
              <w:jc w:val="right"/>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Borders>
              <w:bottom w:val="single" w:sz="8" w:color="0000EE"/>
            </w:tcBorders>
          </w:tcPr>
          <w:p>
            <w:pPr>
              <w:jc w:val="right"/>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Borders>
              <w:bottom w:val="single" w:sz="8" w:color="0000EE"/>
            </w:tcBorders>
          </w:tcPr>
          <w:p>
            <w:pPr>
              <w:jc w:val="right"/>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2661920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060" w:space="100"/>
            <w:col w:w="5200"/>
          </w:cols>
          <w:pgMar w:left="580" w:top="131" w:right="959"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PROXY STATEMENT</w:t>
      </w:r>
    </w:p>
    <w:p>
      <w:pPr>
        <w:spacing w:after="0" w:line="146"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Waste Management, Inc. is a holding company, and all operations are conducted by its subsidiaries. Our subsidiaries are operated and managed locally and focus on providing services in distinct geographic areas. Through our subsidiaries, we are North America’s leading provider of comprehensive waste management environmental services, providing services throughout the United States (“U.S.”) and Canada, and we are also a leading developer, operator and owner of landfill gas-to-energy facilities in the U.S.</w:t>
      </w:r>
    </w:p>
    <w:p>
      <w:pPr>
        <w:spacing w:after="0" w:line="288" w:lineRule="exact"/>
        <w:rPr>
          <w:sz w:val="20"/>
          <w:szCs w:val="20"/>
          <w:color w:val="auto"/>
        </w:rPr>
      </w:pPr>
    </w:p>
    <w:p>
      <w:pPr>
        <w:jc w:val="both"/>
        <w:ind w:left="820"/>
        <w:spacing w:after="0" w:line="236" w:lineRule="auto"/>
        <w:rPr>
          <w:sz w:val="20"/>
          <w:szCs w:val="20"/>
          <w:color w:val="auto"/>
        </w:rPr>
      </w:pPr>
      <w:r>
        <w:rPr>
          <w:rFonts w:ascii="Arial" w:cs="Arial" w:eastAsia="Arial" w:hAnsi="Arial"/>
          <w:sz w:val="18"/>
          <w:szCs w:val="18"/>
          <w:color w:val="auto"/>
        </w:rPr>
        <w:t>Our Board of Directors is soliciting your proxy for the 2021 Annual Meeting of Stockholders and at any postponement or adjournment of the meeting. We are furnishing proxy materials to our stockholders primarily via the Internet. On March 31, 2021, we sent an electronic notice of how to access our proxy materials and our Annual Report to stockholders that have previously signed up to receive their proxy materials via the Internet. On March 31, 2021,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w:t>
      </w:r>
    </w:p>
    <w:p>
      <w:pPr>
        <w:spacing w:after="0" w:line="78" w:lineRule="exact"/>
        <w:rPr>
          <w:sz w:val="20"/>
          <w:szCs w:val="20"/>
          <w:color w:val="auto"/>
        </w:rPr>
      </w:pPr>
    </w:p>
    <w:p>
      <w:pPr>
        <w:jc w:val="both"/>
        <w:ind w:left="820"/>
        <w:spacing w:after="0" w:line="244" w:lineRule="auto"/>
        <w:rPr>
          <w:sz w:val="20"/>
          <w:szCs w:val="20"/>
          <w:color w:val="auto"/>
        </w:rPr>
      </w:pPr>
      <w:r>
        <w:rPr>
          <w:rFonts w:ascii="Arial" w:cs="Arial" w:eastAsia="Arial" w:hAnsi="Arial"/>
          <w:sz w:val="18"/>
          <w:szCs w:val="18"/>
          <w:b w:val="1"/>
          <w:bCs w:val="1"/>
          <w:color w:val="477258"/>
        </w:rPr>
        <w:t xml:space="preserve">Enroll in Electronic Delivery Today! </w:t>
      </w:r>
      <w:r>
        <w:rPr>
          <w:rFonts w:ascii="Arial" w:cs="Arial" w:eastAsia="Arial" w:hAnsi="Arial"/>
          <w:sz w:val="18"/>
          <w:szCs w:val="18"/>
          <w:color w:val="000000"/>
        </w:rPr>
        <w:t>We encourage stockholders to elect to receive all future proxy</w:t>
      </w:r>
      <w:r>
        <w:rPr>
          <w:rFonts w:ascii="Arial" w:cs="Arial" w:eastAsia="Arial" w:hAnsi="Arial"/>
          <w:sz w:val="18"/>
          <w:szCs w:val="18"/>
          <w:b w:val="1"/>
          <w:bCs w:val="1"/>
          <w:color w:val="477258"/>
        </w:rPr>
        <w:t xml:space="preserve"> </w:t>
      </w:r>
      <w:r>
        <w:rPr>
          <w:rFonts w:ascii="Arial" w:cs="Arial" w:eastAsia="Arial" w:hAnsi="Arial"/>
          <w:sz w:val="18"/>
          <w:szCs w:val="18"/>
          <w:color w:val="000000"/>
        </w:rPr>
        <w:t xml:space="preserve">materials electronically, which is free, fast, convenient, environmentally friendly and helps lowers our printing and postage costs. If you are a beneficial owner, visit </w:t>
      </w:r>
      <w:r>
        <w:rPr>
          <w:rFonts w:ascii="Arial" w:cs="Arial" w:eastAsia="Arial" w:hAnsi="Arial"/>
          <w:sz w:val="18"/>
          <w:szCs w:val="18"/>
          <w:b w:val="1"/>
          <w:bCs w:val="1"/>
          <w:color w:val="000000"/>
        </w:rPr>
        <w:t>http://www.proxyvote.com</w:t>
      </w:r>
      <w:r>
        <w:rPr>
          <w:rFonts w:ascii="Arial" w:cs="Arial" w:eastAsia="Arial" w:hAnsi="Arial"/>
          <w:sz w:val="18"/>
          <w:szCs w:val="18"/>
          <w:color w:val="000000"/>
        </w:rPr>
        <w:t xml:space="preserve"> or follow the instructions on your Notice, proxy card or voting instructions. All stockholders may also enroll at </w:t>
      </w:r>
      <w:r>
        <w:rPr>
          <w:rFonts w:ascii="Arial" w:cs="Arial" w:eastAsia="Arial" w:hAnsi="Arial"/>
          <w:sz w:val="18"/>
          <w:szCs w:val="18"/>
          <w:b w:val="1"/>
          <w:bCs w:val="1"/>
          <w:color w:val="000000"/>
        </w:rPr>
        <w:t>https://enroll.icsdelivery.com/wmi</w:t>
      </w:r>
      <w:r>
        <w:rPr>
          <w:rFonts w:ascii="Arial" w:cs="Arial" w:eastAsia="Arial" w:hAnsi="Arial"/>
          <w:sz w:val="18"/>
          <w:szCs w:val="18"/>
          <w:color w:val="000000"/>
        </w:rPr>
        <w:t>. Thank you for supporting our sustainability mission.</w:t>
      </w:r>
    </w:p>
    <w:p>
      <w:pPr>
        <w:spacing w:after="0" w:line="68" w:lineRule="exact"/>
        <w:rPr>
          <w:sz w:val="20"/>
          <w:szCs w:val="20"/>
          <w:color w:val="auto"/>
        </w:rPr>
      </w:pPr>
    </w:p>
    <w:p>
      <w:pPr>
        <w:ind w:left="820"/>
        <w:spacing w:after="0"/>
        <w:tabs>
          <w:tab w:leader="none" w:pos="2140" w:val="left"/>
        </w:tabs>
        <w:rPr>
          <w:sz w:val="20"/>
          <w:szCs w:val="20"/>
          <w:color w:val="auto"/>
        </w:rPr>
      </w:pPr>
      <w:r>
        <w:rPr>
          <w:rFonts w:ascii="Arial" w:cs="Arial" w:eastAsia="Arial" w:hAnsi="Arial"/>
          <w:sz w:val="18"/>
          <w:szCs w:val="18"/>
          <w:b w:val="1"/>
          <w:bCs w:val="1"/>
          <w:color w:val="477258"/>
        </w:rPr>
        <w:t>Record Date</w:t>
      </w:r>
      <w:r>
        <w:rPr>
          <w:sz w:val="20"/>
          <w:szCs w:val="20"/>
          <w:color w:val="auto"/>
        </w:rPr>
        <w:tab/>
      </w:r>
      <w:r>
        <w:rPr>
          <w:rFonts w:ascii="Arial" w:cs="Arial" w:eastAsia="Arial" w:hAnsi="Arial"/>
          <w:sz w:val="18"/>
          <w:szCs w:val="18"/>
          <w:color w:val="auto"/>
        </w:rPr>
        <w:t>March 17, 2021.</w:t>
      </w:r>
    </w:p>
    <w:p>
      <w:pPr>
        <w:spacing w:after="0" w:line="117" w:lineRule="exact"/>
        <w:rPr>
          <w:sz w:val="20"/>
          <w:szCs w:val="20"/>
          <w:color w:val="auto"/>
        </w:rPr>
      </w:pPr>
    </w:p>
    <w:p>
      <w:pPr>
        <w:jc w:val="both"/>
        <w:ind w:left="820"/>
        <w:spacing w:after="0" w:line="271" w:lineRule="auto"/>
        <w:rPr>
          <w:sz w:val="20"/>
          <w:szCs w:val="20"/>
          <w:color w:val="auto"/>
        </w:rPr>
      </w:pPr>
      <w:r>
        <w:rPr>
          <w:rFonts w:ascii="Arial" w:cs="Arial" w:eastAsia="Arial" w:hAnsi="Arial"/>
          <w:sz w:val="18"/>
          <w:szCs w:val="18"/>
          <w:b w:val="1"/>
          <w:bCs w:val="1"/>
          <w:color w:val="477258"/>
        </w:rPr>
        <w:t xml:space="preserve">Quorum </w:t>
      </w:r>
      <w:r>
        <w:rPr>
          <w:rFonts w:ascii="Arial" w:cs="Arial" w:eastAsia="Arial" w:hAnsi="Arial"/>
          <w:sz w:val="18"/>
          <w:szCs w:val="18"/>
          <w:color w:val="000000"/>
        </w:rPr>
        <w:t>The holders of a majority of the shares of Common Stock outstanding on the record date</w:t>
      </w:r>
      <w:r>
        <w:rPr>
          <w:rFonts w:ascii="Arial" w:cs="Arial" w:eastAsia="Arial" w:hAnsi="Arial"/>
          <w:sz w:val="18"/>
          <w:szCs w:val="18"/>
          <w:b w:val="1"/>
          <w:bCs w:val="1"/>
          <w:color w:val="477258"/>
        </w:rPr>
        <w:t xml:space="preserve"> </w:t>
      </w:r>
      <w:r>
        <w:rPr>
          <w:rFonts w:ascii="Arial" w:cs="Arial" w:eastAsia="Arial" w:hAnsi="Arial"/>
          <w:sz w:val="18"/>
          <w:szCs w:val="18"/>
          <w:color w:val="000000"/>
        </w:rPr>
        <w:t>must be present in person or by proxy.</w:t>
      </w:r>
    </w:p>
    <w:p>
      <w:pPr>
        <w:spacing w:after="0" w:line="46" w:lineRule="exact"/>
        <w:rPr>
          <w:sz w:val="20"/>
          <w:szCs w:val="20"/>
          <w:color w:val="auto"/>
        </w:rPr>
      </w:pPr>
    </w:p>
    <w:p>
      <w:pPr>
        <w:jc w:val="both"/>
        <w:ind w:left="820"/>
        <w:spacing w:after="0" w:line="271" w:lineRule="auto"/>
        <w:rPr>
          <w:sz w:val="20"/>
          <w:szCs w:val="20"/>
          <w:color w:val="auto"/>
        </w:rPr>
      </w:pPr>
      <w:r>
        <w:rPr>
          <w:rFonts w:ascii="Arial" w:cs="Arial" w:eastAsia="Arial" w:hAnsi="Arial"/>
          <w:sz w:val="18"/>
          <w:szCs w:val="18"/>
          <w:b w:val="1"/>
          <w:bCs w:val="1"/>
          <w:color w:val="477258"/>
        </w:rPr>
        <w:t xml:space="preserve">Shares Outstanding </w:t>
      </w:r>
      <w:r>
        <w:rPr>
          <w:rFonts w:ascii="Arial" w:cs="Arial" w:eastAsia="Arial" w:hAnsi="Arial"/>
          <w:sz w:val="18"/>
          <w:szCs w:val="18"/>
          <w:color w:val="000000"/>
        </w:rPr>
        <w:t>There were 422,040,583 shares of our Common Stock outstanding and entitled</w:t>
      </w:r>
      <w:r>
        <w:rPr>
          <w:rFonts w:ascii="Arial" w:cs="Arial" w:eastAsia="Arial" w:hAnsi="Arial"/>
          <w:sz w:val="18"/>
          <w:szCs w:val="18"/>
          <w:b w:val="1"/>
          <w:bCs w:val="1"/>
          <w:color w:val="477258"/>
        </w:rPr>
        <w:t xml:space="preserve"> </w:t>
      </w:r>
      <w:r>
        <w:rPr>
          <w:rFonts w:ascii="Arial" w:cs="Arial" w:eastAsia="Arial" w:hAnsi="Arial"/>
          <w:sz w:val="18"/>
          <w:szCs w:val="18"/>
          <w:color w:val="000000"/>
        </w:rPr>
        <w:t>to vote as of March 17, 2021.</w:t>
      </w:r>
    </w:p>
    <w:p>
      <w:pPr>
        <w:spacing w:after="0" w:line="46" w:lineRule="exact"/>
        <w:rPr>
          <w:sz w:val="20"/>
          <w:szCs w:val="20"/>
          <w:color w:val="auto"/>
        </w:rPr>
      </w:pPr>
    </w:p>
    <w:p>
      <w:pPr>
        <w:jc w:val="both"/>
        <w:ind w:left="820"/>
        <w:spacing w:after="0"/>
        <w:rPr>
          <w:sz w:val="20"/>
          <w:szCs w:val="20"/>
          <w:color w:val="auto"/>
        </w:rPr>
      </w:pPr>
      <w:r>
        <w:rPr>
          <w:rFonts w:ascii="Arial" w:cs="Arial" w:eastAsia="Arial" w:hAnsi="Arial"/>
          <w:sz w:val="18"/>
          <w:szCs w:val="18"/>
          <w:b w:val="1"/>
          <w:bCs w:val="1"/>
          <w:color w:val="477258"/>
        </w:rPr>
        <w:t xml:space="preserve">Attending the Meeting </w:t>
      </w:r>
      <w:r>
        <w:rPr>
          <w:rFonts w:ascii="Arial" w:cs="Arial" w:eastAsia="Arial" w:hAnsi="Arial"/>
          <w:sz w:val="18"/>
          <w:szCs w:val="18"/>
          <w:color w:val="000000"/>
        </w:rPr>
        <w:t>Due to on -going public health concerns related to the COVID-19 pandemic,</w:t>
      </w:r>
      <w:r>
        <w:rPr>
          <w:rFonts w:ascii="Arial" w:cs="Arial" w:eastAsia="Arial" w:hAnsi="Arial"/>
          <w:sz w:val="18"/>
          <w:szCs w:val="18"/>
          <w:b w:val="1"/>
          <w:bCs w:val="1"/>
          <w:color w:val="477258"/>
        </w:rPr>
        <w:t xml:space="preserve"> </w:t>
      </w:r>
      <w:r>
        <w:rPr>
          <w:rFonts w:ascii="Arial" w:cs="Arial" w:eastAsia="Arial" w:hAnsi="Arial"/>
          <w:sz w:val="18"/>
          <w:szCs w:val="18"/>
          <w:color w:val="000000"/>
        </w:rPr>
        <w:t>we will be holding a virtual Annual Meeting. If you were a stockholder of record as of the close of business on the record date or held shares through a bank, broker, or nominee on that date, you are entitled to access and participate in the virtual Annual Meeting, including asking questions, examining the list of registered stockholders and voting shares. To attend the virtual Annual Meeting, you must use the link provided and enter the 16-digit control number found on your Notice, proxy card, or voting instructions. If you do not have your 16-digit control number, you will be admitted to the virtual Annual Meeting as a guest, but you will not have the ability to vote your shares or ask questions at the virtual Annual Meeting. If you are a beneficial owner, you may contact the bank, broker or other institution where you hold your account if you have questions about obtaining your control number. We encourage you to access the virtual Annual Meeting before it begins. Online check-in will start approximately fifteen minutes before the meeting on May 11, 2021. If you have difficulty accessing the meeting, a phone number for technical support will be available at the virtual Annual Meeting web address on the day of the meeting.</w:t>
      </w:r>
    </w:p>
    <w:p>
      <w:pPr>
        <w:spacing w:after="0" w:line="200" w:lineRule="exact"/>
        <w:rPr>
          <w:sz w:val="20"/>
          <w:szCs w:val="20"/>
          <w:color w:val="auto"/>
        </w:rPr>
      </w:pPr>
    </w:p>
    <w:p>
      <w:pPr>
        <w:spacing w:after="0" w:line="259" w:lineRule="exact"/>
        <w:rPr>
          <w:sz w:val="20"/>
          <w:szCs w:val="20"/>
          <w:color w:val="auto"/>
        </w:rPr>
      </w:pPr>
    </w:p>
    <w:p>
      <w:pPr>
        <w:ind w:left="820" w:right="1420"/>
        <w:spacing w:after="0" w:line="375" w:lineRule="auto"/>
        <w:rPr>
          <w:sz w:val="20"/>
          <w:szCs w:val="20"/>
          <w:color w:val="auto"/>
        </w:rPr>
      </w:pPr>
      <w:r>
        <w:rPr>
          <w:rFonts w:ascii="Arial" w:cs="Arial" w:eastAsia="Arial" w:hAnsi="Arial"/>
          <w:sz w:val="18"/>
          <w:szCs w:val="18"/>
          <w:b w:val="1"/>
          <w:bCs w:val="1"/>
          <w:color w:val="477258"/>
        </w:rPr>
        <w:t xml:space="preserve">Virtual Annual Meeting Web Address </w:t>
      </w:r>
      <w:r>
        <w:rPr>
          <w:rFonts w:ascii="Arial" w:cs="Arial" w:eastAsia="Arial" w:hAnsi="Arial"/>
          <w:sz w:val="18"/>
          <w:szCs w:val="18"/>
          <w:color w:val="000000"/>
        </w:rPr>
        <w:t>www.virtualshareholdermeeting.com/WM2021</w:t>
      </w:r>
      <w:r>
        <w:rPr>
          <w:rFonts w:ascii="Arial" w:cs="Arial" w:eastAsia="Arial" w:hAnsi="Arial"/>
          <w:sz w:val="18"/>
          <w:szCs w:val="18"/>
          <w:b w:val="1"/>
          <w:bCs w:val="1"/>
          <w:color w:val="477258"/>
        </w:rPr>
        <w:t xml:space="preserve"> Submitting Your Proxy </w:t>
      </w:r>
      <w:r>
        <w:rPr>
          <w:rFonts w:ascii="Arial" w:cs="Arial" w:eastAsia="Arial" w:hAnsi="Arial"/>
          <w:sz w:val="18"/>
          <w:szCs w:val="18"/>
          <w:color w:val="000000"/>
        </w:rPr>
        <w:t>Internet, phone, or mail.</w:t>
      </w:r>
    </w:p>
    <w:p>
      <w:pPr>
        <w:spacing w:after="0" w:line="1" w:lineRule="exact"/>
        <w:rPr>
          <w:sz w:val="20"/>
          <w:szCs w:val="20"/>
          <w:color w:val="auto"/>
        </w:rPr>
      </w:pPr>
    </w:p>
    <w:p>
      <w:pPr>
        <w:jc w:val="both"/>
        <w:ind w:left="820"/>
        <w:spacing w:after="0"/>
        <w:rPr>
          <w:sz w:val="20"/>
          <w:szCs w:val="20"/>
          <w:color w:val="auto"/>
        </w:rPr>
      </w:pPr>
      <w:r>
        <w:rPr>
          <w:rFonts w:ascii="Arial" w:cs="Arial" w:eastAsia="Arial" w:hAnsi="Arial"/>
          <w:sz w:val="18"/>
          <w:szCs w:val="18"/>
          <w:b w:val="1"/>
          <w:bCs w:val="1"/>
          <w:color w:val="477258"/>
        </w:rPr>
        <w:t xml:space="preserve">Voting and Asking Questions at the Meeting </w:t>
      </w:r>
      <w:r>
        <w:rPr>
          <w:rFonts w:ascii="Arial" w:cs="Arial" w:eastAsia="Arial" w:hAnsi="Arial"/>
          <w:sz w:val="18"/>
          <w:szCs w:val="18"/>
          <w:color w:val="000000"/>
        </w:rPr>
        <w:t>Stockholders can vote and ask questions during the</w:t>
      </w:r>
      <w:r>
        <w:rPr>
          <w:rFonts w:ascii="Arial" w:cs="Arial" w:eastAsia="Arial" w:hAnsi="Arial"/>
          <w:sz w:val="18"/>
          <w:szCs w:val="18"/>
          <w:b w:val="1"/>
          <w:bCs w:val="1"/>
          <w:color w:val="477258"/>
        </w:rPr>
        <w:t xml:space="preserve"> </w:t>
      </w:r>
      <w:r>
        <w:rPr>
          <w:rFonts w:ascii="Arial" w:cs="Arial" w:eastAsia="Arial" w:hAnsi="Arial"/>
          <w:sz w:val="18"/>
          <w:szCs w:val="18"/>
          <w:color w:val="000000"/>
        </w:rPr>
        <w:t>virtual Annual Meeting by following the instructions available on the meeting website during the meeting. Questions relevant to the business of the Company or the Annual Meeting may be submitted in a field provided by the virtual meeting platform. An audio recording of the virtual Annual Meeting, including the question and answer segment, will be available on the “Investors” webpage at www.wm.com after the meeting. Whether or not you plan to attend the virtual Annual Meeting, it is important that your shares be represented and voted at the Annual Meeting. Please read the Notice of Annual Meeting of Stockholders and this Proxy Statement with care and follow the voting instructions to ensure that your shares are represented at the Annual Meeting.</w:t>
      </w:r>
    </w:p>
    <w:p>
      <w:pPr>
        <w:spacing w:after="0" w:line="27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b w:val="1"/>
          <w:bCs w:val="1"/>
          <w:color w:val="477258"/>
        </w:rPr>
        <w:t xml:space="preserve">Changing Your Vote </w:t>
      </w:r>
      <w:r>
        <w:rPr>
          <w:rFonts w:ascii="Arial" w:cs="Arial" w:eastAsia="Arial" w:hAnsi="Arial"/>
          <w:sz w:val="18"/>
          <w:szCs w:val="18"/>
          <w:color w:val="000000"/>
        </w:rPr>
        <w:t>Stockholders of record may revoke their proxy at any time before we vote it at</w:t>
      </w:r>
      <w:r>
        <w:rPr>
          <w:rFonts w:ascii="Arial" w:cs="Arial" w:eastAsia="Arial" w:hAnsi="Arial"/>
          <w:sz w:val="18"/>
          <w:szCs w:val="18"/>
          <w:b w:val="1"/>
          <w:bCs w:val="1"/>
          <w:color w:val="477258"/>
        </w:rPr>
        <w:t xml:space="preserve"> </w:t>
      </w:r>
      <w:r>
        <w:rPr>
          <w:rFonts w:ascii="Arial" w:cs="Arial" w:eastAsia="Arial" w:hAnsi="Arial"/>
          <w:sz w:val="18"/>
          <w:szCs w:val="18"/>
          <w:color w:val="000000"/>
        </w:rPr>
        <w:t>the meeting by submitting a later-dated proxy via the Internet, by telephone, by mail, by delivering instructions to our Corporate Secretary</w:t>
      </w:r>
    </w:p>
    <w:p>
      <w:pPr>
        <w:spacing w:after="0" w:line="210"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-149860</wp:posOffset>
            </wp:positionV>
            <wp:extent cx="45402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4025" cy="12890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85" w:lineRule="exact"/>
        <w:rPr>
          <w:sz w:val="20"/>
          <w:szCs w:val="20"/>
          <w:color w:val="auto"/>
        </w:rPr>
      </w:pPr>
    </w:p>
    <w:p>
      <w:pPr>
        <w:ind w:left="7840"/>
        <w:spacing w:after="0"/>
        <w:rPr>
          <w:sz w:val="20"/>
          <w:szCs w:val="20"/>
          <w:color w:val="auto"/>
        </w:rPr>
      </w:pPr>
      <w:r>
        <w:rPr>
          <w:rFonts w:ascii="Arial" w:cs="Arial" w:eastAsia="Arial" w:hAnsi="Arial"/>
          <w:sz w:val="20"/>
          <w:szCs w:val="20"/>
          <w:b w:val="1"/>
          <w:bCs w:val="1"/>
          <w:color w:val="auto"/>
        </w:rPr>
        <w:t>PROXY STATEMENT</w:t>
      </w:r>
    </w:p>
    <w:p>
      <w:pPr>
        <w:spacing w:after="0" w:line="215"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color w:val="auto"/>
        </w:rPr>
        <w:t>before the Annual Meeting revoking the proxy or by voting during the virtual Annual Meeting. Attendance at the Annual Meeting, by itself, will not revoke a proxy. If you hold shares through a bank or brokerage firm, you may revoke any prior voting instructions by contacting that firm.</w:t>
      </w:r>
    </w:p>
    <w:p>
      <w:pPr>
        <w:spacing w:after="0" w:line="72"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b w:val="1"/>
          <w:bCs w:val="1"/>
          <w:color w:val="477258"/>
        </w:rPr>
        <w:t xml:space="preserve">Votes Required to Adopt Proposals </w:t>
      </w:r>
      <w:r>
        <w:rPr>
          <w:rFonts w:ascii="Arial" w:cs="Arial" w:eastAsia="Arial" w:hAnsi="Arial"/>
          <w:sz w:val="18"/>
          <w:szCs w:val="18"/>
          <w:color w:val="000000"/>
        </w:rPr>
        <w:t>Each share of our Common Stock outstanding on the record</w:t>
      </w:r>
      <w:r>
        <w:rPr>
          <w:rFonts w:ascii="Arial" w:cs="Arial" w:eastAsia="Arial" w:hAnsi="Arial"/>
          <w:sz w:val="18"/>
          <w:szCs w:val="18"/>
          <w:b w:val="1"/>
          <w:bCs w:val="1"/>
          <w:color w:val="477258"/>
        </w:rPr>
        <w:t xml:space="preserve"> </w:t>
      </w:r>
      <w:r>
        <w:rPr>
          <w:rFonts w:ascii="Arial" w:cs="Arial" w:eastAsia="Arial" w:hAnsi="Arial"/>
          <w:sz w:val="18"/>
          <w:szCs w:val="18"/>
          <w:color w:val="000000"/>
        </w:rPr>
        <w:t>date is entitled to one vote on each of the nine director nominees and one vote on each other matter. To be elected, a director must receive a majority of the votes cast with respect to that director’s election at the meeting. This means that the number of shares voted “for” a director must exceed 50% of the votes cast with respect to that director. Each of the other proposals requires the favorable vote of the holders of a majority of the outstanding shares of Common Stock present, either by proxy or in person, and entitled to vote on the matter.</w:t>
      </w:r>
    </w:p>
    <w:p>
      <w:pPr>
        <w:spacing w:after="0" w:line="290" w:lineRule="exact"/>
        <w:rPr>
          <w:sz w:val="20"/>
          <w:szCs w:val="20"/>
          <w:color w:val="auto"/>
        </w:rPr>
      </w:pPr>
    </w:p>
    <w:p>
      <w:pPr>
        <w:jc w:val="both"/>
        <w:ind w:left="820"/>
        <w:spacing w:after="0" w:line="268" w:lineRule="auto"/>
        <w:rPr>
          <w:sz w:val="20"/>
          <w:szCs w:val="20"/>
          <w:color w:val="auto"/>
        </w:rPr>
      </w:pPr>
      <w:r>
        <w:rPr>
          <w:rFonts w:ascii="Arial" w:cs="Arial" w:eastAsia="Arial" w:hAnsi="Arial"/>
          <w:sz w:val="18"/>
          <w:szCs w:val="18"/>
          <w:b w:val="1"/>
          <w:bCs w:val="1"/>
          <w:color w:val="477258"/>
        </w:rPr>
        <w:t xml:space="preserve">Effect of Abstentions and Broker Non-Votes </w:t>
      </w:r>
      <w:r>
        <w:rPr>
          <w:rFonts w:ascii="Arial" w:cs="Arial" w:eastAsia="Arial" w:hAnsi="Arial"/>
          <w:sz w:val="18"/>
          <w:szCs w:val="18"/>
          <w:color w:val="000000"/>
        </w:rPr>
        <w:t>Abstentions will have no effect on the election of</w:t>
      </w:r>
      <w:r>
        <w:rPr>
          <w:rFonts w:ascii="Arial" w:cs="Arial" w:eastAsia="Arial" w:hAnsi="Arial"/>
          <w:sz w:val="18"/>
          <w:szCs w:val="18"/>
          <w:b w:val="1"/>
          <w:bCs w:val="1"/>
          <w:color w:val="477258"/>
        </w:rPr>
        <w:t xml:space="preserve"> </w:t>
      </w:r>
      <w:r>
        <w:rPr>
          <w:rFonts w:ascii="Arial" w:cs="Arial" w:eastAsia="Arial" w:hAnsi="Arial"/>
          <w:sz w:val="18"/>
          <w:szCs w:val="18"/>
          <w:color w:val="000000"/>
        </w:rPr>
        <w:t xml:space="preserve">directors. For each of the other proposals, abstentions will have the same effect as a vote </w:t>
      </w:r>
      <w:r>
        <w:rPr>
          <w:rFonts w:ascii="Arial" w:cs="Arial" w:eastAsia="Arial" w:hAnsi="Arial"/>
          <w:sz w:val="18"/>
          <w:szCs w:val="18"/>
          <w:i w:val="1"/>
          <w:iCs w:val="1"/>
          <w:color w:val="000000"/>
        </w:rPr>
        <w:t>against</w:t>
      </w:r>
      <w:r>
        <w:rPr>
          <w:rFonts w:ascii="Arial" w:cs="Arial" w:eastAsia="Arial" w:hAnsi="Arial"/>
          <w:sz w:val="18"/>
          <w:szCs w:val="18"/>
          <w:color w:val="000000"/>
        </w:rPr>
        <w:t xml:space="preserve"> these matters because they are considered present and entitled to vote on the matters.</w:t>
      </w:r>
    </w:p>
    <w:p>
      <w:pPr>
        <w:spacing w:after="0" w:line="85"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If your shares are held by a broker, you may submit your voting instructions to the broker as to how you want your shares to be voted. If you give the broker instructions, your shares must be voted as you direct. If you do not give voting instructions for the proposal to ratify selection of the Company’s independent registered public accounting firm, the broker may vote your shares at its discretion. However, with respect to the election of directors and the advisory vote on executive compensation, the broker cannot vote your shares without instructions from you; when this happens, it is called a “broker non- vote.” Broker non-votes are counted in determining the presence of a quorum at the meeting, but they have no effect on the outcome of the vote on the election of directors or the advisory vote on executive compensation.</w:t>
      </w:r>
    </w:p>
    <w:p>
      <w:pPr>
        <w:spacing w:after="0" w:line="291"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b w:val="1"/>
          <w:bCs w:val="1"/>
          <w:color w:val="477258"/>
        </w:rPr>
        <w:t xml:space="preserve">Voting Instructions </w:t>
      </w:r>
      <w:r>
        <w:rPr>
          <w:rFonts w:ascii="Arial" w:cs="Arial" w:eastAsia="Arial" w:hAnsi="Arial"/>
          <w:sz w:val="18"/>
          <w:szCs w:val="18"/>
          <w:color w:val="000000"/>
        </w:rPr>
        <w:t>You may receive more than one proxy card depending on how you hold your</w:t>
      </w:r>
      <w:r>
        <w:rPr>
          <w:rFonts w:ascii="Arial" w:cs="Arial" w:eastAsia="Arial" w:hAnsi="Arial"/>
          <w:sz w:val="18"/>
          <w:szCs w:val="18"/>
          <w:b w:val="1"/>
          <w:bCs w:val="1"/>
          <w:color w:val="477258"/>
        </w:rPr>
        <w:t xml:space="preserve"> </w:t>
      </w:r>
      <w:r>
        <w:rPr>
          <w:rFonts w:ascii="Arial" w:cs="Arial" w:eastAsia="Arial" w:hAnsi="Arial"/>
          <w:sz w:val="18"/>
          <w:szCs w:val="18"/>
          <w:color w:val="000000"/>
        </w:rPr>
        <w:t>shares. If you hold shares through a broker, your ability to submit your voting instructions by phone or over the Internet depends on your broker’s voting process. You should complete and return each proxy or other voting instruction request provided to you. If you complete and submit your proxy voting instructions, the persons named as proxies will follow your instructions. If you submit your proxy but do not give voting instructions, we will vote your shares in accordance with the recommendation of the Board on each of the proposals as set forth below. If you give us your proxy, your shares will be voted at the discretion of the proxy holders on any other matters that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88900</wp:posOffset>
            </wp:positionV>
            <wp:extent cx="57607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25"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1180" w:type="dxa"/>
            <w:vAlign w:val="bottom"/>
            <w:vMerge w:val="restart"/>
          </w:tcPr>
          <w:p>
            <w:pPr>
              <w:ind w:left="500"/>
              <w:spacing w:after="0"/>
              <w:rPr>
                <w:sz w:val="20"/>
                <w:szCs w:val="20"/>
                <w:color w:val="auto"/>
              </w:rPr>
            </w:pPr>
            <w:r>
              <w:rPr>
                <w:rFonts w:ascii="Arial" w:cs="Arial" w:eastAsia="Arial" w:hAnsi="Arial"/>
                <w:sz w:val="16"/>
                <w:szCs w:val="16"/>
                <w:b w:val="1"/>
                <w:bCs w:val="1"/>
                <w:color w:val="477258"/>
              </w:rPr>
              <w:t>Item</w:t>
            </w:r>
          </w:p>
        </w:tc>
        <w:tc>
          <w:tcPr>
            <w:tcW w:w="5640" w:type="dxa"/>
            <w:vAlign w:val="bottom"/>
            <w:vMerge w:val="restart"/>
          </w:tcPr>
          <w:p>
            <w:pPr>
              <w:ind w:left="380"/>
              <w:spacing w:after="0"/>
              <w:rPr>
                <w:sz w:val="20"/>
                <w:szCs w:val="20"/>
                <w:color w:val="auto"/>
              </w:rPr>
            </w:pPr>
            <w:r>
              <w:rPr>
                <w:rFonts w:ascii="Arial" w:cs="Arial" w:eastAsia="Arial" w:hAnsi="Arial"/>
                <w:sz w:val="16"/>
                <w:szCs w:val="16"/>
                <w:b w:val="1"/>
                <w:bCs w:val="1"/>
                <w:color w:val="477258"/>
              </w:rPr>
              <w:t>Matter</w:t>
            </w:r>
          </w:p>
        </w:tc>
        <w:tc>
          <w:tcPr>
            <w:tcW w:w="2240" w:type="dxa"/>
            <w:vAlign w:val="bottom"/>
          </w:tcPr>
          <w:p>
            <w:pPr>
              <w:ind w:left="340"/>
              <w:spacing w:after="0"/>
              <w:rPr>
                <w:sz w:val="20"/>
                <w:szCs w:val="20"/>
                <w:color w:val="auto"/>
              </w:rPr>
            </w:pPr>
            <w:r>
              <w:rPr>
                <w:rFonts w:ascii="Arial" w:cs="Arial" w:eastAsia="Arial" w:hAnsi="Arial"/>
                <w:sz w:val="16"/>
                <w:szCs w:val="16"/>
                <w:b w:val="1"/>
                <w:bCs w:val="1"/>
                <w:color w:val="477258"/>
              </w:rPr>
              <w:t>Board Vote</w:t>
            </w:r>
          </w:p>
        </w:tc>
        <w:tc>
          <w:tcPr>
            <w:tcW w:w="0" w:type="dxa"/>
            <w:vAlign w:val="bottom"/>
          </w:tcPr>
          <w:p>
            <w:pPr>
              <w:spacing w:after="0"/>
              <w:rPr>
                <w:sz w:val="1"/>
                <w:szCs w:val="1"/>
                <w:color w:val="auto"/>
              </w:rPr>
            </w:pPr>
          </w:p>
        </w:tc>
      </w:tr>
      <w:tr>
        <w:trPr>
          <w:trHeight w:val="215"/>
        </w:trPr>
        <w:tc>
          <w:tcPr>
            <w:tcW w:w="1180" w:type="dxa"/>
            <w:vAlign w:val="bottom"/>
            <w:tcBorders>
              <w:bottom w:val="single" w:sz="8" w:color="477258"/>
            </w:tcBorders>
            <w:vMerge w:val="continue"/>
          </w:tcPr>
          <w:p>
            <w:pPr>
              <w:spacing w:after="0"/>
              <w:rPr>
                <w:sz w:val="18"/>
                <w:szCs w:val="18"/>
                <w:color w:val="auto"/>
              </w:rPr>
            </w:pPr>
          </w:p>
        </w:tc>
        <w:tc>
          <w:tcPr>
            <w:tcW w:w="5640" w:type="dxa"/>
            <w:vAlign w:val="bottom"/>
            <w:tcBorders>
              <w:bottom w:val="single" w:sz="8" w:color="477258"/>
            </w:tcBorders>
            <w:vMerge w:val="continue"/>
          </w:tcPr>
          <w:p>
            <w:pPr>
              <w:spacing w:after="0"/>
              <w:rPr>
                <w:sz w:val="18"/>
                <w:szCs w:val="18"/>
                <w:color w:val="auto"/>
              </w:rPr>
            </w:pPr>
          </w:p>
        </w:tc>
        <w:tc>
          <w:tcPr>
            <w:tcW w:w="2240" w:type="dxa"/>
            <w:vAlign w:val="bottom"/>
            <w:tcBorders>
              <w:bottom w:val="single" w:sz="8" w:color="477258"/>
            </w:tcBorders>
          </w:tcPr>
          <w:p>
            <w:pPr>
              <w:ind w:left="340"/>
              <w:spacing w:after="0"/>
              <w:rPr>
                <w:sz w:val="20"/>
                <w:szCs w:val="20"/>
                <w:color w:val="auto"/>
              </w:rPr>
            </w:pPr>
            <w:r>
              <w:rPr>
                <w:rFonts w:ascii="Arial" w:cs="Arial" w:eastAsia="Arial" w:hAnsi="Arial"/>
                <w:sz w:val="16"/>
                <w:szCs w:val="16"/>
                <w:b w:val="1"/>
                <w:bCs w:val="1"/>
                <w:color w:val="477258"/>
              </w:rPr>
              <w:t>Recommendation</w:t>
            </w:r>
          </w:p>
        </w:tc>
        <w:tc>
          <w:tcPr>
            <w:tcW w:w="0" w:type="dxa"/>
            <w:vAlign w:val="bottom"/>
          </w:tcPr>
          <w:p>
            <w:pPr>
              <w:spacing w:after="0"/>
              <w:rPr>
                <w:sz w:val="1"/>
                <w:szCs w:val="1"/>
                <w:color w:val="auto"/>
              </w:rPr>
            </w:pPr>
          </w:p>
        </w:tc>
      </w:tr>
      <w:tr>
        <w:trPr>
          <w:trHeight w:val="548"/>
        </w:trPr>
        <w:tc>
          <w:tcPr>
            <w:tcW w:w="1180" w:type="dxa"/>
            <w:vAlign w:val="bottom"/>
            <w:vMerge w:val="restart"/>
            <w:shd w:val="clear" w:color="auto" w:fill="D1DCD5"/>
          </w:tcPr>
          <w:p>
            <w:pPr>
              <w:ind w:left="500"/>
              <w:spacing w:after="0"/>
              <w:rPr>
                <w:sz w:val="20"/>
                <w:szCs w:val="20"/>
                <w:color w:val="auto"/>
              </w:rPr>
            </w:pPr>
            <w:r>
              <w:rPr>
                <w:rFonts w:ascii="Arial" w:cs="Arial" w:eastAsia="Arial" w:hAnsi="Arial"/>
                <w:sz w:val="65"/>
                <w:szCs w:val="65"/>
                <w:b w:val="1"/>
                <w:bCs w:val="1"/>
                <w:color w:val="477258"/>
              </w:rPr>
              <w:t>1</w:t>
            </w:r>
          </w:p>
        </w:tc>
        <w:tc>
          <w:tcPr>
            <w:tcW w:w="5640" w:type="dxa"/>
            <w:vAlign w:val="bottom"/>
            <w:shd w:val="clear" w:color="auto" w:fill="D1DCD5"/>
          </w:tcPr>
          <w:p>
            <w:pPr>
              <w:ind w:left="400"/>
              <w:spacing w:after="0"/>
              <w:rPr>
                <w:sz w:val="20"/>
                <w:szCs w:val="20"/>
                <w:color w:val="auto"/>
              </w:rPr>
            </w:pPr>
            <w:r>
              <w:rPr>
                <w:rFonts w:ascii="Arial" w:cs="Arial" w:eastAsia="Arial" w:hAnsi="Arial"/>
                <w:sz w:val="18"/>
                <w:szCs w:val="18"/>
                <w:b w:val="1"/>
                <w:bCs w:val="1"/>
                <w:color w:val="auto"/>
              </w:rPr>
              <w:t>Election of Director Nominees set forth in this Proxy</w:t>
            </w:r>
          </w:p>
        </w:tc>
        <w:tc>
          <w:tcPr>
            <w:tcW w:w="2240" w:type="dxa"/>
            <w:vAlign w:val="bottom"/>
            <w:vMerge w:val="restart"/>
            <w:shd w:val="clear" w:color="auto" w:fill="D1DCD5"/>
          </w:tcPr>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director</w:t>
            </w:r>
          </w:p>
        </w:tc>
        <w:tc>
          <w:tcPr>
            <w:tcW w:w="0" w:type="dxa"/>
            <w:vAlign w:val="bottom"/>
          </w:tcPr>
          <w:p>
            <w:pPr>
              <w:spacing w:after="0"/>
              <w:rPr>
                <w:sz w:val="1"/>
                <w:szCs w:val="1"/>
                <w:color w:val="auto"/>
              </w:rPr>
            </w:pPr>
          </w:p>
        </w:tc>
      </w:tr>
      <w:tr>
        <w:trPr>
          <w:trHeight w:val="229"/>
        </w:trPr>
        <w:tc>
          <w:tcPr>
            <w:tcW w:w="1180" w:type="dxa"/>
            <w:vAlign w:val="bottom"/>
            <w:vMerge w:val="continue"/>
            <w:shd w:val="clear" w:color="auto" w:fill="D1DCD5"/>
          </w:tcPr>
          <w:p>
            <w:pPr>
              <w:spacing w:after="0"/>
              <w:rPr>
                <w:sz w:val="19"/>
                <w:szCs w:val="19"/>
                <w:color w:val="auto"/>
              </w:rPr>
            </w:pPr>
          </w:p>
        </w:tc>
        <w:tc>
          <w:tcPr>
            <w:tcW w:w="5640" w:type="dxa"/>
            <w:vAlign w:val="bottom"/>
            <w:shd w:val="clear" w:color="auto" w:fill="D1DCD5"/>
          </w:tcPr>
          <w:p>
            <w:pPr>
              <w:spacing w:after="0"/>
              <w:rPr>
                <w:sz w:val="19"/>
                <w:szCs w:val="19"/>
                <w:color w:val="auto"/>
              </w:rPr>
            </w:pPr>
          </w:p>
        </w:tc>
        <w:tc>
          <w:tcPr>
            <w:tcW w:w="2240" w:type="dxa"/>
            <w:vAlign w:val="bottom"/>
            <w:vMerge w:val="continue"/>
            <w:shd w:val="clear" w:color="auto" w:fill="D1DCD5"/>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1180" w:type="dxa"/>
            <w:vAlign w:val="bottom"/>
            <w:vMerge w:val="continue"/>
            <w:shd w:val="clear" w:color="auto" w:fill="D1DCD5"/>
          </w:tcPr>
          <w:p>
            <w:pPr>
              <w:spacing w:after="0"/>
              <w:rPr>
                <w:sz w:val="24"/>
                <w:szCs w:val="24"/>
                <w:color w:val="auto"/>
              </w:rPr>
            </w:pPr>
          </w:p>
        </w:tc>
        <w:tc>
          <w:tcPr>
            <w:tcW w:w="5640" w:type="dxa"/>
            <w:vAlign w:val="bottom"/>
            <w:vMerge w:val="restart"/>
            <w:shd w:val="clear" w:color="auto" w:fill="D1DCD5"/>
          </w:tcPr>
          <w:p>
            <w:pPr>
              <w:ind w:left="400"/>
              <w:spacing w:after="0"/>
              <w:rPr>
                <w:sz w:val="20"/>
                <w:szCs w:val="20"/>
                <w:color w:val="auto"/>
              </w:rPr>
            </w:pPr>
            <w:r>
              <w:rPr>
                <w:rFonts w:ascii="Arial" w:cs="Arial" w:eastAsia="Arial" w:hAnsi="Arial"/>
                <w:sz w:val="18"/>
                <w:szCs w:val="18"/>
                <w:b w:val="1"/>
                <w:bCs w:val="1"/>
                <w:color w:val="auto"/>
              </w:rPr>
              <w:t>Statement</w:t>
            </w:r>
          </w:p>
        </w:tc>
        <w:tc>
          <w:tcPr>
            <w:tcW w:w="2240" w:type="dxa"/>
            <w:vAlign w:val="bottom"/>
            <w:shd w:val="clear" w:color="auto" w:fill="D1DCD5"/>
          </w:tcPr>
          <w:p>
            <w:pPr>
              <w:ind w:left="340"/>
              <w:spacing w:after="0"/>
              <w:rPr>
                <w:sz w:val="20"/>
                <w:szCs w:val="20"/>
                <w:color w:val="auto"/>
              </w:rPr>
            </w:pPr>
            <w:r>
              <w:rPr>
                <w:rFonts w:ascii="Arial" w:cs="Arial" w:eastAsia="Arial" w:hAnsi="Arial"/>
                <w:sz w:val="18"/>
                <w:szCs w:val="18"/>
                <w:color w:val="auto"/>
              </w:rPr>
              <w:t>nominee</w:t>
            </w:r>
          </w:p>
        </w:tc>
        <w:tc>
          <w:tcPr>
            <w:tcW w:w="0" w:type="dxa"/>
            <w:vAlign w:val="bottom"/>
          </w:tcPr>
          <w:p>
            <w:pPr>
              <w:spacing w:after="0"/>
              <w:rPr>
                <w:sz w:val="1"/>
                <w:szCs w:val="1"/>
                <w:color w:val="auto"/>
              </w:rPr>
            </w:pPr>
          </w:p>
        </w:tc>
      </w:tr>
      <w:tr>
        <w:trPr>
          <w:trHeight w:val="116"/>
        </w:trPr>
        <w:tc>
          <w:tcPr>
            <w:tcW w:w="1180" w:type="dxa"/>
            <w:vAlign w:val="bottom"/>
            <w:shd w:val="clear" w:color="auto" w:fill="D1DCD5"/>
          </w:tcPr>
          <w:p>
            <w:pPr>
              <w:spacing w:after="0"/>
              <w:rPr>
                <w:sz w:val="10"/>
                <w:szCs w:val="10"/>
                <w:color w:val="auto"/>
              </w:rPr>
            </w:pPr>
          </w:p>
        </w:tc>
        <w:tc>
          <w:tcPr>
            <w:tcW w:w="5640" w:type="dxa"/>
            <w:vAlign w:val="bottom"/>
            <w:vMerge w:val="continue"/>
            <w:shd w:val="clear" w:color="auto" w:fill="D1DCD5"/>
          </w:tcPr>
          <w:p>
            <w:pPr>
              <w:spacing w:after="0"/>
              <w:rPr>
                <w:sz w:val="10"/>
                <w:szCs w:val="10"/>
                <w:color w:val="auto"/>
              </w:rPr>
            </w:pPr>
          </w:p>
        </w:tc>
        <w:tc>
          <w:tcPr>
            <w:tcW w:w="2240" w:type="dxa"/>
            <w:vAlign w:val="bottom"/>
            <w:shd w:val="clear" w:color="auto" w:fill="D1DCD5"/>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180" w:type="dxa"/>
            <w:vAlign w:val="bottom"/>
            <w:tcBorders>
              <w:bottom w:val="single" w:sz="8" w:color="477258"/>
            </w:tcBorders>
            <w:shd w:val="clear" w:color="auto" w:fill="D1DCD5"/>
          </w:tcPr>
          <w:p>
            <w:pPr>
              <w:spacing w:after="0"/>
              <w:rPr>
                <w:sz w:val="21"/>
                <w:szCs w:val="21"/>
                <w:color w:val="auto"/>
              </w:rPr>
            </w:pPr>
          </w:p>
        </w:tc>
        <w:tc>
          <w:tcPr>
            <w:tcW w:w="5640" w:type="dxa"/>
            <w:vAlign w:val="bottom"/>
            <w:tcBorders>
              <w:bottom w:val="single" w:sz="8" w:color="477258"/>
            </w:tcBorders>
            <w:shd w:val="clear" w:color="auto" w:fill="D1DCD5"/>
          </w:tcPr>
          <w:p>
            <w:pPr>
              <w:spacing w:after="0"/>
              <w:rPr>
                <w:sz w:val="21"/>
                <w:szCs w:val="21"/>
                <w:color w:val="auto"/>
              </w:rPr>
            </w:pPr>
          </w:p>
        </w:tc>
        <w:tc>
          <w:tcPr>
            <w:tcW w:w="2240" w:type="dxa"/>
            <w:vAlign w:val="bottom"/>
            <w:tcBorders>
              <w:bottom w:val="single" w:sz="8" w:color="477258"/>
            </w:tcBorders>
            <w:shd w:val="clear" w:color="auto" w:fill="D1DCD5"/>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1180" w:type="dxa"/>
            <w:vAlign w:val="bottom"/>
            <w:vMerge w:val="restart"/>
            <w:shd w:val="clear" w:color="auto" w:fill="EDF1EE"/>
          </w:tcPr>
          <w:p>
            <w:pPr>
              <w:ind w:left="500"/>
              <w:spacing w:after="0"/>
              <w:rPr>
                <w:sz w:val="20"/>
                <w:szCs w:val="20"/>
                <w:color w:val="auto"/>
              </w:rPr>
            </w:pPr>
            <w:r>
              <w:rPr>
                <w:rFonts w:ascii="Arial" w:cs="Arial" w:eastAsia="Arial" w:hAnsi="Arial"/>
                <w:sz w:val="65"/>
                <w:szCs w:val="65"/>
                <w:b w:val="1"/>
                <w:bCs w:val="1"/>
                <w:color w:val="477258"/>
              </w:rPr>
              <w:t>2</w:t>
            </w:r>
          </w:p>
        </w:tc>
        <w:tc>
          <w:tcPr>
            <w:tcW w:w="5640" w:type="dxa"/>
            <w:vAlign w:val="bottom"/>
            <w:shd w:val="clear" w:color="auto" w:fill="EDF1EE"/>
          </w:tcPr>
          <w:p>
            <w:pPr>
              <w:ind w:left="400"/>
              <w:spacing w:after="0"/>
              <w:rPr>
                <w:sz w:val="20"/>
                <w:szCs w:val="20"/>
                <w:color w:val="auto"/>
              </w:rPr>
            </w:pPr>
            <w:r>
              <w:rPr>
                <w:rFonts w:ascii="Arial" w:cs="Arial" w:eastAsia="Arial" w:hAnsi="Arial"/>
                <w:sz w:val="18"/>
                <w:szCs w:val="18"/>
                <w:b w:val="1"/>
                <w:bCs w:val="1"/>
                <w:color w:val="auto"/>
              </w:rPr>
              <w:t>Ratification of Ernst &amp; Young LLP as the Company’s</w:t>
            </w:r>
          </w:p>
        </w:tc>
        <w:tc>
          <w:tcPr>
            <w:tcW w:w="2240" w:type="dxa"/>
            <w:vAlign w:val="bottom"/>
            <w:shd w:val="clear" w:color="auto" w:fill="EDF1E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vMerge w:val="continue"/>
            <w:shd w:val="clear" w:color="auto" w:fill="EDF1EE"/>
          </w:tcPr>
          <w:p>
            <w:pPr>
              <w:spacing w:after="0"/>
              <w:rPr>
                <w:sz w:val="18"/>
                <w:szCs w:val="18"/>
                <w:color w:val="auto"/>
              </w:rPr>
            </w:pPr>
          </w:p>
        </w:tc>
        <w:tc>
          <w:tcPr>
            <w:tcW w:w="5640" w:type="dxa"/>
            <w:vAlign w:val="bottom"/>
            <w:shd w:val="clear" w:color="auto" w:fill="EDF1EE"/>
          </w:tcPr>
          <w:p>
            <w:pPr>
              <w:ind w:left="400"/>
              <w:spacing w:after="0"/>
              <w:rPr>
                <w:sz w:val="20"/>
                <w:szCs w:val="20"/>
                <w:color w:val="auto"/>
              </w:rPr>
            </w:pPr>
            <w:r>
              <w:rPr>
                <w:rFonts w:ascii="Arial" w:cs="Arial" w:eastAsia="Arial" w:hAnsi="Arial"/>
                <w:sz w:val="18"/>
                <w:szCs w:val="18"/>
                <w:b w:val="1"/>
                <w:bCs w:val="1"/>
                <w:color w:val="auto"/>
              </w:rPr>
              <w:t>Independent Registered Public Accounting Firm for</w:t>
            </w:r>
          </w:p>
        </w:tc>
        <w:tc>
          <w:tcPr>
            <w:tcW w:w="2240" w:type="dxa"/>
            <w:vAlign w:val="bottom"/>
            <w:shd w:val="clear" w:color="auto" w:fill="EDF1EE"/>
          </w:tcPr>
          <w:p>
            <w:pPr>
              <w:ind w:left="340"/>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374"/>
        </w:trPr>
        <w:tc>
          <w:tcPr>
            <w:tcW w:w="1180" w:type="dxa"/>
            <w:vAlign w:val="bottom"/>
            <w:tcBorders>
              <w:bottom w:val="single" w:sz="8" w:color="EDF1EE"/>
            </w:tcBorders>
            <w:vMerge w:val="continue"/>
            <w:shd w:val="clear" w:color="auto" w:fill="EDF1EE"/>
          </w:tcPr>
          <w:p>
            <w:pPr>
              <w:spacing w:after="0"/>
              <w:rPr>
                <w:sz w:val="24"/>
                <w:szCs w:val="24"/>
                <w:color w:val="auto"/>
              </w:rPr>
            </w:pPr>
          </w:p>
        </w:tc>
        <w:tc>
          <w:tcPr>
            <w:tcW w:w="5640" w:type="dxa"/>
            <w:vAlign w:val="bottom"/>
            <w:tcBorders>
              <w:bottom w:val="single" w:sz="8" w:color="EDF1EE"/>
            </w:tcBorders>
            <w:shd w:val="clear" w:color="auto" w:fill="EDF1EE"/>
          </w:tcPr>
          <w:p>
            <w:pPr>
              <w:ind w:left="400"/>
              <w:spacing w:after="0"/>
              <w:rPr>
                <w:sz w:val="20"/>
                <w:szCs w:val="20"/>
                <w:color w:val="auto"/>
              </w:rPr>
            </w:pPr>
            <w:r>
              <w:rPr>
                <w:rFonts w:ascii="Arial" w:cs="Arial" w:eastAsia="Arial" w:hAnsi="Arial"/>
                <w:sz w:val="18"/>
                <w:szCs w:val="18"/>
                <w:b w:val="1"/>
                <w:bCs w:val="1"/>
                <w:color w:val="auto"/>
              </w:rPr>
              <w:t>fiscal year 2021</w:t>
            </w:r>
          </w:p>
        </w:tc>
        <w:tc>
          <w:tcPr>
            <w:tcW w:w="2240" w:type="dxa"/>
            <w:vAlign w:val="bottom"/>
            <w:tcBorders>
              <w:bottom w:val="single" w:sz="8" w:color="EDF1EE"/>
            </w:tcBorders>
            <w:shd w:val="clear" w:color="auto" w:fill="EDF1EE"/>
          </w:tcPr>
          <w:p>
            <w:pPr>
              <w:spacing w:after="0"/>
              <w:rPr>
                <w:sz w:val="24"/>
                <w:szCs w:val="24"/>
                <w:color w:val="auto"/>
              </w:rPr>
            </w:pPr>
          </w:p>
        </w:tc>
        <w:tc>
          <w:tcPr>
            <w:tcW w:w="0" w:type="dxa"/>
            <w:vAlign w:val="bottom"/>
          </w:tcPr>
          <w:p>
            <w:pPr>
              <w:spacing w:after="0"/>
              <w:rPr>
                <w:sz w:val="1"/>
                <w:szCs w:val="1"/>
                <w:color w:val="auto"/>
              </w:rPr>
            </w:pPr>
          </w:p>
        </w:tc>
      </w:tr>
      <w:tr>
        <w:trPr>
          <w:trHeight w:val="917"/>
        </w:trPr>
        <w:tc>
          <w:tcPr>
            <w:tcW w:w="1180" w:type="dxa"/>
            <w:vAlign w:val="bottom"/>
            <w:tcBorders>
              <w:top w:val="single" w:sz="8" w:color="477258"/>
              <w:bottom w:val="single" w:sz="8" w:color="D1DCD5"/>
            </w:tcBorders>
            <w:shd w:val="clear" w:color="auto" w:fill="D1DCD5"/>
          </w:tcPr>
          <w:p>
            <w:pPr>
              <w:ind w:left="500"/>
              <w:spacing w:after="0"/>
              <w:rPr>
                <w:sz w:val="20"/>
                <w:szCs w:val="20"/>
                <w:color w:val="auto"/>
              </w:rPr>
            </w:pPr>
            <w:r>
              <w:rPr>
                <w:rFonts w:ascii="Arial" w:cs="Arial" w:eastAsia="Arial" w:hAnsi="Arial"/>
                <w:sz w:val="65"/>
                <w:szCs w:val="65"/>
                <w:b w:val="1"/>
                <w:bCs w:val="1"/>
                <w:color w:val="477258"/>
              </w:rPr>
              <w:t>3</w:t>
            </w:r>
          </w:p>
        </w:tc>
        <w:tc>
          <w:tcPr>
            <w:tcW w:w="5640" w:type="dxa"/>
            <w:vAlign w:val="bottom"/>
            <w:tcBorders>
              <w:top w:val="single" w:sz="8" w:color="477258"/>
              <w:bottom w:val="single" w:sz="8" w:color="D1DCD5"/>
            </w:tcBorders>
            <w:shd w:val="clear" w:color="auto" w:fill="D1DCD5"/>
          </w:tcPr>
          <w:p>
            <w:pPr>
              <w:ind w:left="400"/>
              <w:spacing w:after="0"/>
              <w:rPr>
                <w:sz w:val="20"/>
                <w:szCs w:val="20"/>
                <w:color w:val="auto"/>
              </w:rPr>
            </w:pPr>
            <w:r>
              <w:rPr>
                <w:rFonts w:ascii="Arial" w:cs="Arial" w:eastAsia="Arial" w:hAnsi="Arial"/>
                <w:sz w:val="18"/>
                <w:szCs w:val="18"/>
                <w:b w:val="1"/>
                <w:bCs w:val="1"/>
                <w:color w:val="auto"/>
              </w:rPr>
              <w:t>Approve the Company’s Executive Compensation</w:t>
            </w:r>
          </w:p>
        </w:tc>
        <w:tc>
          <w:tcPr>
            <w:tcW w:w="2240" w:type="dxa"/>
            <w:vAlign w:val="bottom"/>
            <w:tcBorders>
              <w:top w:val="single" w:sz="8" w:color="477258"/>
              <w:bottom w:val="single" w:sz="8" w:color="D1DCD5"/>
            </w:tcBorders>
            <w:shd w:val="clear" w:color="auto" w:fill="D1DCD5"/>
          </w:tcPr>
          <w:p>
            <w:pPr>
              <w:ind w:left="340"/>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303"/>
        </w:trPr>
        <w:tc>
          <w:tcPr>
            <w:tcW w:w="1180" w:type="dxa"/>
            <w:vAlign w:val="bottom"/>
            <w:tcBorders>
              <w:top w:val="single" w:sz="8" w:color="477258"/>
            </w:tcBorders>
          </w:tcPr>
          <w:p>
            <w:pPr>
              <w:spacing w:after="0"/>
              <w:rPr>
                <w:sz w:val="20"/>
                <w:szCs w:val="20"/>
                <w:color w:val="auto"/>
              </w:rPr>
            </w:pPr>
            <w:r>
              <w:rPr>
                <w:rFonts w:ascii="Arial" w:cs="Arial" w:eastAsia="Arial" w:hAnsi="Arial"/>
                <w:sz w:val="18"/>
                <w:szCs w:val="18"/>
                <w:b w:val="1"/>
                <w:bCs w:val="1"/>
                <w:color w:val="477258"/>
              </w:rPr>
              <w:t>Stockholder</w:t>
            </w:r>
          </w:p>
        </w:tc>
        <w:tc>
          <w:tcPr>
            <w:tcW w:w="5640" w:type="dxa"/>
            <w:vAlign w:val="bottom"/>
            <w:tcBorders>
              <w:top w:val="single" w:sz="8" w:color="477258"/>
            </w:tcBorders>
          </w:tcPr>
          <w:p>
            <w:pPr>
              <w:ind w:left="60"/>
              <w:spacing w:after="0"/>
              <w:rPr>
                <w:sz w:val="20"/>
                <w:szCs w:val="20"/>
                <w:color w:val="auto"/>
              </w:rPr>
            </w:pPr>
            <w:r>
              <w:rPr>
                <w:rFonts w:ascii="Arial" w:cs="Arial" w:eastAsia="Arial" w:hAnsi="Arial"/>
                <w:sz w:val="18"/>
                <w:szCs w:val="18"/>
                <w:b w:val="1"/>
                <w:bCs w:val="1"/>
                <w:color w:val="477258"/>
              </w:rPr>
              <w:t>Proposals and Nominees for the 2022 Annual Meeting</w:t>
            </w:r>
          </w:p>
        </w:tc>
        <w:tc>
          <w:tcPr>
            <w:tcW w:w="2240" w:type="dxa"/>
            <w:vAlign w:val="bottom"/>
            <w:tcBorders>
              <w:top w:val="single" w:sz="8" w:color="477258"/>
            </w:tcBorders>
          </w:tcPr>
          <w:p>
            <w:pPr>
              <w:ind w:left="180"/>
              <w:spacing w:after="0"/>
              <w:rPr>
                <w:sz w:val="20"/>
                <w:szCs w:val="20"/>
                <w:color w:val="auto"/>
              </w:rPr>
            </w:pPr>
            <w:r>
              <w:rPr>
                <w:rFonts w:ascii="Arial" w:cs="Arial" w:eastAsia="Arial" w:hAnsi="Arial"/>
                <w:sz w:val="18"/>
                <w:szCs w:val="18"/>
                <w:color w:val="auto"/>
              </w:rPr>
              <w:t>The Company will not</w:t>
            </w:r>
          </w:p>
        </w:tc>
        <w:tc>
          <w:tcPr>
            <w:tcW w:w="0" w:type="dxa"/>
            <w:vAlign w:val="bottom"/>
          </w:tcPr>
          <w:p>
            <w:pPr>
              <w:spacing w:after="0"/>
              <w:rPr>
                <w:sz w:val="1"/>
                <w:szCs w:val="1"/>
                <w:color w:val="auto"/>
              </w:rPr>
            </w:pPr>
          </w:p>
        </w:tc>
      </w:tr>
    </w:tbl>
    <w:p>
      <w:pPr>
        <w:jc w:val="both"/>
        <w:ind w:left="820"/>
        <w:spacing w:after="0" w:line="253" w:lineRule="auto"/>
        <w:rPr>
          <w:sz w:val="20"/>
          <w:szCs w:val="20"/>
          <w:color w:val="auto"/>
        </w:rPr>
      </w:pPr>
      <w:r>
        <w:rPr>
          <w:rFonts w:ascii="Arial" w:cs="Arial" w:eastAsia="Arial" w:hAnsi="Arial"/>
          <w:sz w:val="18"/>
          <w:szCs w:val="18"/>
          <w:color w:val="auto"/>
        </w:rPr>
        <w:t>consider any proposal or nomination that is not timely or otherwise does not meet the Company’s By-law and Securities and Exchange Commission (“SEC”) requirements for submitting a proposal or nomination. We also ask that you email a courtesy copy of any notice to GCLegal@wm.com. A copy of our By-laws may be obtained free of charge by writing to our Corporate Secretary and is available in the “ESG — Corporate Governance” section of the “Investors” page on our website at www.wm.com.</w:t>
      </w:r>
    </w:p>
    <w:p>
      <w:pPr>
        <w:spacing w:after="0" w:line="79"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i w:val="1"/>
          <w:iCs w:val="1"/>
          <w:u w:val="single" w:color="auto"/>
          <w:color w:val="auto"/>
        </w:rPr>
        <w:t>Stockholder Proposals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stockholders who wish to submit a proposal for inclusion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pursuant to Rule 14a-8 under the Securities Exchange Act of 1934, as amended (the “Exchange Act”) for our 2022 Annual Meeting must submit their proposal to our Corporate Secretary at Waste Management, Inc., 800 Capitol Street, Suite 3000, Houston, Texas 77002 for receipt on or before November 29, 2021. The proponent and the proposal must comply with the requirements set forth in the federal securities laws, including Rule 14a-8 of the Exchange Act, in order to be included in the Company’s proxy statement and proxy card for the 2021 Annual Meeting.</w:t>
      </w:r>
    </w:p>
    <w:p>
      <w:pPr>
        <w:spacing w:after="0" w:line="239"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2" w:right="1439" w:bottom="777"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8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PROXY STATEMENT</w:t>
      </w:r>
    </w:p>
    <w:p>
      <w:pPr>
        <w:spacing w:after="0" w:line="197"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i w:val="1"/>
          <w:iCs w:val="1"/>
          <w:u w:val="single" w:color="auto"/>
          <w:color w:val="auto"/>
        </w:rPr>
        <w:t>Advance Notice Proposals and 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the Company’s By-laws establish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procedures that must be complied with for stockholders to bring proposals that are not included in the Company’s proxy materials and nominations of persons for election as directors (other than pursuant to our proxy access By-law discussed below) before an annual meeting of stockholders. In accordance with our By -laws, for a proposal or nominee not included in our proxy materials to be properly brought before the 2022 Annual Meeting, a stockholder’s notice must be delivered to our Corporate Secretary at Waste Management, Inc., 800 Capitol Street, Suite 3000, Houston, Texas 77002 no earlier than December 12, 2021 and no later than January 11, 2022 and must contain the information specified in the Company’s By-laws.</w:t>
      </w:r>
    </w:p>
    <w:p>
      <w:pPr>
        <w:spacing w:after="0" w:line="300"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i w:val="1"/>
          <w:iCs w:val="1"/>
          <w:u w:val="single" w:color="auto"/>
          <w:color w:val="auto"/>
        </w:rPr>
        <w:t>Proxy Access 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By-laws permit a stockholder or group of up to 20</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owning 3% or more of the Company’s outstanding Common Stock continuously for at least three years to nominate and include in the Company’s proxy materials director nominees constituting up to the greater of 20% of the Board of Directors or two individuals, provided the stockholder(s) and the nominee(s) satisfy the requirements specified in the Company’s By-laws. Notice of proxy access director nominees must be delivered to our Corporate Secretary at Waste Management, Inc., 800 Capitol Street, Suite 3000, Houston, Texas 77002 no earlier than October 30, 2021, and no later than November 29, 2021, together with other information required by the Company’s By-laws.</w:t>
      </w:r>
    </w:p>
    <w:p>
      <w:pPr>
        <w:spacing w:after="0" w:line="296"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b w:val="1"/>
          <w:bCs w:val="1"/>
          <w:color w:val="477258"/>
        </w:rPr>
        <w:t xml:space="preserve">Expenses of Solicitation </w:t>
      </w:r>
      <w:r>
        <w:rPr>
          <w:rFonts w:ascii="Arial" w:cs="Arial" w:eastAsia="Arial" w:hAnsi="Arial"/>
          <w:sz w:val="18"/>
          <w:szCs w:val="18"/>
          <w:color w:val="000000"/>
        </w:rPr>
        <w:t>We pay the cost of preparing, assembling and mailing this proxy-soliciting</w:t>
      </w:r>
      <w:r>
        <w:rPr>
          <w:rFonts w:ascii="Arial" w:cs="Arial" w:eastAsia="Arial" w:hAnsi="Arial"/>
          <w:sz w:val="18"/>
          <w:szCs w:val="18"/>
          <w:b w:val="1"/>
          <w:bCs w:val="1"/>
          <w:color w:val="477258"/>
        </w:rPr>
        <w:t xml:space="preserve"> </w:t>
      </w:r>
      <w:r>
        <w:rPr>
          <w:rFonts w:ascii="Arial" w:cs="Arial" w:eastAsia="Arial" w:hAnsi="Arial"/>
          <w:sz w:val="18"/>
          <w:szCs w:val="18"/>
          <w:color w:val="000000"/>
        </w:rPr>
        <w:t>material. In addition to the use of the mail, proxies may be solicited personally, by Internet or telephone, or by Waste Management officers and employees of the Company’s subsidiaries without additional compensation. We pay all costs of solicitation, including certain expenses of brokers and nominees who mail proxy materials to their customers or principals. Also, Innisfree M&amp;A Incorporated has been hired to help in the solicitation of proxies for the 2021 Annual Meeting for a fee of $15,000 plus associated costs and expenses.</w:t>
      </w:r>
    </w:p>
    <w:p>
      <w:pPr>
        <w:spacing w:after="0" w:line="290"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b w:val="1"/>
          <w:bCs w:val="1"/>
          <w:color w:val="477258"/>
        </w:rPr>
        <w:t xml:space="preserve">Annual Report </w:t>
      </w:r>
      <w:r>
        <w:rPr>
          <w:rFonts w:ascii="Arial" w:cs="Arial" w:eastAsia="Arial" w:hAnsi="Arial"/>
          <w:sz w:val="18"/>
          <w:szCs w:val="18"/>
          <w:color w:val="000000"/>
        </w:rPr>
        <w:t>A copy of our Annual Report on Form 10- K for the year ended December 31, 2020,</w:t>
      </w:r>
      <w:r>
        <w:rPr>
          <w:rFonts w:ascii="Arial" w:cs="Arial" w:eastAsia="Arial" w:hAnsi="Arial"/>
          <w:sz w:val="18"/>
          <w:szCs w:val="18"/>
          <w:b w:val="1"/>
          <w:bCs w:val="1"/>
          <w:color w:val="477258"/>
        </w:rPr>
        <w:t xml:space="preserve"> </w:t>
      </w:r>
      <w:r>
        <w:rPr>
          <w:rFonts w:ascii="Arial" w:cs="Arial" w:eastAsia="Arial" w:hAnsi="Arial"/>
          <w:sz w:val="18"/>
          <w:szCs w:val="18"/>
          <w:color w:val="000000"/>
        </w:rPr>
        <w:t>which includes our financial statements for fiscal year 2020, is included with this Proxy Statement. The Annual Report on Form 10-K is not incorporated by reference into this Proxy Statement or deemed to be a part of the materials for the solicitation of proxies.</w:t>
      </w:r>
    </w:p>
    <w:p>
      <w:pPr>
        <w:spacing w:after="0" w:line="68"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b w:val="1"/>
          <w:bCs w:val="1"/>
          <w:color w:val="477258"/>
        </w:rPr>
        <w:t xml:space="preserve">Householding Information </w:t>
      </w:r>
      <w:r>
        <w:rPr>
          <w:rFonts w:ascii="Arial" w:cs="Arial" w:eastAsia="Arial" w:hAnsi="Arial"/>
          <w:sz w:val="18"/>
          <w:szCs w:val="18"/>
          <w:color w:val="000000"/>
        </w:rPr>
        <w:t>We have adopted a procedure approved by the SEC called</w:t>
      </w:r>
      <w:r>
        <w:rPr>
          <w:rFonts w:ascii="Arial" w:cs="Arial" w:eastAsia="Arial" w:hAnsi="Arial"/>
          <w:sz w:val="18"/>
          <w:szCs w:val="18"/>
          <w:b w:val="1"/>
          <w:bCs w:val="1"/>
          <w:color w:val="477258"/>
        </w:rPr>
        <w:t xml:space="preserve"> </w:t>
      </w:r>
      <w:r>
        <w:rPr>
          <w:rFonts w:ascii="Arial" w:cs="Arial" w:eastAsia="Arial" w:hAnsi="Arial"/>
          <w:sz w:val="18"/>
          <w:szCs w:val="18"/>
          <w:color w:val="000000"/>
        </w:rPr>
        <w:t>“householding.” Under this procedure, stockholders of record who have the same address and last name and do not participate in electronic delivery of proxy materials will receive only one copy of the Proxy Statement and Annual Report unless we are notified that one or more of these individuals wishes to receive separate copies. This procedure helps reduce our printing costs and postage fees.</w:t>
      </w:r>
    </w:p>
    <w:p>
      <w:pPr>
        <w:spacing w:after="0" w:line="93"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color w:val="auto"/>
        </w:rPr>
        <w:t>If you wish to receive a separate copy of this Proxy Statement and the Annual Report, please contact: Waste Management, Inc., Corporate Secretary, 800 Capitol Street, Suite 3000, Houston, Texas 77002, telephone 713-512-6200.</w:t>
      </w:r>
    </w:p>
    <w:p>
      <w:pPr>
        <w:spacing w:after="0" w:line="94"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color w:val="auto"/>
        </w:rPr>
        <w:t>If you do not wish to participate in householding in the future and prefer to receive separate copies of the proxy materials, please contact: Broadridge Financial Solutions, Attention Householding Department, 51 Mercedes Way, Edgewood, NY 11717, telephone 1-866 -540 -7095. If you are currently receiving multiple copies of proxy materials and wish to receive only one copy for your household, please contact Broadridge.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-149860</wp:posOffset>
            </wp:positionV>
            <wp:extent cx="454025"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4025" cy="12001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BOARD OF DIRECTORS</w:t>
      </w:r>
    </w:p>
    <w:p>
      <w:pPr>
        <w:spacing w:after="0" w:line="146"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Our Board of Directors currently has ten members. Each member of our Board is elected annually. Mr. Frank M. Clark, Jr. has reached the retirement age set forth in the Company’s Corporate Governance Guidelines; therefore, he is not standing for re- election and his term as a director of the Company will expire at the 2021 Annual Meeting. The Board of Directors intends to reduce the size of the Board to nine members effective as of the expiration of Mr. Clark’s term at the 2021 Annual Meeting.</w:t>
      </w:r>
    </w:p>
    <w:p>
      <w:pPr>
        <w:spacing w:after="0" w:line="38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Nominees for Director</w:t>
      </w:r>
    </w:p>
    <w:p>
      <w:pPr>
        <w:spacing w:after="0" w:line="171" w:lineRule="exact"/>
        <w:rPr>
          <w:sz w:val="20"/>
          <w:szCs w:val="20"/>
          <w:color w:val="auto"/>
        </w:rPr>
      </w:pPr>
    </w:p>
    <w:tbl>
      <w:tblPr>
        <w:tblLayout w:type="fixed"/>
        <w:tblInd w:w="820" w:type="dxa"/>
        <w:tblCellMar>
          <w:top w:w="0" w:type="dxa"/>
          <w:left w:w="0" w:type="dxa"/>
          <w:bottom w:w="0" w:type="dxa"/>
          <w:right w:w="0" w:type="dxa"/>
        </w:tblCellMar>
      </w:tblPr>
      <w:tr>
        <w:trPr>
          <w:trHeight w:val="196"/>
        </w:trPr>
        <w:tc>
          <w:tcPr>
            <w:tcW w:w="2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Borders>
              <w:bottom w:val="single" w:sz="8" w:color="477258"/>
            </w:tcBorders>
          </w:tcPr>
          <w:p>
            <w:pPr>
              <w:spacing w:after="0"/>
              <w:rPr>
                <w:sz w:val="17"/>
                <w:szCs w:val="17"/>
                <w:color w:val="auto"/>
              </w:rPr>
            </w:pPr>
          </w:p>
        </w:tc>
        <w:tc>
          <w:tcPr>
            <w:tcW w:w="1540" w:type="dxa"/>
            <w:vAlign w:val="bottom"/>
            <w:tcBorders>
              <w:bottom w:val="single" w:sz="8" w:color="477258"/>
            </w:tcBorders>
          </w:tcPr>
          <w:p>
            <w:pPr>
              <w:ind w:left="660"/>
              <w:spacing w:after="0"/>
              <w:rPr>
                <w:sz w:val="20"/>
                <w:szCs w:val="20"/>
                <w:color w:val="auto"/>
              </w:rPr>
            </w:pPr>
            <w:r>
              <w:rPr>
                <w:rFonts w:ascii="Arial" w:cs="Arial" w:eastAsia="Arial" w:hAnsi="Arial"/>
                <w:sz w:val="14"/>
                <w:szCs w:val="14"/>
                <w:b w:val="1"/>
                <w:bCs w:val="1"/>
                <w:color w:val="477258"/>
              </w:rPr>
              <w:t>Committee</w:t>
            </w:r>
          </w:p>
        </w:tc>
        <w:tc>
          <w:tcPr>
            <w:tcW w:w="1180" w:type="dxa"/>
            <w:vAlign w:val="bottom"/>
            <w:tcBorders>
              <w:bottom w:val="single" w:sz="8" w:color="477258"/>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477258"/>
              </w:rPr>
              <w:t>Management</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477258"/>
              </w:rPr>
              <w:t>Nominating &amp;</w:t>
            </w:r>
          </w:p>
        </w:tc>
        <w:tc>
          <w:tcPr>
            <w:tcW w:w="0" w:type="dxa"/>
            <w:vAlign w:val="bottom"/>
          </w:tcPr>
          <w:p>
            <w:pPr>
              <w:spacing w:after="0"/>
              <w:rPr>
                <w:sz w:val="1"/>
                <w:szCs w:val="1"/>
                <w:color w:val="auto"/>
              </w:rPr>
            </w:pPr>
          </w:p>
        </w:tc>
      </w:tr>
      <w:tr>
        <w:trPr>
          <w:trHeight w:val="135"/>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477258"/>
              </w:rPr>
              <w:t>Name</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477258"/>
              </w:rPr>
              <w:t>Age</w:t>
            </w:r>
          </w:p>
        </w:tc>
        <w:tc>
          <w:tcPr>
            <w:tcW w:w="340" w:type="dxa"/>
            <w:vAlign w:val="bottom"/>
          </w:tcPr>
          <w:p>
            <w:pPr>
              <w:spacing w:after="0"/>
              <w:rPr>
                <w:sz w:val="11"/>
                <w:szCs w:val="11"/>
                <w:color w:val="auto"/>
              </w:rPr>
            </w:pPr>
          </w:p>
        </w:tc>
        <w:tc>
          <w:tcPr>
            <w:tcW w:w="1380" w:type="dxa"/>
            <w:vAlign w:val="bottom"/>
            <w:vMerge w:val="restart"/>
          </w:tcPr>
          <w:p>
            <w:pPr>
              <w:jc w:val="center"/>
              <w:ind w:right="379"/>
              <w:spacing w:after="0"/>
              <w:rPr>
                <w:sz w:val="20"/>
                <w:szCs w:val="20"/>
                <w:color w:val="auto"/>
              </w:rPr>
            </w:pPr>
            <w:r>
              <w:rPr>
                <w:rFonts w:ascii="Arial" w:cs="Arial" w:eastAsia="Arial" w:hAnsi="Arial"/>
                <w:sz w:val="14"/>
                <w:szCs w:val="14"/>
                <w:b w:val="1"/>
                <w:bCs w:val="1"/>
                <w:color w:val="477258"/>
              </w:rPr>
              <w:t>Tenure</w:t>
            </w: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477258"/>
              </w:rPr>
              <w:t>Independent    Audit</w:t>
            </w:r>
          </w:p>
        </w:tc>
        <w:tc>
          <w:tcPr>
            <w:tcW w:w="154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477258"/>
              </w:rPr>
              <w:t>Development &amp;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80" w:type="dxa"/>
            <w:vAlign w:val="bottom"/>
            <w:tcBorders>
              <w:bottom w:val="single" w:sz="8" w:color="477258"/>
            </w:tcBorders>
            <w:vMerge w:val="continue"/>
          </w:tcPr>
          <w:p>
            <w:pPr>
              <w:spacing w:after="0"/>
              <w:rPr>
                <w:sz w:val="16"/>
                <w:szCs w:val="16"/>
                <w:color w:val="auto"/>
              </w:rPr>
            </w:pPr>
          </w:p>
        </w:tc>
        <w:tc>
          <w:tcPr>
            <w:tcW w:w="560" w:type="dxa"/>
            <w:vAlign w:val="bottom"/>
            <w:tcBorders>
              <w:bottom w:val="single" w:sz="8" w:color="477258"/>
            </w:tcBorders>
            <w:vMerge w:val="continue"/>
          </w:tcPr>
          <w:p>
            <w:pPr>
              <w:spacing w:after="0"/>
              <w:rPr>
                <w:sz w:val="16"/>
                <w:szCs w:val="16"/>
                <w:color w:val="auto"/>
              </w:rPr>
            </w:pPr>
          </w:p>
        </w:tc>
        <w:tc>
          <w:tcPr>
            <w:tcW w:w="340" w:type="dxa"/>
            <w:vAlign w:val="bottom"/>
            <w:tcBorders>
              <w:bottom w:val="single" w:sz="8" w:color="477258"/>
            </w:tcBorders>
          </w:tcPr>
          <w:p>
            <w:pPr>
              <w:spacing w:after="0"/>
              <w:rPr>
                <w:sz w:val="16"/>
                <w:szCs w:val="16"/>
                <w:color w:val="auto"/>
              </w:rPr>
            </w:pPr>
          </w:p>
        </w:tc>
        <w:tc>
          <w:tcPr>
            <w:tcW w:w="1380" w:type="dxa"/>
            <w:vAlign w:val="bottom"/>
            <w:tcBorders>
              <w:bottom w:val="single" w:sz="8" w:color="477258"/>
            </w:tcBorders>
            <w:vMerge w:val="continue"/>
          </w:tcPr>
          <w:p>
            <w:pPr>
              <w:spacing w:after="0"/>
              <w:rPr>
                <w:sz w:val="16"/>
                <w:szCs w:val="16"/>
                <w:color w:val="auto"/>
              </w:rPr>
            </w:pPr>
          </w:p>
        </w:tc>
        <w:tc>
          <w:tcPr>
            <w:tcW w:w="1780" w:type="dxa"/>
            <w:vAlign w:val="bottom"/>
            <w:tcBorders>
              <w:bottom w:val="single" w:sz="8" w:color="477258"/>
            </w:tcBorders>
            <w:gridSpan w:val="2"/>
            <w:vMerge w:val="continue"/>
          </w:tcPr>
          <w:p>
            <w:pPr>
              <w:spacing w:after="0"/>
              <w:rPr>
                <w:sz w:val="16"/>
                <w:szCs w:val="16"/>
                <w:color w:val="auto"/>
              </w:rPr>
            </w:pPr>
          </w:p>
        </w:tc>
        <w:tc>
          <w:tcPr>
            <w:tcW w:w="1540" w:type="dxa"/>
            <w:vAlign w:val="bottom"/>
            <w:tcBorders>
              <w:bottom w:val="single" w:sz="8" w:color="477258"/>
            </w:tcBorders>
          </w:tcPr>
          <w:p>
            <w:pPr>
              <w:jc w:val="center"/>
              <w:ind w:right="28"/>
              <w:spacing w:after="0"/>
              <w:rPr>
                <w:sz w:val="20"/>
                <w:szCs w:val="20"/>
                <w:color w:val="auto"/>
              </w:rPr>
            </w:pPr>
            <w:r>
              <w:rPr>
                <w:rFonts w:ascii="Arial" w:cs="Arial" w:eastAsia="Arial" w:hAnsi="Arial"/>
                <w:sz w:val="14"/>
                <w:szCs w:val="14"/>
                <w:b w:val="1"/>
                <w:bCs w:val="1"/>
                <w:color w:val="477258"/>
              </w:rPr>
              <w:t>Compensation</w:t>
            </w:r>
          </w:p>
        </w:tc>
        <w:tc>
          <w:tcPr>
            <w:tcW w:w="1180" w:type="dxa"/>
            <w:vAlign w:val="bottom"/>
            <w:tcBorders>
              <w:bottom w:val="single" w:sz="8" w:color="477258"/>
            </w:tcBorders>
          </w:tcPr>
          <w:p>
            <w:pPr>
              <w:jc w:val="center"/>
              <w:spacing w:after="0"/>
              <w:rPr>
                <w:sz w:val="20"/>
                <w:szCs w:val="20"/>
                <w:color w:val="auto"/>
              </w:rPr>
            </w:pPr>
            <w:r>
              <w:rPr>
                <w:rFonts w:ascii="Arial" w:cs="Arial" w:eastAsia="Arial" w:hAnsi="Arial"/>
                <w:sz w:val="14"/>
                <w:szCs w:val="14"/>
                <w:b w:val="1"/>
                <w:bCs w:val="1"/>
                <w:color w:val="477258"/>
              </w:rPr>
              <w:t>Governance</w:t>
            </w:r>
          </w:p>
        </w:tc>
        <w:tc>
          <w:tcPr>
            <w:tcW w:w="0" w:type="dxa"/>
            <w:vAlign w:val="bottom"/>
          </w:tcPr>
          <w:p>
            <w:pPr>
              <w:spacing w:after="0"/>
              <w:rPr>
                <w:sz w:val="1"/>
                <w:szCs w:val="1"/>
                <w:color w:val="auto"/>
              </w:rPr>
            </w:pPr>
          </w:p>
        </w:tc>
      </w:tr>
      <w:tr>
        <w:trPr>
          <w:trHeight w:val="378"/>
        </w:trPr>
        <w:tc>
          <w:tcPr>
            <w:tcW w:w="2280" w:type="dxa"/>
            <w:vAlign w:val="bottom"/>
            <w:tcBorders>
              <w:bottom w:val="single" w:sz="8" w:color="477258"/>
            </w:tcBorders>
          </w:tcPr>
          <w:p>
            <w:pPr>
              <w:ind w:left="20"/>
              <w:spacing w:after="0"/>
              <w:rPr>
                <w:sz w:val="20"/>
                <w:szCs w:val="20"/>
                <w:color w:val="auto"/>
              </w:rPr>
            </w:pPr>
            <w:r>
              <w:rPr>
                <w:rFonts w:ascii="Arial" w:cs="Arial" w:eastAsia="Arial" w:hAnsi="Arial"/>
                <w:sz w:val="18"/>
                <w:szCs w:val="18"/>
                <w:color w:val="auto"/>
              </w:rPr>
              <w:t>James C. Fish, Jr.</w:t>
            </w:r>
          </w:p>
        </w:tc>
        <w:tc>
          <w:tcPr>
            <w:tcW w:w="560" w:type="dxa"/>
            <w:vAlign w:val="bottom"/>
            <w:tcBorders>
              <w:bottom w:val="single" w:sz="8" w:color="477258"/>
            </w:tcBorders>
          </w:tcPr>
          <w:p>
            <w:pPr>
              <w:jc w:val="center"/>
              <w:spacing w:after="0"/>
              <w:rPr>
                <w:sz w:val="20"/>
                <w:szCs w:val="20"/>
                <w:color w:val="auto"/>
              </w:rPr>
            </w:pPr>
            <w:r>
              <w:rPr>
                <w:rFonts w:ascii="Arial" w:cs="Arial" w:eastAsia="Arial" w:hAnsi="Arial"/>
                <w:sz w:val="18"/>
                <w:szCs w:val="18"/>
                <w:color w:val="auto"/>
                <w:w w:val="99"/>
              </w:rPr>
              <w:t>58</w:t>
            </w:r>
          </w:p>
        </w:tc>
        <w:tc>
          <w:tcPr>
            <w:tcW w:w="1720" w:type="dxa"/>
            <w:vAlign w:val="bottom"/>
            <w:tcBorders>
              <w:bottom w:val="single" w:sz="8" w:color="477258"/>
            </w:tcBorders>
            <w:gridSpan w:val="2"/>
          </w:tcPr>
          <w:p>
            <w:pPr>
              <w:jc w:val="center"/>
              <w:ind w:right="39"/>
              <w:spacing w:after="0"/>
              <w:rPr>
                <w:sz w:val="20"/>
                <w:szCs w:val="20"/>
                <w:color w:val="auto"/>
              </w:rPr>
            </w:pPr>
            <w:r>
              <w:rPr>
                <w:rFonts w:ascii="Arial" w:cs="Arial" w:eastAsia="Arial" w:hAnsi="Arial"/>
                <w:sz w:val="18"/>
                <w:szCs w:val="18"/>
                <w:color w:val="auto"/>
              </w:rPr>
              <w:t>2016 – Present</w:t>
            </w:r>
          </w:p>
        </w:tc>
        <w:tc>
          <w:tcPr>
            <w:tcW w:w="1100" w:type="dxa"/>
            <w:vAlign w:val="bottom"/>
            <w:tcBorders>
              <w:bottom w:val="single" w:sz="8" w:color="477258"/>
            </w:tcBorders>
          </w:tcPr>
          <w:p>
            <w:pPr>
              <w:spacing w:after="0"/>
              <w:rPr>
                <w:sz w:val="24"/>
                <w:szCs w:val="24"/>
                <w:color w:val="auto"/>
              </w:rPr>
            </w:pPr>
          </w:p>
        </w:tc>
        <w:tc>
          <w:tcPr>
            <w:tcW w:w="680" w:type="dxa"/>
            <w:vAlign w:val="bottom"/>
            <w:tcBorders>
              <w:bottom w:val="single" w:sz="8" w:color="477258"/>
            </w:tcBorders>
          </w:tcPr>
          <w:p>
            <w:pPr>
              <w:spacing w:after="0"/>
              <w:rPr>
                <w:sz w:val="24"/>
                <w:szCs w:val="24"/>
                <w:color w:val="auto"/>
              </w:rPr>
            </w:pPr>
          </w:p>
        </w:tc>
        <w:tc>
          <w:tcPr>
            <w:tcW w:w="1540" w:type="dxa"/>
            <w:vAlign w:val="bottom"/>
            <w:tcBorders>
              <w:bottom w:val="single" w:sz="8" w:color="477258"/>
            </w:tcBorders>
          </w:tcPr>
          <w:p>
            <w:pPr>
              <w:spacing w:after="0"/>
              <w:rPr>
                <w:sz w:val="24"/>
                <w:szCs w:val="24"/>
                <w:color w:val="auto"/>
              </w:rPr>
            </w:pPr>
          </w:p>
        </w:tc>
        <w:tc>
          <w:tcPr>
            <w:tcW w:w="1180" w:type="dxa"/>
            <w:vAlign w:val="bottom"/>
            <w:tcBorders>
              <w:bottom w:val="single" w:sz="8" w:color="477258"/>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80" w:type="dxa"/>
            <w:vAlign w:val="bottom"/>
          </w:tcPr>
          <w:p>
            <w:pPr>
              <w:ind w:left="20"/>
              <w:spacing w:after="0"/>
              <w:rPr>
                <w:sz w:val="20"/>
                <w:szCs w:val="20"/>
                <w:color w:val="auto"/>
              </w:rPr>
            </w:pPr>
            <w:r>
              <w:rPr>
                <w:rFonts w:ascii="Arial" w:cs="Arial" w:eastAsia="Arial" w:hAnsi="Arial"/>
                <w:sz w:val="18"/>
                <w:szCs w:val="18"/>
                <w:color w:val="auto"/>
              </w:rPr>
              <w:t>Andrés R. Gluski</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1720" w:type="dxa"/>
            <w:vAlign w:val="bottom"/>
            <w:gridSpan w:val="2"/>
          </w:tcPr>
          <w:p>
            <w:pPr>
              <w:jc w:val="center"/>
              <w:ind w:right="39"/>
              <w:spacing w:after="0"/>
              <w:rPr>
                <w:sz w:val="20"/>
                <w:szCs w:val="20"/>
                <w:color w:val="auto"/>
              </w:rPr>
            </w:pPr>
            <w:r>
              <w:rPr>
                <w:rFonts w:ascii="Arial" w:cs="Arial" w:eastAsia="Arial" w:hAnsi="Arial"/>
                <w:sz w:val="18"/>
                <w:szCs w:val="18"/>
                <w:color w:val="auto"/>
              </w:rPr>
              <w:t>2015 – Present</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477258"/>
            </w:tcBorders>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720" w:type="dxa"/>
            <w:vAlign w:val="bottom"/>
            <w:tcBorders>
              <w:bottom w:val="single" w:sz="8" w:color="477258"/>
            </w:tcBorders>
            <w:gridSpan w:val="2"/>
          </w:tcPr>
          <w:p>
            <w:pPr>
              <w:spacing w:after="0"/>
              <w:rPr>
                <w:sz w:val="2"/>
                <w:szCs w:val="2"/>
                <w:color w:val="auto"/>
              </w:rPr>
            </w:pPr>
          </w:p>
        </w:tc>
        <w:tc>
          <w:tcPr>
            <w:tcW w:w="110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280" w:type="dxa"/>
            <w:vAlign w:val="bottom"/>
          </w:tcPr>
          <w:p>
            <w:pPr>
              <w:ind w:left="20"/>
              <w:spacing w:after="0"/>
              <w:rPr>
                <w:sz w:val="20"/>
                <w:szCs w:val="20"/>
                <w:color w:val="auto"/>
              </w:rPr>
            </w:pPr>
            <w:r>
              <w:rPr>
                <w:rFonts w:ascii="Arial" w:cs="Arial" w:eastAsia="Arial" w:hAnsi="Arial"/>
                <w:sz w:val="18"/>
                <w:szCs w:val="18"/>
                <w:color w:val="auto"/>
              </w:rPr>
              <w:t>Victoria M. Holt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1720" w:type="dxa"/>
            <w:vAlign w:val="bottom"/>
            <w:gridSpan w:val="2"/>
          </w:tcPr>
          <w:p>
            <w:pPr>
              <w:jc w:val="center"/>
              <w:ind w:right="39"/>
              <w:spacing w:after="0"/>
              <w:rPr>
                <w:sz w:val="20"/>
                <w:szCs w:val="20"/>
                <w:color w:val="auto"/>
              </w:rPr>
            </w:pPr>
            <w:r>
              <w:rPr>
                <w:rFonts w:ascii="Arial" w:cs="Arial" w:eastAsia="Arial" w:hAnsi="Arial"/>
                <w:sz w:val="18"/>
                <w:szCs w:val="18"/>
                <w:color w:val="auto"/>
              </w:rPr>
              <w:t>2013 – Present</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477258"/>
            </w:tcBorders>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720" w:type="dxa"/>
            <w:vAlign w:val="bottom"/>
            <w:tcBorders>
              <w:bottom w:val="single" w:sz="8" w:color="477258"/>
            </w:tcBorders>
            <w:gridSpan w:val="2"/>
          </w:tcPr>
          <w:p>
            <w:pPr>
              <w:spacing w:after="0"/>
              <w:rPr>
                <w:sz w:val="2"/>
                <w:szCs w:val="2"/>
                <w:color w:val="auto"/>
              </w:rPr>
            </w:pPr>
          </w:p>
        </w:tc>
        <w:tc>
          <w:tcPr>
            <w:tcW w:w="110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280" w:type="dxa"/>
            <w:vAlign w:val="bottom"/>
          </w:tcPr>
          <w:p>
            <w:pPr>
              <w:ind w:left="20"/>
              <w:spacing w:after="0"/>
              <w:rPr>
                <w:sz w:val="20"/>
                <w:szCs w:val="20"/>
                <w:color w:val="auto"/>
              </w:rPr>
            </w:pPr>
            <w:r>
              <w:rPr>
                <w:rFonts w:ascii="Arial" w:cs="Arial" w:eastAsia="Arial" w:hAnsi="Arial"/>
                <w:sz w:val="18"/>
                <w:szCs w:val="18"/>
                <w:color w:val="auto"/>
              </w:rPr>
              <w:t>Kathleen M. Mazzarella</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1720" w:type="dxa"/>
            <w:vAlign w:val="bottom"/>
            <w:gridSpan w:val="2"/>
          </w:tcPr>
          <w:p>
            <w:pPr>
              <w:jc w:val="center"/>
              <w:ind w:right="39"/>
              <w:spacing w:after="0"/>
              <w:rPr>
                <w:sz w:val="20"/>
                <w:szCs w:val="20"/>
                <w:color w:val="auto"/>
              </w:rPr>
            </w:pPr>
            <w:r>
              <w:rPr>
                <w:rFonts w:ascii="Arial" w:cs="Arial" w:eastAsia="Arial" w:hAnsi="Arial"/>
                <w:sz w:val="18"/>
                <w:szCs w:val="18"/>
                <w:color w:val="auto"/>
              </w:rPr>
              <w:t>2015 – Present</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477258"/>
            </w:tcBorders>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720" w:type="dxa"/>
            <w:vAlign w:val="bottom"/>
            <w:tcBorders>
              <w:bottom w:val="single" w:sz="8" w:color="477258"/>
            </w:tcBorders>
            <w:gridSpan w:val="2"/>
          </w:tcPr>
          <w:p>
            <w:pPr>
              <w:spacing w:after="0"/>
              <w:rPr>
                <w:sz w:val="2"/>
                <w:szCs w:val="2"/>
                <w:color w:val="auto"/>
              </w:rPr>
            </w:pPr>
          </w:p>
        </w:tc>
        <w:tc>
          <w:tcPr>
            <w:tcW w:w="110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280" w:type="dxa"/>
            <w:vAlign w:val="bottom"/>
          </w:tcPr>
          <w:p>
            <w:pPr>
              <w:ind w:left="20"/>
              <w:spacing w:after="0"/>
              <w:rPr>
                <w:sz w:val="20"/>
                <w:szCs w:val="20"/>
                <w:color w:val="auto"/>
              </w:rPr>
            </w:pPr>
            <w:r>
              <w:rPr>
                <w:rFonts w:ascii="Arial" w:cs="Arial" w:eastAsia="Arial" w:hAnsi="Arial"/>
                <w:sz w:val="18"/>
                <w:szCs w:val="18"/>
                <w:color w:val="auto"/>
              </w:rPr>
              <w:t>Sean E. Menke</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720" w:type="dxa"/>
            <w:vAlign w:val="bottom"/>
            <w:gridSpan w:val="2"/>
          </w:tcPr>
          <w:p>
            <w:pPr>
              <w:jc w:val="center"/>
              <w:ind w:right="39"/>
              <w:spacing w:after="0"/>
              <w:rPr>
                <w:sz w:val="20"/>
                <w:szCs w:val="20"/>
                <w:color w:val="auto"/>
              </w:rPr>
            </w:pPr>
            <w:r>
              <w:rPr>
                <w:rFonts w:ascii="Arial" w:cs="Arial" w:eastAsia="Arial" w:hAnsi="Arial"/>
                <w:sz w:val="18"/>
                <w:szCs w:val="18"/>
                <w:color w:val="auto"/>
              </w:rPr>
              <w:t>2021 – Present</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477258"/>
            </w:tcBorders>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720" w:type="dxa"/>
            <w:vAlign w:val="bottom"/>
            <w:tcBorders>
              <w:bottom w:val="single" w:sz="8" w:color="477258"/>
            </w:tcBorders>
            <w:gridSpan w:val="2"/>
          </w:tcPr>
          <w:p>
            <w:pPr>
              <w:spacing w:after="0"/>
              <w:rPr>
                <w:sz w:val="2"/>
                <w:szCs w:val="2"/>
                <w:color w:val="auto"/>
              </w:rPr>
            </w:pPr>
          </w:p>
        </w:tc>
        <w:tc>
          <w:tcPr>
            <w:tcW w:w="110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280" w:type="dxa"/>
            <w:vAlign w:val="bottom"/>
          </w:tcPr>
          <w:p>
            <w:pPr>
              <w:ind w:left="20"/>
              <w:spacing w:after="0"/>
              <w:rPr>
                <w:sz w:val="20"/>
                <w:szCs w:val="20"/>
                <w:color w:val="auto"/>
              </w:rPr>
            </w:pPr>
            <w:r>
              <w:rPr>
                <w:rFonts w:ascii="Arial" w:cs="Arial" w:eastAsia="Arial" w:hAnsi="Arial"/>
                <w:sz w:val="18"/>
                <w:szCs w:val="18"/>
                <w:color w:val="auto"/>
              </w:rPr>
              <w:t>William B. Plummer</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1720" w:type="dxa"/>
            <w:vAlign w:val="bottom"/>
            <w:gridSpan w:val="2"/>
          </w:tcPr>
          <w:p>
            <w:pPr>
              <w:jc w:val="center"/>
              <w:ind w:right="39"/>
              <w:spacing w:after="0"/>
              <w:rPr>
                <w:sz w:val="20"/>
                <w:szCs w:val="20"/>
                <w:color w:val="auto"/>
              </w:rPr>
            </w:pPr>
            <w:r>
              <w:rPr>
                <w:rFonts w:ascii="Arial" w:cs="Arial" w:eastAsia="Arial" w:hAnsi="Arial"/>
                <w:sz w:val="18"/>
                <w:szCs w:val="18"/>
                <w:color w:val="auto"/>
              </w:rPr>
              <w:t>2019 – Present</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477258"/>
            </w:tcBorders>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720" w:type="dxa"/>
            <w:vAlign w:val="bottom"/>
            <w:tcBorders>
              <w:bottom w:val="single" w:sz="8" w:color="477258"/>
            </w:tcBorders>
            <w:gridSpan w:val="2"/>
          </w:tcPr>
          <w:p>
            <w:pPr>
              <w:spacing w:after="0"/>
              <w:rPr>
                <w:sz w:val="2"/>
                <w:szCs w:val="2"/>
                <w:color w:val="auto"/>
              </w:rPr>
            </w:pPr>
          </w:p>
        </w:tc>
        <w:tc>
          <w:tcPr>
            <w:tcW w:w="110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280" w:type="dxa"/>
            <w:vAlign w:val="bottom"/>
          </w:tcPr>
          <w:p>
            <w:pPr>
              <w:ind w:left="20"/>
              <w:spacing w:after="0"/>
              <w:rPr>
                <w:sz w:val="20"/>
                <w:szCs w:val="20"/>
                <w:color w:val="auto"/>
              </w:rPr>
            </w:pPr>
            <w:r>
              <w:rPr>
                <w:rFonts w:ascii="Arial" w:cs="Arial" w:eastAsia="Arial" w:hAnsi="Arial"/>
                <w:sz w:val="18"/>
                <w:szCs w:val="18"/>
                <w:color w:val="auto"/>
              </w:rPr>
              <w:t>John C. Pope</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71</w:t>
            </w:r>
          </w:p>
        </w:tc>
        <w:tc>
          <w:tcPr>
            <w:tcW w:w="1720" w:type="dxa"/>
            <w:vAlign w:val="bottom"/>
            <w:gridSpan w:val="2"/>
          </w:tcPr>
          <w:p>
            <w:pPr>
              <w:jc w:val="center"/>
              <w:ind w:right="39"/>
              <w:spacing w:after="0"/>
              <w:rPr>
                <w:sz w:val="20"/>
                <w:szCs w:val="20"/>
                <w:color w:val="auto"/>
              </w:rPr>
            </w:pPr>
            <w:r>
              <w:rPr>
                <w:rFonts w:ascii="Arial" w:cs="Arial" w:eastAsia="Arial" w:hAnsi="Arial"/>
                <w:sz w:val="18"/>
                <w:szCs w:val="18"/>
                <w:color w:val="auto"/>
              </w:rPr>
              <w:t>1997 – Present</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477258"/>
            </w:tcBorders>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720" w:type="dxa"/>
            <w:vAlign w:val="bottom"/>
            <w:tcBorders>
              <w:bottom w:val="single" w:sz="8" w:color="477258"/>
            </w:tcBorders>
            <w:gridSpan w:val="2"/>
          </w:tcPr>
          <w:p>
            <w:pPr>
              <w:spacing w:after="0"/>
              <w:rPr>
                <w:sz w:val="2"/>
                <w:szCs w:val="2"/>
                <w:color w:val="auto"/>
              </w:rPr>
            </w:pPr>
          </w:p>
        </w:tc>
        <w:tc>
          <w:tcPr>
            <w:tcW w:w="110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280" w:type="dxa"/>
            <w:vAlign w:val="bottom"/>
          </w:tcPr>
          <w:p>
            <w:pPr>
              <w:ind w:left="20"/>
              <w:spacing w:after="0"/>
              <w:rPr>
                <w:sz w:val="20"/>
                <w:szCs w:val="20"/>
                <w:color w:val="auto"/>
              </w:rPr>
            </w:pPr>
            <w:r>
              <w:rPr>
                <w:rFonts w:ascii="Arial" w:cs="Arial" w:eastAsia="Arial" w:hAnsi="Arial"/>
                <w:sz w:val="18"/>
                <w:szCs w:val="18"/>
                <w:color w:val="auto"/>
              </w:rPr>
              <w:t>Maryrose T. Sylvester</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1720" w:type="dxa"/>
            <w:vAlign w:val="bottom"/>
            <w:gridSpan w:val="2"/>
          </w:tcPr>
          <w:p>
            <w:pPr>
              <w:jc w:val="center"/>
              <w:ind w:right="39"/>
              <w:spacing w:after="0"/>
              <w:rPr>
                <w:sz w:val="20"/>
                <w:szCs w:val="20"/>
                <w:color w:val="auto"/>
              </w:rPr>
            </w:pPr>
            <w:r>
              <w:rPr>
                <w:rFonts w:ascii="Arial" w:cs="Arial" w:eastAsia="Arial" w:hAnsi="Arial"/>
                <w:sz w:val="18"/>
                <w:szCs w:val="18"/>
                <w:color w:val="auto"/>
              </w:rPr>
              <w:t>2021 – Present</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477258"/>
            </w:tcBorders>
          </w:tcPr>
          <w:p>
            <w:pPr>
              <w:spacing w:after="0"/>
              <w:rPr>
                <w:sz w:val="2"/>
                <w:szCs w:val="2"/>
                <w:color w:val="auto"/>
              </w:rPr>
            </w:pPr>
          </w:p>
        </w:tc>
        <w:tc>
          <w:tcPr>
            <w:tcW w:w="560" w:type="dxa"/>
            <w:vAlign w:val="bottom"/>
            <w:tcBorders>
              <w:bottom w:val="single" w:sz="8" w:color="477258"/>
            </w:tcBorders>
          </w:tcPr>
          <w:p>
            <w:pPr>
              <w:spacing w:after="0"/>
              <w:rPr>
                <w:sz w:val="2"/>
                <w:szCs w:val="2"/>
                <w:color w:val="auto"/>
              </w:rPr>
            </w:pPr>
          </w:p>
        </w:tc>
        <w:tc>
          <w:tcPr>
            <w:tcW w:w="1720" w:type="dxa"/>
            <w:vAlign w:val="bottom"/>
            <w:tcBorders>
              <w:bottom w:val="single" w:sz="8" w:color="477258"/>
            </w:tcBorders>
            <w:gridSpan w:val="2"/>
          </w:tcPr>
          <w:p>
            <w:pPr>
              <w:spacing w:after="0"/>
              <w:rPr>
                <w:sz w:val="2"/>
                <w:szCs w:val="2"/>
                <w:color w:val="auto"/>
              </w:rPr>
            </w:pPr>
          </w:p>
        </w:tc>
        <w:tc>
          <w:tcPr>
            <w:tcW w:w="1100" w:type="dxa"/>
            <w:vAlign w:val="bottom"/>
            <w:tcBorders>
              <w:bottom w:val="single" w:sz="8" w:color="477258"/>
            </w:tcBorders>
          </w:tcPr>
          <w:p>
            <w:pPr>
              <w:spacing w:after="0"/>
              <w:rPr>
                <w:sz w:val="2"/>
                <w:szCs w:val="2"/>
                <w:color w:val="auto"/>
              </w:rPr>
            </w:pPr>
          </w:p>
        </w:tc>
        <w:tc>
          <w:tcPr>
            <w:tcW w:w="680" w:type="dxa"/>
            <w:vAlign w:val="bottom"/>
            <w:tcBorders>
              <w:bottom w:val="single" w:sz="8" w:color="477258"/>
            </w:tcBorders>
          </w:tcPr>
          <w:p>
            <w:pPr>
              <w:spacing w:after="0"/>
              <w:rPr>
                <w:sz w:val="2"/>
                <w:szCs w:val="2"/>
                <w:color w:val="auto"/>
              </w:rPr>
            </w:pPr>
          </w:p>
        </w:tc>
        <w:tc>
          <w:tcPr>
            <w:tcW w:w="1540" w:type="dxa"/>
            <w:vAlign w:val="bottom"/>
            <w:tcBorders>
              <w:bottom w:val="single" w:sz="8" w:color="477258"/>
            </w:tcBorders>
          </w:tcPr>
          <w:p>
            <w:pPr>
              <w:spacing w:after="0"/>
              <w:rPr>
                <w:sz w:val="2"/>
                <w:szCs w:val="2"/>
                <w:color w:val="auto"/>
              </w:rPr>
            </w:pPr>
          </w:p>
        </w:tc>
        <w:tc>
          <w:tcPr>
            <w:tcW w:w="1180" w:type="dxa"/>
            <w:vAlign w:val="bottom"/>
            <w:tcBorders>
              <w:bottom w:val="single" w:sz="8" w:color="477258"/>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280" w:type="dxa"/>
            <w:vAlign w:val="bottom"/>
          </w:tcPr>
          <w:p>
            <w:pPr>
              <w:ind w:left="20"/>
              <w:spacing w:after="0"/>
              <w:rPr>
                <w:sz w:val="20"/>
                <w:szCs w:val="20"/>
                <w:color w:val="auto"/>
              </w:rPr>
            </w:pPr>
            <w:r>
              <w:rPr>
                <w:rFonts w:ascii="Arial" w:cs="Arial" w:eastAsia="Arial" w:hAnsi="Arial"/>
                <w:sz w:val="18"/>
                <w:szCs w:val="18"/>
                <w:color w:val="auto"/>
              </w:rPr>
              <w:t>Thomas H. Weidemeyer</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73</w:t>
            </w:r>
          </w:p>
        </w:tc>
        <w:tc>
          <w:tcPr>
            <w:tcW w:w="1720" w:type="dxa"/>
            <w:vAlign w:val="bottom"/>
            <w:gridSpan w:val="2"/>
          </w:tcPr>
          <w:p>
            <w:pPr>
              <w:jc w:val="center"/>
              <w:ind w:right="39"/>
              <w:spacing w:after="0"/>
              <w:rPr>
                <w:sz w:val="20"/>
                <w:szCs w:val="20"/>
                <w:color w:val="auto"/>
              </w:rPr>
            </w:pPr>
            <w:r>
              <w:rPr>
                <w:rFonts w:ascii="Arial" w:cs="Arial" w:eastAsia="Arial" w:hAnsi="Arial"/>
                <w:sz w:val="18"/>
                <w:szCs w:val="18"/>
                <w:color w:val="auto"/>
              </w:rPr>
              <w:t>2005 – Present</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180" w:type="dxa"/>
            <w:vAlign w:val="bottom"/>
            <w:tcBorders>
              <w:bottom w:val="single" w:sz="8" w:color="477258"/>
            </w:tcBorders>
            <w:gridSpan w:val="3"/>
          </w:tcPr>
          <w:p>
            <w:pPr>
              <w:spacing w:after="0"/>
              <w:rPr>
                <w:sz w:val="5"/>
                <w:szCs w:val="5"/>
                <w:color w:val="auto"/>
              </w:rPr>
            </w:pPr>
          </w:p>
        </w:tc>
        <w:tc>
          <w:tcPr>
            <w:tcW w:w="1380" w:type="dxa"/>
            <w:vAlign w:val="bottom"/>
            <w:tcBorders>
              <w:bottom w:val="single" w:sz="8" w:color="477258"/>
            </w:tcBorders>
          </w:tcPr>
          <w:p>
            <w:pPr>
              <w:spacing w:after="0"/>
              <w:rPr>
                <w:sz w:val="5"/>
                <w:szCs w:val="5"/>
                <w:color w:val="auto"/>
              </w:rPr>
            </w:pPr>
          </w:p>
        </w:tc>
        <w:tc>
          <w:tcPr>
            <w:tcW w:w="1100" w:type="dxa"/>
            <w:vAlign w:val="bottom"/>
            <w:tcBorders>
              <w:bottom w:val="single" w:sz="8" w:color="477258"/>
            </w:tcBorders>
          </w:tcPr>
          <w:p>
            <w:pPr>
              <w:spacing w:after="0"/>
              <w:rPr>
                <w:sz w:val="5"/>
                <w:szCs w:val="5"/>
                <w:color w:val="auto"/>
              </w:rPr>
            </w:pPr>
          </w:p>
        </w:tc>
        <w:tc>
          <w:tcPr>
            <w:tcW w:w="680" w:type="dxa"/>
            <w:vAlign w:val="bottom"/>
            <w:tcBorders>
              <w:bottom w:val="single" w:sz="8" w:color="477258"/>
            </w:tcBorders>
          </w:tcPr>
          <w:p>
            <w:pPr>
              <w:spacing w:after="0"/>
              <w:rPr>
                <w:sz w:val="5"/>
                <w:szCs w:val="5"/>
                <w:color w:val="auto"/>
              </w:rPr>
            </w:pPr>
          </w:p>
        </w:tc>
        <w:tc>
          <w:tcPr>
            <w:tcW w:w="1540" w:type="dxa"/>
            <w:vAlign w:val="bottom"/>
            <w:tcBorders>
              <w:bottom w:val="single" w:sz="8" w:color="477258"/>
            </w:tcBorders>
          </w:tcPr>
          <w:p>
            <w:pPr>
              <w:spacing w:after="0"/>
              <w:rPr>
                <w:sz w:val="5"/>
                <w:szCs w:val="5"/>
                <w:color w:val="auto"/>
              </w:rPr>
            </w:pPr>
          </w:p>
        </w:tc>
        <w:tc>
          <w:tcPr>
            <w:tcW w:w="1180" w:type="dxa"/>
            <w:vAlign w:val="bottom"/>
            <w:tcBorders>
              <w:bottom w:val="single" w:sz="8" w:color="477258"/>
            </w:tcBorders>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3180" w:type="dxa"/>
            <w:vAlign w:val="bottom"/>
            <w:gridSpan w:val="3"/>
          </w:tcPr>
          <w:p>
            <w:pPr>
              <w:ind w:left="60"/>
              <w:spacing w:after="0"/>
              <w:rPr>
                <w:sz w:val="20"/>
                <w:szCs w:val="20"/>
                <w:color w:val="auto"/>
              </w:rPr>
            </w:pPr>
            <w:r>
              <w:rPr>
                <w:rFonts w:ascii="Arial" w:cs="Arial" w:eastAsia="Arial" w:hAnsi="Arial"/>
                <w:sz w:val="18"/>
                <w:szCs w:val="18"/>
                <w:color w:val="auto"/>
              </w:rPr>
              <w:t>Chair, as of 2021 Annual Meeting</w:t>
            </w:r>
          </w:p>
        </w:tc>
        <w:tc>
          <w:tcPr>
            <w:tcW w:w="1380" w:type="dxa"/>
            <w:vAlign w:val="bottom"/>
          </w:tcPr>
          <w:p>
            <w:pPr>
              <w:ind w:left="680"/>
              <w:spacing w:after="0"/>
              <w:rPr>
                <w:sz w:val="20"/>
                <w:szCs w:val="20"/>
                <w:color w:val="auto"/>
              </w:rPr>
            </w:pPr>
            <w:r>
              <w:rPr>
                <w:rFonts w:ascii="Arial" w:cs="Arial" w:eastAsia="Arial" w:hAnsi="Arial"/>
                <w:sz w:val="18"/>
                <w:szCs w:val="18"/>
                <w:color w:val="auto"/>
              </w:rPr>
              <w:t>Member</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-187960</wp:posOffset>
            </wp:positionV>
            <wp:extent cx="11112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-2142490</wp:posOffset>
            </wp:positionV>
            <wp:extent cx="14605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-2168525</wp:posOffset>
            </wp:positionV>
            <wp:extent cx="11112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-2159635</wp:posOffset>
            </wp:positionV>
            <wp:extent cx="13716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-1902460</wp:posOffset>
            </wp:positionV>
            <wp:extent cx="14605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-1928495</wp:posOffset>
            </wp:positionV>
            <wp:extent cx="11112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-1928495</wp:posOffset>
            </wp:positionV>
            <wp:extent cx="11112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-1662430</wp:posOffset>
            </wp:positionV>
            <wp:extent cx="14605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-1688465</wp:posOffset>
            </wp:positionV>
            <wp:extent cx="11112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-1679575</wp:posOffset>
            </wp:positionV>
            <wp:extent cx="13716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-1422400</wp:posOffset>
            </wp:positionV>
            <wp:extent cx="14605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-1448435</wp:posOffset>
            </wp:positionV>
            <wp:extent cx="11112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-1182370</wp:posOffset>
            </wp:positionV>
            <wp:extent cx="146050" cy="1282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050" cy="12827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-1199515</wp:posOffset>
            </wp:positionV>
            <wp:extent cx="13716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-1208405</wp:posOffset>
            </wp:positionV>
            <wp:extent cx="11112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-942340</wp:posOffset>
            </wp:positionV>
            <wp:extent cx="14605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-968375</wp:posOffset>
            </wp:positionV>
            <wp:extent cx="11112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-968375</wp:posOffset>
            </wp:positionV>
            <wp:extent cx="11112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-702310</wp:posOffset>
            </wp:positionV>
            <wp:extent cx="14605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-728345</wp:posOffset>
            </wp:positionV>
            <wp:extent cx="11112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-462280</wp:posOffset>
            </wp:positionV>
            <wp:extent cx="146050" cy="1282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050" cy="128270"/>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-488315</wp:posOffset>
            </wp:positionV>
            <wp:extent cx="11112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-488315</wp:posOffset>
            </wp:positionV>
            <wp:extent cx="11112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-488315</wp:posOffset>
            </wp:positionV>
            <wp:extent cx="11112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-170815</wp:posOffset>
            </wp:positionV>
            <wp:extent cx="13716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5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Leadership Structure</w:t>
      </w:r>
    </w:p>
    <w:p>
      <w:pPr>
        <w:spacing w:after="0" w:line="130"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Mr. Thomas H. Weidemeyer has served as our Non-Executive Chairman of the Board since May 2018 and presides over all meetings of the Board, including executive sessions that only non-employee directors attend. Stockholders and interested parties wishing to communicate with the Board or the non-employee directors should address their communications to Mr. Thomas H. Weidemeyer, Non-Executive Chairman of the Board, c/o Waste Management, Inc., P.O. Box 53569, Houston, Texas 77052-3569.</w:t>
      </w:r>
    </w:p>
    <w:p>
      <w:pPr>
        <w:spacing w:after="0" w:line="313" w:lineRule="exact"/>
        <w:rPr>
          <w:sz w:val="20"/>
          <w:szCs w:val="20"/>
          <w:color w:val="auto"/>
        </w:rPr>
      </w:pPr>
    </w:p>
    <w:p>
      <w:pPr>
        <w:jc w:val="both"/>
        <w:ind w:left="820"/>
        <w:spacing w:after="0" w:line="251" w:lineRule="auto"/>
        <w:rPr>
          <w:sz w:val="20"/>
          <w:szCs w:val="20"/>
          <w:color w:val="auto"/>
        </w:rPr>
      </w:pPr>
      <w:r>
        <w:rPr>
          <w:rFonts w:ascii="Arial" w:cs="Arial" w:eastAsia="Arial" w:hAnsi="Arial"/>
          <w:sz w:val="18"/>
          <w:szCs w:val="18"/>
          <w:color w:val="auto"/>
        </w:rPr>
        <w:t>We separated the roles of Chairman of the Board and Chief Executive Officer at our Company in 2004. We believe that having a Non-Executive Chairman of the Board is in the best interests of the Company and stockholders, due in part to the ever-increasing demands made on boards of directors under federal securities laws, national stock exchange rules and other federal and state regulations. The separation of the positions allows our Chairman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 The Non-Executive Chairman’s responsibilities include leading full Board meetings and executive sessions and managing the Board function. The Board elected Mr. Weidemeyer to serve as Chairman of the Board due to his many years as a valuable member of our Board, his experience serving on boards of other large public companies and his extensive operational and leadership experience. Mr. Weidemeyer also serves on all three Board committees.</w:t>
      </w:r>
    </w:p>
    <w:p>
      <w:pPr>
        <w:spacing w:after="0" w:line="200" w:lineRule="exact"/>
        <w:rPr>
          <w:sz w:val="20"/>
          <w:szCs w:val="20"/>
          <w:color w:val="auto"/>
        </w:rPr>
      </w:pPr>
    </w:p>
    <w:p>
      <w:pPr>
        <w:spacing w:after="0" w:line="272"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001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4025" cy="12001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BOARD OF DIRECTORS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Independence of Board Members</w:t>
      </w:r>
    </w:p>
    <w:p>
      <w:pPr>
        <w:spacing w:after="0" w:line="134"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Board of Directors has determined that each of the following eight non- employee director nominees are independent in accordance with the New York Stock Exchange listing standards: Andrés R. Gluski, Victoria M. Holt, Kathleen M. Mazzarella, Sean E. Menke, William B. Plummer, John C. Pope, Maryrose T. Sylvester and Thomas H. Weidemeyer. James C. Fish, Jr., our President and Chief Executive Officer, is also a director of the Company. As an employee of the Company, Mr. Fish is not an “independent” director.</w:t>
      </w:r>
    </w:p>
    <w:p>
      <w:pPr>
        <w:spacing w:after="0" w:line="288"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on our website. In addition to these categorical standards, our Board makes a subjective determination of independence considering relevant facts and circumstances.</w:t>
      </w:r>
    </w:p>
    <w:p>
      <w:pPr>
        <w:spacing w:after="0" w:line="284"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Sabre Corporation and The AES Corporation. Ms. Mazzarella, Mr. Menke and Mr. Gluski, respectively, serve as chief executive officer of these entities. The Board concluded there are no transactions between the Company and any entity with which a non-employee director is affiliated that (a) are prohibited by our categorical standards of independence, (b) are material individually or in the aggregate or (c) give rise to a material direct or indirect interest for that non- employee director. Accordingly, the Board has determined that each non-employee director candidate meets the categorical standards of independence and that there are no relationships that would affect independence.</w:t>
      </w:r>
    </w:p>
    <w:p>
      <w:pPr>
        <w:spacing w:after="0" w:line="33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Meetings and Board Committees</w:t>
      </w:r>
    </w:p>
    <w:p>
      <w:pPr>
        <w:spacing w:after="0" w:line="134"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Last year the Board held seven regular meetings and four special meetings, and each committee of the Board met independently as set forth below. Each director attended at least 75% of the meetings of the Board and the committees on which he or she served. In addition, all directors attended the 2020 virtual Annual Meeting of Stockholders. We do not have a formal policy, but it has been longstanding practice that all directors attend the annual meeting of stockholders unless there are unavoidable schedule conflicts or unforeseen circumstances.</w:t>
      </w:r>
    </w:p>
    <w:p>
      <w:pPr>
        <w:spacing w:after="0" w:line="288"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Board appoints committees to help carry out its duties. Committee members take on greater responsibility for key issues. All members of the Board are invited to attend, and do generally attend, all committee meetings. The committees review meeting results and recommendations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w:t>
      </w:r>
    </w:p>
    <w:p>
      <w:pPr>
        <w:spacing w:after="0" w:line="36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Role in Risk Oversight</w:t>
      </w:r>
    </w:p>
    <w:p>
      <w:pPr>
        <w:spacing w:after="0" w:line="134" w:lineRule="exact"/>
        <w:rPr>
          <w:sz w:val="20"/>
          <w:szCs w:val="20"/>
          <w:color w:val="auto"/>
        </w:rPr>
      </w:pPr>
    </w:p>
    <w:p>
      <w:pPr>
        <w:jc w:val="both"/>
        <w:ind w:left="820"/>
        <w:spacing w:after="0" w:line="236" w:lineRule="auto"/>
        <w:rPr>
          <w:sz w:val="20"/>
          <w:szCs w:val="20"/>
          <w:color w:val="auto"/>
        </w:rPr>
      </w:pPr>
      <w:r>
        <w:rPr>
          <w:rFonts w:ascii="Arial" w:cs="Arial" w:eastAsia="Arial" w:hAnsi="Arial"/>
          <w:sz w:val="18"/>
          <w:szCs w:val="18"/>
          <w:color w:val="auto"/>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 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100"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Our ERM process is supported by regular inquiries of our Company’s Senior Leadership Team, and additional members of management and operations leadership across the enterprise, as to the risks, including emerging risks, that may affect the execution of our strategic priorities or achievement of our long-term outlook. For the most significant risks, the ERM process is designed to generate actionable insights that are actively discussed and reviewed with the Senior Leadership Team and our Board. Risks and opportunities are assessed and then prioritized using internal evaluations of</w:t>
      </w:r>
    </w:p>
    <w:p>
      <w:pPr>
        <w:spacing w:after="0" w:line="254" w:lineRule="exact"/>
        <w:rPr>
          <w:sz w:val="20"/>
          <w:szCs w:val="20"/>
          <w:color w:val="auto"/>
        </w:rPr>
      </w:pPr>
    </w:p>
    <w:p>
      <w:pPr>
        <w:ind w:left="7360"/>
        <w:spacing w:after="0"/>
        <w:tabs>
          <w:tab w:leader="none" w:pos="948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-158750</wp:posOffset>
            </wp:positionV>
            <wp:extent cx="45402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4025" cy="12890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7460"/>
        <w:spacing w:after="0"/>
        <w:rPr>
          <w:sz w:val="20"/>
          <w:szCs w:val="20"/>
          <w:color w:val="auto"/>
        </w:rPr>
      </w:pPr>
      <w:r>
        <w:rPr>
          <w:rFonts w:ascii="Arial" w:cs="Arial" w:eastAsia="Arial" w:hAnsi="Arial"/>
          <w:sz w:val="20"/>
          <w:szCs w:val="20"/>
          <w:b w:val="1"/>
          <w:bCs w:val="1"/>
          <w:color w:val="auto"/>
        </w:rPr>
        <w:t>BOARD OF DIRECTORS</w:t>
      </w:r>
    </w:p>
    <w:p>
      <w:pPr>
        <w:spacing w:after="0" w:line="202"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financial impact, likelihood of occurrence, outlook for changes in the nature or extent of risk exposure and a self- assessment of the Company’s confidence in existing risk mitigation efforts. The Senior Leadership Team reviews the outcomes of the risk assessments, focusing largely on the estimated scope of impacts, as well as the adequacy of current support by internal staff, the sufficiency of financial support for mitigation measures needed to manage and reduce risk, and the sufficiency of any third-party expertise that may be necessary to supplement internal resources. All significant risks have a standardized scorecard that includes forward-looking action plans with measurable indicators and progress updates on action plans from previous assessments.</w:t>
      </w:r>
    </w:p>
    <w:p>
      <w:pPr>
        <w:spacing w:after="0" w:line="279"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At quarterly Audit Committee meetings, management provides an ERM report and a deep -dive on specific risk topics. Additionally, risks related to our strategy, operations and financial results are also addressed in our Board meetings. Our President and Chief Executive Officer, Chief Operating Officer, Chief Financial Officer and Chief Legal Officer report to our Board and Audit Committee at these meetings, and other members of management periodically attend and present information, including those responsible for our Internal Audit, Environmental Audit, Business Ethics and Compliance, People, Government Affairs, Digital, Insurance, Safety, Finance and Accounting functions. These presentations allow our directors to have direct communication with management and assess management’s evaluation and administration of the Company’s risk profile through our ERM process. Examples of key areas of assessment addressed by our ERM process and overseen by our Audit Committee and Board include the following: industry disruption; revenue management; legal and regulatory; capital allocation; supply chain management; service to customers; cost discipline; process improvement; physical infrastructure; brand management; health &amp; safety; human capital; information security; technology and currency, interest rate and commodity risk management. Additionally, in accordance with New York Stock Exchange requirements, the Audit Committee is responsible for discussing our major financial risk exposures, steps management has taken to monitor and control such exposures and the Company’s process for risk assessment and management, and quarterly reports are made to the Audit Committee on financial and compliance risks.</w:t>
      </w:r>
    </w:p>
    <w:p>
      <w:pPr>
        <w:spacing w:after="0" w:line="200" w:lineRule="exact"/>
        <w:rPr>
          <w:sz w:val="20"/>
          <w:szCs w:val="20"/>
          <w:color w:val="auto"/>
        </w:rPr>
      </w:pPr>
    </w:p>
    <w:p>
      <w:pPr>
        <w:spacing w:after="0" w:line="241"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Management is encouraged to communicate with our directors with respect to any issues or developments that may require consideration between regularly scheduled Board meetings, and members of management are regularly in direct contact with our Non-Executive Chairman of the Board and our committee chairs. Our Non -Executive Chairman of the Board also facilitates communications with our Board of Directors as a whole and is integral in initiating the discussions among the independent directors necessary to ensure management is adequately evaluating and overseeing risks to our Company.</w:t>
      </w:r>
    </w:p>
    <w:p>
      <w:pPr>
        <w:spacing w:after="0" w:line="39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Oversight of ESG Risk and Performance</w:t>
      </w:r>
    </w:p>
    <w:p>
      <w:pPr>
        <w:spacing w:after="0" w:line="134"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As North America’s leading provider of comprehensive waste management environmental services, sustainability and environmental stewardship is embedded in all that we do. We have enabled a people-first, technology -led focus to drive our mission, that we are Always Working for a Sustainable Tomorrow. As a result, it would not be effective, or possible, to assign responsibility for oversight of our environmental, social and governance (“ESG”) risk and performance to any one committee of our Board of Directors. Rather, various aspects of ESG, which are already organically a part of our Board and committees’ oversight of our performance, risk management and strategic vision, are addressed in different committees and with our full Board of Directors, as appropriate depending on the subject matter.</w:t>
      </w:r>
    </w:p>
    <w:p>
      <w:pPr>
        <w:spacing w:after="0" w:line="313" w:lineRule="exact"/>
        <w:rPr>
          <w:sz w:val="20"/>
          <w:szCs w:val="20"/>
          <w:color w:val="auto"/>
        </w:rPr>
      </w:pPr>
    </w:p>
    <w:p>
      <w:pPr>
        <w:jc w:val="both"/>
        <w:ind w:left="820"/>
        <w:spacing w:after="0" w:line="251" w:lineRule="auto"/>
        <w:rPr>
          <w:sz w:val="20"/>
          <w:szCs w:val="20"/>
          <w:color w:val="auto"/>
        </w:rPr>
      </w:pPr>
      <w:r>
        <w:rPr>
          <w:rFonts w:ascii="Arial" w:cs="Arial" w:eastAsia="Arial" w:hAnsi="Arial"/>
          <w:sz w:val="18"/>
          <w:szCs w:val="18"/>
          <w:color w:val="auto"/>
        </w:rPr>
        <w:t>Our Board has a dedicated annual strategic planning session with our Senior Leadership Team and receives focused strategic updates quarterly. Given the nature of our business, those sessions will address topics such as sustainable operations, waste diversion, recycling business improvements, potentially disruptive technologies and environmental impacts, risks and opportunities. In 2020, the Board received a dedicated strategy update regarding ESG and climate impacts, responses and goal setting. Additionally, reflective of our people-first strategy and the importance of inclusion and diversity and safety to our organization, the full Board of Directors receives annual in- depth reports on leadership, workforce and supplier diversity, as well as quarterly safety performance updates. Through these reports, our Board directly oversees our progress toward inclusion and diversity and safety goals.</w:t>
      </w:r>
    </w:p>
    <w:p>
      <w:pPr>
        <w:spacing w:after="0" w:line="320"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Our Audit Committee also plays a significant role in oversight of ESG risk and performance. As discussed above, our Audit Committee receives a quarterly ERM update with deep-dives into specific risk topics. At least annually, one of the quarterly deep-dives will look at an aspect of ESG risk. Additionally, the Audit Committee receives quarterly reports on our compliance programs, including ethics and environmental and safety audit, with an annual in depth review of our compliance programs. Our Audit Committee also has responsibility for oversight of information and cyber security and assessment of cyber threats and defenses. Our Audit Committee receives reports from our Digital organization at least</w:t>
      </w:r>
    </w:p>
    <w:p>
      <w:pPr>
        <w:spacing w:after="0" w:line="200" w:lineRule="exact"/>
        <w:rPr>
          <w:sz w:val="20"/>
          <w:szCs w:val="20"/>
          <w:color w:val="auto"/>
        </w:rPr>
      </w:pPr>
    </w:p>
    <w:p>
      <w:pPr>
        <w:spacing w:after="0" w:line="268"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27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4025" cy="12827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1" w:right="1439" w:bottom="1006" w:gutter="0" w:footer="0" w:header="0"/>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BOARD OF DIRECTORS</w:t>
      </w:r>
    </w:p>
    <w:p>
      <w:pPr>
        <w:spacing w:after="0" w:line="202"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twice a year. Topics historically covered in such reports include third party evaluation of our technology infrastructure and information security management system against the industry-standard NIST (National Institute of Standards and Technology) cybersecurity framework; risk mitigation through the Company’s enterprise-wide cyber security training, including our Board of Directors, conducted at least annually, regular simulated phishing tests and third party penetration testing; review of the Company’s cyber incident insurance coverage and external cyber incident resources and consideration of applicable laws and regulations, including those related to privacy.</w:t>
      </w:r>
    </w:p>
    <w:p>
      <w:pPr>
        <w:spacing w:after="0" w:line="316"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Additional areas of ESG oversight managed by our MD&amp;C Committee include review of employee health, welfare and benefit programs and compensation plan risk assessment. The Committee also engages in quarterly sessions with our President and Chief Executive Officer and our Senior Vice President and Chief People Officer regarding talent development and succession planning at several levels of our organization. A critical component of these talent development and succession planning efforts is the recognition that inclusion and diversity are part of the Company’s core values. Recognizing the importance of social justice, our People programs overseen by our MD&amp;C Committee embrace and cultivate respect, trust, open communication and diversity of thought and people.</w:t>
      </w:r>
    </w:p>
    <w:p>
      <w:pPr>
        <w:spacing w:after="0" w:line="97" w:lineRule="exact"/>
        <w:rPr>
          <w:sz w:val="20"/>
          <w:szCs w:val="20"/>
          <w:color w:val="auto"/>
        </w:rPr>
      </w:pPr>
    </w:p>
    <w:p>
      <w:pPr>
        <w:jc w:val="both"/>
        <w:ind w:left="820"/>
        <w:spacing w:after="0" w:line="251" w:lineRule="auto"/>
        <w:rPr>
          <w:sz w:val="20"/>
          <w:szCs w:val="20"/>
          <w:color w:val="auto"/>
        </w:rPr>
      </w:pPr>
      <w:r>
        <w:rPr>
          <w:rFonts w:ascii="Arial" w:cs="Arial" w:eastAsia="Arial" w:hAnsi="Arial"/>
          <w:sz w:val="18"/>
          <w:szCs w:val="18"/>
          <w:color w:val="auto"/>
        </w:rPr>
        <w:t>Strong and effective corporate governance is established and overseen by our Nominating &amp; Governance Committee. The Committee leads the process for annual Board, committee and director evaluations and is responsible for review and recommendation of Board and committee composition and leadership. In connection with performing this vital function, the Nominating &amp; Governance Committee reviews the skills, expertise and qualifications of our existing directors, as well as potential external candidates, and considers matters such as inclusion and diversity, tenure and Board refreshment. These efforts deliver on the Nominating &amp; Governance Committee’s purpose to identify and nominate the best possible candidates to guide and support the Company’s strategy and its commitment to serve and care for our customers, the environment, the communities in which we work and our stockholders.</w:t>
      </w:r>
    </w:p>
    <w:p>
      <w:pPr>
        <w:spacing w:after="0" w:line="320"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color w:val="auto"/>
        </w:rPr>
        <w:t>For additional information about the topics discussed above, including ESG goals, metrics and progress, we encourage stockholders to review our 2020 Sustainability Report at https://sustainability.wm.com. Our 2020 Sustainability Report does not constitute a part of, and is not incorporated by reference into, this Proxy Statement or any report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-149860</wp:posOffset>
            </wp:positionV>
            <wp:extent cx="454025"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4025" cy="12001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tbl>
      <w:tblPr>
        <w:tblLayout w:type="fixed"/>
        <w:tblInd w:w="82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5780" w:type="dxa"/>
            <w:vAlign w:val="bottom"/>
          </w:tcPr>
          <w:p>
            <w:pPr>
              <w:ind w:left="3360"/>
              <w:spacing w:after="0"/>
              <w:rPr>
                <w:sz w:val="20"/>
                <w:szCs w:val="20"/>
                <w:color w:val="auto"/>
              </w:rPr>
            </w:pPr>
            <w:r>
              <w:rPr>
                <w:rFonts w:ascii="Arial" w:cs="Arial" w:eastAsia="Arial" w:hAnsi="Arial"/>
                <w:sz w:val="20"/>
                <w:szCs w:val="20"/>
                <w:b w:val="1"/>
                <w:bCs w:val="1"/>
                <w:color w:val="auto"/>
              </w:rPr>
              <w:t>BOARD OF DIRECTORS</w:t>
            </w:r>
          </w:p>
        </w:tc>
      </w:tr>
      <w:tr>
        <w:trPr>
          <w:trHeight w:val="172"/>
        </w:trPr>
        <w:tc>
          <w:tcPr>
            <w:tcW w:w="20" w:type="dxa"/>
            <w:vAlign w:val="bottom"/>
            <w:tcBorders>
              <w:bottom w:val="single" w:sz="8" w:color="477258"/>
            </w:tcBorders>
          </w:tcPr>
          <w:p>
            <w:pPr>
              <w:spacing w:after="0"/>
              <w:rPr>
                <w:sz w:val="14"/>
                <w:szCs w:val="14"/>
                <w:color w:val="auto"/>
              </w:rPr>
            </w:pPr>
          </w:p>
        </w:tc>
        <w:tc>
          <w:tcPr>
            <w:tcW w:w="3260" w:type="dxa"/>
            <w:vAlign w:val="bottom"/>
            <w:tcBorders>
              <w:bottom w:val="single" w:sz="8" w:color="477258"/>
            </w:tcBorders>
          </w:tcPr>
          <w:p>
            <w:pPr>
              <w:spacing w:after="0"/>
              <w:rPr>
                <w:sz w:val="14"/>
                <w:szCs w:val="14"/>
                <w:color w:val="auto"/>
              </w:rPr>
            </w:pPr>
          </w:p>
        </w:tc>
        <w:tc>
          <w:tcPr>
            <w:tcW w:w="5780" w:type="dxa"/>
            <w:vAlign w:val="bottom"/>
            <w:tcBorders>
              <w:bottom w:val="single" w:sz="8" w:color="477258"/>
            </w:tcBorders>
          </w:tcPr>
          <w:p>
            <w:pPr>
              <w:spacing w:after="0"/>
              <w:rPr>
                <w:sz w:val="14"/>
                <w:szCs w:val="14"/>
                <w:color w:val="auto"/>
              </w:rPr>
            </w:pPr>
          </w:p>
        </w:tc>
      </w:tr>
      <w:tr>
        <w:trPr>
          <w:trHeight w:val="420"/>
        </w:trPr>
        <w:tc>
          <w:tcPr>
            <w:tcW w:w="20" w:type="dxa"/>
            <w:vAlign w:val="bottom"/>
            <w:shd w:val="clear" w:color="auto" w:fill="E3EAE6"/>
          </w:tcPr>
          <w:p>
            <w:pPr>
              <w:spacing w:after="0"/>
              <w:rPr>
                <w:sz w:val="24"/>
                <w:szCs w:val="24"/>
                <w:color w:val="auto"/>
              </w:rPr>
            </w:pPr>
          </w:p>
        </w:tc>
        <w:tc>
          <w:tcPr>
            <w:tcW w:w="3260" w:type="dxa"/>
            <w:vAlign w:val="bottom"/>
            <w:shd w:val="clear" w:color="auto" w:fill="E3EAE6"/>
          </w:tcPr>
          <w:p>
            <w:pPr>
              <w:spacing w:after="0"/>
              <w:rPr>
                <w:sz w:val="20"/>
                <w:szCs w:val="20"/>
                <w:color w:val="auto"/>
              </w:rPr>
            </w:pPr>
            <w:r>
              <w:rPr>
                <w:rFonts w:ascii="Arial" w:cs="Arial" w:eastAsia="Arial" w:hAnsi="Arial"/>
                <w:sz w:val="25"/>
                <w:szCs w:val="25"/>
                <w:b w:val="1"/>
                <w:bCs w:val="1"/>
                <w:color w:val="auto"/>
              </w:rPr>
              <w:t>THE AUDIT COMMITTEE</w:t>
            </w:r>
          </w:p>
        </w:tc>
        <w:tc>
          <w:tcPr>
            <w:tcW w:w="5780" w:type="dxa"/>
            <w:vAlign w:val="bottom"/>
            <w:shd w:val="clear" w:color="auto" w:fill="E3EAE6"/>
          </w:tcPr>
          <w:p>
            <w:pPr>
              <w:spacing w:after="0"/>
              <w:rPr>
                <w:sz w:val="24"/>
                <w:szCs w:val="24"/>
                <w:color w:val="auto"/>
              </w:rPr>
            </w:pPr>
          </w:p>
        </w:tc>
      </w:tr>
      <w:tr>
        <w:trPr>
          <w:trHeight w:val="329"/>
        </w:trPr>
        <w:tc>
          <w:tcPr>
            <w:tcW w:w="20" w:type="dxa"/>
            <w:vAlign w:val="bottom"/>
            <w:shd w:val="clear" w:color="auto" w:fill="E3EAE6"/>
          </w:tcPr>
          <w:p>
            <w:pPr>
              <w:spacing w:after="0"/>
              <w:rPr>
                <w:sz w:val="24"/>
                <w:szCs w:val="24"/>
                <w:color w:val="auto"/>
              </w:rPr>
            </w:pPr>
          </w:p>
        </w:tc>
        <w:tc>
          <w:tcPr>
            <w:tcW w:w="3260" w:type="dxa"/>
            <w:vAlign w:val="bottom"/>
            <w:shd w:val="clear" w:color="auto" w:fill="E3EAE6"/>
          </w:tcPr>
          <w:p>
            <w:pPr>
              <w:ind w:left="80"/>
              <w:spacing w:after="0"/>
              <w:rPr>
                <w:sz w:val="20"/>
                <w:szCs w:val="20"/>
                <w:color w:val="auto"/>
              </w:rPr>
            </w:pPr>
            <w:r>
              <w:rPr>
                <w:rFonts w:ascii="Arial" w:cs="Arial" w:eastAsia="Arial" w:hAnsi="Arial"/>
                <w:sz w:val="18"/>
                <w:szCs w:val="18"/>
                <w:b w:val="1"/>
                <w:bCs w:val="1"/>
                <w:color w:val="auto"/>
              </w:rPr>
              <w:t>Members:</w:t>
            </w:r>
          </w:p>
        </w:tc>
        <w:tc>
          <w:tcPr>
            <w:tcW w:w="5780" w:type="dxa"/>
            <w:vAlign w:val="bottom"/>
            <w:shd w:val="clear" w:color="auto" w:fill="E3EAE6"/>
          </w:tcPr>
          <w:p>
            <w:pPr>
              <w:ind w:left="1880"/>
              <w:spacing w:after="0"/>
              <w:rPr>
                <w:sz w:val="20"/>
                <w:szCs w:val="20"/>
                <w:color w:val="auto"/>
              </w:rPr>
            </w:pPr>
            <w:r>
              <w:rPr>
                <w:rFonts w:ascii="Arial" w:cs="Arial" w:eastAsia="Arial" w:hAnsi="Arial"/>
                <w:sz w:val="18"/>
                <w:szCs w:val="18"/>
                <w:b w:val="1"/>
                <w:bCs w:val="1"/>
                <w:color w:val="auto"/>
              </w:rPr>
              <w:t>Number of Meetings Held in 2020: 8</w:t>
            </w:r>
          </w:p>
        </w:tc>
      </w:tr>
      <w:tr>
        <w:trPr>
          <w:trHeight w:val="193"/>
        </w:trPr>
        <w:tc>
          <w:tcPr>
            <w:tcW w:w="20" w:type="dxa"/>
            <w:vAlign w:val="bottom"/>
          </w:tcPr>
          <w:p>
            <w:pPr>
              <w:spacing w:after="0"/>
              <w:rPr>
                <w:sz w:val="16"/>
                <w:szCs w:val="16"/>
                <w:color w:val="auto"/>
              </w:rPr>
            </w:pPr>
          </w:p>
        </w:tc>
        <w:tc>
          <w:tcPr>
            <w:tcW w:w="3260" w:type="dxa"/>
            <w:vAlign w:val="bottom"/>
            <w:shd w:val="clear" w:color="auto" w:fill="E3EAE6"/>
          </w:tcPr>
          <w:p>
            <w:pPr>
              <w:ind w:left="80"/>
              <w:spacing w:after="0" w:line="193" w:lineRule="exact"/>
              <w:rPr>
                <w:sz w:val="20"/>
                <w:szCs w:val="20"/>
                <w:color w:val="auto"/>
              </w:rPr>
            </w:pPr>
            <w:r>
              <w:rPr>
                <w:rFonts w:ascii="Arial" w:cs="Arial" w:eastAsia="Arial" w:hAnsi="Arial"/>
                <w:sz w:val="18"/>
                <w:szCs w:val="18"/>
                <w:b w:val="1"/>
                <w:bCs w:val="1"/>
                <w:color w:val="auto"/>
              </w:rPr>
              <w:t xml:space="preserve">William B. Plummer, </w:t>
            </w:r>
            <w:r>
              <w:rPr>
                <w:rFonts w:ascii="Arial" w:cs="Arial" w:eastAsia="Arial" w:hAnsi="Arial"/>
                <w:sz w:val="18"/>
                <w:szCs w:val="18"/>
                <w:b w:val="1"/>
                <w:bCs w:val="1"/>
                <w:i w:val="1"/>
                <w:iCs w:val="1"/>
                <w:color w:val="auto"/>
              </w:rPr>
              <w:t>Chairman</w:t>
            </w:r>
          </w:p>
        </w:tc>
        <w:tc>
          <w:tcPr>
            <w:tcW w:w="5780" w:type="dxa"/>
            <w:vAlign w:val="bottom"/>
            <w:shd w:val="clear" w:color="auto" w:fill="E3EAE6"/>
          </w:tcPr>
          <w:p>
            <w:pPr>
              <w:ind w:left="120"/>
              <w:spacing w:after="0" w:line="193" w:lineRule="exact"/>
              <w:rPr>
                <w:sz w:val="20"/>
                <w:szCs w:val="20"/>
                <w:color w:val="auto"/>
              </w:rPr>
            </w:pPr>
            <w:r>
              <w:rPr>
                <w:rFonts w:ascii="Arial" w:cs="Arial" w:eastAsia="Arial" w:hAnsi="Arial"/>
                <w:sz w:val="18"/>
                <w:szCs w:val="18"/>
                <w:b w:val="1"/>
                <w:bCs w:val="1"/>
                <w:color w:val="auto"/>
              </w:rPr>
              <w:t>Victoria M. Holt</w:t>
            </w:r>
          </w:p>
        </w:tc>
      </w:tr>
      <w:tr>
        <w:trPr>
          <w:trHeight w:val="203"/>
        </w:trPr>
        <w:tc>
          <w:tcPr>
            <w:tcW w:w="20" w:type="dxa"/>
            <w:vAlign w:val="bottom"/>
          </w:tcPr>
          <w:p>
            <w:pPr>
              <w:spacing w:after="0"/>
              <w:rPr>
                <w:sz w:val="17"/>
                <w:szCs w:val="17"/>
                <w:color w:val="auto"/>
              </w:rPr>
            </w:pPr>
          </w:p>
        </w:tc>
        <w:tc>
          <w:tcPr>
            <w:tcW w:w="3260" w:type="dxa"/>
            <w:vAlign w:val="bottom"/>
            <w:shd w:val="clear" w:color="auto" w:fill="E3EAE6"/>
          </w:tcPr>
          <w:p>
            <w:pPr>
              <w:ind w:left="80"/>
              <w:spacing w:after="0" w:line="202" w:lineRule="exact"/>
              <w:rPr>
                <w:sz w:val="20"/>
                <w:szCs w:val="20"/>
                <w:color w:val="auto"/>
              </w:rPr>
            </w:pPr>
            <w:r>
              <w:rPr>
                <w:rFonts w:ascii="Arial" w:cs="Arial" w:eastAsia="Arial" w:hAnsi="Arial"/>
                <w:sz w:val="18"/>
                <w:szCs w:val="18"/>
                <w:b w:val="1"/>
                <w:bCs w:val="1"/>
                <w:color w:val="auto"/>
              </w:rPr>
              <w:t>Frank M. Clark, Jr.</w:t>
            </w:r>
          </w:p>
        </w:tc>
        <w:tc>
          <w:tcPr>
            <w:tcW w:w="5780" w:type="dxa"/>
            <w:vAlign w:val="bottom"/>
            <w:shd w:val="clear" w:color="auto" w:fill="E3EAE6"/>
          </w:tcPr>
          <w:p>
            <w:pPr>
              <w:ind w:left="120"/>
              <w:spacing w:after="0" w:line="202" w:lineRule="exact"/>
              <w:rPr>
                <w:sz w:val="20"/>
                <w:szCs w:val="20"/>
                <w:color w:val="auto"/>
              </w:rPr>
            </w:pPr>
            <w:r>
              <w:rPr>
                <w:rFonts w:ascii="Arial" w:cs="Arial" w:eastAsia="Arial" w:hAnsi="Arial"/>
                <w:sz w:val="18"/>
                <w:szCs w:val="18"/>
                <w:b w:val="1"/>
                <w:bCs w:val="1"/>
                <w:color w:val="auto"/>
              </w:rPr>
              <w:t>Sean E. Menke</w:t>
            </w:r>
          </w:p>
        </w:tc>
      </w:tr>
      <w:tr>
        <w:trPr>
          <w:trHeight w:val="239"/>
        </w:trPr>
        <w:tc>
          <w:tcPr>
            <w:tcW w:w="20" w:type="dxa"/>
            <w:vAlign w:val="bottom"/>
          </w:tcPr>
          <w:p>
            <w:pPr>
              <w:spacing w:after="0"/>
              <w:rPr>
                <w:sz w:val="20"/>
                <w:szCs w:val="20"/>
                <w:color w:val="auto"/>
              </w:rPr>
            </w:pPr>
          </w:p>
        </w:tc>
        <w:tc>
          <w:tcPr>
            <w:tcW w:w="3260" w:type="dxa"/>
            <w:vAlign w:val="bottom"/>
            <w:shd w:val="clear" w:color="auto" w:fill="E3EAE6"/>
          </w:tcPr>
          <w:p>
            <w:pPr>
              <w:ind w:left="80"/>
              <w:spacing w:after="0"/>
              <w:rPr>
                <w:sz w:val="20"/>
                <w:szCs w:val="20"/>
                <w:color w:val="auto"/>
              </w:rPr>
            </w:pPr>
            <w:r>
              <w:rPr>
                <w:rFonts w:ascii="Arial" w:cs="Arial" w:eastAsia="Arial" w:hAnsi="Arial"/>
                <w:sz w:val="18"/>
                <w:szCs w:val="18"/>
                <w:b w:val="1"/>
                <w:bCs w:val="1"/>
                <w:color w:val="auto"/>
              </w:rPr>
              <w:t>Andrés R. Gluski</w:t>
            </w:r>
          </w:p>
        </w:tc>
        <w:tc>
          <w:tcPr>
            <w:tcW w:w="5780" w:type="dxa"/>
            <w:vAlign w:val="bottom"/>
            <w:shd w:val="clear" w:color="auto" w:fill="E3EAE6"/>
          </w:tcPr>
          <w:p>
            <w:pPr>
              <w:ind w:left="120"/>
              <w:spacing w:after="0"/>
              <w:rPr>
                <w:sz w:val="20"/>
                <w:szCs w:val="20"/>
                <w:color w:val="auto"/>
              </w:rPr>
            </w:pPr>
            <w:r>
              <w:rPr>
                <w:rFonts w:ascii="Arial" w:cs="Arial" w:eastAsia="Arial" w:hAnsi="Arial"/>
                <w:sz w:val="18"/>
                <w:szCs w:val="18"/>
                <w:b w:val="1"/>
                <w:bCs w:val="1"/>
                <w:color w:val="auto"/>
              </w:rPr>
              <w:t>Thomas H. Weidemeyer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-890905</wp:posOffset>
            </wp:positionV>
            <wp:extent cx="5760720" cy="8041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60720" cy="8041005"/>
                    </a:xfrm>
                    <a:prstGeom prst="rect">
                      <a:avLst/>
                    </a:prstGeom>
                    <a:noFill/>
                  </pic:spPr>
                </pic:pic>
              </a:graphicData>
            </a:graphic>
          </wp:anchor>
        </w:drawing>
      </w:r>
    </w:p>
    <w:p>
      <w:pPr>
        <w:spacing w:after="0" w:line="47" w:lineRule="exact"/>
        <w:rPr>
          <w:sz w:val="20"/>
          <w:szCs w:val="20"/>
          <w:color w:val="auto"/>
        </w:rPr>
      </w:pPr>
    </w:p>
    <w:p>
      <w:pPr>
        <w:jc w:val="both"/>
        <w:ind w:left="840" w:right="40"/>
        <w:spacing w:after="0"/>
        <w:rPr>
          <w:sz w:val="20"/>
          <w:szCs w:val="20"/>
          <w:color w:val="auto"/>
        </w:rPr>
      </w:pPr>
      <w:r>
        <w:rPr>
          <w:rFonts w:ascii="Arial" w:cs="Arial" w:eastAsia="Arial" w:hAnsi="Arial"/>
          <w:sz w:val="18"/>
          <w:szCs w:val="18"/>
          <w:color w:val="auto"/>
        </w:rPr>
        <w:t>Mr. Plummer has been the Chairman of our Audit Committee since May 2020. Mr. Menke was appointed to our Audit Committee on March 15, 2021, which was after the Audit Committee’s review of our Annual Report on Form 10-K. Each member of our Audit Committee satisfies the additional New York Stock Exchange independence standards for audit committees set forth in Section 10A of the Exchange Act. Our Board of Directors has determined that Audit Committee Chairman Mr. Plummer, Mr. Clark, Mr. Gluski, and Ms. Holt are audit committee financial experts as defined by the SEC based on a thorough review of their education and financial and public company experience. Additional information regarding our directors’ expertise and qualifications is available under “Election of Directors” below.</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Key Functions</w:t>
      </w:r>
    </w:p>
    <w:p>
      <w:pPr>
        <w:spacing w:after="0" w:line="85" w:lineRule="exact"/>
        <w:rPr>
          <w:sz w:val="20"/>
          <w:szCs w:val="20"/>
          <w:color w:val="auto"/>
        </w:rPr>
      </w:pPr>
    </w:p>
    <w:p>
      <w:pPr>
        <w:jc w:val="both"/>
        <w:ind w:left="840" w:right="40"/>
        <w:spacing w:after="0"/>
        <w:rPr>
          <w:sz w:val="20"/>
          <w:szCs w:val="20"/>
          <w:color w:val="auto"/>
        </w:rPr>
      </w:pPr>
      <w:r>
        <w:rPr>
          <w:rFonts w:ascii="Arial" w:cs="Arial" w:eastAsia="Arial" w:hAnsi="Arial"/>
          <w:sz w:val="18"/>
          <w:szCs w:val="18"/>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independent auditors and internal audit function. As part of its function, the Audit Committee reports the results of all of its reviews to the full Board. In fulfilling its duties, the Audit Committee, has the following responsibilities: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Administrative Responsibilities</w:t>
      </w:r>
    </w:p>
    <w:p>
      <w:pPr>
        <w:spacing w:after="0" w:line="99" w:lineRule="exact"/>
        <w:rPr>
          <w:sz w:val="20"/>
          <w:szCs w:val="20"/>
          <w:color w:val="auto"/>
        </w:rPr>
      </w:pPr>
    </w:p>
    <w:p>
      <w:pPr>
        <w:ind w:left="1020" w:right="60" w:hanging="177"/>
        <w:spacing w:after="0" w:line="246" w:lineRule="auto"/>
        <w:tabs>
          <w:tab w:leader="none" w:pos="1020" w:val="left"/>
        </w:tabs>
        <w:numPr>
          <w:ilvl w:val="0"/>
          <w:numId w:val="8"/>
        </w:numPr>
        <w:rPr>
          <w:rFonts w:ascii="Arial" w:cs="Arial" w:eastAsia="Arial" w:hAnsi="Arial"/>
          <w:sz w:val="18"/>
          <w:szCs w:val="18"/>
          <w:color w:val="477258"/>
        </w:rPr>
      </w:pPr>
      <w:r>
        <w:rPr>
          <w:rFonts w:ascii="Arial" w:cs="Arial" w:eastAsia="Arial" w:hAnsi="Arial"/>
          <w:sz w:val="18"/>
          <w:szCs w:val="18"/>
          <w:color w:val="auto"/>
        </w:rPr>
        <w:t>Report to the Board, at least annually, all public company audit committee memberships by members of the Audit Committee;</w:t>
      </w:r>
    </w:p>
    <w:p>
      <w:pPr>
        <w:spacing w:after="0" w:line="61" w:lineRule="exact"/>
        <w:rPr>
          <w:rFonts w:ascii="Arial" w:cs="Arial" w:eastAsia="Arial" w:hAnsi="Arial"/>
          <w:sz w:val="18"/>
          <w:szCs w:val="18"/>
          <w:color w:val="477258"/>
        </w:rPr>
      </w:pPr>
    </w:p>
    <w:p>
      <w:pPr>
        <w:ind w:left="1020" w:right="40" w:hanging="177"/>
        <w:spacing w:after="0" w:line="246" w:lineRule="auto"/>
        <w:tabs>
          <w:tab w:leader="none" w:pos="1020" w:val="left"/>
        </w:tabs>
        <w:numPr>
          <w:ilvl w:val="0"/>
          <w:numId w:val="8"/>
        </w:numPr>
        <w:rPr>
          <w:rFonts w:ascii="Arial" w:cs="Arial" w:eastAsia="Arial" w:hAnsi="Arial"/>
          <w:sz w:val="18"/>
          <w:szCs w:val="18"/>
          <w:color w:val="477258"/>
        </w:rPr>
      </w:pPr>
      <w:r>
        <w:rPr>
          <w:rFonts w:ascii="Arial" w:cs="Arial" w:eastAsia="Arial" w:hAnsi="Arial"/>
          <w:sz w:val="18"/>
          <w:szCs w:val="18"/>
          <w:color w:val="auto"/>
        </w:rPr>
        <w:t>Perform an annual review of its performance relative to its charter and report the results of its evaluation to the full Board; and</w:t>
      </w:r>
    </w:p>
    <w:p>
      <w:pPr>
        <w:spacing w:after="0" w:line="48" w:lineRule="exact"/>
        <w:rPr>
          <w:rFonts w:ascii="Arial" w:cs="Arial" w:eastAsia="Arial" w:hAnsi="Arial"/>
          <w:sz w:val="18"/>
          <w:szCs w:val="18"/>
          <w:color w:val="477258"/>
        </w:rPr>
      </w:pPr>
    </w:p>
    <w:p>
      <w:pPr>
        <w:ind w:left="1020" w:hanging="177"/>
        <w:spacing w:after="0"/>
        <w:tabs>
          <w:tab w:leader="none" w:pos="1020" w:val="left"/>
        </w:tabs>
        <w:numPr>
          <w:ilvl w:val="0"/>
          <w:numId w:val="8"/>
        </w:numPr>
        <w:rPr>
          <w:rFonts w:ascii="Arial" w:cs="Arial" w:eastAsia="Arial" w:hAnsi="Arial"/>
          <w:sz w:val="18"/>
          <w:szCs w:val="18"/>
          <w:color w:val="477258"/>
        </w:rPr>
      </w:pPr>
      <w:r>
        <w:rPr>
          <w:rFonts w:ascii="Arial" w:cs="Arial" w:eastAsia="Arial" w:hAnsi="Arial"/>
          <w:sz w:val="18"/>
          <w:szCs w:val="18"/>
          <w:color w:val="auto"/>
        </w:rPr>
        <w:t>Adopt an orientation program for new Audit Committee members.</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Financial Statements</w:t>
      </w:r>
    </w:p>
    <w:p>
      <w:pPr>
        <w:spacing w:after="0" w:line="85" w:lineRule="exact"/>
        <w:rPr>
          <w:sz w:val="20"/>
          <w:szCs w:val="20"/>
          <w:color w:val="auto"/>
        </w:rPr>
      </w:pPr>
    </w:p>
    <w:p>
      <w:pPr>
        <w:ind w:left="1020" w:right="560" w:hanging="177"/>
        <w:spacing w:after="0"/>
        <w:tabs>
          <w:tab w:leader="none" w:pos="1020" w:val="left"/>
        </w:tabs>
        <w:numPr>
          <w:ilvl w:val="0"/>
          <w:numId w:val="9"/>
        </w:numPr>
        <w:rPr>
          <w:rFonts w:ascii="Arial" w:cs="Arial" w:eastAsia="Arial" w:hAnsi="Arial"/>
          <w:sz w:val="18"/>
          <w:szCs w:val="18"/>
          <w:color w:val="477258"/>
        </w:rPr>
      </w:pPr>
      <w:r>
        <w:rPr>
          <w:rFonts w:ascii="Arial" w:cs="Arial" w:eastAsia="Arial" w:hAnsi="Arial"/>
          <w:sz w:val="18"/>
          <w:szCs w:val="18"/>
          <w:color w:val="auto"/>
        </w:rPr>
        <w:t>Review financial statements and Forms 10-K and 10-Q with management and the independent auditor;</w:t>
      </w:r>
    </w:p>
    <w:p>
      <w:pPr>
        <w:spacing w:after="0" w:line="238" w:lineRule="exact"/>
        <w:rPr>
          <w:rFonts w:ascii="Arial" w:cs="Arial" w:eastAsia="Arial" w:hAnsi="Arial"/>
          <w:sz w:val="18"/>
          <w:szCs w:val="18"/>
          <w:color w:val="477258"/>
        </w:rPr>
      </w:pPr>
    </w:p>
    <w:p>
      <w:pPr>
        <w:ind w:left="1020" w:right="60" w:hanging="177"/>
        <w:spacing w:after="0" w:line="246" w:lineRule="auto"/>
        <w:tabs>
          <w:tab w:leader="none" w:pos="1020" w:val="left"/>
        </w:tabs>
        <w:numPr>
          <w:ilvl w:val="0"/>
          <w:numId w:val="9"/>
        </w:numPr>
        <w:rPr>
          <w:rFonts w:ascii="Arial" w:cs="Arial" w:eastAsia="Arial" w:hAnsi="Arial"/>
          <w:sz w:val="18"/>
          <w:szCs w:val="18"/>
          <w:color w:val="477258"/>
        </w:rPr>
      </w:pPr>
      <w:r>
        <w:rPr>
          <w:rFonts w:ascii="Arial" w:cs="Arial" w:eastAsia="Arial" w:hAnsi="Arial"/>
          <w:sz w:val="18"/>
          <w:szCs w:val="18"/>
          <w:color w:val="auto"/>
        </w:rPr>
        <w:t>Review all earnings press releases and discuss with management the type of earnings guidance that we provide to analysts and rating agencies;</w:t>
      </w:r>
    </w:p>
    <w:p>
      <w:pPr>
        <w:spacing w:after="0" w:line="61" w:lineRule="exact"/>
        <w:rPr>
          <w:rFonts w:ascii="Arial" w:cs="Arial" w:eastAsia="Arial" w:hAnsi="Arial"/>
          <w:sz w:val="18"/>
          <w:szCs w:val="18"/>
          <w:color w:val="477258"/>
        </w:rPr>
      </w:pPr>
    </w:p>
    <w:p>
      <w:pPr>
        <w:jc w:val="both"/>
        <w:ind w:left="1020" w:right="40" w:hanging="177"/>
        <w:spacing w:after="0"/>
        <w:tabs>
          <w:tab w:leader="none" w:pos="1020" w:val="left"/>
        </w:tabs>
        <w:numPr>
          <w:ilvl w:val="0"/>
          <w:numId w:val="9"/>
        </w:numPr>
        <w:rPr>
          <w:rFonts w:ascii="Arial" w:cs="Arial" w:eastAsia="Arial" w:hAnsi="Arial"/>
          <w:sz w:val="18"/>
          <w:szCs w:val="18"/>
          <w:color w:val="477258"/>
        </w:rPr>
      </w:pPr>
      <w:r>
        <w:rPr>
          <w:rFonts w:ascii="Arial" w:cs="Arial" w:eastAsia="Arial" w:hAnsi="Arial"/>
          <w:sz w:val="18"/>
          <w:szCs w:val="18"/>
          <w:color w:val="auto"/>
        </w:rPr>
        <w:t xml:space="preserve">Discuss with the independent auditor any material changes to our accounting principles and matters required to be communicated by Public Company Accounting Oversight Board (United States) Auditing Standard No. 1301 </w:t>
      </w:r>
      <w:r>
        <w:rPr>
          <w:rFonts w:ascii="Arial" w:cs="Arial" w:eastAsia="Arial" w:hAnsi="Arial"/>
          <w:sz w:val="18"/>
          <w:szCs w:val="18"/>
          <w:i w:val="1"/>
          <w:iCs w:val="1"/>
          <w:color w:val="auto"/>
        </w:rPr>
        <w:t>Communications with Audit Committees;</w:t>
      </w:r>
    </w:p>
    <w:p>
      <w:pPr>
        <w:spacing w:after="0" w:line="67" w:lineRule="exact"/>
        <w:rPr>
          <w:rFonts w:ascii="Arial" w:cs="Arial" w:eastAsia="Arial" w:hAnsi="Arial"/>
          <w:sz w:val="18"/>
          <w:szCs w:val="18"/>
          <w:color w:val="477258"/>
        </w:rPr>
      </w:pPr>
    </w:p>
    <w:p>
      <w:pPr>
        <w:ind w:left="1020" w:right="60" w:hanging="177"/>
        <w:spacing w:after="0" w:line="246" w:lineRule="auto"/>
        <w:tabs>
          <w:tab w:leader="none" w:pos="1020" w:val="left"/>
        </w:tabs>
        <w:numPr>
          <w:ilvl w:val="0"/>
          <w:numId w:val="9"/>
        </w:numPr>
        <w:rPr>
          <w:rFonts w:ascii="Arial" w:cs="Arial" w:eastAsia="Arial" w:hAnsi="Arial"/>
          <w:sz w:val="18"/>
          <w:szCs w:val="18"/>
          <w:color w:val="477258"/>
        </w:rPr>
      </w:pPr>
      <w:r>
        <w:rPr>
          <w:rFonts w:ascii="Arial" w:cs="Arial" w:eastAsia="Arial" w:hAnsi="Arial"/>
          <w:sz w:val="18"/>
          <w:szCs w:val="18"/>
          <w:color w:val="auto"/>
        </w:rPr>
        <w:t>Review our financial reporting, accounting and auditing practices with management, the independent auditor and our internal auditors;</w:t>
      </w:r>
    </w:p>
    <w:p>
      <w:pPr>
        <w:spacing w:after="0" w:line="61" w:lineRule="exact"/>
        <w:rPr>
          <w:rFonts w:ascii="Arial" w:cs="Arial" w:eastAsia="Arial" w:hAnsi="Arial"/>
          <w:sz w:val="18"/>
          <w:szCs w:val="18"/>
          <w:color w:val="477258"/>
        </w:rPr>
      </w:pPr>
    </w:p>
    <w:p>
      <w:pPr>
        <w:ind w:left="1020" w:right="60" w:hanging="177"/>
        <w:spacing w:after="0" w:line="246" w:lineRule="auto"/>
        <w:tabs>
          <w:tab w:leader="none" w:pos="1020" w:val="left"/>
        </w:tabs>
        <w:numPr>
          <w:ilvl w:val="0"/>
          <w:numId w:val="9"/>
        </w:numPr>
        <w:rPr>
          <w:rFonts w:ascii="Arial" w:cs="Arial" w:eastAsia="Arial" w:hAnsi="Arial"/>
          <w:sz w:val="18"/>
          <w:szCs w:val="18"/>
          <w:color w:val="477258"/>
        </w:rPr>
      </w:pPr>
      <w:r>
        <w:rPr>
          <w:rFonts w:ascii="Arial" w:cs="Arial" w:eastAsia="Arial" w:hAnsi="Arial"/>
          <w:sz w:val="18"/>
          <w:szCs w:val="18"/>
          <w:color w:val="auto"/>
        </w:rPr>
        <w:t>Review management’s and the independent auditor’s assessment of the adequacy and effectiveness of internal controls over financial reporting; and</w:t>
      </w:r>
    </w:p>
    <w:p>
      <w:pPr>
        <w:spacing w:after="0" w:line="48" w:lineRule="exact"/>
        <w:rPr>
          <w:rFonts w:ascii="Arial" w:cs="Arial" w:eastAsia="Arial" w:hAnsi="Arial"/>
          <w:sz w:val="18"/>
          <w:szCs w:val="18"/>
          <w:color w:val="477258"/>
        </w:rPr>
      </w:pPr>
    </w:p>
    <w:p>
      <w:pPr>
        <w:ind w:left="1020" w:hanging="177"/>
        <w:spacing w:after="0"/>
        <w:tabs>
          <w:tab w:leader="none" w:pos="1020" w:val="left"/>
        </w:tabs>
        <w:numPr>
          <w:ilvl w:val="0"/>
          <w:numId w:val="9"/>
        </w:numPr>
        <w:rPr>
          <w:rFonts w:ascii="Arial" w:cs="Arial" w:eastAsia="Arial" w:hAnsi="Arial"/>
          <w:sz w:val="18"/>
          <w:szCs w:val="18"/>
          <w:color w:val="477258"/>
        </w:rPr>
      </w:pPr>
      <w:r>
        <w:rPr>
          <w:rFonts w:ascii="Arial" w:cs="Arial" w:eastAsia="Arial" w:hAnsi="Arial"/>
          <w:sz w:val="18"/>
          <w:szCs w:val="18"/>
          <w:color w:val="auto"/>
        </w:rPr>
        <w:t>Review executive officer certifications related to our reports and filings.</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Independent Auditor</w:t>
      </w:r>
    </w:p>
    <w:p>
      <w:pPr>
        <w:spacing w:after="0" w:line="85" w:lineRule="exact"/>
        <w:rPr>
          <w:sz w:val="20"/>
          <w:szCs w:val="20"/>
          <w:color w:val="auto"/>
        </w:rPr>
      </w:pPr>
    </w:p>
    <w:p>
      <w:pPr>
        <w:ind w:left="1020" w:right="380" w:hanging="177"/>
        <w:spacing w:after="0" w:line="227" w:lineRule="auto"/>
        <w:tabs>
          <w:tab w:leader="none" w:pos="1020" w:val="left"/>
        </w:tabs>
        <w:numPr>
          <w:ilvl w:val="0"/>
          <w:numId w:val="10"/>
        </w:numPr>
        <w:rPr>
          <w:rFonts w:ascii="Arial" w:cs="Arial" w:eastAsia="Arial" w:hAnsi="Arial"/>
          <w:sz w:val="18"/>
          <w:szCs w:val="18"/>
          <w:color w:val="477258"/>
        </w:rPr>
      </w:pPr>
      <w:r>
        <w:rPr>
          <w:rFonts w:ascii="Arial" w:cs="Arial" w:eastAsia="Arial" w:hAnsi="Arial"/>
          <w:sz w:val="18"/>
          <w:szCs w:val="18"/>
          <w:color w:val="auto"/>
        </w:rPr>
        <w:t>Engage an independent auditor, determine the auditor’s compensation and replace the auditor if necessary;</w:t>
      </w:r>
    </w:p>
    <w:p>
      <w:pPr>
        <w:spacing w:after="0" w:line="53" w:lineRule="exact"/>
        <w:rPr>
          <w:rFonts w:ascii="Arial" w:cs="Arial" w:eastAsia="Arial" w:hAnsi="Arial"/>
          <w:sz w:val="18"/>
          <w:szCs w:val="18"/>
          <w:color w:val="477258"/>
        </w:rPr>
      </w:pPr>
    </w:p>
    <w:p>
      <w:pPr>
        <w:ind w:left="1020" w:right="40" w:hanging="177"/>
        <w:spacing w:after="0" w:line="246" w:lineRule="auto"/>
        <w:tabs>
          <w:tab w:leader="none" w:pos="1020" w:val="left"/>
        </w:tabs>
        <w:numPr>
          <w:ilvl w:val="0"/>
          <w:numId w:val="10"/>
        </w:numPr>
        <w:rPr>
          <w:rFonts w:ascii="Arial" w:cs="Arial" w:eastAsia="Arial" w:hAnsi="Arial"/>
          <w:sz w:val="18"/>
          <w:szCs w:val="18"/>
          <w:color w:val="477258"/>
        </w:rPr>
      </w:pPr>
      <w:r>
        <w:rPr>
          <w:rFonts w:ascii="Arial" w:cs="Arial" w:eastAsia="Arial" w:hAnsi="Arial"/>
          <w:sz w:val="18"/>
          <w:szCs w:val="18"/>
          <w:color w:val="auto"/>
        </w:rPr>
        <w:t>Review the independence of the independent auditor and establish our policies for hiring current or former employees of the independent auditor;</w:t>
      </w:r>
    </w:p>
    <w:p>
      <w:pPr>
        <w:spacing w:after="0" w:line="61" w:lineRule="exact"/>
        <w:rPr>
          <w:rFonts w:ascii="Arial" w:cs="Arial" w:eastAsia="Arial" w:hAnsi="Arial"/>
          <w:sz w:val="18"/>
          <w:szCs w:val="18"/>
          <w:color w:val="477258"/>
        </w:rPr>
      </w:pPr>
    </w:p>
    <w:p>
      <w:pPr>
        <w:ind w:left="1020" w:right="40" w:hanging="177"/>
        <w:spacing w:after="0" w:line="246" w:lineRule="auto"/>
        <w:tabs>
          <w:tab w:leader="none" w:pos="1020" w:val="left"/>
        </w:tabs>
        <w:numPr>
          <w:ilvl w:val="0"/>
          <w:numId w:val="10"/>
        </w:numPr>
        <w:rPr>
          <w:rFonts w:ascii="Arial" w:cs="Arial" w:eastAsia="Arial" w:hAnsi="Arial"/>
          <w:sz w:val="18"/>
          <w:szCs w:val="18"/>
          <w:color w:val="477258"/>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48" w:lineRule="exact"/>
        <w:rPr>
          <w:rFonts w:ascii="Arial" w:cs="Arial" w:eastAsia="Arial" w:hAnsi="Arial"/>
          <w:sz w:val="18"/>
          <w:szCs w:val="18"/>
          <w:color w:val="477258"/>
        </w:rPr>
      </w:pPr>
    </w:p>
    <w:p>
      <w:pPr>
        <w:ind w:left="1020" w:hanging="177"/>
        <w:spacing w:after="0"/>
        <w:tabs>
          <w:tab w:leader="none" w:pos="1020" w:val="left"/>
        </w:tabs>
        <w:numPr>
          <w:ilvl w:val="0"/>
          <w:numId w:val="10"/>
        </w:numPr>
        <w:rPr>
          <w:rFonts w:ascii="Arial" w:cs="Arial" w:eastAsia="Arial" w:hAnsi="Arial"/>
          <w:sz w:val="18"/>
          <w:szCs w:val="18"/>
          <w:color w:val="477258"/>
        </w:rPr>
      </w:pPr>
      <w:r>
        <w:rPr>
          <w:rFonts w:ascii="Arial" w:cs="Arial" w:eastAsia="Arial" w:hAnsi="Arial"/>
          <w:sz w:val="18"/>
          <w:szCs w:val="18"/>
          <w:color w:val="auto"/>
        </w:rPr>
        <w:t>Pre-approve all services, including non-audit engagements, provided by the independent auditor.</w:t>
      </w:r>
    </w:p>
    <w:p>
      <w:pPr>
        <w:spacing w:after="0" w:line="27" w:lineRule="exact"/>
        <w:rPr>
          <w:rFonts w:ascii="Arial" w:cs="Arial" w:eastAsia="Arial" w:hAnsi="Arial"/>
          <w:sz w:val="18"/>
          <w:szCs w:val="18"/>
          <w:color w:val="477258"/>
        </w:rPr>
      </w:pPr>
    </w:p>
    <w:p>
      <w:pPr>
        <w:ind w:left="840"/>
        <w:spacing w:after="0"/>
        <w:rPr>
          <w:rFonts w:ascii="Arial" w:cs="Arial" w:eastAsia="Arial" w:hAnsi="Arial"/>
          <w:sz w:val="18"/>
          <w:szCs w:val="18"/>
          <w:color w:val="477258"/>
        </w:rPr>
      </w:pPr>
      <w:r>
        <w:rPr>
          <w:rFonts w:ascii="Arial" w:cs="Arial" w:eastAsia="Arial" w:hAnsi="Arial"/>
          <w:sz w:val="18"/>
          <w:szCs w:val="18"/>
          <w:b w:val="1"/>
          <w:bCs w:val="1"/>
          <w:i w:val="1"/>
          <w:iCs w:val="1"/>
          <w:color w:val="auto"/>
        </w:rPr>
        <w:t>Internal Audit</w:t>
      </w:r>
    </w:p>
    <w:p>
      <w:pPr>
        <w:spacing w:after="0" w:line="85" w:lineRule="exact"/>
        <w:rPr>
          <w:rFonts w:ascii="Arial" w:cs="Arial" w:eastAsia="Arial" w:hAnsi="Arial"/>
          <w:sz w:val="18"/>
          <w:szCs w:val="18"/>
          <w:color w:val="477258"/>
        </w:rPr>
      </w:pPr>
    </w:p>
    <w:p>
      <w:pPr>
        <w:ind w:left="1020" w:hanging="177"/>
        <w:spacing w:after="0"/>
        <w:tabs>
          <w:tab w:leader="none" w:pos="1020" w:val="left"/>
        </w:tabs>
        <w:numPr>
          <w:ilvl w:val="0"/>
          <w:numId w:val="10"/>
        </w:numPr>
        <w:rPr>
          <w:rFonts w:ascii="Arial" w:cs="Arial" w:eastAsia="Arial" w:hAnsi="Arial"/>
          <w:sz w:val="18"/>
          <w:szCs w:val="18"/>
          <w:color w:val="477258"/>
        </w:rPr>
      </w:pPr>
      <w:r>
        <w:rPr>
          <w:rFonts w:ascii="Arial" w:cs="Arial" w:eastAsia="Arial" w:hAnsi="Arial"/>
          <w:sz w:val="18"/>
          <w:szCs w:val="18"/>
          <w:color w:val="auto"/>
        </w:rPr>
        <w:t>Review the plans, staffing, reports and activities of the internal auditors; and</w:t>
      </w:r>
    </w:p>
    <w:p>
      <w:pPr>
        <w:spacing w:after="0" w:line="63" w:lineRule="exact"/>
        <w:rPr>
          <w:rFonts w:ascii="Arial" w:cs="Arial" w:eastAsia="Arial" w:hAnsi="Arial"/>
          <w:sz w:val="18"/>
          <w:szCs w:val="18"/>
          <w:color w:val="477258"/>
        </w:rPr>
      </w:pPr>
    </w:p>
    <w:p>
      <w:pPr>
        <w:jc w:val="both"/>
        <w:ind w:left="1020" w:right="40" w:hanging="177"/>
        <w:spacing w:after="0"/>
        <w:tabs>
          <w:tab w:leader="none" w:pos="1020" w:val="left"/>
        </w:tabs>
        <w:numPr>
          <w:ilvl w:val="0"/>
          <w:numId w:val="10"/>
        </w:numPr>
        <w:rPr>
          <w:rFonts w:ascii="Arial" w:cs="Arial" w:eastAsia="Arial" w:hAnsi="Arial"/>
          <w:sz w:val="18"/>
          <w:szCs w:val="18"/>
          <w:color w:val="477258"/>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191770</wp:posOffset>
            </wp:positionV>
            <wp:extent cx="57607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27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4025" cy="128270"/>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128905</wp:posOffset>
            </wp:positionV>
            <wp:extent cx="6831965" cy="84524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8452485"/>
                    </a:xfrm>
                    <a:prstGeom prst="rect">
                      <a:avLst/>
                    </a:prstGeom>
                    <a:noFill/>
                  </pic:spPr>
                </pic:pic>
              </a:graphicData>
            </a:graphic>
          </wp:anchor>
        </w:drawing>
      </w:r>
    </w:p>
    <w:p>
      <w:pPr>
        <w:spacing w:after="0" w:line="314" w:lineRule="exact"/>
        <w:rPr>
          <w:sz w:val="20"/>
          <w:szCs w:val="20"/>
          <w:color w:val="auto"/>
        </w:rPr>
      </w:pPr>
    </w:p>
    <w:p>
      <w:pPr>
        <w:ind w:left="840"/>
        <w:spacing w:after="0"/>
        <w:rPr>
          <w:sz w:val="20"/>
          <w:szCs w:val="20"/>
          <w:color w:val="auto"/>
        </w:rPr>
      </w:pPr>
      <w:r>
        <w:rPr>
          <w:rFonts w:ascii="Arial" w:cs="Arial" w:eastAsia="Arial" w:hAnsi="Arial"/>
          <w:sz w:val="25"/>
          <w:szCs w:val="25"/>
          <w:b w:val="1"/>
          <w:bCs w:val="1"/>
          <w:color w:val="auto"/>
        </w:rPr>
        <w:t>AUDIT COMMITTEE REPORT</w:t>
      </w:r>
    </w:p>
    <w:p>
      <w:pPr>
        <w:spacing w:after="0" w:line="134" w:lineRule="exact"/>
        <w:rPr>
          <w:sz w:val="20"/>
          <w:szCs w:val="20"/>
          <w:color w:val="auto"/>
        </w:rPr>
      </w:pPr>
    </w:p>
    <w:p>
      <w:pPr>
        <w:jc w:val="both"/>
        <w:ind w:left="840" w:right="40"/>
        <w:spacing w:after="0" w:line="252" w:lineRule="auto"/>
        <w:rPr>
          <w:sz w:val="20"/>
          <w:szCs w:val="20"/>
          <w:color w:val="auto"/>
        </w:rPr>
      </w:pPr>
      <w:r>
        <w:rPr>
          <w:rFonts w:ascii="Arial" w:cs="Arial" w:eastAsia="Arial" w:hAnsi="Arial"/>
          <w:sz w:val="18"/>
          <w:szCs w:val="18"/>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288" w:lineRule="exact"/>
        <w:rPr>
          <w:sz w:val="20"/>
          <w:szCs w:val="20"/>
          <w:color w:val="auto"/>
        </w:rPr>
      </w:pPr>
    </w:p>
    <w:p>
      <w:pPr>
        <w:jc w:val="both"/>
        <w:ind w:left="840" w:right="40"/>
        <w:spacing w:after="0" w:line="254" w:lineRule="auto"/>
        <w:rPr>
          <w:sz w:val="20"/>
          <w:szCs w:val="20"/>
          <w:color w:val="auto"/>
        </w:rPr>
      </w:pPr>
      <w:r>
        <w:rPr>
          <w:rFonts w:ascii="Arial" w:cs="Arial" w:eastAsia="Arial" w:hAnsi="Arial"/>
          <w:sz w:val="18"/>
          <w:szCs w:val="18"/>
          <w:color w:val="auto"/>
        </w:rPr>
        <w:t>The Audit Committee has reviewed and discussed the Company’s audited financial statements as of and for the year ended December 31, 2020 with management and the independent registered public accounting firm, and has taken the following steps in making its recommendation that the Company’s financial statements be included in its annual report:</w:t>
      </w:r>
    </w:p>
    <w:p>
      <w:pPr>
        <w:spacing w:after="0" w:line="69" w:lineRule="exact"/>
        <w:rPr>
          <w:sz w:val="20"/>
          <w:szCs w:val="20"/>
          <w:color w:val="auto"/>
        </w:rPr>
      </w:pPr>
    </w:p>
    <w:p>
      <w:pPr>
        <w:jc w:val="both"/>
        <w:ind w:left="1020" w:right="40" w:hanging="177"/>
        <w:spacing w:after="0" w:line="253" w:lineRule="auto"/>
        <w:tabs>
          <w:tab w:leader="none" w:pos="1020" w:val="left"/>
        </w:tabs>
        <w:numPr>
          <w:ilvl w:val="0"/>
          <w:numId w:val="11"/>
        </w:numPr>
        <w:rPr>
          <w:rFonts w:ascii="Arial" w:cs="Arial" w:eastAsia="Arial" w:hAnsi="Arial"/>
          <w:sz w:val="18"/>
          <w:szCs w:val="18"/>
          <w:color w:val="477258"/>
        </w:rPr>
      </w:pPr>
      <w:r>
        <w:rPr>
          <w:rFonts w:ascii="Arial" w:cs="Arial" w:eastAsia="Arial" w:hAnsi="Arial"/>
          <w:sz w:val="18"/>
          <w:szCs w:val="18"/>
          <w:color w:val="auto"/>
        </w:rPr>
        <w:t>First, the Audit Committee discussed with Ernst &amp; Young LLP, the Company’s independent registered public accounting firm for fiscal year 2020, those matters required to be discussed by the applicable requirements of the Public Company Accounting Oversight Board (United States) and the SEC, including information regarding the scope and results of the audit. These communications and discussions are intended to assist the Audit Committee in overseeing the financial reporting and disclosure process.</w:t>
      </w:r>
    </w:p>
    <w:p>
      <w:pPr>
        <w:spacing w:after="0" w:line="286" w:lineRule="exact"/>
        <w:rPr>
          <w:rFonts w:ascii="Arial" w:cs="Arial" w:eastAsia="Arial" w:hAnsi="Arial"/>
          <w:sz w:val="18"/>
          <w:szCs w:val="18"/>
          <w:color w:val="477258"/>
        </w:rPr>
      </w:pPr>
    </w:p>
    <w:p>
      <w:pPr>
        <w:jc w:val="both"/>
        <w:ind w:left="1020" w:right="40" w:hanging="177"/>
        <w:spacing w:after="0" w:line="253" w:lineRule="auto"/>
        <w:tabs>
          <w:tab w:leader="none" w:pos="1020" w:val="left"/>
        </w:tabs>
        <w:numPr>
          <w:ilvl w:val="0"/>
          <w:numId w:val="11"/>
        </w:numPr>
        <w:rPr>
          <w:rFonts w:ascii="Arial" w:cs="Arial" w:eastAsia="Arial" w:hAnsi="Arial"/>
          <w:sz w:val="18"/>
          <w:szCs w:val="18"/>
          <w:color w:val="477258"/>
        </w:rPr>
      </w:pPr>
      <w:r>
        <w:rPr>
          <w:rFonts w:ascii="Arial" w:cs="Arial" w:eastAsia="Arial" w:hAnsi="Arial"/>
          <w:sz w:val="18"/>
          <w:szCs w:val="18"/>
          <w:color w:val="auto"/>
        </w:rPr>
        <w:t>Second, the Audit Committee discussed with Ernst &amp; Young LLP its independence and received from Ernst &amp; Young LLP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286" w:lineRule="exact"/>
        <w:rPr>
          <w:rFonts w:ascii="Arial" w:cs="Arial" w:eastAsia="Arial" w:hAnsi="Arial"/>
          <w:sz w:val="18"/>
          <w:szCs w:val="18"/>
          <w:color w:val="477258"/>
        </w:rPr>
      </w:pPr>
    </w:p>
    <w:p>
      <w:pPr>
        <w:jc w:val="both"/>
        <w:ind w:left="1020" w:right="40" w:hanging="177"/>
        <w:spacing w:after="0" w:line="253" w:lineRule="auto"/>
        <w:tabs>
          <w:tab w:leader="none" w:pos="1020" w:val="left"/>
        </w:tabs>
        <w:numPr>
          <w:ilvl w:val="0"/>
          <w:numId w:val="11"/>
        </w:numPr>
        <w:rPr>
          <w:rFonts w:ascii="Arial" w:cs="Arial" w:eastAsia="Arial" w:hAnsi="Arial"/>
          <w:sz w:val="18"/>
          <w:szCs w:val="18"/>
          <w:color w:val="477258"/>
        </w:rPr>
      </w:pPr>
      <w:r>
        <w:rPr>
          <w:rFonts w:ascii="Arial" w:cs="Arial" w:eastAsia="Arial" w:hAnsi="Arial"/>
          <w:sz w:val="18"/>
          <w:szCs w:val="18"/>
          <w:color w:val="auto"/>
        </w:rPr>
        <w:t>Third, the Audit Committee met periodically with members of management, the internal auditors and Ernst &amp; Young LLP to review and discuss internal controls over financial reporting. Further, the Audit Committee reviewed and discussed management’s report on internal control over financial reporting as of December 31, 2020, as well as Ernst &amp; Young LLP’s report regarding the effectiveness of internal control over financial reporting.</w:t>
      </w:r>
    </w:p>
    <w:p>
      <w:pPr>
        <w:spacing w:after="0" w:line="70" w:lineRule="exact"/>
        <w:rPr>
          <w:rFonts w:ascii="Arial" w:cs="Arial" w:eastAsia="Arial" w:hAnsi="Arial"/>
          <w:sz w:val="18"/>
          <w:szCs w:val="18"/>
          <w:color w:val="477258"/>
        </w:rPr>
      </w:pPr>
    </w:p>
    <w:p>
      <w:pPr>
        <w:jc w:val="both"/>
        <w:ind w:left="1020" w:right="40" w:hanging="177"/>
        <w:spacing w:after="0" w:line="253" w:lineRule="auto"/>
        <w:tabs>
          <w:tab w:leader="none" w:pos="1020" w:val="left"/>
        </w:tabs>
        <w:numPr>
          <w:ilvl w:val="0"/>
          <w:numId w:val="11"/>
        </w:numPr>
        <w:rPr>
          <w:rFonts w:ascii="Arial" w:cs="Arial" w:eastAsia="Arial" w:hAnsi="Arial"/>
          <w:sz w:val="18"/>
          <w:szCs w:val="18"/>
          <w:color w:val="477258"/>
        </w:rPr>
      </w:pPr>
      <w:r>
        <w:rPr>
          <w:rFonts w:ascii="Arial" w:cs="Arial" w:eastAsia="Arial" w:hAnsi="Arial"/>
          <w:sz w:val="18"/>
          <w:szCs w:val="18"/>
          <w:color w:val="auto"/>
        </w:rPr>
        <w:t>Finally, the Audit Committee reviewed and discussed, with the Company’s management and Ernst &amp; Young LLP, the Company’s audited consolidated balance sheet as of December 31, 2020, and consolidated statements of operations, comprehensive income, cash flows and changes in equity for the fiscal year ended December 31, 2020, including the quality, not just the acceptability, of the accounting principles, the reasonableness of significant judgments and the clarity of the disclosure.</w:t>
      </w:r>
    </w:p>
    <w:p>
      <w:pPr>
        <w:spacing w:after="0" w:line="70" w:lineRule="exact"/>
        <w:rPr>
          <w:sz w:val="20"/>
          <w:szCs w:val="20"/>
          <w:color w:val="auto"/>
        </w:rPr>
      </w:pPr>
    </w:p>
    <w:p>
      <w:pPr>
        <w:jc w:val="both"/>
        <w:ind w:left="840" w:right="40"/>
        <w:spacing w:after="0" w:line="253" w:lineRule="auto"/>
        <w:rPr>
          <w:sz w:val="20"/>
          <w:szCs w:val="20"/>
          <w:color w:val="auto"/>
        </w:rPr>
      </w:pPr>
      <w:r>
        <w:rPr>
          <w:rFonts w:ascii="Arial" w:cs="Arial" w:eastAsia="Arial" w:hAnsi="Arial"/>
          <w:sz w:val="18"/>
          <w:szCs w:val="18"/>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70" w:lineRule="exact"/>
        <w:rPr>
          <w:sz w:val="20"/>
          <w:szCs w:val="20"/>
          <w:color w:val="auto"/>
        </w:rPr>
      </w:pPr>
    </w:p>
    <w:p>
      <w:pPr>
        <w:jc w:val="both"/>
        <w:ind w:left="840" w:right="40"/>
        <w:spacing w:after="0" w:line="253" w:lineRule="auto"/>
        <w:rPr>
          <w:sz w:val="20"/>
          <w:szCs w:val="20"/>
          <w:color w:val="auto"/>
        </w:rPr>
      </w:pPr>
      <w:r>
        <w:rPr>
          <w:rFonts w:ascii="Arial" w:cs="Arial" w:eastAsia="Arial" w:hAnsi="Arial"/>
          <w:sz w:val="18"/>
          <w:szCs w:val="18"/>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70" w:lineRule="exact"/>
        <w:rPr>
          <w:sz w:val="20"/>
          <w:szCs w:val="20"/>
          <w:color w:val="auto"/>
        </w:rPr>
      </w:pPr>
    </w:p>
    <w:p>
      <w:pPr>
        <w:jc w:val="both"/>
        <w:ind w:left="840" w:right="40"/>
        <w:spacing w:after="0" w:line="253" w:lineRule="auto"/>
        <w:rPr>
          <w:sz w:val="20"/>
          <w:szCs w:val="20"/>
          <w:color w:val="auto"/>
        </w:rPr>
      </w:pPr>
      <w:r>
        <w:rPr>
          <w:rFonts w:ascii="Arial" w:cs="Arial" w:eastAsia="Arial" w:hAnsi="Arial"/>
          <w:sz w:val="18"/>
          <w:szCs w:val="18"/>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2020. The Committee has also approved the selection of Ernst &amp; Young LLP as the Company’s independent registered public accounting firm for fiscal year 2021.</w:t>
      </w:r>
    </w:p>
    <w:p>
      <w:pPr>
        <w:spacing w:after="0" w:line="35" w:lineRule="exact"/>
        <w:rPr>
          <w:sz w:val="20"/>
          <w:szCs w:val="20"/>
          <w:color w:val="auto"/>
        </w:rPr>
      </w:pPr>
    </w:p>
    <w:tbl>
      <w:tblPr>
        <w:tblLayout w:type="fixed"/>
        <w:tblInd w:w="820" w:type="dxa"/>
        <w:tblCellMar>
          <w:top w:w="0" w:type="dxa"/>
          <w:left w:w="0" w:type="dxa"/>
          <w:bottom w:w="0" w:type="dxa"/>
          <w:right w:w="0" w:type="dxa"/>
        </w:tblCellMar>
      </w:tblPr>
      <w:tr>
        <w:trPr>
          <w:trHeight w:val="23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The Audit Committee of the Board of Directors</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460" w:type="dxa"/>
            <w:vAlign w:val="bottom"/>
          </w:tcPr>
          <w:p>
            <w:pPr>
              <w:ind w:left="20"/>
              <w:spacing w:after="0"/>
              <w:rPr>
                <w:sz w:val="20"/>
                <w:szCs w:val="20"/>
                <w:color w:val="auto"/>
              </w:rPr>
            </w:pPr>
            <w:r>
              <w:rPr>
                <w:rFonts w:ascii="Arial" w:cs="Arial" w:eastAsia="Arial" w:hAnsi="Arial"/>
                <w:sz w:val="18"/>
                <w:szCs w:val="18"/>
                <w:color w:val="auto"/>
              </w:rPr>
              <w:t xml:space="preserve">William B. Plummer, </w:t>
            </w:r>
            <w:r>
              <w:rPr>
                <w:rFonts w:ascii="Arial" w:cs="Arial" w:eastAsia="Arial" w:hAnsi="Arial"/>
                <w:sz w:val="18"/>
                <w:szCs w:val="18"/>
                <w:i w:val="1"/>
                <w:iCs w:val="1"/>
                <w:color w:val="auto"/>
              </w:rPr>
              <w:t>Chairman</w:t>
            </w:r>
          </w:p>
        </w:tc>
        <w:tc>
          <w:tcPr>
            <w:tcW w:w="3600" w:type="dxa"/>
            <w:vAlign w:val="bottom"/>
            <w:vMerge w:val="restart"/>
          </w:tcPr>
          <w:p>
            <w:pPr>
              <w:ind w:left="1080"/>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32"/>
                <w:szCs w:val="32"/>
                <w:b w:val="1"/>
                <w:bCs w:val="1"/>
                <w:color w:val="477258"/>
              </w:rPr>
              <w:t>|</w:t>
            </w:r>
            <w:r>
              <w:rPr>
                <w:rFonts w:ascii="Arial" w:cs="Arial" w:eastAsia="Arial" w:hAnsi="Arial"/>
                <w:sz w:val="18"/>
                <w:szCs w:val="18"/>
                <w:color w:val="auto"/>
              </w:rPr>
              <w:t xml:space="preserve"> 9</w:t>
            </w: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Frank M. Clark, Jr.</w:t>
            </w: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Andrés R. Gluski</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Victoria M. Holt</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tcPr>
          <w:p>
            <w:pPr>
              <w:ind w:left="20"/>
              <w:spacing w:after="0"/>
              <w:rPr>
                <w:sz w:val="20"/>
                <w:szCs w:val="20"/>
                <w:color w:val="auto"/>
              </w:rPr>
            </w:pPr>
            <w:r>
              <w:rPr>
                <w:rFonts w:ascii="Arial" w:cs="Arial" w:eastAsia="Arial" w:hAnsi="Arial"/>
                <w:sz w:val="18"/>
                <w:szCs w:val="18"/>
                <w:color w:val="auto"/>
              </w:rPr>
              <w:t>Thomas H. Weidemeyer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60" w:type="dxa"/>
            <w:vAlign w:val="bottom"/>
            <w:tcBorders>
              <w:bottom w:val="single" w:sz="8" w:color="477258"/>
            </w:tcBorders>
          </w:tcPr>
          <w:p>
            <w:pPr>
              <w:spacing w:after="0"/>
              <w:rPr>
                <w:sz w:val="9"/>
                <w:szCs w:val="9"/>
                <w:color w:val="auto"/>
              </w:rPr>
            </w:pPr>
          </w:p>
        </w:tc>
        <w:tc>
          <w:tcPr>
            <w:tcW w:w="3600" w:type="dxa"/>
            <w:vAlign w:val="bottom"/>
            <w:tcBorders>
              <w:bottom w:val="single" w:sz="8" w:color="477258"/>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880"/>
          </w:cols>
          <w:pgMar w:left="580" w:top="132" w:right="1439"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128905</wp:posOffset>
            </wp:positionV>
            <wp:extent cx="5760720" cy="8152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60720" cy="8152130"/>
                    </a:xfrm>
                    <a:prstGeom prst="rect">
                      <a:avLst/>
                    </a:prstGeom>
                    <a:noFill/>
                  </pic:spPr>
                </pic:pic>
              </a:graphicData>
            </a:graphic>
          </wp:anchor>
        </w:drawing>
      </w:r>
    </w:p>
    <w:p>
      <w:pPr>
        <w:spacing w:after="0" w:line="355" w:lineRule="exact"/>
        <w:rPr>
          <w:sz w:val="20"/>
          <w:szCs w:val="20"/>
          <w:color w:val="auto"/>
        </w:rPr>
      </w:pPr>
    </w:p>
    <w:p>
      <w:pPr>
        <w:ind w:left="840" w:right="1380"/>
        <w:spacing w:after="0" w:line="265" w:lineRule="auto"/>
        <w:rPr>
          <w:sz w:val="20"/>
          <w:szCs w:val="20"/>
          <w:color w:val="auto"/>
        </w:rPr>
      </w:pPr>
      <w:r>
        <w:rPr>
          <w:rFonts w:ascii="Arial" w:cs="Arial" w:eastAsia="Arial" w:hAnsi="Arial"/>
          <w:sz w:val="25"/>
          <w:szCs w:val="25"/>
          <w:b w:val="1"/>
          <w:bCs w:val="1"/>
          <w:color w:val="auto"/>
        </w:rPr>
        <w:t>THE MANAGEMENT DEVELOPMENT AND COMPENSATION COMMITTEE</w:t>
      </w:r>
    </w:p>
    <w:p>
      <w:pPr>
        <w:spacing w:after="0" w:line="61" w:lineRule="exact"/>
        <w:rPr>
          <w:sz w:val="20"/>
          <w:szCs w:val="20"/>
          <w:color w:val="auto"/>
        </w:rPr>
      </w:pPr>
    </w:p>
    <w:tbl>
      <w:tblPr>
        <w:tblLayout w:type="fixed"/>
        <w:tblInd w:w="840" w:type="dxa"/>
        <w:tblCellMar>
          <w:top w:w="0" w:type="dxa"/>
          <w:left w:w="0" w:type="dxa"/>
          <w:bottom w:w="0" w:type="dxa"/>
          <w:right w:w="0" w:type="dxa"/>
        </w:tblCellMar>
      </w:tblPr>
      <w:tr>
        <w:trPr>
          <w:trHeight w:val="239"/>
        </w:trPr>
        <w:tc>
          <w:tcPr>
            <w:tcW w:w="3100" w:type="dxa"/>
            <w:vAlign w:val="bottom"/>
          </w:tcPr>
          <w:p>
            <w:pPr>
              <w:ind w:left="60"/>
              <w:spacing w:after="0"/>
              <w:rPr>
                <w:sz w:val="20"/>
                <w:szCs w:val="20"/>
                <w:color w:val="auto"/>
              </w:rPr>
            </w:pPr>
            <w:r>
              <w:rPr>
                <w:rFonts w:ascii="Arial" w:cs="Arial" w:eastAsia="Arial" w:hAnsi="Arial"/>
                <w:sz w:val="18"/>
                <w:szCs w:val="18"/>
                <w:b w:val="1"/>
                <w:bCs w:val="1"/>
                <w:color w:val="auto"/>
              </w:rPr>
              <w:t>Members:</w:t>
            </w:r>
          </w:p>
        </w:tc>
        <w:tc>
          <w:tcPr>
            <w:tcW w:w="5940" w:type="dxa"/>
            <w:vAlign w:val="bottom"/>
          </w:tcPr>
          <w:p>
            <w:pPr>
              <w:ind w:left="2040"/>
              <w:spacing w:after="0"/>
              <w:rPr>
                <w:sz w:val="20"/>
                <w:szCs w:val="20"/>
                <w:color w:val="auto"/>
              </w:rPr>
            </w:pPr>
            <w:r>
              <w:rPr>
                <w:rFonts w:ascii="Arial" w:cs="Arial" w:eastAsia="Arial" w:hAnsi="Arial"/>
                <w:sz w:val="18"/>
                <w:szCs w:val="18"/>
                <w:b w:val="1"/>
                <w:bCs w:val="1"/>
                <w:color w:val="auto"/>
              </w:rPr>
              <w:t>Number of Meetings Held in 2020: 5</w:t>
            </w:r>
          </w:p>
        </w:tc>
      </w:tr>
      <w:tr>
        <w:trPr>
          <w:trHeight w:val="207"/>
        </w:trPr>
        <w:tc>
          <w:tcPr>
            <w:tcW w:w="3100" w:type="dxa"/>
            <w:vAlign w:val="bottom"/>
            <w:shd w:val="clear" w:color="auto" w:fill="E3EAE6"/>
          </w:tcPr>
          <w:p>
            <w:pPr>
              <w:ind w:left="80"/>
              <w:spacing w:after="0"/>
              <w:rPr>
                <w:sz w:val="20"/>
                <w:szCs w:val="20"/>
                <w:color w:val="auto"/>
              </w:rPr>
            </w:pPr>
            <w:r>
              <w:rPr>
                <w:rFonts w:ascii="Arial" w:cs="Arial" w:eastAsia="Arial" w:hAnsi="Arial"/>
                <w:sz w:val="18"/>
                <w:szCs w:val="18"/>
                <w:b w:val="1"/>
                <w:bCs w:val="1"/>
                <w:color w:val="auto"/>
              </w:rPr>
              <w:t xml:space="preserve">Frank M. Clark, Jr., </w:t>
            </w:r>
            <w:r>
              <w:rPr>
                <w:rFonts w:ascii="Arial" w:cs="Arial" w:eastAsia="Arial" w:hAnsi="Arial"/>
                <w:sz w:val="18"/>
                <w:szCs w:val="18"/>
                <w:b w:val="1"/>
                <w:bCs w:val="1"/>
                <w:i w:val="1"/>
                <w:iCs w:val="1"/>
                <w:color w:val="auto"/>
              </w:rPr>
              <w:t>Chairman</w:t>
            </w:r>
          </w:p>
        </w:tc>
        <w:tc>
          <w:tcPr>
            <w:tcW w:w="5940" w:type="dxa"/>
            <w:vAlign w:val="bottom"/>
            <w:shd w:val="clear" w:color="auto" w:fill="E3EAE6"/>
          </w:tcPr>
          <w:p>
            <w:pPr>
              <w:ind w:left="280"/>
              <w:spacing w:after="0"/>
              <w:rPr>
                <w:sz w:val="20"/>
                <w:szCs w:val="20"/>
                <w:color w:val="auto"/>
              </w:rPr>
            </w:pPr>
            <w:r>
              <w:rPr>
                <w:rFonts w:ascii="Arial" w:cs="Arial" w:eastAsia="Arial" w:hAnsi="Arial"/>
                <w:sz w:val="18"/>
                <w:szCs w:val="18"/>
                <w:b w:val="1"/>
                <w:bCs w:val="1"/>
                <w:color w:val="auto"/>
              </w:rPr>
              <w:t>John C. Pope</w:t>
            </w:r>
          </w:p>
        </w:tc>
      </w:tr>
      <w:tr>
        <w:trPr>
          <w:trHeight w:val="202"/>
        </w:trPr>
        <w:tc>
          <w:tcPr>
            <w:tcW w:w="3100" w:type="dxa"/>
            <w:vAlign w:val="bottom"/>
            <w:shd w:val="clear" w:color="auto" w:fill="E3EAE6"/>
          </w:tcPr>
          <w:p>
            <w:pPr>
              <w:ind w:left="80"/>
              <w:spacing w:after="0" w:line="202" w:lineRule="exact"/>
              <w:rPr>
                <w:sz w:val="20"/>
                <w:szCs w:val="20"/>
                <w:color w:val="auto"/>
              </w:rPr>
            </w:pPr>
            <w:r>
              <w:rPr>
                <w:rFonts w:ascii="Arial" w:cs="Arial" w:eastAsia="Arial" w:hAnsi="Arial"/>
                <w:sz w:val="18"/>
                <w:szCs w:val="18"/>
                <w:b w:val="1"/>
                <w:bCs w:val="1"/>
                <w:color w:val="auto"/>
              </w:rPr>
              <w:t>Andrés R. Gluski</w:t>
            </w:r>
          </w:p>
        </w:tc>
        <w:tc>
          <w:tcPr>
            <w:tcW w:w="5940" w:type="dxa"/>
            <w:vAlign w:val="bottom"/>
            <w:shd w:val="clear" w:color="auto" w:fill="E3EAE6"/>
          </w:tcPr>
          <w:p>
            <w:pPr>
              <w:ind w:left="280"/>
              <w:spacing w:after="0" w:line="202" w:lineRule="exact"/>
              <w:rPr>
                <w:sz w:val="20"/>
                <w:szCs w:val="20"/>
                <w:color w:val="auto"/>
              </w:rPr>
            </w:pPr>
            <w:r>
              <w:rPr>
                <w:rFonts w:ascii="Arial" w:cs="Arial" w:eastAsia="Arial" w:hAnsi="Arial"/>
                <w:sz w:val="18"/>
                <w:szCs w:val="18"/>
                <w:b w:val="1"/>
                <w:bCs w:val="1"/>
                <w:color w:val="auto"/>
              </w:rPr>
              <w:t>Maryrose T. Sylvester</w:t>
            </w:r>
          </w:p>
        </w:tc>
      </w:tr>
      <w:tr>
        <w:trPr>
          <w:trHeight w:val="203"/>
        </w:trPr>
        <w:tc>
          <w:tcPr>
            <w:tcW w:w="3100" w:type="dxa"/>
            <w:vAlign w:val="bottom"/>
            <w:shd w:val="clear" w:color="auto" w:fill="E3EAE6"/>
          </w:tcPr>
          <w:p>
            <w:pPr>
              <w:ind w:left="80"/>
              <w:spacing w:after="0" w:line="202" w:lineRule="exact"/>
              <w:rPr>
                <w:sz w:val="20"/>
                <w:szCs w:val="20"/>
                <w:color w:val="auto"/>
              </w:rPr>
            </w:pPr>
            <w:r>
              <w:rPr>
                <w:rFonts w:ascii="Arial" w:cs="Arial" w:eastAsia="Arial" w:hAnsi="Arial"/>
                <w:sz w:val="18"/>
                <w:szCs w:val="18"/>
                <w:b w:val="1"/>
                <w:bCs w:val="1"/>
                <w:color w:val="auto"/>
              </w:rPr>
              <w:t>Kathleen M. Mazzarella</w:t>
            </w:r>
          </w:p>
        </w:tc>
        <w:tc>
          <w:tcPr>
            <w:tcW w:w="5940" w:type="dxa"/>
            <w:vAlign w:val="bottom"/>
            <w:shd w:val="clear" w:color="auto" w:fill="E3EAE6"/>
          </w:tcPr>
          <w:p>
            <w:pPr>
              <w:ind w:left="280"/>
              <w:spacing w:after="0" w:line="202" w:lineRule="exact"/>
              <w:rPr>
                <w:sz w:val="20"/>
                <w:szCs w:val="20"/>
                <w:color w:val="auto"/>
              </w:rPr>
            </w:pPr>
            <w:r>
              <w:rPr>
                <w:rFonts w:ascii="Arial" w:cs="Arial" w:eastAsia="Arial" w:hAnsi="Arial"/>
                <w:sz w:val="18"/>
                <w:szCs w:val="18"/>
                <w:b w:val="1"/>
                <w:bCs w:val="1"/>
                <w:color w:val="auto"/>
              </w:rPr>
              <w:t>Thomas H. Weidemeyer</w:t>
            </w:r>
          </w:p>
        </w:tc>
      </w:tr>
      <w:tr>
        <w:trPr>
          <w:trHeight w:val="239"/>
        </w:trPr>
        <w:tc>
          <w:tcPr>
            <w:tcW w:w="3100" w:type="dxa"/>
            <w:vAlign w:val="bottom"/>
            <w:shd w:val="clear" w:color="auto" w:fill="E3EAE6"/>
          </w:tcPr>
          <w:p>
            <w:pPr>
              <w:ind w:left="80"/>
              <w:spacing w:after="0"/>
              <w:rPr>
                <w:sz w:val="20"/>
                <w:szCs w:val="20"/>
                <w:color w:val="auto"/>
              </w:rPr>
            </w:pPr>
            <w:r>
              <w:rPr>
                <w:rFonts w:ascii="Arial" w:cs="Arial" w:eastAsia="Arial" w:hAnsi="Arial"/>
                <w:sz w:val="18"/>
                <w:szCs w:val="18"/>
                <w:b w:val="1"/>
                <w:bCs w:val="1"/>
                <w:color w:val="auto"/>
              </w:rPr>
              <w:t>William B. Plummer</w:t>
            </w:r>
          </w:p>
        </w:tc>
        <w:tc>
          <w:tcPr>
            <w:tcW w:w="5940" w:type="dxa"/>
            <w:vAlign w:val="bottom"/>
            <w:shd w:val="clear" w:color="auto" w:fill="E3EAE6"/>
          </w:tcPr>
          <w:p>
            <w:pPr>
              <w:spacing w:after="0"/>
              <w:rPr>
                <w:sz w:val="20"/>
                <w:szCs w:val="20"/>
                <w:color w:val="auto"/>
              </w:rPr>
            </w:pPr>
          </w:p>
        </w:tc>
      </w:tr>
    </w:tbl>
    <w:p>
      <w:pPr>
        <w:spacing w:after="0" w:line="53" w:lineRule="exact"/>
        <w:rPr>
          <w:sz w:val="20"/>
          <w:szCs w:val="20"/>
          <w:color w:val="auto"/>
        </w:rPr>
      </w:pPr>
    </w:p>
    <w:p>
      <w:pPr>
        <w:jc w:val="both"/>
        <w:ind w:left="840" w:right="40"/>
        <w:spacing w:after="0"/>
        <w:rPr>
          <w:sz w:val="20"/>
          <w:szCs w:val="20"/>
          <w:color w:val="auto"/>
        </w:rPr>
      </w:pPr>
      <w:r>
        <w:rPr>
          <w:rFonts w:ascii="Arial" w:cs="Arial" w:eastAsia="Arial" w:hAnsi="Arial"/>
          <w:sz w:val="18"/>
          <w:szCs w:val="18"/>
          <w:color w:val="auto"/>
        </w:rPr>
        <w:t>Mr. Clark has served as the Chairman of our MD&amp;C Committee since May 2011. Ms. Sylvester was appointed to our MD&amp;C Committee on March 15, 2021, which was after the MD&amp;C Committee’s approval of the Compensation Committee Report below. Each member of our MD&amp;C Committee is independent in accordance with the rules and regulations of the New York Stock Exchange. Chairman Clark has reached the retirement age set forth in the Company’s Corporate Governance Guidelines and is not standing for re-election. In February 2021, the Nominating and Governance Committee recommended, and the Board approved, appointment of Mr. Gluski to become Chairman of our MD&amp;C Committee, effective upon the expiration of Chairman Clark’s term as a director of the Company at the 2021 Annual Meeting.</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Key Functions</w:t>
      </w:r>
    </w:p>
    <w:p>
      <w:pPr>
        <w:spacing w:after="0" w:line="143" w:lineRule="exact"/>
        <w:rPr>
          <w:sz w:val="20"/>
          <w:szCs w:val="20"/>
          <w:color w:val="auto"/>
        </w:rPr>
      </w:pPr>
    </w:p>
    <w:p>
      <w:pPr>
        <w:jc w:val="both"/>
        <w:ind w:left="840" w:right="40"/>
        <w:spacing w:after="0" w:line="238" w:lineRule="auto"/>
        <w:rPr>
          <w:sz w:val="20"/>
          <w:szCs w:val="20"/>
          <w:color w:val="auto"/>
        </w:rPr>
      </w:pPr>
      <w:r>
        <w:rPr>
          <w:rFonts w:ascii="Arial" w:cs="Arial" w:eastAsia="Arial" w:hAnsi="Arial"/>
          <w:sz w:val="18"/>
          <w:szCs w:val="18"/>
          <w:color w:val="auto"/>
        </w:rPr>
        <w:t>Our MD&amp;C Committee is responsible for overseeing our executive officer compensation, as well as developing the Company’s compensation philosophy generally. The MD&amp;C Committee’s written charter, which was approved by the Board of Directors, can be found on our website. In fulfilling its duties, the MD&amp;C Committee has the following responsibilities:</w:t>
      </w:r>
    </w:p>
    <w:p>
      <w:pPr>
        <w:spacing w:after="0" w:line="110" w:lineRule="exact"/>
        <w:rPr>
          <w:sz w:val="20"/>
          <w:szCs w:val="20"/>
          <w:color w:val="auto"/>
        </w:rPr>
      </w:pPr>
    </w:p>
    <w:p>
      <w:pPr>
        <w:ind w:left="1020" w:hanging="177"/>
        <w:spacing w:after="0"/>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Review and establish policies governing the compensation and benefits of our executive officers;</w:t>
      </w:r>
    </w:p>
    <w:p>
      <w:pPr>
        <w:spacing w:after="0" w:line="103" w:lineRule="exact"/>
        <w:rPr>
          <w:rFonts w:ascii="Arial" w:cs="Arial" w:eastAsia="Arial" w:hAnsi="Arial"/>
          <w:sz w:val="18"/>
          <w:szCs w:val="18"/>
          <w:color w:val="477258"/>
        </w:rPr>
      </w:pPr>
    </w:p>
    <w:p>
      <w:pPr>
        <w:ind w:left="1020" w:right="880" w:hanging="177"/>
        <w:spacing w:after="0" w:line="227" w:lineRule="auto"/>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Approve the compensation of our executive officers and set the bonus plan goals for those individuals;</w:t>
      </w:r>
    </w:p>
    <w:p>
      <w:pPr>
        <w:spacing w:after="0" w:line="94" w:lineRule="exact"/>
        <w:rPr>
          <w:rFonts w:ascii="Arial" w:cs="Arial" w:eastAsia="Arial" w:hAnsi="Arial"/>
          <w:sz w:val="18"/>
          <w:szCs w:val="18"/>
          <w:color w:val="477258"/>
        </w:rPr>
      </w:pPr>
    </w:p>
    <w:p>
      <w:pPr>
        <w:ind w:left="1020" w:right="340" w:hanging="177"/>
        <w:spacing w:after="0" w:line="227" w:lineRule="auto"/>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Conduct an annual evaluation of our Chief Executive Officer by all independent directors and set his compensation;</w:t>
      </w:r>
    </w:p>
    <w:p>
      <w:pPr>
        <w:spacing w:after="0" w:line="94" w:lineRule="exact"/>
        <w:rPr>
          <w:rFonts w:ascii="Arial" w:cs="Arial" w:eastAsia="Arial" w:hAnsi="Arial"/>
          <w:sz w:val="18"/>
          <w:szCs w:val="18"/>
          <w:color w:val="477258"/>
        </w:rPr>
      </w:pPr>
    </w:p>
    <w:p>
      <w:pPr>
        <w:ind w:left="1020" w:hanging="177"/>
        <w:spacing w:after="0"/>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Oversee the administration of our equity-based incentive plans;</w:t>
      </w:r>
    </w:p>
    <w:p>
      <w:pPr>
        <w:spacing w:after="0" w:line="117" w:lineRule="exact"/>
        <w:rPr>
          <w:rFonts w:ascii="Arial" w:cs="Arial" w:eastAsia="Arial" w:hAnsi="Arial"/>
          <w:sz w:val="18"/>
          <w:szCs w:val="18"/>
          <w:color w:val="477258"/>
        </w:rPr>
      </w:pPr>
    </w:p>
    <w:p>
      <w:pPr>
        <w:ind w:left="1020" w:right="40" w:hanging="177"/>
        <w:spacing w:after="0" w:line="246" w:lineRule="auto"/>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Review the results of the stockholder advisory vote on executive compensation and consider any implications of such voting results on the Company’s compensation programs;</w:t>
      </w:r>
    </w:p>
    <w:p>
      <w:pPr>
        <w:spacing w:after="0" w:line="102" w:lineRule="exact"/>
        <w:rPr>
          <w:rFonts w:ascii="Arial" w:cs="Arial" w:eastAsia="Arial" w:hAnsi="Arial"/>
          <w:sz w:val="18"/>
          <w:szCs w:val="18"/>
          <w:color w:val="477258"/>
        </w:rPr>
      </w:pPr>
    </w:p>
    <w:p>
      <w:pPr>
        <w:ind w:left="1020" w:right="500" w:hanging="177"/>
        <w:spacing w:after="0" w:line="227" w:lineRule="auto"/>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Recommend to the full Board new Company compensation and benefit plans or changes to our existing plans;</w:t>
      </w:r>
    </w:p>
    <w:p>
      <w:pPr>
        <w:spacing w:after="0" w:line="94" w:lineRule="exact"/>
        <w:rPr>
          <w:rFonts w:ascii="Arial" w:cs="Arial" w:eastAsia="Arial" w:hAnsi="Arial"/>
          <w:sz w:val="18"/>
          <w:szCs w:val="18"/>
          <w:color w:val="477258"/>
        </w:rPr>
      </w:pPr>
    </w:p>
    <w:p>
      <w:pPr>
        <w:ind w:left="1020" w:hanging="177"/>
        <w:spacing w:after="0"/>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Evaluate and recommend to the Board the compensation paid to our non-employee directors;</w:t>
      </w:r>
    </w:p>
    <w:p>
      <w:pPr>
        <w:spacing w:after="0" w:line="103" w:lineRule="exact"/>
        <w:rPr>
          <w:rFonts w:ascii="Arial" w:cs="Arial" w:eastAsia="Arial" w:hAnsi="Arial"/>
          <w:sz w:val="18"/>
          <w:szCs w:val="18"/>
          <w:color w:val="477258"/>
        </w:rPr>
      </w:pPr>
    </w:p>
    <w:p>
      <w:pPr>
        <w:ind w:left="1020" w:hanging="177"/>
        <w:spacing w:after="0"/>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Review the independence of the MD&amp;C Committee’s compensation consultant annually; and</w:t>
      </w:r>
    </w:p>
    <w:p>
      <w:pPr>
        <w:spacing w:after="0" w:line="117" w:lineRule="exact"/>
        <w:rPr>
          <w:rFonts w:ascii="Arial" w:cs="Arial" w:eastAsia="Arial" w:hAnsi="Arial"/>
          <w:sz w:val="18"/>
          <w:szCs w:val="18"/>
          <w:color w:val="477258"/>
        </w:rPr>
      </w:pPr>
    </w:p>
    <w:p>
      <w:pPr>
        <w:ind w:left="1020" w:right="40" w:hanging="177"/>
        <w:spacing w:after="0" w:line="246" w:lineRule="auto"/>
        <w:tabs>
          <w:tab w:leader="none" w:pos="1020" w:val="left"/>
        </w:tabs>
        <w:numPr>
          <w:ilvl w:val="0"/>
          <w:numId w:val="12"/>
        </w:numPr>
        <w:rPr>
          <w:rFonts w:ascii="Arial" w:cs="Arial" w:eastAsia="Arial" w:hAnsi="Arial"/>
          <w:sz w:val="18"/>
          <w:szCs w:val="18"/>
          <w:color w:val="477258"/>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116" w:lineRule="exact"/>
        <w:rPr>
          <w:sz w:val="20"/>
          <w:szCs w:val="20"/>
          <w:color w:val="auto"/>
        </w:rPr>
      </w:pPr>
    </w:p>
    <w:p>
      <w:pPr>
        <w:jc w:val="both"/>
        <w:ind w:left="840" w:right="40"/>
        <w:spacing w:after="0" w:line="238" w:lineRule="auto"/>
        <w:rPr>
          <w:sz w:val="20"/>
          <w:szCs w:val="20"/>
          <w:color w:val="auto"/>
        </w:rPr>
      </w:pPr>
      <w:r>
        <w:rPr>
          <w:rFonts w:ascii="Arial" w:cs="Arial" w:eastAsia="Arial" w:hAnsi="Arial"/>
          <w:sz w:val="18"/>
          <w:szCs w:val="18"/>
          <w:color w:val="auto"/>
        </w:rPr>
        <w:t>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to Company employees under those plans for matters affecting the compensation and benefits of the executive officers.</w:t>
      </w:r>
    </w:p>
    <w:p>
      <w:pPr>
        <w:spacing w:after="0" w:line="51" w:lineRule="exact"/>
        <w:rPr>
          <w:sz w:val="20"/>
          <w:szCs w:val="20"/>
          <w:color w:val="auto"/>
        </w:rPr>
      </w:pPr>
    </w:p>
    <w:p>
      <w:pPr>
        <w:ind w:left="840"/>
        <w:spacing w:after="0"/>
        <w:rPr>
          <w:sz w:val="20"/>
          <w:szCs w:val="20"/>
          <w:color w:val="auto"/>
        </w:rPr>
      </w:pPr>
      <w:r>
        <w:rPr>
          <w:rFonts w:ascii="Arial" w:cs="Arial" w:eastAsia="Arial" w:hAnsi="Arial"/>
          <w:sz w:val="25"/>
          <w:szCs w:val="25"/>
          <w:b w:val="1"/>
          <w:bCs w:val="1"/>
          <w:color w:val="auto"/>
        </w:rPr>
        <w:t>COMPENSATION COMMITTEE REPORT</w:t>
      </w:r>
    </w:p>
    <w:p>
      <w:pPr>
        <w:spacing w:after="0" w:line="143" w:lineRule="exact"/>
        <w:rPr>
          <w:sz w:val="20"/>
          <w:szCs w:val="20"/>
          <w:color w:val="auto"/>
        </w:rPr>
      </w:pPr>
    </w:p>
    <w:p>
      <w:pPr>
        <w:jc w:val="both"/>
        <w:ind w:left="840" w:right="40"/>
        <w:spacing w:after="0" w:line="244" w:lineRule="auto"/>
        <w:rPr>
          <w:rFonts w:ascii="Arial" w:cs="Arial" w:eastAsia="Arial" w:hAnsi="Arial"/>
          <w:sz w:val="18"/>
          <w:szCs w:val="18"/>
          <w:color w:val="auto"/>
        </w:rPr>
      </w:pPr>
      <w:r>
        <w:rPr>
          <w:rFonts w:ascii="Arial" w:cs="Arial" w:eastAsia="Arial" w:hAnsi="Arial"/>
          <w:sz w:val="18"/>
          <w:szCs w:val="18"/>
          <w:color w:val="auto"/>
        </w:rPr>
        <w:t xml:space="preserve">The MD&amp;C Committee has reviewed and discussed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beginning on page </w:t>
      </w:r>
      <w:hyperlink w:anchor="page25">
        <w:r>
          <w:rPr>
            <w:rFonts w:ascii="Arial" w:cs="Arial" w:eastAsia="Arial" w:hAnsi="Arial"/>
            <w:sz w:val="18"/>
            <w:szCs w:val="18"/>
            <w:u w:val="single" w:color="auto"/>
            <w:color w:val="0000EE"/>
          </w:rPr>
          <w:t>23</w:t>
        </w:r>
      </w:hyperlink>
      <w:r>
        <w:rPr>
          <w:rFonts w:ascii="Arial" w:cs="Arial" w:eastAsia="Arial" w:hAnsi="Arial"/>
          <w:sz w:val="18"/>
          <w:szCs w:val="18"/>
          <w:color w:val="auto"/>
        </w:rPr>
        <w:t xml:space="preserve">, with management. Based on their review and discussions, the MD&amp;C Committee recommended to the Board of Directors that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 included in the Company’s Proxy Statement.</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The Management Development and Compensation Committee of the Board of Directors</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Frank M. Clark, Jr., </w:t>
      </w:r>
      <w:r>
        <w:rPr>
          <w:rFonts w:ascii="Arial" w:cs="Arial" w:eastAsia="Arial" w:hAnsi="Arial"/>
          <w:sz w:val="18"/>
          <w:szCs w:val="18"/>
          <w:i w:val="1"/>
          <w:iCs w:val="1"/>
          <w:color w:val="auto"/>
        </w:rPr>
        <w:t>Chairman</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Andrés R. Gluski</w:t>
      </w:r>
    </w:p>
    <w:p>
      <w:pPr>
        <w:ind w:left="840"/>
        <w:spacing w:after="0" w:line="234" w:lineRule="auto"/>
        <w:rPr>
          <w:sz w:val="20"/>
          <w:szCs w:val="20"/>
          <w:color w:val="auto"/>
        </w:rPr>
      </w:pPr>
      <w:r>
        <w:rPr>
          <w:rFonts w:ascii="Arial" w:cs="Arial" w:eastAsia="Arial" w:hAnsi="Arial"/>
          <w:sz w:val="18"/>
          <w:szCs w:val="18"/>
          <w:color w:val="auto"/>
        </w:rPr>
        <w:t>Kathleen M. Mazzarella</w:t>
      </w:r>
    </w:p>
    <w:p>
      <w:pPr>
        <w:ind w:left="840"/>
        <w:spacing w:after="0" w:line="235" w:lineRule="auto"/>
        <w:rPr>
          <w:sz w:val="20"/>
          <w:szCs w:val="20"/>
          <w:color w:val="auto"/>
        </w:rPr>
      </w:pPr>
      <w:r>
        <w:rPr>
          <w:rFonts w:ascii="Arial" w:cs="Arial" w:eastAsia="Arial" w:hAnsi="Arial"/>
          <w:sz w:val="18"/>
          <w:szCs w:val="18"/>
          <w:color w:val="auto"/>
        </w:rPr>
        <w:t>William B. Plummer</w:t>
      </w:r>
    </w:p>
    <w:p>
      <w:pPr>
        <w:ind w:left="840"/>
        <w:spacing w:after="0" w:line="235" w:lineRule="auto"/>
        <w:rPr>
          <w:sz w:val="20"/>
          <w:szCs w:val="20"/>
          <w:color w:val="auto"/>
        </w:rPr>
      </w:pPr>
      <w:r>
        <w:rPr>
          <w:rFonts w:ascii="Arial" w:cs="Arial" w:eastAsia="Arial" w:hAnsi="Arial"/>
          <w:sz w:val="18"/>
          <w:szCs w:val="18"/>
          <w:color w:val="auto"/>
        </w:rPr>
        <w:t>John C. Pope</w:t>
      </w:r>
    </w:p>
    <w:p>
      <w:pPr>
        <w:ind w:left="840"/>
        <w:spacing w:after="0"/>
        <w:rPr>
          <w:sz w:val="20"/>
          <w:szCs w:val="20"/>
          <w:color w:val="auto"/>
        </w:rPr>
      </w:pPr>
      <w:r>
        <w:rPr>
          <w:rFonts w:ascii="Arial" w:cs="Arial" w:eastAsia="Arial" w:hAnsi="Arial"/>
          <w:sz w:val="18"/>
          <w:szCs w:val="18"/>
          <w:color w:val="auto"/>
        </w:rPr>
        <w:t>Thomas H. Weidemeyer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66040</wp:posOffset>
            </wp:positionV>
            <wp:extent cx="57607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128905</wp:posOffset>
            </wp:positionV>
            <wp:extent cx="5760720" cy="78695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60720" cy="7869555"/>
                    </a:xfrm>
                    <a:prstGeom prst="rect">
                      <a:avLst/>
                    </a:prstGeom>
                    <a:noFill/>
                  </pic:spPr>
                </pic:pic>
              </a:graphicData>
            </a:graphic>
          </wp:anchor>
        </w:drawing>
      </w:r>
    </w:p>
    <w:p>
      <w:pPr>
        <w:spacing w:after="0" w:line="355" w:lineRule="exact"/>
        <w:rPr>
          <w:sz w:val="20"/>
          <w:szCs w:val="20"/>
          <w:color w:val="auto"/>
        </w:rPr>
      </w:pPr>
    </w:p>
    <w:p>
      <w:pPr>
        <w:ind w:left="840" w:right="1440"/>
        <w:spacing w:after="0" w:line="265" w:lineRule="auto"/>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83" w:lineRule="exact"/>
        <w:rPr>
          <w:sz w:val="20"/>
          <w:szCs w:val="20"/>
          <w:color w:val="auto"/>
        </w:rPr>
      </w:pPr>
    </w:p>
    <w:p>
      <w:pPr>
        <w:jc w:val="both"/>
        <w:ind w:left="840" w:right="40"/>
        <w:spacing w:after="0"/>
        <w:rPr>
          <w:sz w:val="20"/>
          <w:szCs w:val="20"/>
          <w:color w:val="auto"/>
        </w:rPr>
      </w:pPr>
      <w:r>
        <w:rPr>
          <w:rFonts w:ascii="Arial" w:cs="Arial" w:eastAsia="Arial" w:hAnsi="Arial"/>
          <w:sz w:val="18"/>
          <w:szCs w:val="18"/>
          <w:color w:val="auto"/>
        </w:rPr>
        <w:t>During 2020, Ms. Holt, Ms. Mazzarella and Messrs. Clark, Gluski, Plummer, Pope and Weidemeyer served on the MD&amp;C Committee. No member of the MD&amp;C Committee was an officer or employee of the Company during 2020; no member of the MD&amp;C Committee is a former officer of the Company; and during 2020, none of our executive officers served as a member of a board of directors or compensation committee of any entity that has one or more executive officers who serve on our Board of Directors or MD&amp;C Committee.</w:t>
      </w:r>
    </w:p>
    <w:p>
      <w:pPr>
        <w:spacing w:after="0" w:line="299" w:lineRule="exact"/>
        <w:rPr>
          <w:sz w:val="20"/>
          <w:szCs w:val="20"/>
          <w:color w:val="auto"/>
        </w:rPr>
      </w:pPr>
    </w:p>
    <w:p>
      <w:pPr>
        <w:ind w:left="840"/>
        <w:spacing w:after="0"/>
        <w:rPr>
          <w:sz w:val="20"/>
          <w:szCs w:val="20"/>
          <w:color w:val="auto"/>
        </w:rPr>
      </w:pPr>
      <w:r>
        <w:rPr>
          <w:rFonts w:ascii="Arial" w:cs="Arial" w:eastAsia="Arial" w:hAnsi="Arial"/>
          <w:sz w:val="25"/>
          <w:szCs w:val="25"/>
          <w:b w:val="1"/>
          <w:bCs w:val="1"/>
          <w:color w:val="auto"/>
        </w:rPr>
        <w:t>THE NOMINATING AND GOVERNANCE COMMITTEE</w:t>
      </w:r>
    </w:p>
    <w:p>
      <w:pPr>
        <w:spacing w:after="0" w:line="69" w:lineRule="exact"/>
        <w:rPr>
          <w:sz w:val="20"/>
          <w:szCs w:val="20"/>
          <w:color w:val="auto"/>
        </w:rPr>
      </w:pPr>
    </w:p>
    <w:tbl>
      <w:tblPr>
        <w:tblLayout w:type="fixed"/>
        <w:tblInd w:w="840" w:type="dxa"/>
        <w:tblCellMar>
          <w:top w:w="0" w:type="dxa"/>
          <w:left w:w="0" w:type="dxa"/>
          <w:bottom w:w="0" w:type="dxa"/>
          <w:right w:w="0" w:type="dxa"/>
        </w:tblCellMar>
      </w:tblPr>
      <w:tr>
        <w:trPr>
          <w:trHeight w:val="313"/>
        </w:trPr>
        <w:tc>
          <w:tcPr>
            <w:tcW w:w="3160" w:type="dxa"/>
            <w:vAlign w:val="bottom"/>
            <w:shd w:val="clear" w:color="auto" w:fill="E3EAE6"/>
          </w:tcPr>
          <w:p>
            <w:pPr>
              <w:ind w:left="80"/>
              <w:spacing w:after="0"/>
              <w:rPr>
                <w:sz w:val="20"/>
                <w:szCs w:val="20"/>
                <w:color w:val="auto"/>
              </w:rPr>
            </w:pPr>
            <w:r>
              <w:rPr>
                <w:rFonts w:ascii="Arial" w:cs="Arial" w:eastAsia="Arial" w:hAnsi="Arial"/>
                <w:sz w:val="18"/>
                <w:szCs w:val="18"/>
                <w:b w:val="1"/>
                <w:bCs w:val="1"/>
                <w:color w:val="auto"/>
              </w:rPr>
              <w:t>Members:</w:t>
            </w:r>
          </w:p>
        </w:tc>
        <w:tc>
          <w:tcPr>
            <w:tcW w:w="5880" w:type="dxa"/>
            <w:vAlign w:val="bottom"/>
          </w:tcPr>
          <w:p>
            <w:pPr>
              <w:ind w:left="2500"/>
              <w:spacing w:after="0"/>
              <w:rPr>
                <w:sz w:val="20"/>
                <w:szCs w:val="20"/>
                <w:color w:val="auto"/>
              </w:rPr>
            </w:pPr>
            <w:r>
              <w:rPr>
                <w:rFonts w:ascii="Arial" w:cs="Arial" w:eastAsia="Arial" w:hAnsi="Arial"/>
                <w:sz w:val="18"/>
                <w:szCs w:val="18"/>
                <w:b w:val="1"/>
                <w:bCs w:val="1"/>
                <w:color w:val="auto"/>
              </w:rPr>
              <w:t>Number of Meetings Held in 2020:</w:t>
            </w:r>
          </w:p>
        </w:tc>
      </w:tr>
      <w:tr>
        <w:trPr>
          <w:trHeight w:val="239"/>
        </w:trPr>
        <w:tc>
          <w:tcPr>
            <w:tcW w:w="3160" w:type="dxa"/>
            <w:vAlign w:val="bottom"/>
            <w:shd w:val="clear" w:color="auto" w:fill="E3EAE6"/>
          </w:tcPr>
          <w:p>
            <w:pPr>
              <w:spacing w:after="0"/>
              <w:rPr>
                <w:sz w:val="20"/>
                <w:szCs w:val="20"/>
                <w:color w:val="auto"/>
              </w:rPr>
            </w:pPr>
          </w:p>
        </w:tc>
        <w:tc>
          <w:tcPr>
            <w:tcW w:w="5880" w:type="dxa"/>
            <w:vAlign w:val="bottom"/>
          </w:tcPr>
          <w:p>
            <w:pPr>
              <w:ind w:left="220"/>
              <w:spacing w:after="0"/>
              <w:rPr>
                <w:sz w:val="20"/>
                <w:szCs w:val="20"/>
                <w:color w:val="auto"/>
              </w:rPr>
            </w:pPr>
            <w:r>
              <w:rPr>
                <w:rFonts w:ascii="Arial" w:cs="Arial" w:eastAsia="Arial" w:hAnsi="Arial"/>
                <w:sz w:val="18"/>
                <w:szCs w:val="18"/>
                <w:b w:val="1"/>
                <w:bCs w:val="1"/>
                <w:color w:val="auto"/>
              </w:rPr>
              <w:t>5</w:t>
            </w:r>
          </w:p>
        </w:tc>
      </w:tr>
      <w:tr>
        <w:trPr>
          <w:trHeight w:val="220"/>
        </w:trPr>
        <w:tc>
          <w:tcPr>
            <w:tcW w:w="3160" w:type="dxa"/>
            <w:vAlign w:val="bottom"/>
            <w:shd w:val="clear" w:color="auto" w:fill="E3EAE6"/>
          </w:tcPr>
          <w:p>
            <w:pPr>
              <w:ind w:left="80"/>
              <w:spacing w:after="0"/>
              <w:rPr>
                <w:sz w:val="20"/>
                <w:szCs w:val="20"/>
                <w:color w:val="auto"/>
              </w:rPr>
            </w:pPr>
            <w:r>
              <w:rPr>
                <w:rFonts w:ascii="Arial" w:cs="Arial" w:eastAsia="Arial" w:hAnsi="Arial"/>
                <w:sz w:val="18"/>
                <w:szCs w:val="18"/>
                <w:b w:val="1"/>
                <w:bCs w:val="1"/>
                <w:color w:val="auto"/>
              </w:rPr>
              <w:t>Kathleen M. Mazzarella,</w:t>
            </w:r>
          </w:p>
        </w:tc>
        <w:tc>
          <w:tcPr>
            <w:tcW w:w="5880" w:type="dxa"/>
            <w:vAlign w:val="bottom"/>
            <w:shd w:val="clear" w:color="auto" w:fill="E3EAE6"/>
          </w:tcPr>
          <w:p>
            <w:pPr>
              <w:ind w:left="220"/>
              <w:spacing w:after="0"/>
              <w:rPr>
                <w:sz w:val="20"/>
                <w:szCs w:val="20"/>
                <w:color w:val="auto"/>
              </w:rPr>
            </w:pPr>
            <w:r>
              <w:rPr>
                <w:rFonts w:ascii="Arial" w:cs="Arial" w:eastAsia="Arial" w:hAnsi="Arial"/>
                <w:sz w:val="18"/>
                <w:szCs w:val="18"/>
                <w:b w:val="1"/>
                <w:bCs w:val="1"/>
                <w:color w:val="auto"/>
              </w:rPr>
              <w:t>John C. Pope</w:t>
            </w:r>
          </w:p>
        </w:tc>
      </w:tr>
      <w:tr>
        <w:trPr>
          <w:trHeight w:val="203"/>
        </w:trPr>
        <w:tc>
          <w:tcPr>
            <w:tcW w:w="3160" w:type="dxa"/>
            <w:vAlign w:val="bottom"/>
            <w:shd w:val="clear" w:color="auto" w:fill="E3EAE6"/>
          </w:tcPr>
          <w:p>
            <w:pPr>
              <w:ind w:left="80"/>
              <w:spacing w:after="0" w:line="202" w:lineRule="exact"/>
              <w:rPr>
                <w:sz w:val="20"/>
                <w:szCs w:val="20"/>
                <w:color w:val="auto"/>
              </w:rPr>
            </w:pPr>
            <w:r>
              <w:rPr>
                <w:rFonts w:ascii="Arial" w:cs="Arial" w:eastAsia="Arial" w:hAnsi="Arial"/>
                <w:sz w:val="18"/>
                <w:szCs w:val="18"/>
                <w:b w:val="1"/>
                <w:bCs w:val="1"/>
                <w:i w:val="1"/>
                <w:iCs w:val="1"/>
                <w:color w:val="auto"/>
              </w:rPr>
              <w:t>Chairman</w:t>
            </w:r>
          </w:p>
        </w:tc>
        <w:tc>
          <w:tcPr>
            <w:tcW w:w="5880" w:type="dxa"/>
            <w:vAlign w:val="bottom"/>
            <w:shd w:val="clear" w:color="auto" w:fill="E3EAE6"/>
          </w:tcPr>
          <w:p>
            <w:pPr>
              <w:ind w:left="220"/>
              <w:spacing w:after="0" w:line="202" w:lineRule="exact"/>
              <w:rPr>
                <w:sz w:val="20"/>
                <w:szCs w:val="20"/>
                <w:color w:val="auto"/>
              </w:rPr>
            </w:pPr>
            <w:r>
              <w:rPr>
                <w:rFonts w:ascii="Arial" w:cs="Arial" w:eastAsia="Arial" w:hAnsi="Arial"/>
                <w:sz w:val="18"/>
                <w:szCs w:val="18"/>
                <w:b w:val="1"/>
                <w:bCs w:val="1"/>
                <w:color w:val="auto"/>
              </w:rPr>
              <w:t>Thomas H. Weidemeyer</w:t>
            </w:r>
          </w:p>
        </w:tc>
      </w:tr>
      <w:tr>
        <w:trPr>
          <w:trHeight w:val="239"/>
        </w:trPr>
        <w:tc>
          <w:tcPr>
            <w:tcW w:w="3160" w:type="dxa"/>
            <w:vAlign w:val="bottom"/>
            <w:shd w:val="clear" w:color="auto" w:fill="E3EAE6"/>
          </w:tcPr>
          <w:p>
            <w:pPr>
              <w:ind w:left="80"/>
              <w:spacing w:after="0"/>
              <w:rPr>
                <w:sz w:val="20"/>
                <w:szCs w:val="20"/>
                <w:color w:val="auto"/>
              </w:rPr>
            </w:pPr>
            <w:r>
              <w:rPr>
                <w:rFonts w:ascii="Arial" w:cs="Arial" w:eastAsia="Arial" w:hAnsi="Arial"/>
                <w:sz w:val="18"/>
                <w:szCs w:val="18"/>
                <w:b w:val="1"/>
                <w:bCs w:val="1"/>
                <w:color w:val="auto"/>
              </w:rPr>
              <w:t>Victoria M. Holt</w:t>
            </w:r>
          </w:p>
        </w:tc>
        <w:tc>
          <w:tcPr>
            <w:tcW w:w="5880" w:type="dxa"/>
            <w:vAlign w:val="bottom"/>
            <w:shd w:val="clear" w:color="auto" w:fill="E3EAE6"/>
          </w:tcPr>
          <w:p>
            <w:pPr>
              <w:spacing w:after="0"/>
              <w:rPr>
                <w:sz w:val="20"/>
                <w:szCs w:val="20"/>
                <w:color w:val="auto"/>
              </w:rPr>
            </w:pPr>
          </w:p>
        </w:tc>
      </w:tr>
    </w:tbl>
    <w:p>
      <w:pPr>
        <w:spacing w:after="0" w:line="40" w:lineRule="exact"/>
        <w:rPr>
          <w:sz w:val="20"/>
          <w:szCs w:val="20"/>
          <w:color w:val="auto"/>
        </w:rPr>
      </w:pPr>
    </w:p>
    <w:p>
      <w:pPr>
        <w:jc w:val="both"/>
        <w:ind w:left="840" w:right="40"/>
        <w:spacing w:after="0"/>
        <w:rPr>
          <w:sz w:val="20"/>
          <w:szCs w:val="20"/>
          <w:color w:val="auto"/>
        </w:rPr>
      </w:pPr>
      <w:r>
        <w:rPr>
          <w:rFonts w:ascii="Arial" w:cs="Arial" w:eastAsia="Arial" w:hAnsi="Arial"/>
          <w:sz w:val="18"/>
          <w:szCs w:val="18"/>
          <w:color w:val="auto"/>
        </w:rPr>
        <w:t>Ms. Mazzarella was named Chairman of our Nominating and Governance Committee in May 2018. Each member of our Nominating and Governance Committee is independent in accordance with the rules and regulations of the New York Stock Exchange.</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Key Functions</w:t>
      </w:r>
    </w:p>
    <w:p>
      <w:pPr>
        <w:spacing w:after="0" w:line="153" w:lineRule="exact"/>
        <w:rPr>
          <w:sz w:val="20"/>
          <w:szCs w:val="20"/>
          <w:color w:val="auto"/>
        </w:rPr>
      </w:pPr>
    </w:p>
    <w:p>
      <w:pPr>
        <w:jc w:val="both"/>
        <w:ind w:left="840" w:right="40"/>
        <w:spacing w:after="0" w:line="238"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found on our website. It is the duty of the Nominating and Governance Committee to oversee matters regarding corporate governance. In fulfilling its duties, the Nominating and Governance Committee has the following responsibilities:</w:t>
      </w:r>
    </w:p>
    <w:p>
      <w:pPr>
        <w:spacing w:after="0" w:line="137" w:lineRule="exact"/>
        <w:rPr>
          <w:sz w:val="20"/>
          <w:szCs w:val="20"/>
          <w:color w:val="auto"/>
        </w:rPr>
      </w:pPr>
    </w:p>
    <w:p>
      <w:pPr>
        <w:ind w:left="1020" w:right="40" w:hanging="177"/>
        <w:spacing w:after="0" w:line="246" w:lineRule="auto"/>
        <w:tabs>
          <w:tab w:leader="none" w:pos="1020" w:val="left"/>
        </w:tabs>
        <w:numPr>
          <w:ilvl w:val="0"/>
          <w:numId w:val="13"/>
        </w:numPr>
        <w:rPr>
          <w:rFonts w:ascii="Arial" w:cs="Arial" w:eastAsia="Arial" w:hAnsi="Arial"/>
          <w:sz w:val="18"/>
          <w:szCs w:val="18"/>
          <w:color w:val="477258"/>
        </w:rPr>
      </w:pPr>
      <w:r>
        <w:rPr>
          <w:rFonts w:ascii="Arial" w:cs="Arial" w:eastAsia="Arial" w:hAnsi="Arial"/>
          <w:sz w:val="18"/>
          <w:szCs w:val="18"/>
          <w:color w:val="auto"/>
        </w:rPr>
        <w:t>Review and recommend the composition of our Board, including the nature and duties of each of our committees, in accordance with our Corporate Governance Guidelines;</w:t>
      </w:r>
    </w:p>
    <w:p>
      <w:pPr>
        <w:spacing w:after="0" w:line="102" w:lineRule="exact"/>
        <w:rPr>
          <w:rFonts w:ascii="Arial" w:cs="Arial" w:eastAsia="Arial" w:hAnsi="Arial"/>
          <w:sz w:val="18"/>
          <w:szCs w:val="18"/>
          <w:color w:val="477258"/>
        </w:rPr>
      </w:pPr>
    </w:p>
    <w:p>
      <w:pPr>
        <w:ind w:left="1020" w:right="320" w:hanging="177"/>
        <w:spacing w:after="0"/>
        <w:tabs>
          <w:tab w:leader="none" w:pos="1020" w:val="left"/>
        </w:tabs>
        <w:numPr>
          <w:ilvl w:val="0"/>
          <w:numId w:val="13"/>
        </w:numPr>
        <w:rPr>
          <w:rFonts w:ascii="Arial" w:cs="Arial" w:eastAsia="Arial" w:hAnsi="Arial"/>
          <w:sz w:val="18"/>
          <w:szCs w:val="18"/>
          <w:color w:val="477258"/>
        </w:rPr>
      </w:pPr>
      <w:r>
        <w:rPr>
          <w:rFonts w:ascii="Arial" w:cs="Arial" w:eastAsia="Arial" w:hAnsi="Arial"/>
          <w:sz w:val="18"/>
          <w:szCs w:val="18"/>
          <w:color w:val="auto"/>
        </w:rPr>
        <w:t>Evaluate the charters of each of the committees and recommend directors to serve as committee chairs;</w:t>
      </w:r>
    </w:p>
    <w:p>
      <w:pPr>
        <w:spacing w:after="0" w:line="292" w:lineRule="exact"/>
        <w:rPr>
          <w:rFonts w:ascii="Arial" w:cs="Arial" w:eastAsia="Arial" w:hAnsi="Arial"/>
          <w:sz w:val="18"/>
          <w:szCs w:val="18"/>
          <w:color w:val="477258"/>
        </w:rPr>
      </w:pPr>
    </w:p>
    <w:p>
      <w:pPr>
        <w:ind w:left="1020" w:right="40" w:hanging="177"/>
        <w:spacing w:after="0" w:line="246" w:lineRule="auto"/>
        <w:tabs>
          <w:tab w:leader="none" w:pos="1020" w:val="left"/>
        </w:tabs>
        <w:numPr>
          <w:ilvl w:val="0"/>
          <w:numId w:val="13"/>
        </w:numPr>
        <w:rPr>
          <w:rFonts w:ascii="Arial" w:cs="Arial" w:eastAsia="Arial" w:hAnsi="Arial"/>
          <w:sz w:val="18"/>
          <w:szCs w:val="18"/>
          <w:color w:val="477258"/>
        </w:rPr>
      </w:pPr>
      <w:r>
        <w:rPr>
          <w:rFonts w:ascii="Arial" w:cs="Arial" w:eastAsia="Arial" w:hAnsi="Arial"/>
          <w:sz w:val="18"/>
          <w:szCs w:val="18"/>
          <w:color w:val="auto"/>
        </w:rPr>
        <w:t>Review individual director’s performance in consultation with the Chairman of the Board and review the overall effectiveness of the Board;</w:t>
      </w:r>
    </w:p>
    <w:p>
      <w:pPr>
        <w:spacing w:after="0" w:line="115" w:lineRule="exact"/>
        <w:rPr>
          <w:rFonts w:ascii="Arial" w:cs="Arial" w:eastAsia="Arial" w:hAnsi="Arial"/>
          <w:sz w:val="18"/>
          <w:szCs w:val="18"/>
          <w:color w:val="477258"/>
        </w:rPr>
      </w:pPr>
    </w:p>
    <w:p>
      <w:pPr>
        <w:ind w:left="1020" w:right="40" w:hanging="177"/>
        <w:spacing w:after="0" w:line="246" w:lineRule="auto"/>
        <w:tabs>
          <w:tab w:leader="none" w:pos="1020" w:val="left"/>
        </w:tabs>
        <w:numPr>
          <w:ilvl w:val="0"/>
          <w:numId w:val="13"/>
        </w:numPr>
        <w:rPr>
          <w:rFonts w:ascii="Arial" w:cs="Arial" w:eastAsia="Arial" w:hAnsi="Arial"/>
          <w:sz w:val="18"/>
          <w:szCs w:val="18"/>
          <w:color w:val="477258"/>
        </w:rPr>
      </w:pPr>
      <w:r>
        <w:rPr>
          <w:rFonts w:ascii="Arial" w:cs="Arial" w:eastAsia="Arial" w:hAnsi="Arial"/>
          <w:sz w:val="18"/>
          <w:szCs w:val="18"/>
          <w:color w:val="auto"/>
        </w:rPr>
        <w:t>Recommend retirement policies for the Board, the terms for directors and the proper ratio of employee directors to outside directors;</w:t>
      </w:r>
    </w:p>
    <w:p>
      <w:pPr>
        <w:spacing w:after="0" w:line="115" w:lineRule="exact"/>
        <w:rPr>
          <w:rFonts w:ascii="Arial" w:cs="Arial" w:eastAsia="Arial" w:hAnsi="Arial"/>
          <w:sz w:val="18"/>
          <w:szCs w:val="18"/>
          <w:color w:val="477258"/>
        </w:rPr>
      </w:pPr>
    </w:p>
    <w:p>
      <w:pPr>
        <w:ind w:left="1020" w:right="40" w:hanging="177"/>
        <w:spacing w:after="0" w:line="246" w:lineRule="auto"/>
        <w:tabs>
          <w:tab w:leader="none" w:pos="1020" w:val="left"/>
        </w:tabs>
        <w:numPr>
          <w:ilvl w:val="0"/>
          <w:numId w:val="13"/>
        </w:numPr>
        <w:rPr>
          <w:rFonts w:ascii="Arial" w:cs="Arial" w:eastAsia="Arial" w:hAnsi="Arial"/>
          <w:sz w:val="18"/>
          <w:szCs w:val="18"/>
          <w:color w:val="477258"/>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115" w:lineRule="exact"/>
        <w:rPr>
          <w:rFonts w:ascii="Arial" w:cs="Arial" w:eastAsia="Arial" w:hAnsi="Arial"/>
          <w:sz w:val="18"/>
          <w:szCs w:val="18"/>
          <w:color w:val="477258"/>
        </w:rPr>
      </w:pPr>
    </w:p>
    <w:p>
      <w:pPr>
        <w:ind w:left="1020" w:right="40" w:hanging="177"/>
        <w:spacing w:after="0" w:line="246" w:lineRule="auto"/>
        <w:tabs>
          <w:tab w:leader="none" w:pos="1020" w:val="left"/>
        </w:tabs>
        <w:numPr>
          <w:ilvl w:val="0"/>
          <w:numId w:val="13"/>
        </w:numPr>
        <w:rPr>
          <w:rFonts w:ascii="Arial" w:cs="Arial" w:eastAsia="Arial" w:hAnsi="Arial"/>
          <w:sz w:val="18"/>
          <w:szCs w:val="18"/>
          <w:color w:val="477258"/>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102" w:lineRule="exact"/>
        <w:rPr>
          <w:rFonts w:ascii="Arial" w:cs="Arial" w:eastAsia="Arial" w:hAnsi="Arial"/>
          <w:sz w:val="18"/>
          <w:szCs w:val="18"/>
          <w:color w:val="477258"/>
        </w:rPr>
      </w:pPr>
    </w:p>
    <w:p>
      <w:pPr>
        <w:ind w:left="1020" w:hanging="177"/>
        <w:spacing w:after="0"/>
        <w:tabs>
          <w:tab w:leader="none" w:pos="1020" w:val="left"/>
        </w:tabs>
        <w:numPr>
          <w:ilvl w:val="0"/>
          <w:numId w:val="13"/>
        </w:numPr>
        <w:rPr>
          <w:rFonts w:ascii="Arial" w:cs="Arial" w:eastAsia="Arial" w:hAnsi="Arial"/>
          <w:sz w:val="18"/>
          <w:szCs w:val="18"/>
          <w:color w:val="477258"/>
        </w:rPr>
      </w:pPr>
      <w:r>
        <w:rPr>
          <w:rFonts w:ascii="Arial" w:cs="Arial" w:eastAsia="Arial" w:hAnsi="Arial"/>
          <w:sz w:val="18"/>
          <w:szCs w:val="18"/>
          <w:color w:val="auto"/>
        </w:rPr>
        <w:t>Identify and recommend to the Board candidates to fill director vacancies.</w:t>
      </w:r>
    </w:p>
    <w:p>
      <w:pPr>
        <w:spacing w:after="0" w:line="117" w:lineRule="exact"/>
        <w:rPr>
          <w:sz w:val="20"/>
          <w:szCs w:val="20"/>
          <w:color w:val="auto"/>
        </w:rPr>
      </w:pPr>
    </w:p>
    <w:p>
      <w:pPr>
        <w:jc w:val="both"/>
        <w:ind w:left="840" w:right="40"/>
        <w:spacing w:after="0"/>
        <w:rPr>
          <w:sz w:val="20"/>
          <w:szCs w:val="20"/>
          <w:color w:val="auto"/>
        </w:rPr>
      </w:pPr>
      <w:r>
        <w:rPr>
          <w:rFonts w:ascii="Arial" w:cs="Arial" w:eastAsia="Arial" w:hAnsi="Arial"/>
          <w:sz w:val="18"/>
          <w:szCs w:val="18"/>
          <w:color w:val="auto"/>
        </w:rPr>
        <w:t>The Nominating and Governance Committee is continually engaged in reviewing the skills, expertise and qualifications of our existing directors, as well as potential external candidates, to identify and nominate the best possible candidates to guide and support the Company’s strategy and its commitment to serve and care for our customers, the environment, the communities in which we work and our stockholders. This is a process that the Nominating and Governance Committee believes should continue to involve significant subjective judgments.</w:t>
      </w:r>
    </w:p>
    <w:p>
      <w:pPr>
        <w:spacing w:after="0" w:line="324"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9040" w:type="dxa"/>
            <w:vAlign w:val="bottom"/>
            <w:gridSpan w:val="4"/>
          </w:tcPr>
          <w:p>
            <w:pPr>
              <w:spacing w:after="0"/>
              <w:rPr>
                <w:sz w:val="20"/>
                <w:szCs w:val="20"/>
                <w:color w:val="auto"/>
              </w:rPr>
            </w:pPr>
            <w:r>
              <w:rPr>
                <w:rFonts w:ascii="Arial" w:cs="Arial" w:eastAsia="Arial" w:hAnsi="Arial"/>
                <w:sz w:val="18"/>
                <w:szCs w:val="18"/>
                <w:color w:val="auto"/>
              </w:rPr>
              <w:t>With the assistance of an external consultant, the Nominating and Governance Committee identified</w:t>
            </w:r>
          </w:p>
        </w:tc>
      </w:tr>
      <w:tr>
        <w:trPr>
          <w:trHeight w:val="203"/>
        </w:trPr>
        <w:tc>
          <w:tcPr>
            <w:tcW w:w="9040" w:type="dxa"/>
            <w:vAlign w:val="bottom"/>
            <w:gridSpan w:val="4"/>
          </w:tcPr>
          <w:p>
            <w:pPr>
              <w:spacing w:after="0" w:line="202" w:lineRule="exact"/>
              <w:rPr>
                <w:sz w:val="20"/>
                <w:szCs w:val="20"/>
                <w:color w:val="auto"/>
              </w:rPr>
            </w:pPr>
            <w:r>
              <w:rPr>
                <w:rFonts w:ascii="Arial" w:cs="Arial" w:eastAsia="Arial" w:hAnsi="Arial"/>
                <w:sz w:val="18"/>
                <w:szCs w:val="18"/>
                <w:color w:val="auto"/>
              </w:rPr>
              <w:t>Mr. Sean E. Menke and Ms. Maryrose T. Sylvester as potential director candidates. Following a robust</w:t>
            </w:r>
          </w:p>
        </w:tc>
      </w:tr>
      <w:tr>
        <w:trPr>
          <w:trHeight w:val="203"/>
        </w:trPr>
        <w:tc>
          <w:tcPr>
            <w:tcW w:w="9040" w:type="dxa"/>
            <w:vAlign w:val="bottom"/>
            <w:gridSpan w:val="4"/>
          </w:tcPr>
          <w:p>
            <w:pPr>
              <w:spacing w:after="0" w:line="202" w:lineRule="exact"/>
              <w:rPr>
                <w:sz w:val="20"/>
                <w:szCs w:val="20"/>
                <w:color w:val="auto"/>
              </w:rPr>
            </w:pPr>
            <w:r>
              <w:rPr>
                <w:rFonts w:ascii="Arial" w:cs="Arial" w:eastAsia="Arial" w:hAnsi="Arial"/>
                <w:sz w:val="18"/>
                <w:szCs w:val="18"/>
                <w:color w:val="auto"/>
              </w:rPr>
              <w:t>consideration process summarized below and recommendation by the Nominating and Governance</w:t>
            </w:r>
          </w:p>
        </w:tc>
      </w:tr>
      <w:tr>
        <w:trPr>
          <w:trHeight w:val="203"/>
        </w:trPr>
        <w:tc>
          <w:tcPr>
            <w:tcW w:w="9040" w:type="dxa"/>
            <w:vAlign w:val="bottom"/>
            <w:gridSpan w:val="4"/>
          </w:tcPr>
          <w:p>
            <w:pPr>
              <w:spacing w:after="0" w:line="202" w:lineRule="exact"/>
              <w:rPr>
                <w:sz w:val="20"/>
                <w:szCs w:val="20"/>
                <w:color w:val="auto"/>
              </w:rPr>
            </w:pPr>
            <w:r>
              <w:rPr>
                <w:rFonts w:ascii="Arial" w:cs="Arial" w:eastAsia="Arial" w:hAnsi="Arial"/>
                <w:sz w:val="18"/>
                <w:szCs w:val="18"/>
                <w:color w:val="auto"/>
              </w:rPr>
              <w:t>Committee, the Board increased its size to ten members and elected Mr. Menke and Ms. Sylvester to</w:t>
            </w:r>
          </w:p>
        </w:tc>
      </w:tr>
      <w:tr>
        <w:trPr>
          <w:trHeight w:val="203"/>
        </w:trPr>
        <w:tc>
          <w:tcPr>
            <w:tcW w:w="9040" w:type="dxa"/>
            <w:vAlign w:val="bottom"/>
            <w:gridSpan w:val="4"/>
          </w:tcPr>
          <w:p>
            <w:pPr>
              <w:spacing w:after="0" w:line="202" w:lineRule="exact"/>
              <w:rPr>
                <w:sz w:val="20"/>
                <w:szCs w:val="20"/>
                <w:color w:val="auto"/>
              </w:rPr>
            </w:pPr>
            <w:r>
              <w:rPr>
                <w:rFonts w:ascii="Arial" w:cs="Arial" w:eastAsia="Arial" w:hAnsi="Arial"/>
                <w:sz w:val="18"/>
                <w:szCs w:val="18"/>
                <w:color w:val="auto"/>
              </w:rPr>
              <w:t>serve  as  members  of  our  Board,  effective  March  15,  2021.  The  Nominating  and  Governance</w:t>
            </w:r>
          </w:p>
        </w:tc>
      </w:tr>
      <w:tr>
        <w:trPr>
          <w:trHeight w:val="203"/>
        </w:trPr>
        <w:tc>
          <w:tcPr>
            <w:tcW w:w="9040" w:type="dxa"/>
            <w:vAlign w:val="bottom"/>
            <w:gridSpan w:val="4"/>
          </w:tcPr>
          <w:p>
            <w:pPr>
              <w:spacing w:after="0" w:line="202" w:lineRule="exact"/>
              <w:rPr>
                <w:sz w:val="20"/>
                <w:szCs w:val="20"/>
                <w:color w:val="auto"/>
              </w:rPr>
            </w:pPr>
            <w:r>
              <w:rPr>
                <w:rFonts w:ascii="Arial" w:cs="Arial" w:eastAsia="Arial" w:hAnsi="Arial"/>
                <w:sz w:val="18"/>
                <w:szCs w:val="18"/>
                <w:color w:val="auto"/>
              </w:rPr>
              <w:t>Committee also recommended, and the Board approved, appointment of Mr. Menke to the Audit</w:t>
            </w:r>
          </w:p>
        </w:tc>
      </w:tr>
      <w:tr>
        <w:trPr>
          <w:trHeight w:val="163"/>
        </w:trPr>
        <w:tc>
          <w:tcPr>
            <w:tcW w:w="9040" w:type="dxa"/>
            <w:vAlign w:val="bottom"/>
            <w:gridSpan w:val="4"/>
          </w:tcPr>
          <w:p>
            <w:pPr>
              <w:spacing w:after="0" w:line="163" w:lineRule="exact"/>
              <w:rPr>
                <w:sz w:val="20"/>
                <w:szCs w:val="20"/>
                <w:color w:val="auto"/>
              </w:rPr>
            </w:pPr>
            <w:r>
              <w:rPr>
                <w:rFonts w:ascii="Arial" w:cs="Arial" w:eastAsia="Arial" w:hAnsi="Arial"/>
                <w:sz w:val="18"/>
                <w:szCs w:val="18"/>
                <w:color w:val="auto"/>
              </w:rPr>
              <w:t>Committee and appointment of Ms. Sylvester to the MD&amp;C Committee. Mr. Menke and Ms. Sylvester</w:t>
            </w:r>
          </w:p>
        </w:tc>
      </w:tr>
      <w:tr>
        <w:trPr>
          <w:trHeight w:val="429"/>
        </w:trPr>
        <w:tc>
          <w:tcPr>
            <w:tcW w:w="5480" w:type="dxa"/>
            <w:vAlign w:val="bottom"/>
          </w:tcPr>
          <w:p>
            <w:pPr>
              <w:spacing w:after="0"/>
              <w:rPr>
                <w:sz w:val="20"/>
                <w:szCs w:val="20"/>
                <w:color w:val="auto"/>
              </w:rPr>
            </w:pPr>
            <w:r>
              <w:rPr>
                <w:rFonts w:ascii="Arial" w:cs="Arial" w:eastAsia="Arial" w:hAnsi="Arial"/>
                <w:sz w:val="18"/>
                <w:szCs w:val="18"/>
                <w:color w:val="auto"/>
              </w:rPr>
              <w:t>are nominees for re-election at the Annual Meeting.</w:t>
            </w:r>
          </w:p>
        </w:tc>
        <w:tc>
          <w:tcPr>
            <w:tcW w:w="2980" w:type="dxa"/>
            <w:vAlign w:val="bottom"/>
          </w:tcPr>
          <w:p>
            <w:pPr>
              <w:ind w:left="920"/>
              <w:spacing w:after="0"/>
              <w:rPr>
                <w:sz w:val="20"/>
                <w:szCs w:val="20"/>
                <w:color w:val="auto"/>
              </w:rPr>
            </w:pPr>
            <w:r>
              <w:rPr>
                <w:rFonts w:ascii="Arial" w:cs="Arial" w:eastAsia="Arial" w:hAnsi="Arial"/>
                <w:sz w:val="18"/>
                <w:szCs w:val="18"/>
                <w:color w:val="auto"/>
              </w:rPr>
              <w:t>2021 Proxy Statement</w:t>
            </w:r>
          </w:p>
        </w:tc>
        <w:tc>
          <w:tcPr>
            <w:tcW w:w="280" w:type="dxa"/>
            <w:vAlign w:val="bottom"/>
          </w:tcPr>
          <w:p>
            <w:pPr>
              <w:jc w:val="right"/>
              <w:spacing w:after="0"/>
              <w:rPr>
                <w:sz w:val="20"/>
                <w:szCs w:val="20"/>
                <w:color w:val="auto"/>
              </w:rPr>
            </w:pPr>
            <w:r>
              <w:rPr>
                <w:rFonts w:ascii="Arial" w:cs="Arial" w:eastAsia="Arial" w:hAnsi="Arial"/>
                <w:sz w:val="32"/>
                <w:szCs w:val="32"/>
                <w:b w:val="1"/>
                <w:bCs w:val="1"/>
                <w:color w:val="477258"/>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-57785</wp:posOffset>
            </wp:positionV>
            <wp:extent cx="57607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306070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7460"/>
        <w:spacing w:after="0"/>
        <w:rPr>
          <w:sz w:val="20"/>
          <w:szCs w:val="20"/>
          <w:color w:val="auto"/>
        </w:rPr>
      </w:pPr>
      <w:r>
        <w:rPr>
          <w:rFonts w:ascii="Arial" w:cs="Arial" w:eastAsia="Arial" w:hAnsi="Arial"/>
          <w:sz w:val="20"/>
          <w:szCs w:val="20"/>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128905</wp:posOffset>
            </wp:positionV>
            <wp:extent cx="5760720" cy="4354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60720" cy="4354830"/>
                    </a:xfrm>
                    <a:prstGeom prst="rect">
                      <a:avLst/>
                    </a:prstGeom>
                    <a:noFill/>
                  </pic:spPr>
                </pic:pic>
              </a:graphicData>
            </a:graphic>
          </wp:anchor>
        </w:drawing>
      </w:r>
    </w:p>
    <w:p>
      <w:pPr>
        <w:spacing w:after="0" w:line="290" w:lineRule="exact"/>
        <w:rPr>
          <w:sz w:val="20"/>
          <w:szCs w:val="20"/>
          <w:color w:val="auto"/>
        </w:rPr>
      </w:pPr>
    </w:p>
    <w:p>
      <w:pPr>
        <w:jc w:val="both"/>
        <w:ind w:left="840" w:right="20"/>
        <w:spacing w:after="0"/>
        <w:rPr>
          <w:sz w:val="20"/>
          <w:szCs w:val="20"/>
          <w:color w:val="auto"/>
        </w:rPr>
      </w:pPr>
      <w:r>
        <w:rPr>
          <w:rFonts w:ascii="Arial" w:cs="Arial" w:eastAsia="Arial" w:hAnsi="Arial"/>
          <w:sz w:val="18"/>
          <w:szCs w:val="18"/>
          <w:color w:val="auto"/>
        </w:rPr>
        <w:t>The Nominating and Governance Committee considers current and future needs of the Board as a whole and uses a matrix of experience, skills and expertise to develop nominee criteria. The Committee evaluates nominees based on all factors it deems relevant, including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seeks diversity in business experience, professional expertise, gender and racial / ethnic background. The Nominating and Governance Committee has considered the gender and racial / ethnic composition of our Board, including the presence of three women, Mr. Clark’s and Mr. Plummer’s self-identification as African American / Black and Mr. Gluski’s self-identification as Hispanic, and believes these factors, among numerous others, contribute to a valuable diversity of background, thoughts and opinions on our Board.</w:t>
      </w:r>
    </w:p>
    <w:p>
      <w:pPr>
        <w:spacing w:after="0" w:line="207" w:lineRule="exact"/>
        <w:rPr>
          <w:sz w:val="20"/>
          <w:szCs w:val="20"/>
          <w:color w:val="auto"/>
        </w:rPr>
      </w:pPr>
    </w:p>
    <w:p>
      <w:pPr>
        <w:jc w:val="both"/>
        <w:ind w:left="840" w:right="20"/>
        <w:spacing w:after="0"/>
        <w:rPr>
          <w:sz w:val="20"/>
          <w:szCs w:val="20"/>
          <w:color w:val="auto"/>
        </w:rPr>
      </w:pPr>
      <w:r>
        <w:rPr>
          <w:rFonts w:ascii="Arial" w:cs="Arial" w:eastAsia="Arial" w:hAnsi="Arial"/>
          <w:sz w:val="18"/>
          <w:szCs w:val="18"/>
          <w:color w:val="auto"/>
        </w:rPr>
        <w:t>When nominating and re-nominating director candidates, the Committee also considers the need for Board refreshment and the tenure and age of individual directors and the Board as a whole. The Committee’s primary formal mechanism to support Board refreshment is the retirement age policy set forth in the Corporate Governance Guidelines, which includes the guideline that directors will not stand for reelection to the Board after reaching age 75 unless the Nominating and Governance Committee determines otherwise. The Committee believes that existing practices have been effective at bringing in new expertise and perspectives, while also maintaining the valuable industry knowledge, experience and stability that our longer-tenured directors provide.</w:t>
      </w:r>
    </w:p>
    <w:p>
      <w:pPr>
        <w:spacing w:after="0" w:line="279" w:lineRule="exact"/>
        <w:rPr>
          <w:sz w:val="20"/>
          <w:szCs w:val="20"/>
          <w:color w:val="auto"/>
        </w:rPr>
      </w:pPr>
    </w:p>
    <w:p>
      <w:pPr>
        <w:jc w:val="both"/>
        <w:ind w:left="840" w:right="20"/>
        <w:spacing w:after="0"/>
        <w:rPr>
          <w:sz w:val="20"/>
          <w:szCs w:val="20"/>
          <w:color w:val="auto"/>
        </w:rPr>
      </w:pPr>
      <w:r>
        <w:rPr>
          <w:rFonts w:ascii="Arial" w:cs="Arial" w:eastAsia="Arial" w:hAnsi="Arial"/>
          <w:sz w:val="18"/>
          <w:szCs w:val="18"/>
          <w:color w:val="auto"/>
        </w:rPr>
        <w:t>The Nominating and Governance Committee will consider all potential nominees on their merits and welcomes suggestions from directors, members of management, and stockholders. Before being recommended for nomination by the Committee, director candidates are interviewed by the Chief Executive Officer, the Chairman of the Nominating and Governance Committee, and the Non-Executive Chairman of the Board, as well as additional members of the Board and an outside consultant. To suggest a nominee for consideration by the Nominating and Governance Committee, you should submit your candidate’s name, together with biographical information and his or her written consent to nomination to the Chairman of the Nominating and Governance Committee, Waste Management, Inc., 800 Capitol Street, Suite 3000, Houston, Texas 77002, between October 30, 2021 and November 29, 2021. Also, see “Stockholder Proposals and Nominees for the 2022 Annual Meeting — Proxy Access Nominations” for additional information about timing, notification and informational requirements under the Company’s proxy access By-law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166370</wp:posOffset>
            </wp:positionV>
            <wp:extent cx="57607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Related Party Transactions</w:t>
      </w:r>
    </w:p>
    <w:p>
      <w:pPr>
        <w:spacing w:after="0" w:line="121" w:lineRule="exact"/>
        <w:rPr>
          <w:sz w:val="20"/>
          <w:szCs w:val="20"/>
          <w:color w:val="auto"/>
        </w:rPr>
      </w:pPr>
    </w:p>
    <w:p>
      <w:pPr>
        <w:jc w:val="both"/>
        <w:ind w:left="820"/>
        <w:spacing w:after="0" w:line="251" w:lineRule="auto"/>
        <w:rPr>
          <w:sz w:val="20"/>
          <w:szCs w:val="20"/>
          <w:color w:val="auto"/>
        </w:rPr>
      </w:pPr>
      <w:r>
        <w:rPr>
          <w:rFonts w:ascii="Arial" w:cs="Arial" w:eastAsia="Arial" w:hAnsi="Arial"/>
          <w:sz w:val="18"/>
          <w:szCs w:val="18"/>
          <w:color w:val="auto"/>
        </w:rPr>
        <w:t>The Board of Directors has adopted a written Related Party Transactions Policy for the review and approval or ratification of related party transactions. Our policy generally defines related party transactions as current or proposed transactions in excess of $120,000 in which (a) the Company is a participant and (b) any director, executive officer or immediate family member of any director or executive officer has a direct or indirect material interest. In addition, the policy sets forth certain transactions that will not be considered related party transactions, including (a) executive officer compensation and benefit arrangements; (b) director compensation arrangements; (c) business travel and expenses, advances and reimbursements in the ordinary course of business; (d) indemnification payments and advancement of expenses, and payments under directors’ and officers’ indemnification insurance policies; (e) any transaction between the Company and any entity in which a related party has a relationship solely as a director, a less than 5% equity holder, or an employee (other than an executive officer) and (f)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291"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All executive officers and directors are required to notify the Chief Legal Officer or the Corporate Secretary as soon as practicable of any proposed transaction that they or their family members are considering entering into that involves the Company. The Chief Legal Officer will determine whether potential transactions or relationships constitute related party transactions that must be referred to the Nominating and Governance Committee. Any member of the Committee who has an interest in a transaction presented for consideration will abstain from voting on the related party transaction.</w:t>
      </w:r>
    </w:p>
    <w:p>
      <w:pPr>
        <w:spacing w:after="0" w:line="3" w:lineRule="exact"/>
        <w:rPr>
          <w:sz w:val="20"/>
          <w:szCs w:val="20"/>
          <w:color w:val="auto"/>
        </w:rPr>
      </w:pPr>
    </w:p>
    <w:p>
      <w:pPr>
        <w:jc w:val="both"/>
        <w:ind w:left="820"/>
        <w:spacing w:after="0" w:line="232" w:lineRule="auto"/>
        <w:rPr>
          <w:sz w:val="20"/>
          <w:szCs w:val="20"/>
          <w:color w:val="auto"/>
        </w:rPr>
      </w:pPr>
      <w:r>
        <w:rPr>
          <w:rFonts w:ascii="Arial" w:cs="Arial" w:eastAsia="Arial" w:hAnsi="Arial"/>
          <w:sz w:val="18"/>
          <w:szCs w:val="18"/>
          <w:color w:val="auto"/>
        </w:rPr>
        <w:t xml:space="preserve">12The </w:t>
      </w:r>
      <w:r>
        <w:rPr>
          <w:rFonts w:ascii="Arial" w:cs="Arial" w:eastAsia="Arial" w:hAnsi="Arial"/>
          <w:sz w:val="32"/>
          <w:szCs w:val="32"/>
          <w:b w:val="1"/>
          <w:bCs w:val="1"/>
          <w:color w:val="477258"/>
        </w:rPr>
        <w:t>|</w:t>
      </w:r>
      <w:r>
        <w:rPr>
          <w:rFonts w:ascii="Arial" w:cs="Arial" w:eastAsia="Arial" w:hAnsi="Arial"/>
          <w:sz w:val="18"/>
          <w:szCs w:val="18"/>
          <w:color w:val="auto"/>
        </w:rPr>
        <w:t>Nominating and2021GovernanceProxyStatementCommittee will review a detailed description of the transaction, including the terms of the transaction; the business purpose of the transaction; the benefits to the Company and to the relevant related party; and whether the transaction would require a waiver of the Company’s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57785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-554990</wp:posOffset>
            </wp:positionV>
            <wp:extent cx="45402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4025" cy="12890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BOARD OF DIRECTORS</w:t>
      </w:r>
    </w:p>
    <w:p>
      <w:pPr>
        <w:spacing w:after="0" w:line="202" w:lineRule="exact"/>
        <w:rPr>
          <w:sz w:val="20"/>
          <w:szCs w:val="20"/>
          <w:color w:val="auto"/>
        </w:rPr>
      </w:pPr>
    </w:p>
    <w:p>
      <w:pPr>
        <w:ind w:left="820"/>
        <w:spacing w:after="0" w:line="246" w:lineRule="auto"/>
        <w:rPr>
          <w:sz w:val="20"/>
          <w:szCs w:val="20"/>
          <w:color w:val="auto"/>
        </w:rPr>
      </w:pPr>
      <w:r>
        <w:rPr>
          <w:rFonts w:ascii="Arial" w:cs="Arial" w:eastAsia="Arial" w:hAnsi="Arial"/>
          <w:sz w:val="18"/>
          <w:szCs w:val="18"/>
          <w:color w:val="auto"/>
        </w:rPr>
        <w:t>In determining whether to approve a related party transaction, the Nominating and Governance Committee will consider, among other things, whether:</w:t>
      </w:r>
    </w:p>
    <w:p>
      <w:pPr>
        <w:spacing w:after="0" w:line="89" w:lineRule="exact"/>
        <w:rPr>
          <w:sz w:val="20"/>
          <w:szCs w:val="20"/>
          <w:color w:val="auto"/>
        </w:rPr>
      </w:pPr>
    </w:p>
    <w:p>
      <w:pPr>
        <w:ind w:left="1360" w:right="20" w:hanging="184"/>
        <w:spacing w:after="0" w:line="261" w:lineRule="auto"/>
        <w:tabs>
          <w:tab w:leader="none" w:pos="1360" w:val="left"/>
        </w:tabs>
        <w:numPr>
          <w:ilvl w:val="0"/>
          <w:numId w:val="14"/>
        </w:numPr>
        <w:rPr>
          <w:rFonts w:ascii="Arial" w:cs="Arial" w:eastAsia="Arial" w:hAnsi="Arial"/>
          <w:sz w:val="18"/>
          <w:szCs w:val="18"/>
          <w:color w:val="477258"/>
        </w:rPr>
      </w:pPr>
      <w:r>
        <w:rPr>
          <w:rFonts w:ascii="Arial" w:cs="Arial" w:eastAsia="Arial" w:hAnsi="Arial"/>
          <w:sz w:val="18"/>
          <w:szCs w:val="18"/>
          <w:color w:val="auto"/>
        </w:rPr>
        <w:t>the terms of the related party transaction are fair to the Company and such terms would be reasonable in an arms-length transaction;</w:t>
      </w:r>
    </w:p>
    <w:p>
      <w:pPr>
        <w:spacing w:after="0" w:line="89" w:lineRule="exact"/>
        <w:rPr>
          <w:rFonts w:ascii="Arial" w:cs="Arial" w:eastAsia="Arial" w:hAnsi="Arial"/>
          <w:sz w:val="18"/>
          <w:szCs w:val="18"/>
          <w:color w:val="477258"/>
        </w:rPr>
      </w:pPr>
    </w:p>
    <w:p>
      <w:pPr>
        <w:ind w:left="1360" w:hanging="184"/>
        <w:spacing w:after="0"/>
        <w:tabs>
          <w:tab w:leader="none" w:pos="1360" w:val="left"/>
        </w:tabs>
        <w:numPr>
          <w:ilvl w:val="0"/>
          <w:numId w:val="14"/>
        </w:numPr>
        <w:rPr>
          <w:rFonts w:ascii="Arial" w:cs="Arial" w:eastAsia="Arial" w:hAnsi="Arial"/>
          <w:sz w:val="18"/>
          <w:szCs w:val="18"/>
          <w:color w:val="477258"/>
        </w:rPr>
      </w:pPr>
      <w:r>
        <w:rPr>
          <w:rFonts w:ascii="Arial" w:cs="Arial" w:eastAsia="Arial" w:hAnsi="Arial"/>
          <w:sz w:val="18"/>
          <w:szCs w:val="18"/>
          <w:color w:val="auto"/>
        </w:rPr>
        <w:t>there are business reasons for the Company to enter into the related party transaction;</w:t>
      </w:r>
    </w:p>
    <w:p>
      <w:pPr>
        <w:spacing w:after="0" w:line="103" w:lineRule="exact"/>
        <w:rPr>
          <w:rFonts w:ascii="Arial" w:cs="Arial" w:eastAsia="Arial" w:hAnsi="Arial"/>
          <w:sz w:val="18"/>
          <w:szCs w:val="18"/>
          <w:color w:val="477258"/>
        </w:rPr>
      </w:pPr>
    </w:p>
    <w:p>
      <w:pPr>
        <w:ind w:left="1360" w:hanging="184"/>
        <w:spacing w:after="0"/>
        <w:tabs>
          <w:tab w:leader="none" w:pos="1360" w:val="left"/>
        </w:tabs>
        <w:numPr>
          <w:ilvl w:val="0"/>
          <w:numId w:val="14"/>
        </w:numPr>
        <w:rPr>
          <w:rFonts w:ascii="Arial" w:cs="Arial" w:eastAsia="Arial" w:hAnsi="Arial"/>
          <w:sz w:val="18"/>
          <w:szCs w:val="18"/>
          <w:color w:val="477258"/>
        </w:rPr>
      </w:pPr>
      <w:r>
        <w:rPr>
          <w:rFonts w:ascii="Arial" w:cs="Arial" w:eastAsia="Arial" w:hAnsi="Arial"/>
          <w:sz w:val="18"/>
          <w:szCs w:val="18"/>
          <w:color w:val="auto"/>
        </w:rPr>
        <w:t>the related party transaction would impair the independence of any non-employee director;</w:t>
      </w:r>
    </w:p>
    <w:p>
      <w:pPr>
        <w:spacing w:after="0" w:line="117" w:lineRule="exact"/>
        <w:rPr>
          <w:rFonts w:ascii="Arial" w:cs="Arial" w:eastAsia="Arial" w:hAnsi="Arial"/>
          <w:sz w:val="18"/>
          <w:szCs w:val="18"/>
          <w:color w:val="477258"/>
        </w:rPr>
      </w:pPr>
    </w:p>
    <w:p>
      <w:pPr>
        <w:ind w:left="1360" w:right="20" w:hanging="184"/>
        <w:spacing w:after="0" w:line="261" w:lineRule="auto"/>
        <w:tabs>
          <w:tab w:leader="none" w:pos="1360" w:val="left"/>
        </w:tabs>
        <w:numPr>
          <w:ilvl w:val="0"/>
          <w:numId w:val="14"/>
        </w:numPr>
        <w:rPr>
          <w:rFonts w:ascii="Arial" w:cs="Arial" w:eastAsia="Arial" w:hAnsi="Arial"/>
          <w:sz w:val="18"/>
          <w:szCs w:val="18"/>
          <w:color w:val="477258"/>
        </w:rPr>
      </w:pPr>
      <w:r>
        <w:rPr>
          <w:rFonts w:ascii="Arial" w:cs="Arial" w:eastAsia="Arial" w:hAnsi="Arial"/>
          <w:sz w:val="18"/>
          <w:szCs w:val="18"/>
          <w:color w:val="auto"/>
        </w:rPr>
        <w:t>the related party transaction would present an improper conflict of interest for any director or executive officer of the Company; and</w:t>
      </w:r>
    </w:p>
    <w:p>
      <w:pPr>
        <w:spacing w:after="0" w:line="76" w:lineRule="exact"/>
        <w:rPr>
          <w:rFonts w:ascii="Arial" w:cs="Arial" w:eastAsia="Arial" w:hAnsi="Arial"/>
          <w:sz w:val="18"/>
          <w:szCs w:val="18"/>
          <w:color w:val="477258"/>
        </w:rPr>
      </w:pPr>
    </w:p>
    <w:p>
      <w:pPr>
        <w:ind w:left="1360" w:hanging="184"/>
        <w:spacing w:after="0"/>
        <w:tabs>
          <w:tab w:leader="none" w:pos="1360" w:val="left"/>
        </w:tabs>
        <w:numPr>
          <w:ilvl w:val="0"/>
          <w:numId w:val="14"/>
        </w:numPr>
        <w:rPr>
          <w:rFonts w:ascii="Arial" w:cs="Arial" w:eastAsia="Arial" w:hAnsi="Arial"/>
          <w:sz w:val="18"/>
          <w:szCs w:val="18"/>
          <w:color w:val="477258"/>
        </w:rPr>
      </w:pPr>
      <w:r>
        <w:rPr>
          <w:rFonts w:ascii="Arial" w:cs="Arial" w:eastAsia="Arial" w:hAnsi="Arial"/>
          <w:sz w:val="18"/>
          <w:szCs w:val="18"/>
          <w:color w:val="auto"/>
        </w:rPr>
        <w:t>the related party transaction is material to the Company or the individual.</w:t>
      </w:r>
    </w:p>
    <w:p>
      <w:pPr>
        <w:spacing w:after="0" w:line="90"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Nominating and Governance Committee’s consideration of related party transactions and its determination of whether to approve such a transaction are reflected in the minutes of the Nominating and Governance Committee’s meetings. As discussed above under “Independence of Board Members,” the Company reviewed all transactions between the Company and each entity with which a non- employee director is affiliated, as well as all transactions between the Company and each entity with which an executive officer is affiliated, and the Company is not aware of any transactions in 2020 that are required to be disclosed.</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Board of Directors Governing Documents</w:t>
      </w:r>
    </w:p>
    <w:p>
      <w:pPr>
        <w:spacing w:after="0" w:line="107" w:lineRule="exact"/>
        <w:rPr>
          <w:sz w:val="20"/>
          <w:szCs w:val="20"/>
          <w:color w:val="auto"/>
        </w:rPr>
      </w:pPr>
    </w:p>
    <w:p>
      <w:pPr>
        <w:jc w:val="both"/>
        <w:ind w:left="820"/>
        <w:spacing w:after="0" w:line="225" w:lineRule="auto"/>
        <w:rPr>
          <w:sz w:val="20"/>
          <w:szCs w:val="20"/>
          <w:color w:val="auto"/>
        </w:rPr>
      </w:pPr>
      <w:r>
        <w:rPr>
          <w:rFonts w:ascii="Arial" w:cs="Arial" w:eastAsia="Arial" w:hAnsi="Arial"/>
          <w:sz w:val="18"/>
          <w:szCs w:val="18"/>
          <w:color w:val="auto"/>
        </w:rPr>
        <w:t>Stockholders may obtain copies of our Corporate Governance Guidelines, the charters of the Audit Committee, the MD&amp;C Committee, and the Nominating and Governance Committee, and our Code of Conduct free of charge by contacting the Corporate Secretary, c/o Waste Management, Inc., 800 Capitol Street, Suite 3000, Houston, Texas 77002 or by accessing the “ESG — Corporate Governance” section of the “Investors” page on our website at www.wm.com.</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Non-Employee Director Compensation</w:t>
      </w:r>
    </w:p>
    <w:p>
      <w:pPr>
        <w:spacing w:after="0" w:line="94"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Our non -employee director compensation program consists of equity awards and cash consideration. Director compensation is recommended annually by the MD&amp;C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253"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2020 Non-Employee Director Compensation</w:t>
      </w:r>
    </w:p>
    <w:p>
      <w:pPr>
        <w:spacing w:after="0" w:line="112"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In February 2020, the MD&amp;C Committee conducted its annual review of non- employee director compensation with the assistance of the independent third-party consultant. The MD&amp;C Committee recommended, and the Board of Directors approved, the following increases in non -employee director compensation, and such increases took effect with the next installments that were paid or granted in July 2020: (a) annual grant of Common Stock increased from $155,000 to $165,000; (b) annual cash retainer increased from $110,000 to $115,000 and (c) annual cash retainer for the Nominating and Governance Committee Chair increased from $15,000 to $20,000. Prior to this change, non-employee director compensation had been held flat since 2017.</w:t>
      </w:r>
    </w:p>
    <w:p>
      <w:pPr>
        <w:spacing w:after="0" w:line="271"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2"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Non-employee directors receive an annual grant of shares of Common Stock under the Company’s 2014 Stock Incentive Plan. The shares are fully vested at the time of grant; however, non-employee directors are required to hold all net shares until one year after retirement and are subject to ownership guidelines, as discussed below. The grant of shares is generally made in two equal installments, and the number of shares issued is based on the market value of our Common Stock on the dates of grant, which are typically January 15 and July 15 of each year. Each non-employee director serving at the time received a grant of Common Stock valued at approximately $77,500 in January 2020. Pursuant to the compensation increases discussed above, each non-employee director serving at the time received a grant of Common Stock valued at approximately $82,500 in July 2020. Mr. Weidemeyer received an additional grant of Common Stock valued at approximately $ 50,000 in each of January 2020 and July 2020 for his service as Non-Executive Chairman of the Board in 2020.</w:t>
      </w:r>
    </w:p>
    <w:p>
      <w:pPr>
        <w:spacing w:after="0" w:line="271"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-158750</wp:posOffset>
            </wp:positionV>
            <wp:extent cx="45466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4660" cy="12890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7460"/>
        <w:spacing w:after="0"/>
        <w:rPr>
          <w:sz w:val="20"/>
          <w:szCs w:val="20"/>
          <w:color w:val="auto"/>
        </w:rPr>
      </w:pPr>
      <w:r>
        <w:rPr>
          <w:rFonts w:ascii="Arial" w:cs="Arial" w:eastAsia="Arial" w:hAnsi="Arial"/>
          <w:sz w:val="20"/>
          <w:szCs w:val="20"/>
          <w:b w:val="1"/>
          <w:bCs w:val="1"/>
          <w:color w:val="auto"/>
        </w:rPr>
        <w:t>BOARD OF DIRECTORS</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26"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All non-employee directors receive an annual cash retainer for Board service and additional cash retainers for serving as a committee chair. Directors do not receive meeting fees in addition to the retainers. The annual cash retainer is generally paid in advance in two equal installments in January and July of each year. The table below sets forth the cash retainers for 2020, after giving effect to the compensation increases discussed above:</w:t>
      </w:r>
    </w:p>
    <w:p>
      <w:pPr>
        <w:spacing w:after="0" w:line="244"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r>
              <w:rPr>
                <w:rFonts w:ascii="Arial" w:cs="Arial" w:eastAsia="Arial" w:hAnsi="Arial"/>
                <w:sz w:val="18"/>
                <w:szCs w:val="18"/>
                <w:b w:val="1"/>
                <w:bCs w:val="1"/>
                <w:color w:val="auto"/>
              </w:rPr>
              <w:t>Annual Retainer</w:t>
            </w:r>
          </w:p>
        </w:tc>
        <w:tc>
          <w:tcPr>
            <w:tcW w:w="1100" w:type="dxa"/>
            <w:vAlign w:val="bottom"/>
          </w:tcPr>
          <w:p>
            <w:pPr>
              <w:jc w:val="right"/>
              <w:spacing w:after="0"/>
              <w:rPr>
                <w:sz w:val="20"/>
                <w:szCs w:val="20"/>
                <w:color w:val="auto"/>
              </w:rPr>
            </w:pPr>
            <w:r>
              <w:rPr>
                <w:rFonts w:ascii="Arial" w:cs="Arial" w:eastAsia="Arial" w:hAnsi="Arial"/>
                <w:sz w:val="18"/>
                <w:szCs w:val="18"/>
                <w:color w:val="auto"/>
              </w:rPr>
              <w:t>$115,000</w:t>
            </w:r>
          </w:p>
        </w:tc>
      </w:tr>
    </w:tbl>
    <w:p>
      <w:pPr>
        <w:ind w:left="2880" w:right="3620" w:hanging="2069"/>
        <w:spacing w:after="0" w:line="250" w:lineRule="auto"/>
        <w:rPr>
          <w:sz w:val="20"/>
          <w:szCs w:val="20"/>
          <w:color w:val="auto"/>
        </w:rPr>
      </w:pPr>
      <w:r>
        <w:rPr>
          <w:rFonts w:ascii="Arial" w:cs="Arial" w:eastAsia="Arial" w:hAnsi="Arial"/>
          <w:sz w:val="18"/>
          <w:szCs w:val="18"/>
          <w:b w:val="1"/>
          <w:bCs w:val="1"/>
          <w:color w:val="auto"/>
        </w:rPr>
        <w:t>Annual Chair Retainers</w:t>
      </w:r>
      <w:r>
        <w:rPr>
          <w:rFonts w:ascii="Arial" w:cs="Arial" w:eastAsia="Arial" w:hAnsi="Arial"/>
          <w:sz w:val="18"/>
          <w:szCs w:val="18"/>
          <w:color w:val="auto"/>
        </w:rPr>
        <w:t>$100,000 for Non -Executive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$25,000 for Audit Committee Chair $20,000 for MD&amp;C Committee Chair</w:t>
      </w:r>
    </w:p>
    <w:p>
      <w:pPr>
        <w:spacing w:after="0" w:line="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$20,000 for Nominating and Governance Committee Chair</w:t>
      </w:r>
    </w:p>
    <w:p>
      <w:pPr>
        <w:spacing w:after="0" w:line="203"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Stock Ownership Guidelines for Non-Employee Directors</w:t>
      </w:r>
    </w:p>
    <w:p>
      <w:pPr>
        <w:spacing w:after="0" w:line="112"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Our non-employee directors are subject to ownership guidelines that establish a minimum ownership level and require that all net shares received in connection with a stock award, after selling shares to pay all applicable taxes, be held during their tenure as a director and for one year following termination of Board service. The MD&amp;C Committee amended the ownership guidelines for employees and directors in November 2020 to increase the assumed stock price from $80 per share to $100 per share, to better reflect more recent sustained market prices for our Common Stock since the prior revision in November 2018. As a result, non-employee directors are now required to hold 5,750 shares, valued at approximately five times the 2020 annual cash retainer for non-employee directors. There is no deadline for non-employee directors to reach their ownership guideline; however, the MD&amp;C Committee performs regular reviews to confirm that all non-employee directors are in compliance or are showing sustained progress toward achievement of their ownership guideline. All of our non-employee directors have reached the ownership guideline, except our newest directors, Mr. Menke, Mr. Plummer and Ms. Sylvester, are making appropriate progress toward the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pacing w:after="0" w:line="329"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26" w:lineRule="exact"/>
        <w:rPr>
          <w:sz w:val="20"/>
          <w:szCs w:val="20"/>
          <w:color w:val="auto"/>
        </w:rPr>
      </w:pPr>
    </w:p>
    <w:p>
      <w:pPr>
        <w:jc w:val="both"/>
        <w:ind w:left="820" w:right="20"/>
        <w:spacing w:after="0" w:line="246" w:lineRule="auto"/>
        <w:rPr>
          <w:sz w:val="20"/>
          <w:szCs w:val="20"/>
          <w:color w:val="auto"/>
        </w:rPr>
      </w:pPr>
      <w:r>
        <w:rPr>
          <w:rFonts w:ascii="Arial" w:cs="Arial" w:eastAsia="Arial" w:hAnsi="Arial"/>
          <w:sz w:val="18"/>
          <w:szCs w:val="18"/>
          <w:color w:val="auto"/>
        </w:rPr>
        <w:t>The table below shows the aggregate cash paid, and stock awards issued, to the non-employee directors in 2020 in accordance with the descriptions set forth above:</w:t>
      </w:r>
    </w:p>
    <w:p>
      <w:pPr>
        <w:spacing w:after="0" w:line="76" w:lineRule="exact"/>
        <w:rPr>
          <w:sz w:val="20"/>
          <w:szCs w:val="20"/>
          <w:color w:val="auto"/>
        </w:rPr>
      </w:pPr>
    </w:p>
    <w:tbl>
      <w:tblPr>
        <w:tblLayout w:type="fixed"/>
        <w:tblInd w:w="152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2420" w:type="dxa"/>
            <w:vAlign w:val="bottom"/>
          </w:tcPr>
          <w:p>
            <w:pPr>
              <w:jc w:val="right"/>
              <w:ind w:right="95"/>
              <w:spacing w:after="0"/>
              <w:rPr>
                <w:sz w:val="20"/>
                <w:szCs w:val="20"/>
                <w:color w:val="auto"/>
              </w:rPr>
            </w:pPr>
            <w:r>
              <w:rPr>
                <w:rFonts w:ascii="Arial" w:cs="Arial" w:eastAsia="Arial" w:hAnsi="Arial"/>
                <w:sz w:val="14"/>
                <w:szCs w:val="14"/>
                <w:b w:val="1"/>
                <w:bCs w:val="1"/>
                <w:color w:val="477258"/>
              </w:rPr>
              <w:t>Fees Earned</w:t>
            </w:r>
          </w:p>
        </w:tc>
        <w:tc>
          <w:tcPr>
            <w:tcW w:w="900" w:type="dxa"/>
            <w:vAlign w:val="bottom"/>
          </w:tcPr>
          <w:p>
            <w:pPr>
              <w:jc w:val="right"/>
              <w:ind w:right="95"/>
              <w:spacing w:after="0"/>
              <w:rPr>
                <w:sz w:val="20"/>
                <w:szCs w:val="20"/>
                <w:color w:val="auto"/>
              </w:rPr>
            </w:pPr>
            <w:r>
              <w:rPr>
                <w:rFonts w:ascii="Arial" w:cs="Arial" w:eastAsia="Arial" w:hAnsi="Arial"/>
                <w:sz w:val="14"/>
                <w:szCs w:val="14"/>
                <w:b w:val="1"/>
                <w:bCs w:val="1"/>
                <w:color w:val="477258"/>
              </w:rPr>
              <w:t>Stock</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500" w:type="dxa"/>
            <w:vAlign w:val="bottom"/>
            <w:vMerge w:val="restart"/>
          </w:tcPr>
          <w:p>
            <w:pPr>
              <w:ind w:left="60"/>
              <w:spacing w:after="0"/>
              <w:rPr>
                <w:sz w:val="20"/>
                <w:szCs w:val="20"/>
                <w:color w:val="auto"/>
              </w:rPr>
            </w:pPr>
            <w:r>
              <w:rPr>
                <w:rFonts w:ascii="Arial" w:cs="Arial" w:eastAsia="Arial" w:hAnsi="Arial"/>
                <w:sz w:val="14"/>
                <w:szCs w:val="14"/>
                <w:b w:val="1"/>
                <w:bCs w:val="1"/>
                <w:color w:val="477258"/>
              </w:rPr>
              <w:t>Name</w:t>
            </w:r>
          </w:p>
        </w:tc>
        <w:tc>
          <w:tcPr>
            <w:tcW w:w="2420" w:type="dxa"/>
            <w:vAlign w:val="bottom"/>
          </w:tcPr>
          <w:p>
            <w:pPr>
              <w:jc w:val="right"/>
              <w:ind w:right="95"/>
              <w:spacing w:after="0" w:line="135" w:lineRule="exact"/>
              <w:rPr>
                <w:sz w:val="20"/>
                <w:szCs w:val="20"/>
                <w:color w:val="auto"/>
              </w:rPr>
            </w:pPr>
            <w:r>
              <w:rPr>
                <w:rFonts w:ascii="Arial" w:cs="Arial" w:eastAsia="Arial" w:hAnsi="Arial"/>
                <w:sz w:val="14"/>
                <w:szCs w:val="14"/>
                <w:b w:val="1"/>
                <w:bCs w:val="1"/>
                <w:color w:val="477258"/>
              </w:rPr>
              <w:t>or Paid in</w:t>
            </w:r>
          </w:p>
        </w:tc>
        <w:tc>
          <w:tcPr>
            <w:tcW w:w="900" w:type="dxa"/>
            <w:vAlign w:val="bottom"/>
          </w:tcPr>
          <w:p>
            <w:pPr>
              <w:jc w:val="right"/>
              <w:ind w:right="95"/>
              <w:spacing w:after="0" w:line="135" w:lineRule="exact"/>
              <w:rPr>
                <w:sz w:val="20"/>
                <w:szCs w:val="20"/>
                <w:color w:val="auto"/>
              </w:rPr>
            </w:pPr>
            <w:r>
              <w:rPr>
                <w:rFonts w:ascii="Arial" w:cs="Arial" w:eastAsia="Arial" w:hAnsi="Arial"/>
                <w:sz w:val="14"/>
                <w:szCs w:val="14"/>
                <w:b w:val="1"/>
                <w:bCs w:val="1"/>
                <w:color w:val="477258"/>
              </w:rPr>
              <w:t>Awards</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477258"/>
              </w:rPr>
              <w:t>Total ($)</w:t>
            </w:r>
          </w:p>
        </w:tc>
        <w:tc>
          <w:tcPr>
            <w:tcW w:w="0" w:type="dxa"/>
            <w:vAlign w:val="bottom"/>
          </w:tcPr>
          <w:p>
            <w:pPr>
              <w:spacing w:after="0"/>
              <w:rPr>
                <w:sz w:val="1"/>
                <w:szCs w:val="1"/>
                <w:color w:val="auto"/>
              </w:rPr>
            </w:pPr>
          </w:p>
        </w:tc>
      </w:tr>
      <w:tr>
        <w:trPr>
          <w:trHeight w:val="175"/>
        </w:trPr>
        <w:tc>
          <w:tcPr>
            <w:tcW w:w="3500" w:type="dxa"/>
            <w:vAlign w:val="bottom"/>
            <w:tcBorders>
              <w:bottom w:val="single" w:sz="8" w:color="477258"/>
            </w:tcBorders>
            <w:vMerge w:val="continue"/>
          </w:tcPr>
          <w:p>
            <w:pPr>
              <w:spacing w:after="0"/>
              <w:rPr>
                <w:sz w:val="15"/>
                <w:szCs w:val="15"/>
                <w:color w:val="auto"/>
              </w:rPr>
            </w:pPr>
          </w:p>
        </w:tc>
        <w:tc>
          <w:tcPr>
            <w:tcW w:w="2420" w:type="dxa"/>
            <w:vAlign w:val="bottom"/>
            <w:tcBorders>
              <w:bottom w:val="single" w:sz="8" w:color="477258"/>
            </w:tcBorders>
          </w:tcPr>
          <w:p>
            <w:pPr>
              <w:jc w:val="right"/>
              <w:ind w:right="35"/>
              <w:spacing w:after="0"/>
              <w:rPr>
                <w:sz w:val="20"/>
                <w:szCs w:val="20"/>
                <w:color w:val="auto"/>
              </w:rPr>
            </w:pPr>
            <w:r>
              <w:rPr>
                <w:rFonts w:ascii="Arial" w:cs="Arial" w:eastAsia="Arial" w:hAnsi="Arial"/>
                <w:sz w:val="14"/>
                <w:szCs w:val="14"/>
                <w:b w:val="1"/>
                <w:bCs w:val="1"/>
                <w:color w:val="477258"/>
              </w:rPr>
              <w:t>Cash ($)</w:t>
            </w:r>
          </w:p>
        </w:tc>
        <w:tc>
          <w:tcPr>
            <w:tcW w:w="900" w:type="dxa"/>
            <w:vAlign w:val="bottom"/>
            <w:tcBorders>
              <w:bottom w:val="single" w:sz="8" w:color="477258"/>
            </w:tcBorders>
          </w:tcPr>
          <w:p>
            <w:pPr>
              <w:jc w:val="right"/>
              <w:ind w:right="55"/>
              <w:spacing w:after="0" w:line="176" w:lineRule="exact"/>
              <w:rPr>
                <w:sz w:val="20"/>
                <w:szCs w:val="20"/>
                <w:color w:val="auto"/>
              </w:rPr>
            </w:pPr>
            <w:r>
              <w:rPr>
                <w:rFonts w:ascii="Arial" w:cs="Arial" w:eastAsia="Arial" w:hAnsi="Arial"/>
                <w:sz w:val="14"/>
                <w:szCs w:val="14"/>
                <w:b w:val="1"/>
                <w:bCs w:val="1"/>
                <w:color w:val="477258"/>
              </w:rPr>
              <w:t>($)</w:t>
            </w:r>
            <w:r>
              <w:rPr>
                <w:rFonts w:ascii="Arial" w:cs="Arial" w:eastAsia="Arial" w:hAnsi="Arial"/>
                <w:sz w:val="20"/>
                <w:szCs w:val="20"/>
                <w:b w:val="1"/>
                <w:bCs w:val="1"/>
                <w:color w:val="477258"/>
                <w:vertAlign w:val="superscript"/>
              </w:rPr>
              <w:t>(1)</w:t>
            </w:r>
          </w:p>
        </w:tc>
        <w:tc>
          <w:tcPr>
            <w:tcW w:w="820" w:type="dxa"/>
            <w:vAlign w:val="bottom"/>
            <w:tcBorders>
              <w:bottom w:val="single" w:sz="8" w:color="47725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color w:val="auto"/>
              </w:rPr>
              <w:t>Frank M. Clark, Jr.</w:t>
            </w:r>
          </w:p>
        </w:tc>
        <w:tc>
          <w:tcPr>
            <w:tcW w:w="242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color w:val="auto"/>
              </w:rPr>
              <w:t>132,500</w:t>
            </w:r>
          </w:p>
        </w:tc>
        <w:tc>
          <w:tcPr>
            <w:tcW w:w="90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color w:val="auto"/>
              </w:rPr>
              <w:t>159,973</w:t>
            </w:r>
          </w:p>
        </w:tc>
        <w:tc>
          <w:tcPr>
            <w:tcW w:w="820" w:type="dxa"/>
            <w:vAlign w:val="bottom"/>
            <w:tcBorders>
              <w:bottom w:val="single" w:sz="8" w:color="477258"/>
            </w:tcBorders>
            <w:shd w:val="clear" w:color="auto" w:fill="CCEEFF"/>
          </w:tcPr>
          <w:p>
            <w:pPr>
              <w:jc w:val="center"/>
              <w:spacing w:after="0"/>
              <w:rPr>
                <w:sz w:val="20"/>
                <w:szCs w:val="20"/>
                <w:color w:val="auto"/>
              </w:rPr>
            </w:pPr>
            <w:r>
              <w:rPr>
                <w:rFonts w:ascii="Arial" w:cs="Arial" w:eastAsia="Arial" w:hAnsi="Arial"/>
                <w:sz w:val="18"/>
                <w:szCs w:val="18"/>
                <w:color w:val="auto"/>
                <w:w w:val="98"/>
              </w:rPr>
              <w:t>292,473</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Andrés R. Gluski</w:t>
            </w:r>
          </w:p>
        </w:tc>
        <w:tc>
          <w:tcPr>
            <w:tcW w:w="2420" w:type="dxa"/>
            <w:vAlign w:val="bottom"/>
            <w:tcBorders>
              <w:bottom w:val="single" w:sz="8" w:color="477258"/>
            </w:tcBorders>
          </w:tcPr>
          <w:p>
            <w:pPr>
              <w:jc w:val="right"/>
              <w:ind w:right="35"/>
              <w:spacing w:after="0"/>
              <w:rPr>
                <w:sz w:val="20"/>
                <w:szCs w:val="20"/>
                <w:color w:val="auto"/>
              </w:rPr>
            </w:pPr>
            <w:r>
              <w:rPr>
                <w:rFonts w:ascii="Arial" w:cs="Arial" w:eastAsia="Arial" w:hAnsi="Arial"/>
                <w:sz w:val="18"/>
                <w:szCs w:val="18"/>
                <w:color w:val="auto"/>
              </w:rPr>
              <w:t>112,500</w:t>
            </w:r>
          </w:p>
        </w:tc>
        <w:tc>
          <w:tcPr>
            <w:tcW w:w="900" w:type="dxa"/>
            <w:vAlign w:val="bottom"/>
            <w:tcBorders>
              <w:bottom w:val="single" w:sz="8" w:color="477258"/>
            </w:tcBorders>
          </w:tcPr>
          <w:p>
            <w:pPr>
              <w:jc w:val="right"/>
              <w:ind w:right="35"/>
              <w:spacing w:after="0"/>
              <w:rPr>
                <w:sz w:val="20"/>
                <w:szCs w:val="20"/>
                <w:color w:val="auto"/>
              </w:rPr>
            </w:pPr>
            <w:r>
              <w:rPr>
                <w:rFonts w:ascii="Arial" w:cs="Arial" w:eastAsia="Arial" w:hAnsi="Arial"/>
                <w:sz w:val="18"/>
                <w:szCs w:val="18"/>
                <w:color w:val="auto"/>
              </w:rPr>
              <w:t>159,973</w:t>
            </w:r>
          </w:p>
        </w:tc>
        <w:tc>
          <w:tcPr>
            <w:tcW w:w="820" w:type="dxa"/>
            <w:vAlign w:val="bottom"/>
            <w:tcBorders>
              <w:bottom w:val="single" w:sz="8" w:color="477258"/>
            </w:tcBorders>
          </w:tcPr>
          <w:p>
            <w:pPr>
              <w:jc w:val="center"/>
              <w:spacing w:after="0"/>
              <w:rPr>
                <w:sz w:val="20"/>
                <w:szCs w:val="20"/>
                <w:color w:val="auto"/>
              </w:rPr>
            </w:pPr>
            <w:r>
              <w:rPr>
                <w:rFonts w:ascii="Arial" w:cs="Arial" w:eastAsia="Arial" w:hAnsi="Arial"/>
                <w:sz w:val="18"/>
                <w:szCs w:val="18"/>
                <w:color w:val="auto"/>
                <w:w w:val="98"/>
              </w:rPr>
              <w:t>272,473</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477258"/>
            </w:tcBorders>
            <w:shd w:val="clear" w:color="auto" w:fill="CCEEFF"/>
          </w:tcPr>
          <w:p>
            <w:pPr>
              <w:ind w:left="60"/>
              <w:spacing w:after="0" w:line="223" w:lineRule="exact"/>
              <w:rPr>
                <w:sz w:val="20"/>
                <w:szCs w:val="20"/>
                <w:color w:val="auto"/>
              </w:rPr>
            </w:pPr>
            <w:r>
              <w:rPr>
                <w:rFonts w:ascii="Arial" w:cs="Arial" w:eastAsia="Arial" w:hAnsi="Arial"/>
                <w:sz w:val="17"/>
                <w:szCs w:val="17"/>
                <w:color w:val="auto"/>
              </w:rPr>
              <w:t>Patrick W. Gross</w:t>
            </w:r>
            <w:r>
              <w:rPr>
                <w:rFonts w:ascii="Arial" w:cs="Arial" w:eastAsia="Arial" w:hAnsi="Arial"/>
                <w:sz w:val="25"/>
                <w:szCs w:val="25"/>
                <w:color w:val="auto"/>
                <w:vertAlign w:val="superscript"/>
              </w:rPr>
              <w:t>(2)</w:t>
            </w:r>
          </w:p>
        </w:tc>
        <w:tc>
          <w:tcPr>
            <w:tcW w:w="242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color w:val="auto"/>
              </w:rPr>
              <w:t>67,500</w:t>
            </w:r>
          </w:p>
        </w:tc>
        <w:tc>
          <w:tcPr>
            <w:tcW w:w="90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color w:val="auto"/>
              </w:rPr>
              <w:t>77,501</w:t>
            </w:r>
          </w:p>
        </w:tc>
        <w:tc>
          <w:tcPr>
            <w:tcW w:w="820" w:type="dxa"/>
            <w:vAlign w:val="bottom"/>
            <w:tcBorders>
              <w:bottom w:val="single" w:sz="8" w:color="477258"/>
            </w:tcBorders>
            <w:shd w:val="clear" w:color="auto" w:fill="CCEEFF"/>
          </w:tcPr>
          <w:p>
            <w:pPr>
              <w:jc w:val="center"/>
              <w:spacing w:after="0"/>
              <w:rPr>
                <w:sz w:val="20"/>
                <w:szCs w:val="20"/>
                <w:color w:val="auto"/>
              </w:rPr>
            </w:pPr>
            <w:r>
              <w:rPr>
                <w:rFonts w:ascii="Arial" w:cs="Arial" w:eastAsia="Arial" w:hAnsi="Arial"/>
                <w:sz w:val="18"/>
                <w:szCs w:val="18"/>
                <w:color w:val="auto"/>
                <w:w w:val="98"/>
              </w:rPr>
              <w:t>145,001</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Victoria M. Holt</w:t>
            </w:r>
          </w:p>
        </w:tc>
        <w:tc>
          <w:tcPr>
            <w:tcW w:w="2420" w:type="dxa"/>
            <w:vAlign w:val="bottom"/>
            <w:tcBorders>
              <w:bottom w:val="single" w:sz="8" w:color="477258"/>
            </w:tcBorders>
          </w:tcPr>
          <w:p>
            <w:pPr>
              <w:jc w:val="right"/>
              <w:ind w:right="35"/>
              <w:spacing w:after="0"/>
              <w:rPr>
                <w:sz w:val="20"/>
                <w:szCs w:val="20"/>
                <w:color w:val="auto"/>
              </w:rPr>
            </w:pPr>
            <w:r>
              <w:rPr>
                <w:rFonts w:ascii="Arial" w:cs="Arial" w:eastAsia="Arial" w:hAnsi="Arial"/>
                <w:sz w:val="18"/>
                <w:szCs w:val="18"/>
                <w:color w:val="auto"/>
              </w:rPr>
              <w:t>112,500</w:t>
            </w:r>
          </w:p>
        </w:tc>
        <w:tc>
          <w:tcPr>
            <w:tcW w:w="900" w:type="dxa"/>
            <w:vAlign w:val="bottom"/>
            <w:tcBorders>
              <w:bottom w:val="single" w:sz="8" w:color="477258"/>
            </w:tcBorders>
          </w:tcPr>
          <w:p>
            <w:pPr>
              <w:jc w:val="right"/>
              <w:ind w:right="35"/>
              <w:spacing w:after="0"/>
              <w:rPr>
                <w:sz w:val="20"/>
                <w:szCs w:val="20"/>
                <w:color w:val="auto"/>
              </w:rPr>
            </w:pPr>
            <w:r>
              <w:rPr>
                <w:rFonts w:ascii="Arial" w:cs="Arial" w:eastAsia="Arial" w:hAnsi="Arial"/>
                <w:sz w:val="18"/>
                <w:szCs w:val="18"/>
                <w:color w:val="auto"/>
              </w:rPr>
              <w:t>159,973</w:t>
            </w:r>
          </w:p>
        </w:tc>
        <w:tc>
          <w:tcPr>
            <w:tcW w:w="820" w:type="dxa"/>
            <w:vAlign w:val="bottom"/>
            <w:tcBorders>
              <w:bottom w:val="single" w:sz="8" w:color="477258"/>
            </w:tcBorders>
          </w:tcPr>
          <w:p>
            <w:pPr>
              <w:jc w:val="center"/>
              <w:spacing w:after="0"/>
              <w:rPr>
                <w:sz w:val="20"/>
                <w:szCs w:val="20"/>
                <w:color w:val="auto"/>
              </w:rPr>
            </w:pPr>
            <w:r>
              <w:rPr>
                <w:rFonts w:ascii="Arial" w:cs="Arial" w:eastAsia="Arial" w:hAnsi="Arial"/>
                <w:sz w:val="18"/>
                <w:szCs w:val="18"/>
                <w:color w:val="auto"/>
                <w:w w:val="98"/>
              </w:rPr>
              <w:t>272,473</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color w:val="auto"/>
              </w:rPr>
              <w:t>Kathleen M. Mazzarella</w:t>
            </w:r>
          </w:p>
        </w:tc>
        <w:tc>
          <w:tcPr>
            <w:tcW w:w="242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color w:val="auto"/>
              </w:rPr>
              <w:t>130,000</w:t>
            </w:r>
          </w:p>
        </w:tc>
        <w:tc>
          <w:tcPr>
            <w:tcW w:w="90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color w:val="auto"/>
              </w:rPr>
              <w:t>159,973</w:t>
            </w:r>
          </w:p>
        </w:tc>
        <w:tc>
          <w:tcPr>
            <w:tcW w:w="820" w:type="dxa"/>
            <w:vAlign w:val="bottom"/>
            <w:tcBorders>
              <w:bottom w:val="single" w:sz="8" w:color="477258"/>
            </w:tcBorders>
            <w:shd w:val="clear" w:color="auto" w:fill="CCEEFF"/>
          </w:tcPr>
          <w:p>
            <w:pPr>
              <w:jc w:val="center"/>
              <w:spacing w:after="0"/>
              <w:rPr>
                <w:sz w:val="20"/>
                <w:szCs w:val="20"/>
                <w:color w:val="auto"/>
              </w:rPr>
            </w:pPr>
            <w:r>
              <w:rPr>
                <w:rFonts w:ascii="Arial" w:cs="Arial" w:eastAsia="Arial" w:hAnsi="Arial"/>
                <w:sz w:val="18"/>
                <w:szCs w:val="18"/>
                <w:color w:val="auto"/>
                <w:w w:val="98"/>
              </w:rPr>
              <w:t>289,973</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477258"/>
            </w:tcBorders>
          </w:tcPr>
          <w:p>
            <w:pPr>
              <w:ind w:left="60"/>
              <w:spacing w:after="0" w:line="223" w:lineRule="exact"/>
              <w:rPr>
                <w:sz w:val="20"/>
                <w:szCs w:val="20"/>
                <w:color w:val="auto"/>
              </w:rPr>
            </w:pPr>
            <w:r>
              <w:rPr>
                <w:rFonts w:ascii="Arial" w:cs="Arial" w:eastAsia="Arial" w:hAnsi="Arial"/>
                <w:sz w:val="17"/>
                <w:szCs w:val="17"/>
                <w:color w:val="auto"/>
              </w:rPr>
              <w:t>William B. Plummer</w:t>
            </w:r>
            <w:r>
              <w:rPr>
                <w:rFonts w:ascii="Arial" w:cs="Arial" w:eastAsia="Arial" w:hAnsi="Arial"/>
                <w:sz w:val="25"/>
                <w:szCs w:val="25"/>
                <w:color w:val="auto"/>
                <w:vertAlign w:val="superscript"/>
              </w:rPr>
              <w:t>(3)</w:t>
            </w:r>
          </w:p>
        </w:tc>
        <w:tc>
          <w:tcPr>
            <w:tcW w:w="2420" w:type="dxa"/>
            <w:vAlign w:val="bottom"/>
            <w:tcBorders>
              <w:bottom w:val="single" w:sz="8" w:color="477258"/>
            </w:tcBorders>
          </w:tcPr>
          <w:p>
            <w:pPr>
              <w:jc w:val="right"/>
              <w:ind w:right="35"/>
              <w:spacing w:after="0"/>
              <w:rPr>
                <w:sz w:val="20"/>
                <w:szCs w:val="20"/>
                <w:color w:val="auto"/>
              </w:rPr>
            </w:pPr>
            <w:r>
              <w:rPr>
                <w:rFonts w:ascii="Arial" w:cs="Arial" w:eastAsia="Arial" w:hAnsi="Arial"/>
                <w:sz w:val="18"/>
                <w:szCs w:val="18"/>
                <w:color w:val="auto"/>
              </w:rPr>
              <w:t>129,327</w:t>
            </w:r>
          </w:p>
        </w:tc>
        <w:tc>
          <w:tcPr>
            <w:tcW w:w="900" w:type="dxa"/>
            <w:vAlign w:val="bottom"/>
            <w:tcBorders>
              <w:bottom w:val="single" w:sz="8" w:color="477258"/>
            </w:tcBorders>
          </w:tcPr>
          <w:p>
            <w:pPr>
              <w:jc w:val="right"/>
              <w:ind w:right="35"/>
              <w:spacing w:after="0"/>
              <w:rPr>
                <w:sz w:val="20"/>
                <w:szCs w:val="20"/>
                <w:color w:val="auto"/>
              </w:rPr>
            </w:pPr>
            <w:r>
              <w:rPr>
                <w:rFonts w:ascii="Arial" w:cs="Arial" w:eastAsia="Arial" w:hAnsi="Arial"/>
                <w:sz w:val="18"/>
                <w:szCs w:val="18"/>
                <w:color w:val="auto"/>
              </w:rPr>
              <w:t>159,973</w:t>
            </w:r>
          </w:p>
        </w:tc>
        <w:tc>
          <w:tcPr>
            <w:tcW w:w="820" w:type="dxa"/>
            <w:vAlign w:val="bottom"/>
            <w:tcBorders>
              <w:bottom w:val="single" w:sz="8" w:color="477258"/>
            </w:tcBorders>
          </w:tcPr>
          <w:p>
            <w:pPr>
              <w:jc w:val="center"/>
              <w:spacing w:after="0"/>
              <w:rPr>
                <w:sz w:val="20"/>
                <w:szCs w:val="20"/>
                <w:color w:val="auto"/>
              </w:rPr>
            </w:pPr>
            <w:r>
              <w:rPr>
                <w:rFonts w:ascii="Arial" w:cs="Arial" w:eastAsia="Arial" w:hAnsi="Arial"/>
                <w:sz w:val="18"/>
                <w:szCs w:val="18"/>
                <w:color w:val="auto"/>
                <w:w w:val="98"/>
              </w:rPr>
              <w:t>289,300</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color w:val="auto"/>
              </w:rPr>
              <w:t>John C. Pope</w:t>
            </w:r>
          </w:p>
        </w:tc>
        <w:tc>
          <w:tcPr>
            <w:tcW w:w="242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color w:val="auto"/>
              </w:rPr>
              <w:t>112,500</w:t>
            </w:r>
          </w:p>
        </w:tc>
        <w:tc>
          <w:tcPr>
            <w:tcW w:w="90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color w:val="auto"/>
              </w:rPr>
              <w:t>159,973</w:t>
            </w:r>
          </w:p>
        </w:tc>
        <w:tc>
          <w:tcPr>
            <w:tcW w:w="820" w:type="dxa"/>
            <w:vAlign w:val="bottom"/>
            <w:tcBorders>
              <w:bottom w:val="single" w:sz="8" w:color="477258"/>
            </w:tcBorders>
            <w:shd w:val="clear" w:color="auto" w:fill="CCEEFF"/>
          </w:tcPr>
          <w:p>
            <w:pPr>
              <w:jc w:val="center"/>
              <w:spacing w:after="0"/>
              <w:rPr>
                <w:sz w:val="20"/>
                <w:szCs w:val="20"/>
                <w:color w:val="auto"/>
              </w:rPr>
            </w:pPr>
            <w:r>
              <w:rPr>
                <w:rFonts w:ascii="Arial" w:cs="Arial" w:eastAsia="Arial" w:hAnsi="Arial"/>
                <w:sz w:val="18"/>
                <w:szCs w:val="18"/>
                <w:color w:val="auto"/>
                <w:w w:val="98"/>
              </w:rPr>
              <w:t>272,473</w:t>
            </w:r>
          </w:p>
        </w:tc>
        <w:tc>
          <w:tcPr>
            <w:tcW w:w="0" w:type="dxa"/>
            <w:vAlign w:val="bottom"/>
          </w:tcPr>
          <w:p>
            <w:pPr>
              <w:spacing w:after="0"/>
              <w:rPr>
                <w:sz w:val="1"/>
                <w:szCs w:val="1"/>
                <w:color w:val="auto"/>
              </w:rPr>
            </w:pPr>
          </w:p>
        </w:tc>
      </w:tr>
      <w:tr>
        <w:trPr>
          <w:trHeight w:val="223"/>
        </w:trPr>
        <w:tc>
          <w:tcPr>
            <w:tcW w:w="3500" w:type="dxa"/>
            <w:vAlign w:val="bottom"/>
          </w:tcPr>
          <w:p>
            <w:pPr>
              <w:ind w:left="60"/>
              <w:spacing w:after="0"/>
              <w:rPr>
                <w:sz w:val="20"/>
                <w:szCs w:val="20"/>
                <w:color w:val="auto"/>
              </w:rPr>
            </w:pPr>
            <w:r>
              <w:rPr>
                <w:rFonts w:ascii="Arial" w:cs="Arial" w:eastAsia="Arial" w:hAnsi="Arial"/>
                <w:sz w:val="18"/>
                <w:szCs w:val="18"/>
                <w:color w:val="auto"/>
              </w:rPr>
              <w:t>Thomas H. Weidemeyer</w:t>
            </w:r>
          </w:p>
        </w:tc>
        <w:tc>
          <w:tcPr>
            <w:tcW w:w="2420" w:type="dxa"/>
            <w:vAlign w:val="bottom"/>
          </w:tcPr>
          <w:p>
            <w:pPr>
              <w:jc w:val="right"/>
              <w:ind w:right="35"/>
              <w:spacing w:after="0"/>
              <w:rPr>
                <w:sz w:val="20"/>
                <w:szCs w:val="20"/>
                <w:color w:val="auto"/>
              </w:rPr>
            </w:pPr>
            <w:r>
              <w:rPr>
                <w:rFonts w:ascii="Arial" w:cs="Arial" w:eastAsia="Arial" w:hAnsi="Arial"/>
                <w:sz w:val="18"/>
                <w:szCs w:val="18"/>
                <w:color w:val="auto"/>
              </w:rPr>
              <w:t>212,500</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259,978</w:t>
            </w:r>
          </w:p>
        </w:tc>
        <w:tc>
          <w:tcPr>
            <w:tcW w:w="820" w:type="dxa"/>
            <w:vAlign w:val="bottom"/>
          </w:tcPr>
          <w:p>
            <w:pPr>
              <w:jc w:val="center"/>
              <w:spacing w:after="0"/>
              <w:rPr>
                <w:sz w:val="20"/>
                <w:szCs w:val="20"/>
                <w:color w:val="auto"/>
              </w:rPr>
            </w:pPr>
            <w:r>
              <w:rPr>
                <w:rFonts w:ascii="Arial" w:cs="Arial" w:eastAsia="Arial" w:hAnsi="Arial"/>
                <w:sz w:val="18"/>
                <w:szCs w:val="18"/>
                <w:color w:val="auto"/>
                <w:w w:val="98"/>
              </w:rPr>
              <w:t>472,478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25400</wp:posOffset>
            </wp:positionV>
            <wp:extent cx="48431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87" w:lineRule="exact"/>
        <w:rPr>
          <w:sz w:val="20"/>
          <w:szCs w:val="20"/>
          <w:color w:val="auto"/>
        </w:rPr>
      </w:pPr>
    </w:p>
    <w:p>
      <w:pPr>
        <w:jc w:val="both"/>
        <w:ind w:left="1900" w:hanging="364"/>
        <w:spacing w:after="0" w:line="253" w:lineRule="auto"/>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awards granted in 2020,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97" w:lineRule="exact"/>
        <w:rPr>
          <w:rFonts w:ascii="Arial" w:cs="Arial" w:eastAsia="Arial" w:hAnsi="Arial"/>
          <w:sz w:val="18"/>
          <w:szCs w:val="18"/>
          <w:color w:val="auto"/>
        </w:rPr>
      </w:pPr>
    </w:p>
    <w:p>
      <w:pPr>
        <w:jc w:val="both"/>
        <w:ind w:left="1900" w:hanging="364"/>
        <w:spacing w:after="0" w:line="256" w:lineRule="auto"/>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the 2020 Annual Meeting, Mr. Gross had reached the retirement age set forth in the Company’s Corporate Governance Guidelines; therefore, he did not stand for re-election and his term as a director of the Company expired on May 12, 2020.</w:t>
      </w:r>
    </w:p>
    <w:p>
      <w:pPr>
        <w:spacing w:after="0" w:line="93" w:lineRule="exact"/>
        <w:rPr>
          <w:rFonts w:ascii="Arial" w:cs="Arial" w:eastAsia="Arial" w:hAnsi="Arial"/>
          <w:sz w:val="18"/>
          <w:szCs w:val="18"/>
          <w:color w:val="auto"/>
        </w:rPr>
      </w:pPr>
    </w:p>
    <w:p>
      <w:pPr>
        <w:ind w:left="1900" w:hanging="364"/>
        <w:spacing w:after="0" w:line="261" w:lineRule="auto"/>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Plummer received a prorated cash payment for service as Audit Committee Chairman from May 12, 2020 until the next regular installment of retainer payments in July 2020.</w:t>
      </w:r>
    </w:p>
    <w:p>
      <w:pPr>
        <w:spacing w:after="0" w:line="230"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001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4025" cy="12001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ELECTION OF DIRECTORS</w:t>
      </w:r>
    </w:p>
    <w:p>
      <w:pPr>
        <w:spacing w:after="0" w:line="114"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(Item 1 on the Proxy Card)</w:t>
      </w:r>
    </w:p>
    <w:p>
      <w:pPr>
        <w:spacing w:after="0" w:line="130" w:lineRule="exact"/>
        <w:rPr>
          <w:sz w:val="20"/>
          <w:szCs w:val="20"/>
          <w:color w:val="auto"/>
        </w:rPr>
      </w:pPr>
    </w:p>
    <w:p>
      <w:pPr>
        <w:jc w:val="both"/>
        <w:ind w:left="820"/>
        <w:spacing w:after="0" w:line="251" w:lineRule="auto"/>
        <w:rPr>
          <w:sz w:val="20"/>
          <w:szCs w:val="20"/>
          <w:color w:val="auto"/>
        </w:rPr>
      </w:pPr>
      <w:r>
        <w:rPr>
          <w:rFonts w:ascii="Arial" w:cs="Arial" w:eastAsia="Arial" w:hAnsi="Arial"/>
          <w:sz w:val="18"/>
          <w:szCs w:val="18"/>
          <w:color w:val="auto"/>
        </w:rPr>
        <w:t xml:space="preserve">The first item on the proxy card is the election of nine directors to serve until the 2022 Annual Meeting of Stockholders or until their respective successors have been duly elected and qualified. The Board has nominated the nine director candidates named below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their election.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Company’s By-laws provide that if the number of shares voted “for” any director nominee does not exceed 50% of the votes cast with respect to that director, he or she will tender his or her resignation to the Board of Directors contingent on the acceptance of such resignation by the Board. The Nominating and Governance Committee will then make a recommendation to the Board on whether to accept or reject the resignation, or whether other action should be taken. The Board will act on the resignation, taking into account the Nominating and Governance Committee’s recommendation, and publicly disclose its decision and the rationale behind it within 90 days of the date of the certification of the election results.</w:t>
      </w:r>
    </w:p>
    <w:p>
      <w:pPr>
        <w:spacing w:after="0" w:line="318"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The table below shows all of our director nominees; their ages, terms of office on our Board; experience within at least the past five years; and qualifications our Board considered when inviting them to serve as a director as well as nominating them for re-election. We believe that, as a general matter, our directors’ past five years of experience gives an indication of the wealth of knowledge and experience these individuals have and that our Board considered; however, we have also included specific skills and areas of expertise that makes each of these individuals a valuable member of our Board. Each of the director nominees currently serves on our Board of Directors.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108585</wp:posOffset>
            </wp:positionV>
            <wp:extent cx="5760720" cy="240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60720" cy="240030"/>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p>
      <w:pPr>
        <w:spacing w:after="0" w:line="238"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J</w:t>
      </w:r>
      <w:r>
        <w:rPr>
          <w:rFonts w:ascii="Arial" w:cs="Arial" w:eastAsia="Arial" w:hAnsi="Arial"/>
          <w:sz w:val="14"/>
          <w:szCs w:val="14"/>
          <w:b w:val="1"/>
          <w:bCs w:val="1"/>
          <w:color w:val="FEFEFE"/>
        </w:rPr>
        <w:t>AMES</w:t>
      </w:r>
      <w:r>
        <w:rPr>
          <w:rFonts w:ascii="Arial" w:cs="Arial" w:eastAsia="Arial" w:hAnsi="Arial"/>
          <w:sz w:val="20"/>
          <w:szCs w:val="20"/>
          <w:b w:val="1"/>
          <w:bCs w:val="1"/>
          <w:color w:val="FEFEFE"/>
        </w:rPr>
        <w:t xml:space="preserve"> C. F</w:t>
      </w:r>
      <w:r>
        <w:rPr>
          <w:rFonts w:ascii="Arial" w:cs="Arial" w:eastAsia="Arial" w:hAnsi="Arial"/>
          <w:sz w:val="14"/>
          <w:szCs w:val="14"/>
          <w:b w:val="1"/>
          <w:bCs w:val="1"/>
          <w:color w:val="FEFEFE"/>
        </w:rPr>
        <w:t>ISH</w:t>
      </w:r>
      <w:r>
        <w:rPr>
          <w:rFonts w:ascii="Arial" w:cs="Arial" w:eastAsia="Arial" w:hAnsi="Arial"/>
          <w:sz w:val="20"/>
          <w:szCs w:val="20"/>
          <w:b w:val="1"/>
          <w:bCs w:val="1"/>
          <w:color w:val="FEFEFE"/>
        </w:rPr>
        <w:t>, J</w:t>
      </w:r>
      <w:r>
        <w:rPr>
          <w:rFonts w:ascii="Arial" w:cs="Arial" w:eastAsia="Arial" w:hAnsi="Arial"/>
          <w:sz w:val="14"/>
          <w:szCs w:val="14"/>
          <w:b w:val="1"/>
          <w:bCs w:val="1"/>
          <w:color w:val="FEFEFE"/>
        </w:rPr>
        <w:t>R</w:t>
      </w:r>
      <w:r>
        <w:rPr>
          <w:rFonts w:ascii="Arial" w:cs="Arial" w:eastAsia="Arial" w:hAnsi="Arial"/>
          <w:sz w:val="20"/>
          <w:szCs w:val="20"/>
          <w:b w:val="1"/>
          <w:bCs w:val="1"/>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51435</wp:posOffset>
            </wp:positionV>
            <wp:extent cx="1234440" cy="2768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3444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58</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November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53" w:lineRule="exact"/>
        <w:rPr>
          <w:sz w:val="20"/>
          <w:szCs w:val="20"/>
          <w:color w:val="auto"/>
        </w:rPr>
      </w:pPr>
    </w:p>
    <w:p>
      <w:pPr>
        <w:jc w:val="both"/>
        <w:ind w:left="4"/>
        <w:spacing w:after="0" w:line="252" w:lineRule="auto"/>
        <w:rPr>
          <w:sz w:val="20"/>
          <w:szCs w:val="20"/>
          <w:color w:val="auto"/>
        </w:rPr>
      </w:pPr>
      <w:r>
        <w:rPr>
          <w:rFonts w:ascii="Arial" w:cs="Arial" w:eastAsia="Arial" w:hAnsi="Arial"/>
          <w:sz w:val="18"/>
          <w:szCs w:val="18"/>
          <w:color w:val="auto"/>
        </w:rPr>
        <w:t>President and Chief Executive Officer — Waste Management, Inc. since November 2016; also served as President and Chief Financial Officer — from July 2016 to November 2016; Executive Vice President and Chief Financial Officer from 2012 to July 2016; Senior Vice President — Eastern Group from 2011 to 2012; Area Vice President — Pennsylvania and West Virginia Area from 2009 to 2011 and Market Area General Manager — Western Pennsylvania/West Virginia from 2008 to 2009 and Rhode Island/Southern Massachusetts from 2006 to 2008.</w:t>
      </w:r>
    </w:p>
    <w:p>
      <w:pPr>
        <w:spacing w:after="0" w:line="309" w:lineRule="exact"/>
        <w:rPr>
          <w:sz w:val="20"/>
          <w:szCs w:val="20"/>
          <w:color w:val="auto"/>
        </w:rPr>
      </w:pPr>
    </w:p>
    <w:p>
      <w:pPr>
        <w:ind w:left="144" w:hanging="144"/>
        <w:spacing w:after="0"/>
        <w:tabs>
          <w:tab w:leader="none" w:pos="144" w:val="left"/>
        </w:tabs>
        <w:numPr>
          <w:ilvl w:val="0"/>
          <w:numId w:val="16"/>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37" w:lineRule="exact"/>
        <w:rPr>
          <w:sz w:val="20"/>
          <w:szCs w:val="20"/>
          <w:color w:val="auto"/>
        </w:rPr>
      </w:pPr>
    </w:p>
    <w:p>
      <w:pPr>
        <w:jc w:val="both"/>
        <w:ind w:left="4"/>
        <w:spacing w:after="0" w:line="252" w:lineRule="auto"/>
        <w:rPr>
          <w:sz w:val="20"/>
          <w:szCs w:val="20"/>
          <w:color w:val="auto"/>
        </w:rPr>
      </w:pPr>
      <w:r>
        <w:rPr>
          <w:rFonts w:ascii="Arial" w:cs="Arial" w:eastAsia="Arial" w:hAnsi="Arial"/>
          <w:sz w:val="18"/>
          <w:szCs w:val="18"/>
          <w:color w:val="auto"/>
        </w:rPr>
        <w:t>Mr. Fish has been our President and Chief Executive Officer and a member of the Board of Directors since November 2016. Mr. Fish joined the Company in 2001 and held several key positions with the Company prior to his promotion, including Executive Vice President and Chief Financial Officer, Senior Vice President for the Company’s Eastern Group, Area Vice President for the Pennsylvania and West Virginia Area and Vice President of Price Management. As a result, Mr. Fish has a broad and deep understanding of the Company and the strategic actions necessary to deliver stockholder value.</w:t>
      </w:r>
    </w:p>
    <w:p>
      <w:pPr>
        <w:spacing w:after="0" w:line="200" w:lineRule="exact"/>
        <w:rPr>
          <w:sz w:val="20"/>
          <w:szCs w:val="20"/>
          <w:color w:val="auto"/>
        </w:rPr>
      </w:pPr>
    </w:p>
    <w:p>
      <w:pPr>
        <w:sectPr>
          <w:pgSz w:w="11900" w:h="16838" w:orient="portrait"/>
          <w:cols w:equalWidth="0" w:num="2">
            <w:col w:w="2620" w:space="356"/>
            <w:col w:w="6904"/>
          </w:cols>
          <w:pgMar w:left="580" w:top="132"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-149860</wp:posOffset>
            </wp:positionV>
            <wp:extent cx="45466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4660" cy="12001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A</w:t>
      </w:r>
      <w:r>
        <w:rPr>
          <w:rFonts w:ascii="Arial" w:cs="Arial" w:eastAsia="Arial" w:hAnsi="Arial"/>
          <w:sz w:val="14"/>
          <w:szCs w:val="14"/>
          <w:b w:val="1"/>
          <w:bCs w:val="1"/>
          <w:color w:val="FEFEFE"/>
        </w:rPr>
        <w:t>NDRÉS</w:t>
      </w:r>
      <w:r>
        <w:rPr>
          <w:rFonts w:ascii="Arial" w:cs="Arial" w:eastAsia="Arial" w:hAnsi="Arial"/>
          <w:sz w:val="20"/>
          <w:szCs w:val="20"/>
          <w:b w:val="1"/>
          <w:bCs w:val="1"/>
          <w:color w:val="FEFEFE"/>
        </w:rPr>
        <w:t xml:space="preserve"> R. G</w:t>
      </w:r>
      <w:r>
        <w:rPr>
          <w:rFonts w:ascii="Arial" w:cs="Arial" w:eastAsia="Arial" w:hAnsi="Arial"/>
          <w:sz w:val="14"/>
          <w:szCs w:val="14"/>
          <w:b w:val="1"/>
          <w:bCs w:val="1"/>
          <w:color w:val="FEFEFE"/>
        </w:rPr>
        <w:t>LUSKI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51435</wp:posOffset>
            </wp:positionV>
            <wp:extent cx="1234440" cy="32061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3444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63</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2015</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Committees:</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Audit and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Management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Development &amp;</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Compensation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(Chair, effective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May 2021)</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V</w:t>
      </w:r>
      <w:r>
        <w:rPr>
          <w:rFonts w:ascii="Arial" w:cs="Arial" w:eastAsia="Arial" w:hAnsi="Arial"/>
          <w:sz w:val="14"/>
          <w:szCs w:val="14"/>
          <w:b w:val="1"/>
          <w:bCs w:val="1"/>
          <w:color w:val="FEFEFE"/>
        </w:rPr>
        <w:t>ICTORIA</w:t>
      </w:r>
      <w:r>
        <w:rPr>
          <w:rFonts w:ascii="Arial" w:cs="Arial" w:eastAsia="Arial" w:hAnsi="Arial"/>
          <w:sz w:val="20"/>
          <w:szCs w:val="20"/>
          <w:b w:val="1"/>
          <w:bCs w:val="1"/>
          <w:color w:val="FEFEFE"/>
        </w:rPr>
        <w:t xml:space="preserve"> M. H</w:t>
      </w:r>
      <w:r>
        <w:rPr>
          <w:rFonts w:ascii="Arial" w:cs="Arial" w:eastAsia="Arial" w:hAnsi="Arial"/>
          <w:sz w:val="14"/>
          <w:szCs w:val="14"/>
          <w:b w:val="1"/>
          <w:bCs w:val="1"/>
          <w:color w:val="FEFEFE"/>
        </w:rPr>
        <w:t>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51435</wp:posOffset>
            </wp:positionV>
            <wp:extent cx="1234440" cy="2974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3444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63</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2013</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Committees:</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Audit and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Nominating &amp;</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left="4184"/>
        <w:spacing w:after="0"/>
        <w:rPr>
          <w:sz w:val="20"/>
          <w:szCs w:val="20"/>
          <w:color w:val="auto"/>
        </w:rPr>
      </w:pPr>
      <w:r>
        <w:rPr>
          <w:rFonts w:ascii="Arial" w:cs="Arial" w:eastAsia="Arial" w:hAnsi="Arial"/>
          <w:sz w:val="20"/>
          <w:szCs w:val="20"/>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128905</wp:posOffset>
            </wp:positionV>
            <wp:extent cx="5760720" cy="2400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607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53"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President, Chief Executive Officer and Director — The AES Corporation (global energy company) since 2011; also served as Executive Vice President and Chief Operating Officer from 2007 to 2011.</w:t>
      </w:r>
    </w:p>
    <w:p>
      <w:pPr>
        <w:spacing w:after="0" w:line="94"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AES Gener (Chile) from 2005 to January 2020.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Fluence Energy, LLC, a private company, since March 2019.</w:t>
      </w:r>
    </w:p>
    <w:p>
      <w:pPr>
        <w:spacing w:after="0" w:line="111" w:lineRule="exact"/>
        <w:rPr>
          <w:sz w:val="20"/>
          <w:szCs w:val="20"/>
          <w:color w:val="auto"/>
        </w:rPr>
      </w:pPr>
    </w:p>
    <w:p>
      <w:pPr>
        <w:ind w:left="144" w:hanging="144"/>
        <w:spacing w:after="0"/>
        <w:tabs>
          <w:tab w:leader="none" w:pos="144" w:val="left"/>
        </w:tabs>
        <w:numPr>
          <w:ilvl w:val="0"/>
          <w:numId w:val="17"/>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37" w:lineRule="exact"/>
        <w:rPr>
          <w:sz w:val="20"/>
          <w:szCs w:val="20"/>
          <w:color w:val="auto"/>
        </w:rPr>
      </w:pPr>
    </w:p>
    <w:p>
      <w:pPr>
        <w:jc w:val="both"/>
        <w:ind w:left="4"/>
        <w:spacing w:after="0" w:line="252" w:lineRule="auto"/>
        <w:rPr>
          <w:sz w:val="20"/>
          <w:szCs w:val="20"/>
          <w:color w:val="auto"/>
        </w:rPr>
      </w:pPr>
      <w:r>
        <w:rPr>
          <w:rFonts w:ascii="Arial" w:cs="Arial" w:eastAsia="Arial" w:hAnsi="Arial"/>
          <w:sz w:val="18"/>
          <w:szCs w:val="18"/>
          <w:color w:val="auto"/>
        </w:rPr>
        <w:t xml:space="preserve">As CEO of The AES Corporation, a Fortune 500 company in the electricity sector, Mr. Gluski has led the transformation of the company to become a leader in renewable energy, energy storage and cloud-based energy efficiency services. Under his leadership, AES has been designated as one of the </w:t>
      </w:r>
      <w:r>
        <w:rPr>
          <w:rFonts w:ascii="Arial" w:cs="Arial" w:eastAsia="Arial" w:hAnsi="Arial"/>
          <w:sz w:val="18"/>
          <w:szCs w:val="18"/>
          <w:i w:val="1"/>
          <w:iCs w:val="1"/>
          <w:color w:val="auto"/>
        </w:rPr>
        <w:t>World’s Most Ethical Companies</w:t>
      </w:r>
      <w:r>
        <w:rPr>
          <w:rFonts w:ascii="Arial" w:cs="Arial" w:eastAsia="Arial" w:hAnsi="Arial"/>
          <w:sz w:val="18"/>
          <w:szCs w:val="18"/>
          <w:color w:val="auto"/>
        </w:rPr>
        <w:t xml:space="preserve"> by the Ethisphere® Institute every year since 2014. Mr. Gluski has extensive experience in finance, operations and turnarounds. He serves as Chairman of the Council of the Americas and has been voted one of the “Most Influential Leaders” by Latino Leaders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782320</wp:posOffset>
            </wp:positionV>
            <wp:extent cx="576072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607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53"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President and Chief Executive Officer — Proto Labs, Inc. (online and technology-enabled quick-turn manufacturer) from 2014 to March 2021; also served as Director since 2014 (retiring May 2021).</w:t>
      </w:r>
    </w:p>
    <w:p>
      <w:pPr>
        <w:spacing w:after="0" w:line="94" w:lineRule="exact"/>
        <w:rPr>
          <w:sz w:val="20"/>
          <w:szCs w:val="20"/>
          <w:color w:val="auto"/>
        </w:rPr>
      </w:pPr>
    </w:p>
    <w:p>
      <w:pPr>
        <w:jc w:val="both"/>
        <w:ind w:left="4"/>
        <w:spacing w:after="0" w:line="261" w:lineRule="auto"/>
        <w:rPr>
          <w:sz w:val="20"/>
          <w:szCs w:val="20"/>
          <w:color w:val="auto"/>
        </w:rPr>
      </w:pPr>
      <w:r>
        <w:rPr>
          <w:rFonts w:ascii="Arial" w:cs="Arial" w:eastAsia="Arial" w:hAnsi="Arial"/>
          <w:sz w:val="18"/>
          <w:szCs w:val="18"/>
          <w:color w:val="auto"/>
        </w:rPr>
        <w:t>Director of Piper Sandler Companies (formerly Piper Jaffray Companies) since September 2019.</w:t>
      </w:r>
    </w:p>
    <w:p>
      <w:pPr>
        <w:spacing w:after="0" w:line="90" w:lineRule="exact"/>
        <w:rPr>
          <w:sz w:val="20"/>
          <w:szCs w:val="20"/>
          <w:color w:val="auto"/>
        </w:rPr>
      </w:pPr>
    </w:p>
    <w:p>
      <w:pPr>
        <w:jc w:val="both"/>
        <w:ind w:left="4"/>
        <w:spacing w:after="0" w:line="261" w:lineRule="auto"/>
        <w:rPr>
          <w:sz w:val="20"/>
          <w:szCs w:val="20"/>
          <w:color w:val="auto"/>
        </w:rPr>
      </w:pPr>
      <w:r>
        <w:rPr>
          <w:rFonts w:ascii="Arial" w:cs="Arial" w:eastAsia="Arial" w:hAnsi="Arial"/>
          <w:sz w:val="18"/>
          <w:szCs w:val="18"/>
          <w:color w:val="auto"/>
        </w:rPr>
        <w:t>Nominated for election to serve as a Director of A. O. Smith Corp. for a term commencing in April 2021.</w:t>
      </w:r>
    </w:p>
    <w:p>
      <w:pPr>
        <w:spacing w:after="0" w:line="90" w:lineRule="exact"/>
        <w:rPr>
          <w:sz w:val="20"/>
          <w:szCs w:val="20"/>
          <w:color w:val="auto"/>
        </w:rPr>
      </w:pPr>
    </w:p>
    <w:p>
      <w:pPr>
        <w:ind w:left="4" w:right="60"/>
        <w:spacing w:after="0" w:line="250" w:lineRule="auto"/>
        <w:rPr>
          <w:sz w:val="20"/>
          <w:szCs w:val="20"/>
          <w:color w:val="auto"/>
        </w:rPr>
      </w:pPr>
      <w:r>
        <w:rPr>
          <w:rFonts w:ascii="Arial" w:cs="Arial" w:eastAsia="Arial" w:hAnsi="Arial"/>
          <w:sz w:val="18"/>
          <w:szCs w:val="18"/>
          <w:color w:val="auto"/>
        </w:rPr>
        <w:t>Director of Watlow Electric Manufacturing Company, a private company, since 2012.</w:t>
      </w:r>
    </w:p>
    <w:p>
      <w:pPr>
        <w:spacing w:after="0" w:line="318" w:lineRule="exact"/>
        <w:rPr>
          <w:sz w:val="20"/>
          <w:szCs w:val="20"/>
          <w:color w:val="auto"/>
        </w:rPr>
      </w:pPr>
    </w:p>
    <w:p>
      <w:pPr>
        <w:ind w:left="144" w:hanging="144"/>
        <w:spacing w:after="0"/>
        <w:tabs>
          <w:tab w:leader="none" w:pos="144" w:val="left"/>
        </w:tabs>
        <w:numPr>
          <w:ilvl w:val="0"/>
          <w:numId w:val="18"/>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37" w:lineRule="exact"/>
        <w:rPr>
          <w:sz w:val="20"/>
          <w:szCs w:val="20"/>
          <w:color w:val="auto"/>
        </w:rPr>
      </w:pPr>
    </w:p>
    <w:p>
      <w:pPr>
        <w:jc w:val="both"/>
        <w:ind w:left="4"/>
        <w:spacing w:after="0" w:line="252" w:lineRule="auto"/>
        <w:rPr>
          <w:sz w:val="20"/>
          <w:szCs w:val="20"/>
          <w:color w:val="auto"/>
        </w:rPr>
      </w:pPr>
      <w:r>
        <w:rPr>
          <w:rFonts w:ascii="Arial" w:cs="Arial" w:eastAsia="Arial" w:hAnsi="Arial"/>
          <w:sz w:val="18"/>
          <w:szCs w:val="18"/>
          <w:color w:val="auto"/>
        </w:rPr>
        <w:t>Ms. Holt has served in executive positions at public companies for many years, providing her with extensive knowledge about operations, management, logistical requirements and measuring financial performance of large public companies. Her background and education provide her with expertise in applying environmental solutions critical to our Company’s strategy. She also has many years of experience serving on the board of directors for public companies.</w:t>
      </w:r>
    </w:p>
    <w:p>
      <w:pPr>
        <w:spacing w:after="0" w:line="277" w:lineRule="exact"/>
        <w:rPr>
          <w:sz w:val="20"/>
          <w:szCs w:val="20"/>
          <w:color w:val="auto"/>
        </w:rPr>
      </w:pPr>
    </w:p>
    <w:p>
      <w:pPr>
        <w:sectPr>
          <w:pgSz w:w="11900" w:h="16838" w:orient="portrait"/>
          <w:cols w:equalWidth="0" w:num="2">
            <w:col w:w="2680" w:space="296"/>
            <w:col w:w="6904"/>
          </w:cols>
          <w:pgMar w:left="580" w:top="132"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128905</wp:posOffset>
            </wp:positionV>
            <wp:extent cx="5760720" cy="39687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60720" cy="3968750"/>
                    </a:xfrm>
                    <a:prstGeom prst="rect">
                      <a:avLst/>
                    </a:prstGeom>
                    <a:noFill/>
                  </pic:spPr>
                </pic:pic>
              </a:graphicData>
            </a:graphic>
          </wp:anchor>
        </w:drawing>
      </w:r>
    </w:p>
    <w:p>
      <w:pPr>
        <w:spacing w:after="0" w:line="250"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K</w:t>
      </w:r>
      <w:r>
        <w:rPr>
          <w:rFonts w:ascii="Arial" w:cs="Arial" w:eastAsia="Arial" w:hAnsi="Arial"/>
          <w:sz w:val="14"/>
          <w:szCs w:val="14"/>
          <w:b w:val="1"/>
          <w:bCs w:val="1"/>
          <w:color w:val="FEFEFE"/>
        </w:rPr>
        <w:t>ATHLEEN</w:t>
      </w:r>
      <w:r>
        <w:rPr>
          <w:rFonts w:ascii="Arial" w:cs="Arial" w:eastAsia="Arial" w:hAnsi="Arial"/>
          <w:sz w:val="20"/>
          <w:szCs w:val="20"/>
          <w:b w:val="1"/>
          <w:bCs w:val="1"/>
          <w:color w:val="FEFEFE"/>
        </w:rPr>
        <w:t xml:space="preserve"> M. M</w:t>
      </w:r>
      <w:r>
        <w:rPr>
          <w:rFonts w:ascii="Arial" w:cs="Arial" w:eastAsia="Arial" w:hAnsi="Arial"/>
          <w:sz w:val="14"/>
          <w:szCs w:val="14"/>
          <w:b w:val="1"/>
          <w:bCs w:val="1"/>
          <w:color w:val="FEFEFE"/>
        </w:rPr>
        <w:t>AZZARELLA</w:t>
      </w:r>
    </w:p>
    <w:p>
      <w:pPr>
        <w:sectPr>
          <w:pgSz w:w="11900" w:h="16838" w:orient="portrait"/>
          <w:cols w:equalWidth="0" w:num="1">
            <w:col w:w="9880"/>
          </w:cols>
          <w:pgMar w:left="580" w:top="131"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61</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2015</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Committees:</w:t>
      </w:r>
    </w:p>
    <w:p>
      <w:pPr>
        <w:spacing w:after="0" w:line="31" w:lineRule="exact"/>
        <w:rPr>
          <w:sz w:val="20"/>
          <w:szCs w:val="20"/>
          <w:color w:val="auto"/>
        </w:rPr>
      </w:pPr>
    </w:p>
    <w:p>
      <w:pPr>
        <w:ind w:left="880" w:right="80"/>
        <w:spacing w:after="0" w:line="253" w:lineRule="auto"/>
        <w:rPr>
          <w:sz w:val="20"/>
          <w:szCs w:val="20"/>
          <w:color w:val="auto"/>
        </w:rPr>
      </w:pPr>
      <w:r>
        <w:rPr>
          <w:rFonts w:ascii="Arial" w:cs="Arial" w:eastAsia="Arial" w:hAnsi="Arial"/>
          <w:sz w:val="18"/>
          <w:szCs w:val="18"/>
          <w:color w:val="auto"/>
        </w:rPr>
        <w:t>Management Development &amp; Compensation and Nominating &amp; Governance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S</w:t>
      </w:r>
      <w:r>
        <w:rPr>
          <w:rFonts w:ascii="Arial" w:cs="Arial" w:eastAsia="Arial" w:hAnsi="Arial"/>
          <w:sz w:val="14"/>
          <w:szCs w:val="14"/>
          <w:b w:val="1"/>
          <w:bCs w:val="1"/>
          <w:color w:val="FEFEFE"/>
        </w:rPr>
        <w:t>EAN</w:t>
      </w:r>
      <w:r>
        <w:rPr>
          <w:rFonts w:ascii="Arial" w:cs="Arial" w:eastAsia="Arial" w:hAnsi="Arial"/>
          <w:sz w:val="20"/>
          <w:szCs w:val="20"/>
          <w:b w:val="1"/>
          <w:bCs w:val="1"/>
          <w:color w:val="FEFEFE"/>
        </w:rPr>
        <w:t xml:space="preserve"> E. M</w:t>
      </w:r>
      <w:r>
        <w:rPr>
          <w:rFonts w:ascii="Arial" w:cs="Arial" w:eastAsia="Arial" w:hAnsi="Arial"/>
          <w:sz w:val="14"/>
          <w:szCs w:val="14"/>
          <w:b w:val="1"/>
          <w:bCs w:val="1"/>
          <w:color w:val="FEFEFE"/>
        </w:rPr>
        <w:t>ENKE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52</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March 2021</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Committee:</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53"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Chairman, President and Chief Executive Officer — Graybar Electric Company, Inc. (distributor of electrical, communications and data networking products and provider of related supply chain management and logistics services) since 2013; also served as President and Chief Executive Officer from 2012 to 2013 and Executive Vice President and Chief Operating Officer from 2010 to 2012.</w:t>
      </w:r>
    </w:p>
    <w:p>
      <w:pPr>
        <w:spacing w:after="0" w:line="31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Cigna Corporation since December 2018.</w:t>
      </w:r>
    </w:p>
    <w:p>
      <w:pPr>
        <w:spacing w:after="0" w:line="117" w:lineRule="exact"/>
        <w:rPr>
          <w:sz w:val="20"/>
          <w:szCs w:val="20"/>
          <w:color w:val="auto"/>
        </w:rPr>
      </w:pPr>
    </w:p>
    <w:p>
      <w:pPr>
        <w:jc w:val="both"/>
        <w:ind w:left="4" w:right="20"/>
        <w:spacing w:after="0" w:line="261" w:lineRule="auto"/>
        <w:rPr>
          <w:sz w:val="20"/>
          <w:szCs w:val="20"/>
          <w:color w:val="auto"/>
        </w:rPr>
      </w:pPr>
      <w:r>
        <w:rPr>
          <w:rFonts w:ascii="Arial" w:cs="Arial" w:eastAsia="Arial" w:hAnsi="Arial"/>
          <w:sz w:val="18"/>
          <w:szCs w:val="18"/>
          <w:color w:val="auto"/>
        </w:rPr>
        <w:t>Director of Express Scripts Holding Company from June 2017 until acquisition by Cigna Corporation in December 2018.</w:t>
      </w:r>
    </w:p>
    <w:p>
      <w:pPr>
        <w:spacing w:after="0" w:line="90"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Core &amp; Main, a private company, since January 2019.</w:t>
      </w:r>
    </w:p>
    <w:p>
      <w:pPr>
        <w:spacing w:after="0" w:line="117" w:lineRule="exact"/>
        <w:rPr>
          <w:sz w:val="20"/>
          <w:szCs w:val="20"/>
          <w:color w:val="auto"/>
        </w:rPr>
      </w:pPr>
    </w:p>
    <w:p>
      <w:pPr>
        <w:jc w:val="both"/>
        <w:ind w:left="4"/>
        <w:spacing w:after="0" w:line="261" w:lineRule="auto"/>
        <w:rPr>
          <w:sz w:val="20"/>
          <w:szCs w:val="20"/>
          <w:color w:val="auto"/>
        </w:rPr>
      </w:pPr>
      <w:r>
        <w:rPr>
          <w:rFonts w:ascii="Arial" w:cs="Arial" w:eastAsia="Arial" w:hAnsi="Arial"/>
          <w:sz w:val="18"/>
          <w:szCs w:val="18"/>
          <w:color w:val="auto"/>
        </w:rPr>
        <w:t>Director of Federal Reserve Bank of St. Louis from 2015 to December 2019; Chair of the Board from April 2016 to December 2019.</w:t>
      </w:r>
    </w:p>
    <w:p>
      <w:pPr>
        <w:spacing w:after="0" w:line="84" w:lineRule="exact"/>
        <w:rPr>
          <w:sz w:val="20"/>
          <w:szCs w:val="20"/>
          <w:color w:val="auto"/>
        </w:rPr>
      </w:pPr>
    </w:p>
    <w:p>
      <w:pPr>
        <w:ind w:left="144" w:hanging="144"/>
        <w:spacing w:after="0"/>
        <w:tabs>
          <w:tab w:leader="none" w:pos="144" w:val="left"/>
        </w:tabs>
        <w:numPr>
          <w:ilvl w:val="0"/>
          <w:numId w:val="19"/>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37" w:lineRule="exact"/>
        <w:rPr>
          <w:sz w:val="20"/>
          <w:szCs w:val="20"/>
          <w:color w:val="auto"/>
        </w:rPr>
      </w:pPr>
    </w:p>
    <w:p>
      <w:pPr>
        <w:jc w:val="both"/>
        <w:ind w:left="4"/>
        <w:spacing w:after="0" w:line="252" w:lineRule="auto"/>
        <w:rPr>
          <w:sz w:val="20"/>
          <w:szCs w:val="20"/>
          <w:color w:val="auto"/>
        </w:rPr>
      </w:pPr>
      <w:r>
        <w:rPr>
          <w:rFonts w:ascii="Arial" w:cs="Arial" w:eastAsia="Arial" w:hAnsi="Arial"/>
          <w:sz w:val="18"/>
          <w:szCs w:val="18"/>
          <w:color w:val="auto"/>
        </w:rPr>
        <w:t>Ms. Mazzarella has experience serving as the chief executive of a large corporation, developing expertise in the areas of logistics and supply chain management. During her more than 40-year tenure at Graybar, Ms. Mazzarella has held executive-level positions in sales, human resources, strategic planning and marketing. This diverse background combined with her deep and valuable experience leading various aspects of a customer-focused business will help the Company achieve its strategy to provide an exceptional customer experience. She also has experience serving on large public company, private company and non-profit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208280</wp:posOffset>
            </wp:positionV>
            <wp:extent cx="5760720" cy="27603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6072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53"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President, Chief Executive Officer and Director — Sabre Corporation (software and technology solutions provider to the travel industry) since December 2016; also served as President of Sabre Travel Network from 2015 to December 2016.</w:t>
      </w:r>
    </w:p>
    <w:p>
      <w:pPr>
        <w:spacing w:after="0" w:line="304" w:lineRule="exact"/>
        <w:rPr>
          <w:sz w:val="20"/>
          <w:szCs w:val="20"/>
          <w:color w:val="auto"/>
        </w:rPr>
      </w:pPr>
    </w:p>
    <w:p>
      <w:pPr>
        <w:ind w:left="144" w:hanging="144"/>
        <w:spacing w:after="0"/>
        <w:tabs>
          <w:tab w:leader="none" w:pos="144" w:val="left"/>
        </w:tabs>
        <w:numPr>
          <w:ilvl w:val="0"/>
          <w:numId w:val="20"/>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37" w:lineRule="exact"/>
        <w:rPr>
          <w:sz w:val="20"/>
          <w:szCs w:val="20"/>
          <w:color w:val="auto"/>
        </w:rPr>
      </w:pPr>
    </w:p>
    <w:p>
      <w:pPr>
        <w:jc w:val="both"/>
        <w:ind w:left="4"/>
        <w:spacing w:after="0" w:line="251" w:lineRule="auto"/>
        <w:rPr>
          <w:sz w:val="20"/>
          <w:szCs w:val="20"/>
          <w:color w:val="auto"/>
        </w:rPr>
      </w:pPr>
      <w:r>
        <w:rPr>
          <w:rFonts w:ascii="Arial" w:cs="Arial" w:eastAsia="Arial" w:hAnsi="Arial"/>
          <w:sz w:val="18"/>
          <w:szCs w:val="18"/>
          <w:color w:val="auto"/>
        </w:rPr>
        <w:t>Mr. Menke is a proven transformation leader, using his extensive experience in technology and transportation operations to bring together strategy and data to address complex issues. Mr. Menke has substantial executive leadership experience, having served as President and Chief Executive Officer of Sabre Corporation since 2016, preceded by more than 20 years in the airline industry. His expertise in logistics and commitment to delivering efficient, customer-focused innovation through imaginative technology solutions will help further the Company’s strategy to differentiate our services. Mr. Menke also has several years of experience serving on a public company board of directors.</w:t>
      </w:r>
    </w:p>
    <w:p>
      <w:pPr>
        <w:spacing w:after="0" w:line="443" w:lineRule="exact"/>
        <w:rPr>
          <w:sz w:val="20"/>
          <w:szCs w:val="20"/>
          <w:color w:val="auto"/>
        </w:rPr>
      </w:pPr>
    </w:p>
    <w:p>
      <w:pPr>
        <w:sectPr>
          <w:pgSz w:w="11900" w:h="16838" w:orient="portrait"/>
          <w:cols w:equalWidth="0" w:num="2">
            <w:col w:w="2680" w:space="296"/>
            <w:col w:w="6904"/>
          </w:cols>
          <w:pgMar w:left="580" w:top="131"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-149860</wp:posOffset>
            </wp:positionV>
            <wp:extent cx="454660"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4660" cy="12001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W</w:t>
      </w:r>
      <w:r>
        <w:rPr>
          <w:rFonts w:ascii="Arial" w:cs="Arial" w:eastAsia="Arial" w:hAnsi="Arial"/>
          <w:sz w:val="14"/>
          <w:szCs w:val="14"/>
          <w:b w:val="1"/>
          <w:bCs w:val="1"/>
          <w:color w:val="FEFEFE"/>
        </w:rPr>
        <w:t>ILLIAM</w:t>
      </w:r>
      <w:r>
        <w:rPr>
          <w:rFonts w:ascii="Arial" w:cs="Arial" w:eastAsia="Arial" w:hAnsi="Arial"/>
          <w:sz w:val="20"/>
          <w:szCs w:val="20"/>
          <w:b w:val="1"/>
          <w:bCs w:val="1"/>
          <w:color w:val="FEFEFE"/>
        </w:rPr>
        <w:t xml:space="preserve"> B. P</w:t>
      </w:r>
      <w:r>
        <w:rPr>
          <w:rFonts w:ascii="Arial" w:cs="Arial" w:eastAsia="Arial" w:hAnsi="Arial"/>
          <w:sz w:val="14"/>
          <w:szCs w:val="14"/>
          <w:b w:val="1"/>
          <w:bCs w:val="1"/>
          <w:color w:val="FEFEFE"/>
        </w:rPr>
        <w:t>LUMMER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 xml:space="preserve">Age: </w:t>
      </w:r>
      <w:r>
        <w:rPr>
          <w:rFonts w:ascii="Arial" w:cs="Arial" w:eastAsia="Arial" w:hAnsi="Arial"/>
          <w:sz w:val="18"/>
          <w:szCs w:val="18"/>
          <w:color w:val="000000"/>
        </w:rPr>
        <w:t>62</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August 2019</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Committees:</w:t>
      </w:r>
    </w:p>
    <w:p>
      <w:pPr>
        <w:spacing w:after="0" w:line="31" w:lineRule="exact"/>
        <w:rPr>
          <w:sz w:val="20"/>
          <w:szCs w:val="20"/>
          <w:color w:val="auto"/>
        </w:rPr>
      </w:pPr>
    </w:p>
    <w:p>
      <w:pPr>
        <w:ind w:left="880" w:right="400"/>
        <w:spacing w:after="0" w:line="254" w:lineRule="auto"/>
        <w:rPr>
          <w:sz w:val="20"/>
          <w:szCs w:val="20"/>
          <w:color w:val="auto"/>
        </w:rPr>
      </w:pPr>
      <w:r>
        <w:rPr>
          <w:rFonts w:ascii="Arial" w:cs="Arial" w:eastAsia="Arial" w:hAnsi="Arial"/>
          <w:sz w:val="18"/>
          <w:szCs w:val="18"/>
          <w:color w:val="auto"/>
        </w:rPr>
        <w:t>Audit (Chair) and Management Development &amp;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260"/>
        <w:spacing w:after="0"/>
        <w:rPr>
          <w:sz w:val="20"/>
          <w:szCs w:val="20"/>
          <w:color w:val="auto"/>
        </w:rPr>
      </w:pPr>
      <w:r>
        <w:rPr>
          <w:rFonts w:ascii="Arial" w:cs="Arial" w:eastAsia="Arial" w:hAnsi="Arial"/>
          <w:sz w:val="20"/>
          <w:szCs w:val="20"/>
          <w:b w:val="1"/>
          <w:bCs w:val="1"/>
          <w:color w:val="FEFEFE"/>
        </w:rPr>
        <w:t>J</w:t>
      </w:r>
      <w:r>
        <w:rPr>
          <w:rFonts w:ascii="Arial" w:cs="Arial" w:eastAsia="Arial" w:hAnsi="Arial"/>
          <w:sz w:val="14"/>
          <w:szCs w:val="14"/>
          <w:b w:val="1"/>
          <w:bCs w:val="1"/>
          <w:color w:val="FEFEFE"/>
        </w:rPr>
        <w:t>OHN</w:t>
      </w:r>
      <w:r>
        <w:rPr>
          <w:rFonts w:ascii="Arial" w:cs="Arial" w:eastAsia="Arial" w:hAnsi="Arial"/>
          <w:sz w:val="20"/>
          <w:szCs w:val="20"/>
          <w:b w:val="1"/>
          <w:bCs w:val="1"/>
          <w:color w:val="FEFEFE"/>
        </w:rPr>
        <w:t xml:space="preserve"> C. P</w:t>
      </w:r>
      <w:r>
        <w:rPr>
          <w:rFonts w:ascii="Arial" w:cs="Arial" w:eastAsia="Arial" w:hAnsi="Arial"/>
          <w:sz w:val="14"/>
          <w:szCs w:val="14"/>
          <w:b w:val="1"/>
          <w:bCs w:val="1"/>
          <w:color w:val="FEFEFE"/>
        </w:rPr>
        <w:t>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Age:</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71</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Director since:</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1997</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477258"/>
        </w:rPr>
        <w:t>Board Committees:</w:t>
      </w:r>
    </w:p>
    <w:p>
      <w:pPr>
        <w:spacing w:after="0" w:line="31" w:lineRule="exact"/>
        <w:rPr>
          <w:sz w:val="20"/>
          <w:szCs w:val="20"/>
          <w:color w:val="auto"/>
        </w:rPr>
      </w:pPr>
    </w:p>
    <w:p>
      <w:pPr>
        <w:ind w:left="880" w:right="260"/>
        <w:spacing w:after="0" w:line="253" w:lineRule="auto"/>
        <w:rPr>
          <w:sz w:val="20"/>
          <w:szCs w:val="20"/>
          <w:color w:val="auto"/>
        </w:rPr>
      </w:pPr>
      <w:r>
        <w:rPr>
          <w:rFonts w:ascii="Arial" w:cs="Arial" w:eastAsia="Arial" w:hAnsi="Arial"/>
          <w:sz w:val="18"/>
          <w:szCs w:val="18"/>
          <w:color w:val="auto"/>
        </w:rPr>
        <w:t>Management Development &amp; Compensation and Nominating &amp; Governance</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left="4184"/>
        <w:spacing w:after="0"/>
        <w:rPr>
          <w:sz w:val="20"/>
          <w:szCs w:val="20"/>
          <w:color w:val="auto"/>
        </w:rPr>
      </w:pPr>
      <w:r>
        <w:rPr>
          <w:rFonts w:ascii="Arial" w:cs="Arial" w:eastAsia="Arial" w:hAnsi="Arial"/>
          <w:sz w:val="20"/>
          <w:szCs w:val="20"/>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128905</wp:posOffset>
            </wp:positionV>
            <wp:extent cx="5760720" cy="3694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6072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53"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Executive Vice President and Chief Financial Officer — United Rentals, Inc. (world’s largest equipment rental company) from 2008 to October 2018; also served as Senior Adviser from October 2018 to January 2019.</w:t>
      </w:r>
    </w:p>
    <w:p>
      <w:pPr>
        <w:spacing w:after="0" w:line="94"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Global Payments Inc. since May 2017.</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Chairman of the Board — Nesco Holdings, Inc. since July 2019.</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Venture Metals, LLC, a private company, since July 2019.</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Cisco Equipment, Inc. a private company, since February 2020.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John Wiley &amp; Sons, Inc. from 2003 to September 2019.</w:t>
      </w:r>
    </w:p>
    <w:p>
      <w:pPr>
        <w:spacing w:after="0" w:line="117" w:lineRule="exact"/>
        <w:rPr>
          <w:sz w:val="20"/>
          <w:szCs w:val="20"/>
          <w:color w:val="auto"/>
        </w:rPr>
      </w:pPr>
    </w:p>
    <w:p>
      <w:pPr>
        <w:ind w:left="4"/>
        <w:spacing w:after="0" w:line="261" w:lineRule="auto"/>
        <w:rPr>
          <w:sz w:val="20"/>
          <w:szCs w:val="20"/>
          <w:color w:val="auto"/>
        </w:rPr>
      </w:pPr>
      <w:r>
        <w:rPr>
          <w:rFonts w:ascii="Arial" w:cs="Arial" w:eastAsia="Arial" w:hAnsi="Arial"/>
          <w:sz w:val="18"/>
          <w:szCs w:val="18"/>
          <w:color w:val="auto"/>
        </w:rPr>
        <w:t>Director of United Rentals North America, Inc., a private company, from 2008 to January 2019.</w:t>
      </w:r>
    </w:p>
    <w:p>
      <w:pPr>
        <w:spacing w:after="0" w:line="84" w:lineRule="exact"/>
        <w:rPr>
          <w:sz w:val="20"/>
          <w:szCs w:val="20"/>
          <w:color w:val="auto"/>
        </w:rPr>
      </w:pPr>
    </w:p>
    <w:p>
      <w:pPr>
        <w:ind w:left="144" w:hanging="144"/>
        <w:spacing w:after="0"/>
        <w:tabs>
          <w:tab w:leader="none" w:pos="144" w:val="left"/>
        </w:tabs>
        <w:numPr>
          <w:ilvl w:val="0"/>
          <w:numId w:val="21"/>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37" w:lineRule="exact"/>
        <w:rPr>
          <w:sz w:val="20"/>
          <w:szCs w:val="20"/>
          <w:color w:val="auto"/>
        </w:rPr>
      </w:pPr>
    </w:p>
    <w:p>
      <w:pPr>
        <w:jc w:val="both"/>
        <w:ind w:left="4"/>
        <w:spacing w:after="0" w:line="252" w:lineRule="auto"/>
        <w:rPr>
          <w:sz w:val="20"/>
          <w:szCs w:val="20"/>
          <w:color w:val="auto"/>
        </w:rPr>
      </w:pPr>
      <w:r>
        <w:rPr>
          <w:rFonts w:ascii="Arial" w:cs="Arial" w:eastAsia="Arial" w:hAnsi="Arial"/>
          <w:sz w:val="18"/>
          <w:szCs w:val="18"/>
          <w:color w:val="auto"/>
        </w:rPr>
        <w:t>Mr. Plummer has more than two decades of financial leadership experience. During his tenure at United Rentals, Mr. Plummer was responsible for the development of the company’s finance activities, investor relations, and co-led its merger, acquisition and divestiture strategies. Mr. Plummer also served as Chief Financial Officer of Dow Jones &amp; Company, where he set policy for global finance and corporate strategy. Mr. Plummer has experience as a member of the board of directors of a number of other large public companies, with particular focus on audit committee service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71120</wp:posOffset>
            </wp:positionV>
            <wp:extent cx="5760720" cy="3694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60720" cy="369443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Chairman of the Board — PFI Group (private investment firm) since 1994.</w:t>
      </w:r>
    </w:p>
    <w:p>
      <w:pPr>
        <w:spacing w:after="0" w:line="117" w:lineRule="exact"/>
        <w:rPr>
          <w:sz w:val="20"/>
          <w:szCs w:val="20"/>
          <w:color w:val="auto"/>
        </w:rPr>
      </w:pPr>
    </w:p>
    <w:p>
      <w:pPr>
        <w:jc w:val="both"/>
        <w:ind w:left="4"/>
        <w:spacing w:after="0" w:line="261" w:lineRule="auto"/>
        <w:rPr>
          <w:sz w:val="20"/>
          <w:szCs w:val="20"/>
          <w:color w:val="auto"/>
        </w:rPr>
      </w:pPr>
      <w:r>
        <w:rPr>
          <w:rFonts w:ascii="Arial" w:cs="Arial" w:eastAsia="Arial" w:hAnsi="Arial"/>
          <w:sz w:val="18"/>
          <w:szCs w:val="18"/>
          <w:color w:val="auto"/>
        </w:rPr>
        <w:t>Chairman of the Board — R.R. Donnelley &amp; Sons Company since 2014; Director of R.R. Donnelley &amp; Sons Company, or predecessor companies, since 1996.</w:t>
      </w:r>
    </w:p>
    <w:p>
      <w:pPr>
        <w:spacing w:after="0" w:line="306" w:lineRule="exact"/>
        <w:rPr>
          <w:sz w:val="20"/>
          <w:szCs w:val="20"/>
          <w:color w:val="auto"/>
        </w:rPr>
      </w:pPr>
    </w:p>
    <w:p>
      <w:pPr>
        <w:jc w:val="both"/>
        <w:ind w:left="4" w:right="20"/>
        <w:spacing w:after="0" w:line="256" w:lineRule="auto"/>
        <w:rPr>
          <w:sz w:val="20"/>
          <w:szCs w:val="20"/>
          <w:color w:val="auto"/>
        </w:rPr>
      </w:pPr>
      <w:r>
        <w:rPr>
          <w:rFonts w:ascii="Arial" w:cs="Arial" w:eastAsia="Arial" w:hAnsi="Arial"/>
          <w:sz w:val="18"/>
          <w:szCs w:val="18"/>
          <w:color w:val="auto"/>
        </w:rPr>
        <w:t>Lead Director — The Kraft Heinz Company since January 2021; Director of The Kraft Heinz Company, or predecessor companies including Kraft Foods Group, Inc., since 2001.</w:t>
      </w:r>
    </w:p>
    <w:p>
      <w:pPr>
        <w:spacing w:after="0" w:line="94"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Talgo S.A. since 2015.</w:t>
      </w:r>
    </w:p>
    <w:p>
      <w:pPr>
        <w:spacing w:after="0" w:line="117"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Former Directorships: Con-way, Inc., or predecessor companies, from 2003 to 2015; Dollar Thrifty Automotive Group, Inc. from 1997 to 2012; and Navistar International Corporation from 2012 to 2013.</w:t>
      </w:r>
    </w:p>
    <w:p>
      <w:pPr>
        <w:spacing w:after="0" w:line="88" w:lineRule="exact"/>
        <w:rPr>
          <w:sz w:val="20"/>
          <w:szCs w:val="20"/>
          <w:color w:val="auto"/>
        </w:rPr>
      </w:pPr>
    </w:p>
    <w:p>
      <w:pPr>
        <w:ind w:left="144" w:hanging="144"/>
        <w:spacing w:after="0"/>
        <w:tabs>
          <w:tab w:leader="none" w:pos="144" w:val="left"/>
        </w:tabs>
        <w:numPr>
          <w:ilvl w:val="0"/>
          <w:numId w:val="22"/>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37" w:lineRule="exact"/>
        <w:rPr>
          <w:sz w:val="20"/>
          <w:szCs w:val="20"/>
          <w:color w:val="auto"/>
        </w:rPr>
      </w:pPr>
    </w:p>
    <w:p>
      <w:pPr>
        <w:jc w:val="both"/>
        <w:ind w:left="4"/>
        <w:spacing w:after="0" w:line="252" w:lineRule="auto"/>
        <w:rPr>
          <w:sz w:val="20"/>
          <w:szCs w:val="20"/>
          <w:color w:val="auto"/>
        </w:rPr>
      </w:pPr>
      <w:r>
        <w:rPr>
          <w:rFonts w:ascii="Arial" w:cs="Arial" w:eastAsia="Arial" w:hAnsi="Arial"/>
          <w:sz w:val="18"/>
          <w:szCs w:val="18"/>
          <w:color w:val="auto"/>
        </w:rPr>
        <w:t>Prior to his service on the boards of multiple major corporations, Mr. Pope served in executive operational and financial positions at large airline companies for almost 20 years, providing him with extensive experience and knowledge of management of large public companies with large-scale logistical challenges, high fixed-cost structure and significant capital requirements. His background, education and board service also provide him with expertise in finance and accounting. Mr. Pope has served on the board of directors for many public companies for over 30 years.</w:t>
      </w:r>
    </w:p>
    <w:p>
      <w:pPr>
        <w:spacing w:after="0" w:line="215" w:lineRule="exact"/>
        <w:rPr>
          <w:sz w:val="20"/>
          <w:szCs w:val="20"/>
          <w:color w:val="auto"/>
        </w:rPr>
      </w:pPr>
    </w:p>
    <w:p>
      <w:pPr>
        <w:sectPr>
          <w:pgSz w:w="11900" w:h="16838" w:orient="portrait"/>
          <w:cols w:equalWidth="0" w:num="2">
            <w:col w:w="2780" w:space="196"/>
            <w:col w:w="6904"/>
          </w:cols>
          <w:pgMar w:left="580" w:top="131" w:right="1439" w:bottom="1440" w:gutter="0" w:footer="0" w:header="0"/>
          <w:type w:val="continuous"/>
        </w:sectPr>
      </w:pPr>
    </w:p>
    <w:p>
      <w:pPr>
        <w:spacing w:after="0" w:line="375"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128905</wp:posOffset>
            </wp:positionV>
            <wp:extent cx="5760720" cy="30086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60720" cy="3008630"/>
                    </a:xfrm>
                    <a:prstGeom prst="rect">
                      <a:avLst/>
                    </a:prstGeom>
                    <a:noFill/>
                  </pic:spPr>
                </pic:pic>
              </a:graphicData>
            </a:graphic>
          </wp:anchor>
        </w:drawing>
      </w:r>
    </w:p>
    <w:p>
      <w:pPr>
        <w:spacing w:after="0" w:line="23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FEFEFE"/>
        </w:rPr>
        <w:t>M</w:t>
      </w:r>
      <w:r>
        <w:rPr>
          <w:rFonts w:ascii="Arial" w:cs="Arial" w:eastAsia="Arial" w:hAnsi="Arial"/>
          <w:sz w:val="14"/>
          <w:szCs w:val="14"/>
          <w:b w:val="1"/>
          <w:bCs w:val="1"/>
          <w:color w:val="FEFEFE"/>
        </w:rPr>
        <w:t>ARYROSE</w:t>
      </w:r>
      <w:r>
        <w:rPr>
          <w:rFonts w:ascii="Arial" w:cs="Arial" w:eastAsia="Arial" w:hAnsi="Arial"/>
          <w:sz w:val="20"/>
          <w:szCs w:val="20"/>
          <w:b w:val="1"/>
          <w:bCs w:val="1"/>
          <w:color w:val="FEFEFE"/>
        </w:rPr>
        <w:t xml:space="preserve"> T. S</w:t>
      </w:r>
      <w:r>
        <w:rPr>
          <w:rFonts w:ascii="Arial" w:cs="Arial" w:eastAsia="Arial" w:hAnsi="Arial"/>
          <w:sz w:val="14"/>
          <w:szCs w:val="14"/>
          <w:b w:val="1"/>
          <w:bCs w:val="1"/>
          <w:color w:val="FEFEFE"/>
        </w:rPr>
        <w:t>YLVESTER</w:t>
      </w:r>
    </w:p>
    <w:p>
      <w:pPr>
        <w:sectPr>
          <w:pgSz w:w="11900" w:h="16838" w:orient="portrait"/>
          <w:cols w:equalWidth="0" w:num="1">
            <w:col w:w="9880"/>
          </w:cols>
          <w:pgMar w:left="580" w:top="131"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477258"/>
        </w:rPr>
        <w:t>Age:</w:t>
      </w:r>
    </w:p>
    <w:p>
      <w:pPr>
        <w:ind w:left="860"/>
        <w:spacing w:after="0"/>
        <w:rPr>
          <w:sz w:val="20"/>
          <w:szCs w:val="20"/>
          <w:color w:val="auto"/>
        </w:rPr>
      </w:pPr>
      <w:r>
        <w:rPr>
          <w:rFonts w:ascii="Arial" w:cs="Arial" w:eastAsia="Arial" w:hAnsi="Arial"/>
          <w:sz w:val="18"/>
          <w:szCs w:val="18"/>
          <w:color w:val="auto"/>
        </w:rPr>
        <w:t>55</w:t>
      </w:r>
    </w:p>
    <w:p>
      <w:pPr>
        <w:spacing w:after="0" w:line="4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477258"/>
        </w:rPr>
        <w:t>Director since:</w:t>
      </w:r>
    </w:p>
    <w:p>
      <w:pPr>
        <w:ind w:left="860"/>
        <w:spacing w:after="0"/>
        <w:rPr>
          <w:sz w:val="20"/>
          <w:szCs w:val="20"/>
          <w:color w:val="auto"/>
        </w:rPr>
      </w:pPr>
      <w:r>
        <w:rPr>
          <w:rFonts w:ascii="Arial" w:cs="Arial" w:eastAsia="Arial" w:hAnsi="Arial"/>
          <w:sz w:val="18"/>
          <w:szCs w:val="18"/>
          <w:color w:val="auto"/>
        </w:rPr>
        <w:t>March 2021</w:t>
      </w:r>
    </w:p>
    <w:p>
      <w:pPr>
        <w:spacing w:after="0" w:line="4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477258"/>
        </w:rPr>
        <w:t>Board Committee:</w:t>
      </w:r>
    </w:p>
    <w:p>
      <w:pPr>
        <w:ind w:left="860"/>
        <w:spacing w:after="0" w:line="203" w:lineRule="auto"/>
        <w:rPr>
          <w:sz w:val="20"/>
          <w:szCs w:val="20"/>
          <w:color w:val="auto"/>
        </w:rPr>
      </w:pPr>
      <w:r>
        <w:rPr>
          <w:rFonts w:ascii="Arial" w:cs="Arial" w:eastAsia="Arial" w:hAnsi="Arial"/>
          <w:sz w:val="18"/>
          <w:szCs w:val="18"/>
          <w:color w:val="auto"/>
        </w:rPr>
        <w:t>Management</w:t>
      </w:r>
    </w:p>
    <w:p>
      <w:pPr>
        <w:ind w:left="860"/>
        <w:spacing w:after="0" w:line="203" w:lineRule="auto"/>
        <w:rPr>
          <w:sz w:val="20"/>
          <w:szCs w:val="20"/>
          <w:color w:val="auto"/>
        </w:rPr>
      </w:pPr>
      <w:r>
        <w:rPr>
          <w:rFonts w:ascii="Arial" w:cs="Arial" w:eastAsia="Arial" w:hAnsi="Arial"/>
          <w:sz w:val="18"/>
          <w:szCs w:val="18"/>
          <w:color w:val="auto"/>
        </w:rPr>
        <w:t>Development &amp;</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Compensation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pacing w:after="0" w:line="126" w:lineRule="exact"/>
        <w:rPr>
          <w:sz w:val="20"/>
          <w:szCs w:val="20"/>
          <w:color w:val="auto"/>
        </w:rPr>
      </w:pPr>
    </w:p>
    <w:p>
      <w:pPr>
        <w:jc w:val="both"/>
        <w:ind w:left="4"/>
        <w:spacing w:after="0" w:line="219" w:lineRule="auto"/>
        <w:rPr>
          <w:sz w:val="20"/>
          <w:szCs w:val="20"/>
          <w:color w:val="auto"/>
        </w:rPr>
      </w:pPr>
      <w:r>
        <w:rPr>
          <w:rFonts w:ascii="Arial" w:cs="Arial" w:eastAsia="Arial" w:hAnsi="Arial"/>
          <w:sz w:val="18"/>
          <w:szCs w:val="18"/>
          <w:color w:val="auto"/>
        </w:rPr>
        <w:t>U.S. Managing Director and U.S. Head of Electrification — ABB Ltd. (global technology company focused on electrification, robotics, power and automation) from August 2019 to August 2020.</w:t>
      </w:r>
    </w:p>
    <w:p>
      <w:pPr>
        <w:spacing w:after="0" w:line="68" w:lineRule="exact"/>
        <w:rPr>
          <w:sz w:val="20"/>
          <w:szCs w:val="20"/>
          <w:color w:val="auto"/>
        </w:rPr>
      </w:pPr>
    </w:p>
    <w:p>
      <w:pPr>
        <w:jc w:val="both"/>
        <w:ind w:left="4"/>
        <w:spacing w:after="0"/>
        <w:rPr>
          <w:sz w:val="20"/>
          <w:szCs w:val="20"/>
          <w:color w:val="auto"/>
        </w:rPr>
      </w:pPr>
      <w:r>
        <w:rPr>
          <w:rFonts w:ascii="Arial" w:cs="Arial" w:eastAsia="Arial" w:hAnsi="Arial"/>
          <w:sz w:val="18"/>
          <w:szCs w:val="18"/>
          <w:color w:val="auto"/>
        </w:rPr>
        <w:t>President and Chief Executive Officer — Current, powered by GE (energy services and information technology subsidiary of General Electric subsequently acquired by private equity investors) from 2015 to June 2019; also served as President and Chief Executive Officer — GE Lighting from 2011 to 2015 and President and Chief Executive Officer — GE Intelligent Platforms (GE Fanuc) from 2006 to 2011.</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of Harley-Davidson, Inc. since August 2016.</w:t>
      </w:r>
    </w:p>
    <w:p>
      <w:pPr>
        <w:spacing w:after="0" w:line="70" w:lineRule="exact"/>
        <w:rPr>
          <w:sz w:val="20"/>
          <w:szCs w:val="20"/>
          <w:color w:val="auto"/>
        </w:rPr>
      </w:pPr>
    </w:p>
    <w:p>
      <w:pPr>
        <w:ind w:left="144" w:hanging="144"/>
        <w:spacing w:after="0"/>
        <w:tabs>
          <w:tab w:leader="none" w:pos="144" w:val="left"/>
        </w:tabs>
        <w:numPr>
          <w:ilvl w:val="0"/>
          <w:numId w:val="23"/>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10" w:lineRule="exact"/>
        <w:rPr>
          <w:sz w:val="20"/>
          <w:szCs w:val="20"/>
          <w:color w:val="auto"/>
        </w:rPr>
      </w:pPr>
    </w:p>
    <w:p>
      <w:pPr>
        <w:jc w:val="both"/>
        <w:ind w:left="4"/>
        <w:spacing w:after="0" w:line="234" w:lineRule="auto"/>
        <w:rPr>
          <w:sz w:val="20"/>
          <w:szCs w:val="20"/>
          <w:color w:val="auto"/>
        </w:rPr>
      </w:pPr>
      <w:r>
        <w:rPr>
          <w:rFonts w:ascii="Arial" w:cs="Arial" w:eastAsia="Arial" w:hAnsi="Arial"/>
          <w:sz w:val="18"/>
          <w:szCs w:val="18"/>
          <w:color w:val="auto"/>
        </w:rPr>
        <w:t>Ms. Sylvester is a strategic, growth-oriented leader who is passionate about technology, innovation and automation. Through her recent experience leading the U.S. electrification business for ABB Group, combined with her 19 years of executive leadership for divisions of GE, Ms. Sylvester has developed expertise in delivering technology-enabled and energy-efficient sustainable solutions. Ms. Sylvester brings extensive knowledge regarding consumer marketing, supply chain strategy, and operational improvement. She also has governance experience from her service on a public company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29845</wp:posOffset>
            </wp:positionV>
            <wp:extent cx="5751830" cy="3608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1830" cy="360870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2540" w:space="436"/>
            <w:col w:w="6904"/>
          </w:cols>
          <w:pgMar w:left="580" w:top="131" w:right="1439" w:bottom="1440" w:gutter="0" w:footer="0" w:header="0"/>
          <w:type w:val="continuous"/>
        </w:sectPr>
      </w:pPr>
    </w:p>
    <w:p>
      <w:pPr>
        <w:ind w:left="880"/>
        <w:spacing w:after="0"/>
        <w:rPr>
          <w:sz w:val="20"/>
          <w:szCs w:val="20"/>
          <w:color w:val="auto"/>
        </w:rPr>
      </w:pPr>
      <w:r>
        <w:rPr>
          <w:rFonts w:ascii="Arial" w:cs="Arial" w:eastAsia="Arial" w:hAnsi="Arial"/>
          <w:sz w:val="20"/>
          <w:szCs w:val="20"/>
          <w:b w:val="1"/>
          <w:bCs w:val="1"/>
          <w:color w:val="FEFEFE"/>
        </w:rPr>
        <w:t>T</w:t>
      </w:r>
      <w:r>
        <w:rPr>
          <w:rFonts w:ascii="Arial" w:cs="Arial" w:eastAsia="Arial" w:hAnsi="Arial"/>
          <w:sz w:val="14"/>
          <w:szCs w:val="14"/>
          <w:b w:val="1"/>
          <w:bCs w:val="1"/>
          <w:color w:val="FEFEFE"/>
        </w:rPr>
        <w:t>HOMAS</w:t>
      </w:r>
      <w:r>
        <w:rPr>
          <w:rFonts w:ascii="Arial" w:cs="Arial" w:eastAsia="Arial" w:hAnsi="Arial"/>
          <w:sz w:val="20"/>
          <w:szCs w:val="20"/>
          <w:b w:val="1"/>
          <w:bCs w:val="1"/>
          <w:color w:val="FEFEFE"/>
        </w:rPr>
        <w:t xml:space="preserve"> H. W</w:t>
      </w:r>
      <w:r>
        <w:rPr>
          <w:rFonts w:ascii="Arial" w:cs="Arial" w:eastAsia="Arial" w:hAnsi="Arial"/>
          <w:sz w:val="14"/>
          <w:szCs w:val="14"/>
          <w:b w:val="1"/>
          <w:bCs w:val="1"/>
          <w:color w:val="FEFEFE"/>
        </w:rPr>
        <w:t>EIDEMEYER</w:t>
      </w:r>
    </w:p>
    <w:p>
      <w:pPr>
        <w:spacing w:after="0" w:line="126" w:lineRule="exact"/>
        <w:rPr>
          <w:sz w:val="20"/>
          <w:szCs w:val="20"/>
          <w:color w:val="auto"/>
        </w:rPr>
      </w:pPr>
    </w:p>
    <w:p>
      <w:pPr>
        <w:jc w:val="right"/>
        <w:ind w:right="3960"/>
        <w:spacing w:after="0"/>
        <w:rPr>
          <w:sz w:val="20"/>
          <w:szCs w:val="20"/>
          <w:color w:val="auto"/>
        </w:rPr>
      </w:pPr>
      <w:r>
        <w:rPr>
          <w:rFonts w:ascii="Arial" w:cs="Arial" w:eastAsia="Arial" w:hAnsi="Arial"/>
          <w:sz w:val="18"/>
          <w:szCs w:val="18"/>
          <w:b w:val="1"/>
          <w:bCs w:val="1"/>
          <w:color w:val="477258"/>
        </w:rPr>
        <w:t>P</w:t>
      </w:r>
      <w:r>
        <w:rPr>
          <w:rFonts w:ascii="Arial" w:cs="Arial" w:eastAsia="Arial" w:hAnsi="Arial"/>
          <w:sz w:val="12"/>
          <w:szCs w:val="12"/>
          <w:b w:val="1"/>
          <w:bCs w:val="1"/>
          <w:color w:val="477258"/>
        </w:rPr>
        <w:t>OSITION AND</w:t>
      </w:r>
      <w:r>
        <w:rPr>
          <w:rFonts w:ascii="Arial" w:cs="Arial" w:eastAsia="Arial" w:hAnsi="Arial"/>
          <w:sz w:val="18"/>
          <w:szCs w:val="18"/>
          <w:b w:val="1"/>
          <w:bCs w:val="1"/>
          <w:color w:val="477258"/>
        </w:rPr>
        <w:t xml:space="preserve"> B</w:t>
      </w:r>
      <w:r>
        <w:rPr>
          <w:rFonts w:ascii="Arial" w:cs="Arial" w:eastAsia="Arial" w:hAnsi="Arial"/>
          <w:sz w:val="12"/>
          <w:szCs w:val="12"/>
          <w:b w:val="1"/>
          <w:bCs w:val="1"/>
          <w:color w:val="477258"/>
        </w:rPr>
        <w:t>USINESS</w:t>
      </w:r>
      <w:r>
        <w:rPr>
          <w:rFonts w:ascii="Arial" w:cs="Arial" w:eastAsia="Arial" w:hAnsi="Arial"/>
          <w:sz w:val="18"/>
          <w:szCs w:val="18"/>
          <w:b w:val="1"/>
          <w:bCs w:val="1"/>
          <w:color w:val="477258"/>
        </w:rPr>
        <w:t xml:space="preserve"> E</w:t>
      </w:r>
      <w:r>
        <w:rPr>
          <w:rFonts w:ascii="Arial" w:cs="Arial" w:eastAsia="Arial" w:hAnsi="Arial"/>
          <w:sz w:val="12"/>
          <w:szCs w:val="12"/>
          <w:b w:val="1"/>
          <w:bCs w:val="1"/>
          <w:color w:val="477258"/>
        </w:rPr>
        <w:t>XPERIENCE</w:t>
      </w:r>
    </w:p>
    <w:p>
      <w:pPr>
        <w:sectPr>
          <w:pgSz w:w="11900" w:h="16838" w:orient="portrait"/>
          <w:cols w:equalWidth="0" w:num="1">
            <w:col w:w="9880"/>
          </w:cols>
          <w:pgMar w:left="580" w:top="131"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477258"/>
        </w:rPr>
        <w:t>Age:</w:t>
      </w:r>
    </w:p>
    <w:p>
      <w:pPr>
        <w:ind w:left="860"/>
        <w:spacing w:after="0"/>
        <w:rPr>
          <w:sz w:val="20"/>
          <w:szCs w:val="20"/>
          <w:color w:val="auto"/>
        </w:rPr>
      </w:pPr>
      <w:r>
        <w:rPr>
          <w:rFonts w:ascii="Arial" w:cs="Arial" w:eastAsia="Arial" w:hAnsi="Arial"/>
          <w:sz w:val="18"/>
          <w:szCs w:val="18"/>
          <w:color w:val="auto"/>
        </w:rPr>
        <w:t>73</w:t>
      </w:r>
    </w:p>
    <w:p>
      <w:pPr>
        <w:spacing w:after="0" w:line="4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477258"/>
        </w:rPr>
        <w:t>Director since:</w:t>
      </w:r>
    </w:p>
    <w:p>
      <w:pPr>
        <w:ind w:left="860"/>
        <w:spacing w:after="0"/>
        <w:rPr>
          <w:sz w:val="20"/>
          <w:szCs w:val="20"/>
          <w:color w:val="auto"/>
        </w:rPr>
      </w:pPr>
      <w:r>
        <w:rPr>
          <w:rFonts w:ascii="Arial" w:cs="Arial" w:eastAsia="Arial" w:hAnsi="Arial"/>
          <w:sz w:val="18"/>
          <w:szCs w:val="18"/>
          <w:color w:val="auto"/>
        </w:rPr>
        <w:t>2005</w:t>
      </w:r>
    </w:p>
    <w:p>
      <w:pPr>
        <w:spacing w:after="0" w:line="4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477258"/>
        </w:rPr>
        <w:t>Chairman of the</w:t>
      </w:r>
    </w:p>
    <w:p>
      <w:pPr>
        <w:ind w:left="860"/>
        <w:spacing w:after="0" w:line="203" w:lineRule="auto"/>
        <w:rPr>
          <w:sz w:val="20"/>
          <w:szCs w:val="20"/>
          <w:color w:val="auto"/>
        </w:rPr>
      </w:pPr>
      <w:r>
        <w:rPr>
          <w:rFonts w:ascii="Arial" w:cs="Arial" w:eastAsia="Arial" w:hAnsi="Arial"/>
          <w:sz w:val="18"/>
          <w:szCs w:val="18"/>
          <w:b w:val="1"/>
          <w:bCs w:val="1"/>
          <w:color w:val="477258"/>
        </w:rPr>
        <w:t>Board since:</w:t>
      </w:r>
    </w:p>
    <w:p>
      <w:pPr>
        <w:ind w:left="860"/>
        <w:spacing w:after="0"/>
        <w:rPr>
          <w:sz w:val="20"/>
          <w:szCs w:val="20"/>
          <w:color w:val="auto"/>
        </w:rPr>
      </w:pPr>
      <w:r>
        <w:rPr>
          <w:rFonts w:ascii="Arial" w:cs="Arial" w:eastAsia="Arial" w:hAnsi="Arial"/>
          <w:sz w:val="18"/>
          <w:szCs w:val="18"/>
          <w:color w:val="auto"/>
        </w:rPr>
        <w:t>May 2018</w:t>
      </w:r>
    </w:p>
    <w:p>
      <w:pPr>
        <w:spacing w:after="0" w:line="4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477258"/>
        </w:rPr>
        <w:t>Board Committees:</w:t>
      </w:r>
    </w:p>
    <w:p>
      <w:pPr>
        <w:ind w:left="860" w:right="100"/>
        <w:spacing w:after="0" w:line="213" w:lineRule="auto"/>
        <w:rPr>
          <w:sz w:val="20"/>
          <w:szCs w:val="20"/>
          <w:color w:val="auto"/>
        </w:rPr>
      </w:pPr>
      <w:r>
        <w:rPr>
          <w:rFonts w:ascii="Arial" w:cs="Arial" w:eastAsia="Arial" w:hAnsi="Arial"/>
          <w:sz w:val="18"/>
          <w:szCs w:val="18"/>
          <w:color w:val="auto"/>
        </w:rPr>
        <w:t>Audit, Management Development &amp; Compensation and Nominating &amp; Governance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both"/>
        <w:ind w:left="3" w:right="20"/>
        <w:spacing w:after="0" w:line="219" w:lineRule="auto"/>
        <w:rPr>
          <w:sz w:val="20"/>
          <w:szCs w:val="20"/>
          <w:color w:val="auto"/>
        </w:rPr>
      </w:pPr>
      <w:r>
        <w:rPr>
          <w:rFonts w:ascii="Arial" w:cs="Arial" w:eastAsia="Arial" w:hAnsi="Arial"/>
          <w:sz w:val="18"/>
          <w:szCs w:val="18"/>
          <w:color w:val="auto"/>
        </w:rPr>
        <w:t>Chief Operating Officer — United Parcel Service, Inc. (package delivery and supply chain services company) from 2001 to 2003; Senior Vice President — United Parcel Service, Inc. from 1994 to 2003.</w:t>
      </w:r>
    </w:p>
    <w:p>
      <w:pPr>
        <w:spacing w:after="0" w:line="68" w:lineRule="exact"/>
        <w:rPr>
          <w:sz w:val="20"/>
          <w:szCs w:val="20"/>
          <w:color w:val="auto"/>
        </w:rPr>
      </w:pPr>
    </w:p>
    <w:p>
      <w:pPr>
        <w:ind w:left="3"/>
        <w:spacing w:after="0"/>
        <w:rPr>
          <w:sz w:val="20"/>
          <w:szCs w:val="20"/>
          <w:color w:val="auto"/>
        </w:rPr>
      </w:pPr>
      <w:r>
        <w:rPr>
          <w:rFonts w:ascii="Arial" w:cs="Arial" w:eastAsia="Arial" w:hAnsi="Arial"/>
          <w:sz w:val="18"/>
          <w:szCs w:val="18"/>
          <w:color w:val="auto"/>
        </w:rPr>
        <w:t>President, UPS Airlines (UPS owned airline) from 1994 to 2003.</w:t>
      </w:r>
    </w:p>
    <w:p>
      <w:pPr>
        <w:spacing w:after="0" w:line="77" w:lineRule="exact"/>
        <w:rPr>
          <w:sz w:val="20"/>
          <w:szCs w:val="20"/>
          <w:color w:val="auto"/>
        </w:rPr>
      </w:pPr>
    </w:p>
    <w:p>
      <w:pPr>
        <w:ind w:left="3"/>
        <w:spacing w:after="0"/>
        <w:rPr>
          <w:sz w:val="20"/>
          <w:szCs w:val="20"/>
          <w:color w:val="auto"/>
        </w:rPr>
      </w:pPr>
      <w:r>
        <w:rPr>
          <w:rFonts w:ascii="Arial" w:cs="Arial" w:eastAsia="Arial" w:hAnsi="Arial"/>
          <w:sz w:val="18"/>
          <w:szCs w:val="18"/>
          <w:color w:val="auto"/>
        </w:rPr>
        <w:t>Director of NRG Energy, Inc. since 2003.</w:t>
      </w:r>
    </w:p>
    <w:p>
      <w:pPr>
        <w:spacing w:after="0" w:line="77" w:lineRule="exact"/>
        <w:rPr>
          <w:sz w:val="20"/>
          <w:szCs w:val="20"/>
          <w:color w:val="auto"/>
        </w:rPr>
      </w:pPr>
    </w:p>
    <w:p>
      <w:pPr>
        <w:ind w:left="3"/>
        <w:spacing w:after="0"/>
        <w:rPr>
          <w:sz w:val="20"/>
          <w:szCs w:val="20"/>
          <w:color w:val="auto"/>
        </w:rPr>
      </w:pPr>
      <w:r>
        <w:rPr>
          <w:rFonts w:ascii="Arial" w:cs="Arial" w:eastAsia="Arial" w:hAnsi="Arial"/>
          <w:sz w:val="18"/>
          <w:szCs w:val="18"/>
          <w:color w:val="auto"/>
        </w:rPr>
        <w:t>Director of Amsted Industries Incorporated, a private company, since 2007.</w:t>
      </w:r>
    </w:p>
    <w:p>
      <w:pPr>
        <w:spacing w:after="0" w:line="77" w:lineRule="exact"/>
        <w:rPr>
          <w:sz w:val="20"/>
          <w:szCs w:val="20"/>
          <w:color w:val="auto"/>
        </w:rPr>
      </w:pPr>
    </w:p>
    <w:p>
      <w:pPr>
        <w:ind w:left="3"/>
        <w:spacing w:after="0"/>
        <w:rPr>
          <w:sz w:val="20"/>
          <w:szCs w:val="20"/>
          <w:color w:val="auto"/>
        </w:rPr>
      </w:pPr>
      <w:r>
        <w:rPr>
          <w:rFonts w:ascii="Arial" w:cs="Arial" w:eastAsia="Arial" w:hAnsi="Arial"/>
          <w:sz w:val="18"/>
          <w:szCs w:val="18"/>
          <w:color w:val="auto"/>
        </w:rPr>
        <w:t>Director of The Goodyear Tire &amp; Rubber Company from 2004 to April 2020.</w:t>
      </w:r>
    </w:p>
    <w:p>
      <w:pPr>
        <w:spacing w:after="0" w:line="70" w:lineRule="exact"/>
        <w:rPr>
          <w:sz w:val="20"/>
          <w:szCs w:val="20"/>
          <w:color w:val="auto"/>
        </w:rPr>
      </w:pPr>
    </w:p>
    <w:p>
      <w:pPr>
        <w:ind w:left="143" w:hanging="143"/>
        <w:spacing w:after="0"/>
        <w:tabs>
          <w:tab w:leader="none" w:pos="143" w:val="left"/>
        </w:tabs>
        <w:numPr>
          <w:ilvl w:val="0"/>
          <w:numId w:val="24"/>
        </w:numPr>
        <w:rPr>
          <w:rFonts w:ascii="Arial" w:cs="Arial" w:eastAsia="Arial" w:hAnsi="Arial"/>
          <w:sz w:val="18"/>
          <w:szCs w:val="18"/>
          <w:b w:val="1"/>
          <w:bCs w:val="1"/>
          <w:color w:val="477258"/>
        </w:rPr>
      </w:pPr>
      <w:r>
        <w:rPr>
          <w:rFonts w:ascii="Arial" w:cs="Arial" w:eastAsia="Arial" w:hAnsi="Arial"/>
          <w:sz w:val="13"/>
          <w:szCs w:val="13"/>
          <w:b w:val="1"/>
          <w:bCs w:val="1"/>
          <w:color w:val="477258"/>
        </w:rPr>
        <w:t>UALIFICATIONS</w:t>
      </w:r>
    </w:p>
    <w:p>
      <w:pPr>
        <w:spacing w:after="0" w:line="110" w:lineRule="exact"/>
        <w:rPr>
          <w:sz w:val="20"/>
          <w:szCs w:val="20"/>
          <w:color w:val="auto"/>
        </w:rPr>
      </w:pPr>
    </w:p>
    <w:p>
      <w:pPr>
        <w:jc w:val="both"/>
        <w:ind w:left="3" w:right="20"/>
        <w:spacing w:after="0" w:line="210" w:lineRule="auto"/>
        <w:rPr>
          <w:sz w:val="20"/>
          <w:szCs w:val="20"/>
          <w:color w:val="auto"/>
        </w:rPr>
      </w:pPr>
      <w:r>
        <w:rPr>
          <w:rFonts w:ascii="Arial" w:cs="Arial" w:eastAsia="Arial" w:hAnsi="Arial"/>
          <w:sz w:val="18"/>
          <w:szCs w:val="18"/>
          <w:color w:val="auto"/>
        </w:rPr>
        <w:t>Mr. Weidemeyer served in executive positions at a large public company for several years and has served as our Non-Executive Chairman of the Board since May 2018. His roles encompassed significant operational management responsibility, providing him knowledge and experience in an array of functional areas critical to large public companies, including supply chain and logistics management. Mr. Weidemeyer also has over 15 years of experience serving on the board of directors for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1132840</wp:posOffset>
            </wp:positionV>
            <wp:extent cx="5349240" cy="514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49240" cy="514350"/>
                    </a:xfrm>
                    <a:prstGeom prst="rect">
                      <a:avLst/>
                    </a:prstGeom>
                    <a:noFill/>
                  </pic:spPr>
                </pic:pic>
              </a:graphicData>
            </a:graphic>
          </wp:anchor>
        </w:drawing>
      </w:r>
    </w:p>
    <w:p>
      <w:pPr>
        <w:spacing w:after="0" w:line="1821" w:lineRule="exact"/>
        <w:rPr>
          <w:sz w:val="20"/>
          <w:szCs w:val="20"/>
          <w:color w:val="auto"/>
        </w:rPr>
      </w:pPr>
    </w:p>
    <w:p>
      <w:pPr>
        <w:sectPr>
          <w:pgSz w:w="11900" w:h="16838" w:orient="portrait"/>
          <w:cols w:equalWidth="0" w:num="2">
            <w:col w:w="2660" w:space="397"/>
            <w:col w:w="6823"/>
          </w:cols>
          <w:pgMar w:left="580" w:top="131"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-149860</wp:posOffset>
            </wp:positionV>
            <wp:extent cx="454660"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4660" cy="12001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DIRECTOR AND OFFICER STOCK OWNERSHIP</w:t>
      </w:r>
    </w:p>
    <w:p>
      <w:pPr>
        <w:spacing w:after="0" w:line="78" w:lineRule="exact"/>
        <w:rPr>
          <w:sz w:val="20"/>
          <w:szCs w:val="20"/>
          <w:color w:val="auto"/>
        </w:rPr>
      </w:pPr>
    </w:p>
    <w:p>
      <w:pPr>
        <w:jc w:val="both"/>
        <w:ind w:left="820"/>
        <w:spacing w:after="0" w:line="238" w:lineRule="auto"/>
        <w:rPr>
          <w:sz w:val="20"/>
          <w:szCs w:val="20"/>
          <w:color w:val="auto"/>
        </w:rPr>
      </w:pPr>
      <w:r>
        <w:rPr>
          <w:rFonts w:ascii="Arial" w:cs="Arial" w:eastAsia="Arial" w:hAnsi="Arial"/>
          <w:sz w:val="18"/>
          <w:szCs w:val="18"/>
          <w:color w:val="auto"/>
        </w:rPr>
        <w:t>Our Board of Directors has adopted stock ownership guidelines for our non-employee directors based on the recommendation of the MD&amp;C Committee, as described in the Non-Employee Director Compensation discussion. Our executive officers, including Mr. Fish, are also subject to stock ownership guidelines, as described in the Compensation Discussion and Analysis.</w:t>
      </w:r>
    </w:p>
    <w:p>
      <w:pPr>
        <w:spacing w:after="0" w:line="29" w:lineRule="exact"/>
        <w:rPr>
          <w:sz w:val="20"/>
          <w:szCs w:val="20"/>
          <w:color w:val="auto"/>
        </w:rPr>
      </w:pPr>
    </w:p>
    <w:p>
      <w:pPr>
        <w:jc w:val="both"/>
        <w:ind w:left="820"/>
        <w:spacing w:after="0" w:line="238" w:lineRule="auto"/>
        <w:rPr>
          <w:sz w:val="20"/>
          <w:szCs w:val="20"/>
          <w:color w:val="auto"/>
        </w:rPr>
      </w:pPr>
      <w:r>
        <w:rPr>
          <w:rFonts w:ascii="Arial" w:cs="Arial" w:eastAsia="Arial" w:hAnsi="Arial"/>
          <w:sz w:val="18"/>
          <w:szCs w:val="18"/>
          <w:color w:val="auto"/>
        </w:rPr>
        <w:t>The Security Ownership of Management table below shows the number of shares of Common Stock each director and each executive officer named in the Summary Compensation Table beneficially owned as of March 17, 2021, our record date for the Annual Meeting, as well as the number owned by all directors and executive officers as a group. These individuals, both individually and in the aggregate, own less than 1% of our outstanding shares as of the record date.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SECURITY OWNERSHIP OF MANAGEMENT</w:t>
      </w:r>
    </w:p>
    <w:p>
      <w:pPr>
        <w:spacing w:after="0" w:line="5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7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477258"/>
              </w:rPr>
              <w:t>Shares of Common</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477258"/>
              </w:rPr>
              <w:t>Shares of Common</w:t>
            </w: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Stock Covered by</w:t>
            </w:r>
          </w:p>
        </w:tc>
        <w:tc>
          <w:tcPr>
            <w:tcW w:w="0" w:type="dxa"/>
            <w:vAlign w:val="bottom"/>
          </w:tcPr>
          <w:p>
            <w:pPr>
              <w:spacing w:after="0"/>
              <w:rPr>
                <w:sz w:val="1"/>
                <w:szCs w:val="1"/>
                <w:color w:val="auto"/>
              </w:rPr>
            </w:pPr>
          </w:p>
        </w:tc>
      </w:tr>
      <w:tr>
        <w:trPr>
          <w:trHeight w:val="189"/>
        </w:trPr>
        <w:tc>
          <w:tcPr>
            <w:tcW w:w="5580" w:type="dxa"/>
            <w:vAlign w:val="bottom"/>
            <w:tcBorders>
              <w:bottom w:val="single" w:sz="8" w:color="477258"/>
            </w:tcBorders>
          </w:tcPr>
          <w:p>
            <w:pPr>
              <w:spacing w:after="0"/>
              <w:rPr>
                <w:sz w:val="20"/>
                <w:szCs w:val="20"/>
                <w:color w:val="auto"/>
              </w:rPr>
            </w:pPr>
            <w:r>
              <w:rPr>
                <w:rFonts w:ascii="Arial" w:cs="Arial" w:eastAsia="Arial" w:hAnsi="Arial"/>
                <w:sz w:val="14"/>
                <w:szCs w:val="14"/>
                <w:b w:val="1"/>
                <w:bCs w:val="1"/>
                <w:color w:val="477258"/>
              </w:rPr>
              <w:t>Name</w:t>
            </w:r>
          </w:p>
        </w:tc>
        <w:tc>
          <w:tcPr>
            <w:tcW w:w="172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14"/>
                <w:szCs w:val="14"/>
                <w:b w:val="1"/>
                <w:bCs w:val="1"/>
                <w:color w:val="477258"/>
              </w:rPr>
              <w:t>Stock Owned</w:t>
            </w:r>
            <w:r>
              <w:rPr>
                <w:rFonts w:ascii="Arial" w:cs="Arial" w:eastAsia="Arial" w:hAnsi="Arial"/>
                <w:sz w:val="21"/>
                <w:szCs w:val="21"/>
                <w:b w:val="1"/>
                <w:bCs w:val="1"/>
                <w:color w:val="477258"/>
                <w:vertAlign w:val="superscript"/>
              </w:rPr>
              <w:t>(1)</w:t>
            </w:r>
          </w:p>
        </w:tc>
        <w:tc>
          <w:tcPr>
            <w:tcW w:w="176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14"/>
                <w:szCs w:val="14"/>
                <w:b w:val="1"/>
                <w:bCs w:val="1"/>
                <w:color w:val="477258"/>
              </w:rPr>
              <w:t>Exercisable Options</w:t>
            </w:r>
            <w:r>
              <w:rPr>
                <w:rFonts w:ascii="Arial" w:cs="Arial" w:eastAsia="Arial" w:hAnsi="Arial"/>
                <w:sz w:val="21"/>
                <w:szCs w:val="21"/>
                <w:b w:val="1"/>
                <w:bCs w:val="1"/>
                <w:color w:val="477258"/>
                <w:vertAlign w:val="superscript"/>
              </w:rPr>
              <w:t>(2)</w:t>
            </w:r>
          </w:p>
        </w:tc>
        <w:tc>
          <w:tcPr>
            <w:tcW w:w="0" w:type="dxa"/>
            <w:vAlign w:val="bottom"/>
          </w:tcPr>
          <w:p>
            <w:pPr>
              <w:spacing w:after="0"/>
              <w:rPr>
                <w:sz w:val="1"/>
                <w:szCs w:val="1"/>
                <w:color w:val="auto"/>
              </w:rPr>
            </w:pPr>
          </w:p>
        </w:tc>
      </w:tr>
      <w:tr>
        <w:trPr>
          <w:trHeight w:val="183"/>
        </w:trPr>
        <w:tc>
          <w:tcPr>
            <w:tcW w:w="5580" w:type="dxa"/>
            <w:vAlign w:val="bottom"/>
            <w:tcBorders>
              <w:bottom w:val="single" w:sz="8" w:color="477258"/>
            </w:tcBorders>
            <w:shd w:val="clear" w:color="auto" w:fill="CCEEFF"/>
          </w:tcPr>
          <w:p>
            <w:pPr>
              <w:spacing w:after="0" w:line="182" w:lineRule="exact"/>
              <w:rPr>
                <w:sz w:val="20"/>
                <w:szCs w:val="20"/>
                <w:color w:val="auto"/>
              </w:rPr>
            </w:pPr>
            <w:r>
              <w:rPr>
                <w:rFonts w:ascii="Arial" w:cs="Arial" w:eastAsia="Arial" w:hAnsi="Arial"/>
                <w:sz w:val="18"/>
                <w:szCs w:val="18"/>
                <w:color w:val="auto"/>
              </w:rPr>
              <w:t>Frank M. Clark, Jr.</w:t>
            </w:r>
          </w:p>
        </w:tc>
        <w:tc>
          <w:tcPr>
            <w:tcW w:w="1720" w:type="dxa"/>
            <w:vAlign w:val="bottom"/>
            <w:tcBorders>
              <w:bottom w:val="single" w:sz="8" w:color="477258"/>
            </w:tcBorders>
            <w:shd w:val="clear" w:color="auto" w:fill="CCEEFF"/>
          </w:tcPr>
          <w:p>
            <w:pPr>
              <w:jc w:val="right"/>
              <w:ind w:right="332"/>
              <w:spacing w:after="0" w:line="182" w:lineRule="exact"/>
              <w:rPr>
                <w:sz w:val="20"/>
                <w:szCs w:val="20"/>
                <w:color w:val="auto"/>
              </w:rPr>
            </w:pPr>
            <w:r>
              <w:rPr>
                <w:rFonts w:ascii="Arial" w:cs="Arial" w:eastAsia="Arial" w:hAnsi="Arial"/>
                <w:sz w:val="18"/>
                <w:szCs w:val="18"/>
                <w:color w:val="auto"/>
              </w:rPr>
              <w:t>33,004</w:t>
            </w:r>
          </w:p>
        </w:tc>
        <w:tc>
          <w:tcPr>
            <w:tcW w:w="1760" w:type="dxa"/>
            <w:vAlign w:val="bottom"/>
            <w:tcBorders>
              <w:bottom w:val="single" w:sz="8" w:color="477258"/>
            </w:tcBorders>
            <w:shd w:val="clear" w:color="auto" w:fill="CCEEFF"/>
          </w:tcPr>
          <w:p>
            <w:pPr>
              <w:jc w:val="right"/>
              <w:ind w:right="413"/>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580" w:type="dxa"/>
            <w:vAlign w:val="bottom"/>
            <w:tcBorders>
              <w:bottom w:val="single" w:sz="8" w:color="477258"/>
            </w:tcBorders>
          </w:tcPr>
          <w:p>
            <w:pPr>
              <w:spacing w:after="0" w:line="182" w:lineRule="exact"/>
              <w:rPr>
                <w:sz w:val="20"/>
                <w:szCs w:val="20"/>
                <w:color w:val="auto"/>
              </w:rPr>
            </w:pPr>
            <w:r>
              <w:rPr>
                <w:rFonts w:ascii="Arial" w:cs="Arial" w:eastAsia="Arial" w:hAnsi="Arial"/>
                <w:sz w:val="18"/>
                <w:szCs w:val="18"/>
                <w:color w:val="auto"/>
              </w:rPr>
              <w:t>Andrés R. Gluski</w:t>
            </w:r>
          </w:p>
        </w:tc>
        <w:tc>
          <w:tcPr>
            <w:tcW w:w="1720" w:type="dxa"/>
            <w:vAlign w:val="bottom"/>
            <w:tcBorders>
              <w:bottom w:val="single" w:sz="8" w:color="477258"/>
            </w:tcBorders>
          </w:tcPr>
          <w:p>
            <w:pPr>
              <w:jc w:val="right"/>
              <w:ind w:right="332"/>
              <w:spacing w:after="0" w:line="182" w:lineRule="exact"/>
              <w:rPr>
                <w:sz w:val="20"/>
                <w:szCs w:val="20"/>
                <w:color w:val="auto"/>
              </w:rPr>
            </w:pPr>
            <w:r>
              <w:rPr>
                <w:rFonts w:ascii="Arial" w:cs="Arial" w:eastAsia="Arial" w:hAnsi="Arial"/>
                <w:sz w:val="18"/>
                <w:szCs w:val="18"/>
                <w:color w:val="auto"/>
              </w:rPr>
              <w:t>12,660</w:t>
            </w:r>
          </w:p>
        </w:tc>
        <w:tc>
          <w:tcPr>
            <w:tcW w:w="1760" w:type="dxa"/>
            <w:vAlign w:val="bottom"/>
            <w:tcBorders>
              <w:bottom w:val="single" w:sz="8" w:color="477258"/>
            </w:tcBorders>
          </w:tcPr>
          <w:p>
            <w:pPr>
              <w:jc w:val="right"/>
              <w:ind w:right="413"/>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580" w:type="dxa"/>
            <w:vAlign w:val="bottom"/>
            <w:tcBorders>
              <w:bottom w:val="single" w:sz="8" w:color="477258"/>
            </w:tcBorders>
            <w:shd w:val="clear" w:color="auto" w:fill="CCEEFF"/>
          </w:tcPr>
          <w:p>
            <w:pPr>
              <w:spacing w:after="0" w:line="182" w:lineRule="exact"/>
              <w:rPr>
                <w:sz w:val="20"/>
                <w:szCs w:val="20"/>
                <w:color w:val="auto"/>
              </w:rPr>
            </w:pPr>
            <w:r>
              <w:rPr>
                <w:rFonts w:ascii="Arial" w:cs="Arial" w:eastAsia="Arial" w:hAnsi="Arial"/>
                <w:sz w:val="18"/>
                <w:szCs w:val="18"/>
                <w:color w:val="auto"/>
              </w:rPr>
              <w:t>Victoria M. Holt</w:t>
            </w:r>
          </w:p>
        </w:tc>
        <w:tc>
          <w:tcPr>
            <w:tcW w:w="1720" w:type="dxa"/>
            <w:vAlign w:val="bottom"/>
            <w:tcBorders>
              <w:bottom w:val="single" w:sz="8" w:color="477258"/>
            </w:tcBorders>
            <w:shd w:val="clear" w:color="auto" w:fill="CCEEFF"/>
          </w:tcPr>
          <w:p>
            <w:pPr>
              <w:jc w:val="right"/>
              <w:ind w:right="332"/>
              <w:spacing w:after="0" w:line="182" w:lineRule="exact"/>
              <w:rPr>
                <w:sz w:val="20"/>
                <w:szCs w:val="20"/>
                <w:color w:val="auto"/>
              </w:rPr>
            </w:pPr>
            <w:r>
              <w:rPr>
                <w:rFonts w:ascii="Arial" w:cs="Arial" w:eastAsia="Arial" w:hAnsi="Arial"/>
                <w:sz w:val="18"/>
                <w:szCs w:val="18"/>
                <w:color w:val="auto"/>
              </w:rPr>
              <w:t>18,043</w:t>
            </w:r>
          </w:p>
        </w:tc>
        <w:tc>
          <w:tcPr>
            <w:tcW w:w="1760" w:type="dxa"/>
            <w:vAlign w:val="bottom"/>
            <w:tcBorders>
              <w:bottom w:val="single" w:sz="8" w:color="477258"/>
            </w:tcBorders>
            <w:shd w:val="clear" w:color="auto" w:fill="CCEEFF"/>
          </w:tcPr>
          <w:p>
            <w:pPr>
              <w:jc w:val="right"/>
              <w:ind w:right="413"/>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477258"/>
            </w:tcBorders>
          </w:tcPr>
          <w:p>
            <w:pPr>
              <w:spacing w:after="0" w:line="195" w:lineRule="exact"/>
              <w:rPr>
                <w:sz w:val="20"/>
                <w:szCs w:val="20"/>
                <w:color w:val="auto"/>
              </w:rPr>
            </w:pPr>
            <w:r>
              <w:rPr>
                <w:rFonts w:ascii="Arial" w:cs="Arial" w:eastAsia="Arial" w:hAnsi="Arial"/>
                <w:sz w:val="16"/>
                <w:szCs w:val="16"/>
                <w:color w:val="auto"/>
              </w:rPr>
              <w:t>Kathleen M. Mazzarella</w:t>
            </w:r>
            <w:r>
              <w:rPr>
                <w:rFonts w:ascii="Arial" w:cs="Arial" w:eastAsia="Arial" w:hAnsi="Arial"/>
                <w:sz w:val="22"/>
                <w:szCs w:val="22"/>
                <w:color w:val="auto"/>
                <w:vertAlign w:val="superscript"/>
              </w:rPr>
              <w:t>(3)</w:t>
            </w:r>
          </w:p>
        </w:tc>
        <w:tc>
          <w:tcPr>
            <w:tcW w:w="1720" w:type="dxa"/>
            <w:vAlign w:val="bottom"/>
            <w:tcBorders>
              <w:bottom w:val="single" w:sz="8" w:color="477258"/>
            </w:tcBorders>
          </w:tcPr>
          <w:p>
            <w:pPr>
              <w:jc w:val="right"/>
              <w:ind w:right="332"/>
              <w:spacing w:after="0" w:line="196" w:lineRule="exact"/>
              <w:rPr>
                <w:sz w:val="20"/>
                <w:szCs w:val="20"/>
                <w:color w:val="auto"/>
              </w:rPr>
            </w:pPr>
            <w:r>
              <w:rPr>
                <w:rFonts w:ascii="Arial" w:cs="Arial" w:eastAsia="Arial" w:hAnsi="Arial"/>
                <w:sz w:val="18"/>
                <w:szCs w:val="18"/>
                <w:color w:val="auto"/>
              </w:rPr>
              <w:t>10,572</w:t>
            </w:r>
          </w:p>
        </w:tc>
        <w:tc>
          <w:tcPr>
            <w:tcW w:w="1760" w:type="dxa"/>
            <w:vAlign w:val="bottom"/>
            <w:tcBorders>
              <w:bottom w:val="single" w:sz="8" w:color="477258"/>
            </w:tcBorders>
          </w:tcPr>
          <w:p>
            <w:pPr>
              <w:jc w:val="right"/>
              <w:ind w:right="413"/>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477258"/>
            </w:tcBorders>
            <w:shd w:val="clear" w:color="auto" w:fill="CCEEFF"/>
          </w:tcPr>
          <w:p>
            <w:pPr>
              <w:spacing w:after="0" w:line="195" w:lineRule="exact"/>
              <w:rPr>
                <w:sz w:val="20"/>
                <w:szCs w:val="20"/>
                <w:color w:val="auto"/>
              </w:rPr>
            </w:pPr>
            <w:r>
              <w:rPr>
                <w:rFonts w:ascii="Arial" w:cs="Arial" w:eastAsia="Arial" w:hAnsi="Arial"/>
                <w:sz w:val="16"/>
                <w:szCs w:val="16"/>
                <w:color w:val="auto"/>
              </w:rPr>
              <w:t>Sean E. Menke</w:t>
            </w:r>
            <w:r>
              <w:rPr>
                <w:rFonts w:ascii="Arial" w:cs="Arial" w:eastAsia="Arial" w:hAnsi="Arial"/>
                <w:sz w:val="22"/>
                <w:szCs w:val="22"/>
                <w:color w:val="auto"/>
                <w:vertAlign w:val="superscript"/>
              </w:rPr>
              <w:t>(4)</w:t>
            </w:r>
          </w:p>
        </w:tc>
        <w:tc>
          <w:tcPr>
            <w:tcW w:w="1720" w:type="dxa"/>
            <w:vAlign w:val="bottom"/>
            <w:tcBorders>
              <w:bottom w:val="single" w:sz="8" w:color="477258"/>
            </w:tcBorders>
            <w:shd w:val="clear" w:color="auto" w:fill="CCEEFF"/>
          </w:tcPr>
          <w:p>
            <w:pPr>
              <w:jc w:val="right"/>
              <w:ind w:right="332"/>
              <w:spacing w:after="0" w:line="196"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477258"/>
            </w:tcBorders>
            <w:shd w:val="clear" w:color="auto" w:fill="CCEEFF"/>
          </w:tcPr>
          <w:p>
            <w:pPr>
              <w:jc w:val="right"/>
              <w:ind w:right="413"/>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580" w:type="dxa"/>
            <w:vAlign w:val="bottom"/>
            <w:tcBorders>
              <w:bottom w:val="single" w:sz="8" w:color="477258"/>
            </w:tcBorders>
          </w:tcPr>
          <w:p>
            <w:pPr>
              <w:spacing w:after="0" w:line="182" w:lineRule="exact"/>
              <w:rPr>
                <w:sz w:val="20"/>
                <w:szCs w:val="20"/>
                <w:color w:val="auto"/>
              </w:rPr>
            </w:pPr>
            <w:r>
              <w:rPr>
                <w:rFonts w:ascii="Arial" w:cs="Arial" w:eastAsia="Arial" w:hAnsi="Arial"/>
                <w:sz w:val="18"/>
                <w:szCs w:val="18"/>
                <w:color w:val="auto"/>
              </w:rPr>
              <w:t>William B. Plummer</w:t>
            </w:r>
          </w:p>
        </w:tc>
        <w:tc>
          <w:tcPr>
            <w:tcW w:w="1720" w:type="dxa"/>
            <w:vAlign w:val="bottom"/>
            <w:tcBorders>
              <w:bottom w:val="single" w:sz="8" w:color="477258"/>
            </w:tcBorders>
          </w:tcPr>
          <w:p>
            <w:pPr>
              <w:jc w:val="right"/>
              <w:ind w:right="332"/>
              <w:spacing w:after="0" w:line="182" w:lineRule="exact"/>
              <w:rPr>
                <w:sz w:val="20"/>
                <w:szCs w:val="20"/>
                <w:color w:val="auto"/>
              </w:rPr>
            </w:pPr>
            <w:r>
              <w:rPr>
                <w:rFonts w:ascii="Arial" w:cs="Arial" w:eastAsia="Arial" w:hAnsi="Arial"/>
                <w:sz w:val="18"/>
                <w:szCs w:val="18"/>
                <w:color w:val="auto"/>
              </w:rPr>
              <w:t>2,677</w:t>
            </w:r>
          </w:p>
        </w:tc>
        <w:tc>
          <w:tcPr>
            <w:tcW w:w="1760" w:type="dxa"/>
            <w:vAlign w:val="bottom"/>
            <w:tcBorders>
              <w:bottom w:val="single" w:sz="8" w:color="477258"/>
            </w:tcBorders>
          </w:tcPr>
          <w:p>
            <w:pPr>
              <w:jc w:val="right"/>
              <w:ind w:right="413"/>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580" w:type="dxa"/>
            <w:vAlign w:val="bottom"/>
            <w:tcBorders>
              <w:bottom w:val="single" w:sz="8" w:color="477258"/>
            </w:tcBorders>
            <w:shd w:val="clear" w:color="auto" w:fill="CCEEFF"/>
          </w:tcPr>
          <w:p>
            <w:pPr>
              <w:spacing w:after="0" w:line="182" w:lineRule="exact"/>
              <w:rPr>
                <w:sz w:val="20"/>
                <w:szCs w:val="20"/>
                <w:color w:val="auto"/>
              </w:rPr>
            </w:pPr>
            <w:r>
              <w:rPr>
                <w:rFonts w:ascii="Arial" w:cs="Arial" w:eastAsia="Arial" w:hAnsi="Arial"/>
                <w:sz w:val="18"/>
                <w:szCs w:val="18"/>
                <w:color w:val="auto"/>
              </w:rPr>
              <w:t>John C. Pope</w:t>
            </w:r>
          </w:p>
        </w:tc>
        <w:tc>
          <w:tcPr>
            <w:tcW w:w="1720" w:type="dxa"/>
            <w:vAlign w:val="bottom"/>
            <w:tcBorders>
              <w:bottom w:val="single" w:sz="8" w:color="477258"/>
            </w:tcBorders>
            <w:shd w:val="clear" w:color="auto" w:fill="CCEEFF"/>
          </w:tcPr>
          <w:p>
            <w:pPr>
              <w:jc w:val="right"/>
              <w:ind w:right="332"/>
              <w:spacing w:after="0" w:line="182" w:lineRule="exact"/>
              <w:rPr>
                <w:sz w:val="20"/>
                <w:szCs w:val="20"/>
                <w:color w:val="auto"/>
              </w:rPr>
            </w:pPr>
            <w:r>
              <w:rPr>
                <w:rFonts w:ascii="Arial" w:cs="Arial" w:eastAsia="Arial" w:hAnsi="Arial"/>
                <w:sz w:val="18"/>
                <w:szCs w:val="18"/>
                <w:color w:val="auto"/>
              </w:rPr>
              <w:t>54,372</w:t>
            </w:r>
          </w:p>
        </w:tc>
        <w:tc>
          <w:tcPr>
            <w:tcW w:w="1760" w:type="dxa"/>
            <w:vAlign w:val="bottom"/>
            <w:tcBorders>
              <w:bottom w:val="single" w:sz="8" w:color="477258"/>
            </w:tcBorders>
            <w:shd w:val="clear" w:color="auto" w:fill="CCEEFF"/>
          </w:tcPr>
          <w:p>
            <w:pPr>
              <w:jc w:val="right"/>
              <w:ind w:right="413"/>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477258"/>
            </w:tcBorders>
          </w:tcPr>
          <w:p>
            <w:pPr>
              <w:spacing w:after="0" w:line="195" w:lineRule="exact"/>
              <w:rPr>
                <w:sz w:val="20"/>
                <w:szCs w:val="20"/>
                <w:color w:val="auto"/>
              </w:rPr>
            </w:pPr>
            <w:r>
              <w:rPr>
                <w:rFonts w:ascii="Arial" w:cs="Arial" w:eastAsia="Arial" w:hAnsi="Arial"/>
                <w:sz w:val="16"/>
                <w:szCs w:val="16"/>
                <w:color w:val="auto"/>
              </w:rPr>
              <w:t>Maryrose T. Sylvester</w:t>
            </w:r>
            <w:r>
              <w:rPr>
                <w:rFonts w:ascii="Arial" w:cs="Arial" w:eastAsia="Arial" w:hAnsi="Arial"/>
                <w:sz w:val="22"/>
                <w:szCs w:val="22"/>
                <w:color w:val="auto"/>
                <w:vertAlign w:val="superscript"/>
              </w:rPr>
              <w:t>(4)</w:t>
            </w:r>
          </w:p>
        </w:tc>
        <w:tc>
          <w:tcPr>
            <w:tcW w:w="1720" w:type="dxa"/>
            <w:vAlign w:val="bottom"/>
            <w:tcBorders>
              <w:bottom w:val="single" w:sz="8" w:color="477258"/>
            </w:tcBorders>
          </w:tcPr>
          <w:p>
            <w:pPr>
              <w:jc w:val="right"/>
              <w:ind w:right="332"/>
              <w:spacing w:after="0" w:line="196"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477258"/>
            </w:tcBorders>
          </w:tcPr>
          <w:p>
            <w:pPr>
              <w:jc w:val="right"/>
              <w:ind w:right="413"/>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477258"/>
            </w:tcBorders>
            <w:shd w:val="clear" w:color="auto" w:fill="CCEEFF"/>
          </w:tcPr>
          <w:p>
            <w:pPr>
              <w:spacing w:after="0" w:line="195" w:lineRule="exact"/>
              <w:rPr>
                <w:sz w:val="20"/>
                <w:szCs w:val="20"/>
                <w:color w:val="auto"/>
              </w:rPr>
            </w:pPr>
            <w:r>
              <w:rPr>
                <w:rFonts w:ascii="Arial" w:cs="Arial" w:eastAsia="Arial" w:hAnsi="Arial"/>
                <w:sz w:val="16"/>
                <w:szCs w:val="16"/>
                <w:color w:val="auto"/>
              </w:rPr>
              <w:t>Thomas H. Weidemeyer</w:t>
            </w:r>
            <w:r>
              <w:rPr>
                <w:rFonts w:ascii="Arial" w:cs="Arial" w:eastAsia="Arial" w:hAnsi="Arial"/>
                <w:sz w:val="22"/>
                <w:szCs w:val="22"/>
                <w:color w:val="auto"/>
                <w:vertAlign w:val="superscript"/>
              </w:rPr>
              <w:t>(5)</w:t>
            </w:r>
          </w:p>
        </w:tc>
        <w:tc>
          <w:tcPr>
            <w:tcW w:w="1720" w:type="dxa"/>
            <w:vAlign w:val="bottom"/>
            <w:tcBorders>
              <w:bottom w:val="single" w:sz="8" w:color="477258"/>
            </w:tcBorders>
            <w:shd w:val="clear" w:color="auto" w:fill="CCEEFF"/>
          </w:tcPr>
          <w:p>
            <w:pPr>
              <w:jc w:val="right"/>
              <w:ind w:right="332"/>
              <w:spacing w:after="0" w:line="196" w:lineRule="exact"/>
              <w:rPr>
                <w:sz w:val="20"/>
                <w:szCs w:val="20"/>
                <w:color w:val="auto"/>
              </w:rPr>
            </w:pPr>
            <w:r>
              <w:rPr>
                <w:rFonts w:ascii="Arial" w:cs="Arial" w:eastAsia="Arial" w:hAnsi="Arial"/>
                <w:sz w:val="18"/>
                <w:szCs w:val="18"/>
                <w:color w:val="auto"/>
              </w:rPr>
              <w:t>33,559</w:t>
            </w:r>
          </w:p>
        </w:tc>
        <w:tc>
          <w:tcPr>
            <w:tcW w:w="1760" w:type="dxa"/>
            <w:vAlign w:val="bottom"/>
            <w:tcBorders>
              <w:bottom w:val="single" w:sz="8" w:color="477258"/>
            </w:tcBorders>
            <w:shd w:val="clear" w:color="auto" w:fill="CCEEFF"/>
          </w:tcPr>
          <w:p>
            <w:pPr>
              <w:jc w:val="right"/>
              <w:ind w:right="413"/>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477258"/>
            </w:tcBorders>
          </w:tcPr>
          <w:p>
            <w:pPr>
              <w:spacing w:after="0" w:line="195" w:lineRule="exact"/>
              <w:rPr>
                <w:sz w:val="20"/>
                <w:szCs w:val="20"/>
                <w:color w:val="auto"/>
              </w:rPr>
            </w:pPr>
            <w:r>
              <w:rPr>
                <w:rFonts w:ascii="Arial" w:cs="Arial" w:eastAsia="Arial" w:hAnsi="Arial"/>
                <w:sz w:val="16"/>
                <w:szCs w:val="16"/>
                <w:color w:val="auto"/>
              </w:rPr>
              <w:t>James C. Fish, Jr.</w:t>
            </w:r>
            <w:r>
              <w:rPr>
                <w:rFonts w:ascii="Arial" w:cs="Arial" w:eastAsia="Arial" w:hAnsi="Arial"/>
                <w:sz w:val="22"/>
                <w:szCs w:val="22"/>
                <w:color w:val="auto"/>
                <w:vertAlign w:val="superscript"/>
              </w:rPr>
              <w:t>(6)</w:t>
            </w:r>
          </w:p>
        </w:tc>
        <w:tc>
          <w:tcPr>
            <w:tcW w:w="1720" w:type="dxa"/>
            <w:vAlign w:val="bottom"/>
            <w:tcBorders>
              <w:bottom w:val="single" w:sz="8" w:color="477258"/>
            </w:tcBorders>
          </w:tcPr>
          <w:p>
            <w:pPr>
              <w:jc w:val="right"/>
              <w:ind w:right="332"/>
              <w:spacing w:after="0" w:line="196" w:lineRule="exact"/>
              <w:rPr>
                <w:sz w:val="20"/>
                <w:szCs w:val="20"/>
                <w:color w:val="auto"/>
              </w:rPr>
            </w:pPr>
            <w:r>
              <w:rPr>
                <w:rFonts w:ascii="Arial" w:cs="Arial" w:eastAsia="Arial" w:hAnsi="Arial"/>
                <w:sz w:val="18"/>
                <w:szCs w:val="18"/>
                <w:color w:val="auto"/>
              </w:rPr>
              <w:t>249,447</w:t>
            </w:r>
          </w:p>
        </w:tc>
        <w:tc>
          <w:tcPr>
            <w:tcW w:w="1760" w:type="dxa"/>
            <w:vAlign w:val="bottom"/>
            <w:tcBorders>
              <w:bottom w:val="single" w:sz="8" w:color="477258"/>
            </w:tcBorders>
          </w:tcPr>
          <w:p>
            <w:pPr>
              <w:jc w:val="right"/>
              <w:ind w:right="413"/>
              <w:spacing w:after="0" w:line="196" w:lineRule="exact"/>
              <w:rPr>
                <w:sz w:val="20"/>
                <w:szCs w:val="20"/>
                <w:color w:val="auto"/>
              </w:rPr>
            </w:pPr>
            <w:r>
              <w:rPr>
                <w:rFonts w:ascii="Arial" w:cs="Arial" w:eastAsia="Arial" w:hAnsi="Arial"/>
                <w:sz w:val="18"/>
                <w:szCs w:val="18"/>
                <w:color w:val="auto"/>
              </w:rPr>
              <w:t>131,909</w:t>
            </w:r>
          </w:p>
        </w:tc>
        <w:tc>
          <w:tcPr>
            <w:tcW w:w="0" w:type="dxa"/>
            <w:vAlign w:val="bottom"/>
          </w:tcPr>
          <w:p>
            <w:pPr>
              <w:spacing w:after="0"/>
              <w:rPr>
                <w:sz w:val="1"/>
                <w:szCs w:val="1"/>
                <w:color w:val="auto"/>
              </w:rPr>
            </w:pPr>
          </w:p>
        </w:tc>
      </w:tr>
      <w:tr>
        <w:trPr>
          <w:trHeight w:val="183"/>
        </w:trPr>
        <w:tc>
          <w:tcPr>
            <w:tcW w:w="5580" w:type="dxa"/>
            <w:vAlign w:val="bottom"/>
            <w:tcBorders>
              <w:bottom w:val="single" w:sz="8" w:color="477258"/>
            </w:tcBorders>
            <w:shd w:val="clear" w:color="auto" w:fill="CCEEFF"/>
          </w:tcPr>
          <w:p>
            <w:pPr>
              <w:spacing w:after="0" w:line="182" w:lineRule="exact"/>
              <w:rPr>
                <w:sz w:val="20"/>
                <w:szCs w:val="20"/>
                <w:color w:val="auto"/>
              </w:rPr>
            </w:pPr>
            <w:r>
              <w:rPr>
                <w:rFonts w:ascii="Arial" w:cs="Arial" w:eastAsia="Arial" w:hAnsi="Arial"/>
                <w:sz w:val="18"/>
                <w:szCs w:val="18"/>
                <w:color w:val="auto"/>
              </w:rPr>
              <w:t>Devina A. Rankin</w:t>
            </w:r>
          </w:p>
        </w:tc>
        <w:tc>
          <w:tcPr>
            <w:tcW w:w="1720" w:type="dxa"/>
            <w:vAlign w:val="bottom"/>
            <w:tcBorders>
              <w:bottom w:val="single" w:sz="8" w:color="477258"/>
            </w:tcBorders>
            <w:shd w:val="clear" w:color="auto" w:fill="CCEEFF"/>
          </w:tcPr>
          <w:p>
            <w:pPr>
              <w:jc w:val="right"/>
              <w:ind w:right="332"/>
              <w:spacing w:after="0" w:line="182" w:lineRule="exact"/>
              <w:rPr>
                <w:sz w:val="20"/>
                <w:szCs w:val="20"/>
                <w:color w:val="auto"/>
              </w:rPr>
            </w:pPr>
            <w:r>
              <w:rPr>
                <w:rFonts w:ascii="Arial" w:cs="Arial" w:eastAsia="Arial" w:hAnsi="Arial"/>
                <w:sz w:val="18"/>
                <w:szCs w:val="18"/>
                <w:color w:val="auto"/>
              </w:rPr>
              <w:t>25,473</w:t>
            </w:r>
          </w:p>
        </w:tc>
        <w:tc>
          <w:tcPr>
            <w:tcW w:w="1760" w:type="dxa"/>
            <w:vAlign w:val="bottom"/>
            <w:tcBorders>
              <w:bottom w:val="single" w:sz="8" w:color="477258"/>
            </w:tcBorders>
            <w:shd w:val="clear" w:color="auto" w:fill="CCEEFF"/>
          </w:tcPr>
          <w:p>
            <w:pPr>
              <w:jc w:val="right"/>
              <w:ind w:right="413"/>
              <w:spacing w:after="0" w:line="182" w:lineRule="exact"/>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182"/>
        </w:trPr>
        <w:tc>
          <w:tcPr>
            <w:tcW w:w="5580" w:type="dxa"/>
            <w:vAlign w:val="bottom"/>
            <w:tcBorders>
              <w:bottom w:val="single" w:sz="8" w:color="477258"/>
            </w:tcBorders>
          </w:tcPr>
          <w:p>
            <w:pPr>
              <w:spacing w:after="0" w:line="182" w:lineRule="exact"/>
              <w:rPr>
                <w:sz w:val="20"/>
                <w:szCs w:val="20"/>
                <w:color w:val="auto"/>
              </w:rPr>
            </w:pPr>
            <w:r>
              <w:rPr>
                <w:rFonts w:ascii="Arial" w:cs="Arial" w:eastAsia="Arial" w:hAnsi="Arial"/>
                <w:sz w:val="18"/>
                <w:szCs w:val="18"/>
                <w:color w:val="auto"/>
              </w:rPr>
              <w:t>John J. Morris, Jr.</w:t>
            </w:r>
          </w:p>
        </w:tc>
        <w:tc>
          <w:tcPr>
            <w:tcW w:w="1720" w:type="dxa"/>
            <w:vAlign w:val="bottom"/>
            <w:tcBorders>
              <w:bottom w:val="single" w:sz="8" w:color="477258"/>
            </w:tcBorders>
          </w:tcPr>
          <w:p>
            <w:pPr>
              <w:jc w:val="right"/>
              <w:ind w:right="332"/>
              <w:spacing w:after="0" w:line="182" w:lineRule="exact"/>
              <w:rPr>
                <w:sz w:val="20"/>
                <w:szCs w:val="20"/>
                <w:color w:val="auto"/>
              </w:rPr>
            </w:pPr>
            <w:r>
              <w:rPr>
                <w:rFonts w:ascii="Arial" w:cs="Arial" w:eastAsia="Arial" w:hAnsi="Arial"/>
                <w:sz w:val="18"/>
                <w:szCs w:val="18"/>
                <w:color w:val="auto"/>
              </w:rPr>
              <w:t>86,898</w:t>
            </w:r>
          </w:p>
        </w:tc>
        <w:tc>
          <w:tcPr>
            <w:tcW w:w="1760" w:type="dxa"/>
            <w:vAlign w:val="bottom"/>
            <w:tcBorders>
              <w:bottom w:val="single" w:sz="8" w:color="477258"/>
            </w:tcBorders>
          </w:tcPr>
          <w:p>
            <w:pPr>
              <w:jc w:val="right"/>
              <w:ind w:right="413"/>
              <w:spacing w:after="0" w:line="182" w:lineRule="exact"/>
              <w:rPr>
                <w:sz w:val="20"/>
                <w:szCs w:val="20"/>
                <w:color w:val="auto"/>
              </w:rPr>
            </w:pPr>
            <w:r>
              <w:rPr>
                <w:rFonts w:ascii="Arial" w:cs="Arial" w:eastAsia="Arial" w:hAnsi="Arial"/>
                <w:sz w:val="18"/>
                <w:szCs w:val="18"/>
                <w:color w:val="auto"/>
              </w:rPr>
              <w:t>15,955</w:t>
            </w:r>
          </w:p>
        </w:tc>
        <w:tc>
          <w:tcPr>
            <w:tcW w:w="0" w:type="dxa"/>
            <w:vAlign w:val="bottom"/>
          </w:tcPr>
          <w:p>
            <w:pPr>
              <w:spacing w:after="0"/>
              <w:rPr>
                <w:sz w:val="1"/>
                <w:szCs w:val="1"/>
                <w:color w:val="auto"/>
              </w:rPr>
            </w:pPr>
          </w:p>
        </w:tc>
      </w:tr>
      <w:tr>
        <w:trPr>
          <w:trHeight w:val="183"/>
        </w:trPr>
        <w:tc>
          <w:tcPr>
            <w:tcW w:w="5580" w:type="dxa"/>
            <w:vAlign w:val="bottom"/>
            <w:tcBorders>
              <w:bottom w:val="single" w:sz="8" w:color="477258"/>
            </w:tcBorders>
            <w:shd w:val="clear" w:color="auto" w:fill="CCEEFF"/>
          </w:tcPr>
          <w:p>
            <w:pPr>
              <w:spacing w:after="0" w:line="182" w:lineRule="exact"/>
              <w:rPr>
                <w:sz w:val="20"/>
                <w:szCs w:val="20"/>
                <w:color w:val="auto"/>
              </w:rPr>
            </w:pPr>
            <w:r>
              <w:rPr>
                <w:rFonts w:ascii="Arial" w:cs="Arial" w:eastAsia="Arial" w:hAnsi="Arial"/>
                <w:sz w:val="18"/>
                <w:szCs w:val="18"/>
                <w:color w:val="auto"/>
              </w:rPr>
              <w:t>Tara J. Hemmer</w:t>
            </w:r>
          </w:p>
        </w:tc>
        <w:tc>
          <w:tcPr>
            <w:tcW w:w="1720" w:type="dxa"/>
            <w:vAlign w:val="bottom"/>
            <w:tcBorders>
              <w:bottom w:val="single" w:sz="8" w:color="477258"/>
            </w:tcBorders>
            <w:shd w:val="clear" w:color="auto" w:fill="CCEEFF"/>
          </w:tcPr>
          <w:p>
            <w:pPr>
              <w:jc w:val="right"/>
              <w:ind w:right="332"/>
              <w:spacing w:after="0" w:line="182" w:lineRule="exact"/>
              <w:rPr>
                <w:sz w:val="20"/>
                <w:szCs w:val="20"/>
                <w:color w:val="auto"/>
              </w:rPr>
            </w:pPr>
            <w:r>
              <w:rPr>
                <w:rFonts w:ascii="Arial" w:cs="Arial" w:eastAsia="Arial" w:hAnsi="Arial"/>
                <w:sz w:val="18"/>
                <w:szCs w:val="18"/>
                <w:color w:val="auto"/>
              </w:rPr>
              <w:t>28,499</w:t>
            </w:r>
          </w:p>
        </w:tc>
        <w:tc>
          <w:tcPr>
            <w:tcW w:w="1760" w:type="dxa"/>
            <w:vAlign w:val="bottom"/>
            <w:tcBorders>
              <w:bottom w:val="single" w:sz="8" w:color="477258"/>
            </w:tcBorders>
            <w:shd w:val="clear" w:color="auto" w:fill="CCEEFF"/>
          </w:tcPr>
          <w:p>
            <w:pPr>
              <w:jc w:val="right"/>
              <w:ind w:right="413"/>
              <w:spacing w:after="0" w:line="182" w:lineRule="exact"/>
              <w:rPr>
                <w:sz w:val="20"/>
                <w:szCs w:val="20"/>
                <w:color w:val="auto"/>
              </w:rPr>
            </w:pPr>
            <w:r>
              <w:rPr>
                <w:rFonts w:ascii="Arial" w:cs="Arial" w:eastAsia="Arial" w:hAnsi="Arial"/>
                <w:sz w:val="18"/>
                <w:szCs w:val="18"/>
                <w:color w:val="auto"/>
              </w:rPr>
              <w:t>35,164</w:t>
            </w:r>
          </w:p>
        </w:tc>
        <w:tc>
          <w:tcPr>
            <w:tcW w:w="0" w:type="dxa"/>
            <w:vAlign w:val="bottom"/>
          </w:tcPr>
          <w:p>
            <w:pPr>
              <w:spacing w:after="0"/>
              <w:rPr>
                <w:sz w:val="1"/>
                <w:szCs w:val="1"/>
                <w:color w:val="auto"/>
              </w:rPr>
            </w:pPr>
          </w:p>
        </w:tc>
      </w:tr>
      <w:tr>
        <w:trPr>
          <w:trHeight w:val="183"/>
        </w:trPr>
        <w:tc>
          <w:tcPr>
            <w:tcW w:w="5580" w:type="dxa"/>
            <w:vAlign w:val="bottom"/>
            <w:tcBorders>
              <w:bottom w:val="single" w:sz="8" w:color="477258"/>
            </w:tcBorders>
          </w:tcPr>
          <w:p>
            <w:pPr>
              <w:spacing w:after="0" w:line="182" w:lineRule="exact"/>
              <w:rPr>
                <w:sz w:val="20"/>
                <w:szCs w:val="20"/>
                <w:color w:val="auto"/>
              </w:rPr>
            </w:pPr>
            <w:r>
              <w:rPr>
                <w:rFonts w:ascii="Arial" w:cs="Arial" w:eastAsia="Arial" w:hAnsi="Arial"/>
                <w:sz w:val="18"/>
                <w:szCs w:val="18"/>
                <w:color w:val="auto"/>
              </w:rPr>
              <w:t>Steven R. Batchelor</w:t>
            </w:r>
          </w:p>
        </w:tc>
        <w:tc>
          <w:tcPr>
            <w:tcW w:w="1720" w:type="dxa"/>
            <w:vAlign w:val="bottom"/>
            <w:tcBorders>
              <w:bottom w:val="single" w:sz="8" w:color="477258"/>
            </w:tcBorders>
          </w:tcPr>
          <w:p>
            <w:pPr>
              <w:jc w:val="right"/>
              <w:ind w:right="332"/>
              <w:spacing w:after="0" w:line="182" w:lineRule="exact"/>
              <w:rPr>
                <w:sz w:val="20"/>
                <w:szCs w:val="20"/>
                <w:color w:val="auto"/>
              </w:rPr>
            </w:pPr>
            <w:r>
              <w:rPr>
                <w:rFonts w:ascii="Arial" w:cs="Arial" w:eastAsia="Arial" w:hAnsi="Arial"/>
                <w:sz w:val="18"/>
                <w:szCs w:val="18"/>
                <w:color w:val="auto"/>
              </w:rPr>
              <w:t>23,431</w:t>
            </w:r>
          </w:p>
        </w:tc>
        <w:tc>
          <w:tcPr>
            <w:tcW w:w="1760" w:type="dxa"/>
            <w:vAlign w:val="bottom"/>
            <w:tcBorders>
              <w:bottom w:val="single" w:sz="8" w:color="477258"/>
            </w:tcBorders>
          </w:tcPr>
          <w:p>
            <w:pPr>
              <w:jc w:val="right"/>
              <w:ind w:right="413"/>
              <w:spacing w:after="0" w:line="182" w:lineRule="exact"/>
              <w:rPr>
                <w:sz w:val="20"/>
                <w:szCs w:val="20"/>
                <w:color w:val="auto"/>
              </w:rPr>
            </w:pPr>
            <w:r>
              <w:rPr>
                <w:rFonts w:ascii="Arial" w:cs="Arial" w:eastAsia="Arial" w:hAnsi="Arial"/>
                <w:sz w:val="18"/>
                <w:szCs w:val="18"/>
                <w:color w:val="auto"/>
              </w:rPr>
              <w:t>27,844</w:t>
            </w:r>
          </w:p>
        </w:tc>
        <w:tc>
          <w:tcPr>
            <w:tcW w:w="0" w:type="dxa"/>
            <w:vAlign w:val="bottom"/>
          </w:tcPr>
          <w:p>
            <w:pPr>
              <w:spacing w:after="0"/>
              <w:rPr>
                <w:sz w:val="1"/>
                <w:szCs w:val="1"/>
                <w:color w:val="auto"/>
              </w:rPr>
            </w:pPr>
          </w:p>
        </w:tc>
      </w:tr>
      <w:tr>
        <w:trPr>
          <w:trHeight w:val="263"/>
        </w:trPr>
        <w:tc>
          <w:tcPr>
            <w:tcW w:w="5580" w:type="dxa"/>
            <w:vAlign w:val="bottom"/>
            <w:tcBorders>
              <w:bottom w:val="single" w:sz="8" w:color="477258"/>
            </w:tcBorders>
            <w:shd w:val="clear" w:color="auto" w:fill="CCEEFF"/>
          </w:tcPr>
          <w:p>
            <w:pPr>
              <w:spacing w:after="0" w:line="263" w:lineRule="exact"/>
              <w:rPr>
                <w:sz w:val="20"/>
                <w:szCs w:val="20"/>
                <w:color w:val="auto"/>
              </w:rPr>
            </w:pPr>
            <w:r>
              <w:rPr>
                <w:rFonts w:ascii="Arial" w:cs="Arial" w:eastAsia="Arial" w:hAnsi="Arial"/>
                <w:sz w:val="18"/>
                <w:szCs w:val="18"/>
                <w:color w:val="auto"/>
              </w:rPr>
              <w:t>All directors and executive officers as a group (19 persons)</w:t>
            </w:r>
            <w:r>
              <w:rPr>
                <w:rFonts w:ascii="Arial" w:cs="Arial" w:eastAsia="Arial" w:hAnsi="Arial"/>
                <w:sz w:val="26"/>
                <w:szCs w:val="26"/>
                <w:color w:val="auto"/>
                <w:vertAlign w:val="superscript"/>
              </w:rPr>
              <w:t>(7)</w:t>
            </w:r>
          </w:p>
        </w:tc>
        <w:tc>
          <w:tcPr>
            <w:tcW w:w="1720" w:type="dxa"/>
            <w:vAlign w:val="bottom"/>
            <w:tcBorders>
              <w:bottom w:val="single" w:sz="8" w:color="477258"/>
            </w:tcBorders>
            <w:shd w:val="clear" w:color="auto" w:fill="CCEEFF"/>
          </w:tcPr>
          <w:p>
            <w:pPr>
              <w:jc w:val="right"/>
              <w:ind w:right="332"/>
              <w:spacing w:after="0"/>
              <w:rPr>
                <w:sz w:val="20"/>
                <w:szCs w:val="20"/>
                <w:color w:val="auto"/>
              </w:rPr>
            </w:pPr>
            <w:r>
              <w:rPr>
                <w:rFonts w:ascii="Arial" w:cs="Arial" w:eastAsia="Arial" w:hAnsi="Arial"/>
                <w:sz w:val="18"/>
                <w:szCs w:val="18"/>
                <w:color w:val="auto"/>
              </w:rPr>
              <w:t>658,102</w:t>
            </w:r>
          </w:p>
        </w:tc>
        <w:tc>
          <w:tcPr>
            <w:tcW w:w="1760" w:type="dxa"/>
            <w:vAlign w:val="bottom"/>
            <w:tcBorders>
              <w:bottom w:val="single" w:sz="8" w:color="477258"/>
            </w:tcBorders>
            <w:shd w:val="clear" w:color="auto" w:fill="CCEEFF"/>
          </w:tcPr>
          <w:p>
            <w:pPr>
              <w:jc w:val="right"/>
              <w:ind w:right="413"/>
              <w:spacing w:after="0"/>
              <w:rPr>
                <w:sz w:val="20"/>
                <w:szCs w:val="20"/>
                <w:color w:val="auto"/>
              </w:rPr>
            </w:pPr>
            <w:r>
              <w:rPr>
                <w:rFonts w:ascii="Arial" w:cs="Arial" w:eastAsia="Arial" w:hAnsi="Arial"/>
                <w:sz w:val="18"/>
                <w:szCs w:val="18"/>
                <w:color w:val="auto"/>
              </w:rPr>
              <w:t>390,333</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1180" w:hanging="364"/>
        <w:spacing w:after="0" w:line="252"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table reports beneficial ownership in accordance with Rule 13d-3 under the Exchange Act. The amounts reported above include 4,025 stock equivalents attributed to Mr. Fish, 2,263 stock equivalents attributed to Mr. Morris and 985 stock equivalents attributed to Mr. Batchelor, based on their holdings in the Company’s 401(k) Retirement Savings Plan stock fund. The amounts reported above also include 94,844 shares of Common Stock deferred by Mr. Fish. Deferred shares were earned on account of vested equity awards and pay out in shares of Common Stock after the executive’s departure from the Company pursuant to the Company’s 409A Deferral Savings Plan (“409A Deferral Plan”).</w:t>
      </w:r>
    </w:p>
    <w:p>
      <w:pPr>
        <w:spacing w:after="0" w:line="260" w:lineRule="exact"/>
        <w:rPr>
          <w:rFonts w:ascii="Arial" w:cs="Arial" w:eastAsia="Arial" w:hAnsi="Arial"/>
          <w:sz w:val="18"/>
          <w:szCs w:val="18"/>
          <w:color w:val="auto"/>
        </w:rPr>
      </w:pPr>
    </w:p>
    <w:p>
      <w:pPr>
        <w:jc w:val="both"/>
        <w:ind w:left="1180"/>
        <w:spacing w:after="0" w:line="252" w:lineRule="auto"/>
        <w:rPr>
          <w:rFonts w:ascii="Arial" w:cs="Arial" w:eastAsia="Arial" w:hAnsi="Arial"/>
          <w:sz w:val="18"/>
          <w:szCs w:val="18"/>
          <w:color w:val="auto"/>
        </w:rPr>
      </w:pPr>
      <w:r>
        <w:rPr>
          <w:rFonts w:ascii="Arial" w:cs="Arial" w:eastAsia="Arial" w:hAnsi="Arial"/>
          <w:sz w:val="18"/>
          <w:szCs w:val="18"/>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invested in stock or funds. Phantom stock is not included in the table above, but it represents an investment risk based on the performance of our Common Stock. Mr. Morris and Mr. Batchelor have 2,457 and 5,134 phantom stock equivalents, respectively, under the 409A Deferral Plan.</w:t>
      </w:r>
    </w:p>
    <w:p>
      <w:pPr>
        <w:spacing w:after="0" w:line="262" w:lineRule="exact"/>
        <w:rPr>
          <w:rFonts w:ascii="Arial" w:cs="Arial" w:eastAsia="Arial" w:hAnsi="Arial"/>
          <w:sz w:val="18"/>
          <w:szCs w:val="18"/>
          <w:color w:val="auto"/>
        </w:rPr>
      </w:pPr>
    </w:p>
    <w:p>
      <w:pPr>
        <w:ind w:left="1180" w:hanging="364"/>
        <w:spacing w:after="0" w:line="261"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the number of options currently exercisable and options that will become exercisable within 60 days of our record date.</w:t>
      </w:r>
    </w:p>
    <w:p>
      <w:pPr>
        <w:spacing w:after="0" w:line="8" w:lineRule="exact"/>
        <w:rPr>
          <w:rFonts w:ascii="Arial" w:cs="Arial" w:eastAsia="Arial" w:hAnsi="Arial"/>
          <w:sz w:val="18"/>
          <w:szCs w:val="18"/>
          <w:color w:val="auto"/>
        </w:rPr>
      </w:pPr>
    </w:p>
    <w:p>
      <w:pPr>
        <w:ind w:left="1180" w:right="200" w:hanging="364"/>
        <w:spacing w:after="0" w:line="261"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are held by the Mazzarella Living Trust, for which Ms. Mazzarella and her husband serve as trustees.</w:t>
      </w:r>
    </w:p>
    <w:p>
      <w:pPr>
        <w:spacing w:after="0" w:line="35" w:lineRule="exact"/>
        <w:rPr>
          <w:rFonts w:ascii="Arial" w:cs="Arial" w:eastAsia="Arial" w:hAnsi="Arial"/>
          <w:sz w:val="18"/>
          <w:szCs w:val="18"/>
          <w:color w:val="auto"/>
        </w:rPr>
      </w:pPr>
    </w:p>
    <w:p>
      <w:pPr>
        <w:jc w:val="both"/>
        <w:ind w:left="1180" w:hanging="364"/>
        <w:spacing w:after="0" w:line="254"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Menke and Ms. Sylvester were elected to our Board on March 15, 2021. Each received an award of Common Stock under our 2014 Stock Incentive Plan with a fair market value of $55,000 on the March 19, 2021 grant date, as pro-rated equity compensation for the current director service period. See “Non-Employee Director Compensation” above for additional information about director compensation.</w:t>
      </w:r>
    </w:p>
    <w:p>
      <w:pPr>
        <w:spacing w:after="0" w:line="257" w:lineRule="exact"/>
        <w:rPr>
          <w:rFonts w:ascii="Arial" w:cs="Arial" w:eastAsia="Arial" w:hAnsi="Arial"/>
          <w:sz w:val="18"/>
          <w:szCs w:val="18"/>
          <w:color w:val="auto"/>
        </w:rPr>
      </w:pPr>
    </w:p>
    <w:p>
      <w:pPr>
        <w:ind w:left="1180" w:right="20" w:hanging="364"/>
        <w:spacing w:after="0" w:line="261"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are held by the Thomas H. Weidemeyer and Mary R. Weidemeyer Trust, for which Mr. Weidemeyer and his wife serve as trustees.</w:t>
      </w:r>
    </w:p>
    <w:p>
      <w:pPr>
        <w:spacing w:after="0" w:line="8" w:lineRule="exact"/>
        <w:rPr>
          <w:rFonts w:ascii="Arial" w:cs="Arial" w:eastAsia="Arial" w:hAnsi="Arial"/>
          <w:sz w:val="18"/>
          <w:szCs w:val="18"/>
          <w:color w:val="auto"/>
        </w:rPr>
      </w:pPr>
    </w:p>
    <w:p>
      <w:pPr>
        <w:ind w:left="1180" w:hanging="36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18,692 shares held in trusts for the benefit of Mr. Fish’s minor children.</w:t>
      </w:r>
    </w:p>
    <w:p>
      <w:pPr>
        <w:spacing w:after="0" w:line="49" w:lineRule="exact"/>
        <w:rPr>
          <w:rFonts w:ascii="Arial" w:cs="Arial" w:eastAsia="Arial" w:hAnsi="Arial"/>
          <w:sz w:val="18"/>
          <w:szCs w:val="18"/>
          <w:color w:val="auto"/>
        </w:rPr>
      </w:pPr>
    </w:p>
    <w:p>
      <w:pPr>
        <w:jc w:val="both"/>
        <w:ind w:left="1180" w:hanging="364"/>
        <w:spacing w:after="0" w:line="22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Included in the “All directors and executive officers as a group” are 10,713 stock equivalents attributable to the executive officers’ collective holdings in the Company’s 401(k) Retirement Savings Plan stock fund. This group also holds an aggregate of 8,608 phantom stock equivalents under the 409A Deferral Plan that are not included in the table.</w:t>
      </w:r>
    </w:p>
    <w:p>
      <w:pPr>
        <w:spacing w:after="0" w:line="235"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right="160"/>
        <w:spacing w:after="0" w:line="270" w:lineRule="auto"/>
        <w:rPr>
          <w:sz w:val="20"/>
          <w:szCs w:val="20"/>
          <w:color w:val="auto"/>
        </w:rPr>
      </w:pPr>
      <w:r>
        <w:rPr>
          <w:rFonts w:ascii="Arial" w:cs="Arial" w:eastAsia="Arial" w:hAnsi="Arial"/>
          <w:sz w:val="34"/>
          <w:szCs w:val="34"/>
          <w:b w:val="1"/>
          <w:bCs w:val="1"/>
          <w:color w:val="477258"/>
        </w:rPr>
        <w:t>SECURITY OWNERSHIP OF CERTAIN BENEFICIAL OWNERS</w:t>
      </w:r>
    </w:p>
    <w:p>
      <w:pPr>
        <w:spacing w:after="0" w:line="24" w:lineRule="exact"/>
        <w:rPr>
          <w:sz w:val="20"/>
          <w:szCs w:val="20"/>
          <w:color w:val="auto"/>
        </w:rPr>
      </w:pPr>
    </w:p>
    <w:p>
      <w:pPr>
        <w:ind w:left="820" w:right="20"/>
        <w:spacing w:after="0" w:line="261" w:lineRule="auto"/>
        <w:rPr>
          <w:sz w:val="20"/>
          <w:szCs w:val="20"/>
          <w:color w:val="auto"/>
        </w:rPr>
      </w:pPr>
      <w:r>
        <w:rPr>
          <w:rFonts w:ascii="Arial" w:cs="Arial" w:eastAsia="Arial" w:hAnsi="Arial"/>
          <w:sz w:val="18"/>
          <w:szCs w:val="18"/>
          <w:color w:val="auto"/>
        </w:rPr>
        <w:t>The table below shows information for persons known to us to beneficially own more than 5% of our Common Stock based on their filings with the SEC through March 17, 2021.</w:t>
      </w:r>
    </w:p>
    <w:p>
      <w:pPr>
        <w:spacing w:after="0" w:line="9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140" w:type="dxa"/>
            <w:vAlign w:val="bottom"/>
            <w:gridSpan w:val="2"/>
          </w:tcPr>
          <w:p>
            <w:pPr>
              <w:jc w:val="right"/>
              <w:ind w:right="255"/>
              <w:spacing w:after="0"/>
              <w:rPr>
                <w:sz w:val="20"/>
                <w:szCs w:val="20"/>
                <w:color w:val="auto"/>
              </w:rPr>
            </w:pPr>
            <w:r>
              <w:rPr>
                <w:rFonts w:ascii="Arial" w:cs="Arial" w:eastAsia="Arial" w:hAnsi="Arial"/>
                <w:sz w:val="14"/>
                <w:szCs w:val="14"/>
                <w:b w:val="1"/>
                <w:bCs w:val="1"/>
                <w:color w:val="477258"/>
              </w:rPr>
              <w:t>Shares Beneficially</w:t>
            </w:r>
          </w:p>
        </w:tc>
      </w:tr>
      <w:tr>
        <w:trPr>
          <w:trHeight w:val="189"/>
        </w:trPr>
        <w:tc>
          <w:tcPr>
            <w:tcW w:w="6920" w:type="dxa"/>
            <w:vAlign w:val="bottom"/>
          </w:tcPr>
          <w:p>
            <w:pPr>
              <w:spacing w:after="0"/>
              <w:rPr>
                <w:sz w:val="16"/>
                <w:szCs w:val="16"/>
                <w:color w:val="auto"/>
              </w:rPr>
            </w:pPr>
          </w:p>
        </w:tc>
        <w:tc>
          <w:tcPr>
            <w:tcW w:w="136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Owned</w:t>
            </w:r>
          </w:p>
        </w:tc>
        <w:tc>
          <w:tcPr>
            <w:tcW w:w="780" w:type="dxa"/>
            <w:vAlign w:val="bottom"/>
            <w:tcBorders>
              <w:bottom w:val="single" w:sz="8" w:color="477258"/>
            </w:tcBorders>
          </w:tcPr>
          <w:p>
            <w:pPr>
              <w:spacing w:after="0"/>
              <w:rPr>
                <w:sz w:val="16"/>
                <w:szCs w:val="16"/>
                <w:color w:val="auto"/>
              </w:rPr>
            </w:pPr>
          </w:p>
        </w:tc>
      </w:tr>
      <w:tr>
        <w:trPr>
          <w:trHeight w:val="250"/>
        </w:trPr>
        <w:tc>
          <w:tcPr>
            <w:tcW w:w="6920" w:type="dxa"/>
            <w:vAlign w:val="bottom"/>
            <w:tcBorders>
              <w:bottom w:val="single" w:sz="8" w:color="477258"/>
            </w:tcBorders>
          </w:tcPr>
          <w:p>
            <w:pPr>
              <w:ind w:left="40"/>
              <w:spacing w:after="0"/>
              <w:rPr>
                <w:sz w:val="20"/>
                <w:szCs w:val="20"/>
                <w:color w:val="auto"/>
              </w:rPr>
            </w:pPr>
            <w:r>
              <w:rPr>
                <w:rFonts w:ascii="Arial" w:cs="Arial" w:eastAsia="Arial" w:hAnsi="Arial"/>
                <w:sz w:val="14"/>
                <w:szCs w:val="14"/>
                <w:b w:val="1"/>
                <w:bCs w:val="1"/>
                <w:color w:val="477258"/>
              </w:rPr>
              <w:t>Name and Address</w:t>
            </w:r>
          </w:p>
        </w:tc>
        <w:tc>
          <w:tcPr>
            <w:tcW w:w="1360" w:type="dxa"/>
            <w:vAlign w:val="bottom"/>
            <w:tcBorders>
              <w:bottom w:val="single" w:sz="8" w:color="477258"/>
            </w:tcBorders>
          </w:tcPr>
          <w:p>
            <w:pPr>
              <w:jc w:val="right"/>
              <w:ind w:right="359"/>
              <w:spacing w:after="0"/>
              <w:rPr>
                <w:sz w:val="20"/>
                <w:szCs w:val="20"/>
                <w:color w:val="auto"/>
              </w:rPr>
            </w:pPr>
            <w:r>
              <w:rPr>
                <w:rFonts w:ascii="Arial" w:cs="Arial" w:eastAsia="Arial" w:hAnsi="Arial"/>
                <w:sz w:val="14"/>
                <w:szCs w:val="14"/>
                <w:b w:val="1"/>
                <w:bCs w:val="1"/>
                <w:color w:val="477258"/>
              </w:rPr>
              <w:t>Number</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Percent</w:t>
            </w:r>
            <w:r>
              <w:rPr>
                <w:rFonts w:ascii="Arial" w:cs="Arial" w:eastAsia="Arial" w:hAnsi="Arial"/>
                <w:sz w:val="21"/>
                <w:szCs w:val="21"/>
                <w:b w:val="1"/>
                <w:bCs w:val="1"/>
                <w:color w:val="477258"/>
                <w:vertAlign w:val="superscript"/>
              </w:rPr>
              <w:t>(1)</w:t>
            </w:r>
          </w:p>
        </w:tc>
      </w:tr>
      <w:tr>
        <w:trPr>
          <w:trHeight w:val="236"/>
        </w:trPr>
        <w:tc>
          <w:tcPr>
            <w:tcW w:w="6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William H. Gates III</w:t>
            </w:r>
          </w:p>
        </w:tc>
        <w:tc>
          <w:tcPr>
            <w:tcW w:w="1360" w:type="dxa"/>
            <w:vAlign w:val="bottom"/>
            <w:shd w:val="clear" w:color="auto" w:fill="CCEEFF"/>
          </w:tcPr>
          <w:p>
            <w:pPr>
              <w:jc w:val="right"/>
              <w:ind w:right="79"/>
              <w:spacing w:after="0" w:line="236" w:lineRule="exact"/>
              <w:rPr>
                <w:sz w:val="20"/>
                <w:szCs w:val="20"/>
                <w:color w:val="auto"/>
              </w:rPr>
            </w:pPr>
            <w:r>
              <w:rPr>
                <w:rFonts w:ascii="Arial" w:cs="Arial" w:eastAsia="Arial" w:hAnsi="Arial"/>
                <w:sz w:val="18"/>
                <w:szCs w:val="18"/>
                <w:color w:val="auto"/>
              </w:rPr>
              <w:t>35,234,344</w:t>
            </w:r>
            <w:r>
              <w:rPr>
                <w:rFonts w:ascii="Arial" w:cs="Arial" w:eastAsia="Arial" w:hAnsi="Arial"/>
                <w:sz w:val="26"/>
                <w:szCs w:val="26"/>
                <w:color w:val="auto"/>
                <w:vertAlign w:val="superscript"/>
              </w:rPr>
              <w:t>(2)</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8.3%</w:t>
            </w: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500 Fifth Avenue North</w:t>
            </w:r>
          </w:p>
        </w:tc>
        <w:tc>
          <w:tcPr>
            <w:tcW w:w="1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49"/>
        </w:trPr>
        <w:tc>
          <w:tcPr>
            <w:tcW w:w="6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Seattle, WA 98109</w:t>
            </w: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6"/>
        </w:trPr>
        <w:tc>
          <w:tcPr>
            <w:tcW w:w="6920" w:type="dxa"/>
            <w:vAlign w:val="bottom"/>
            <w:tcBorders>
              <w:top w:val="single" w:sz="8" w:color="477258"/>
            </w:tcBorders>
          </w:tcPr>
          <w:p>
            <w:pPr>
              <w:ind w:left="40"/>
              <w:spacing w:after="0"/>
              <w:rPr>
                <w:sz w:val="20"/>
                <w:szCs w:val="20"/>
                <w:color w:val="auto"/>
              </w:rPr>
            </w:pPr>
            <w:r>
              <w:rPr>
                <w:rFonts w:ascii="Arial" w:cs="Arial" w:eastAsia="Arial" w:hAnsi="Arial"/>
                <w:sz w:val="18"/>
                <w:szCs w:val="18"/>
                <w:color w:val="auto"/>
              </w:rPr>
              <w:t>The Vanguard Group</w:t>
            </w:r>
          </w:p>
        </w:tc>
        <w:tc>
          <w:tcPr>
            <w:tcW w:w="1360" w:type="dxa"/>
            <w:vAlign w:val="bottom"/>
            <w:tcBorders>
              <w:top w:val="single" w:sz="8" w:color="477258"/>
            </w:tcBorders>
          </w:tcPr>
          <w:p>
            <w:pPr>
              <w:jc w:val="right"/>
              <w:ind w:right="79"/>
              <w:spacing w:after="0" w:line="236" w:lineRule="exact"/>
              <w:rPr>
                <w:sz w:val="20"/>
                <w:szCs w:val="20"/>
                <w:color w:val="auto"/>
              </w:rPr>
            </w:pPr>
            <w:r>
              <w:rPr>
                <w:rFonts w:ascii="Arial" w:cs="Arial" w:eastAsia="Arial" w:hAnsi="Arial"/>
                <w:sz w:val="18"/>
                <w:szCs w:val="18"/>
                <w:color w:val="auto"/>
              </w:rPr>
              <w:t>34,896,452</w:t>
            </w:r>
            <w:r>
              <w:rPr>
                <w:rFonts w:ascii="Arial" w:cs="Arial" w:eastAsia="Arial" w:hAnsi="Arial"/>
                <w:sz w:val="26"/>
                <w:szCs w:val="26"/>
                <w:color w:val="auto"/>
                <w:vertAlign w:val="superscript"/>
              </w:rPr>
              <w:t>(3)</w:t>
            </w:r>
          </w:p>
        </w:tc>
        <w:tc>
          <w:tcPr>
            <w:tcW w:w="780" w:type="dxa"/>
            <w:vAlign w:val="bottom"/>
            <w:tcBorders>
              <w:top w:val="single" w:sz="8" w:color="477258"/>
            </w:tcBorders>
          </w:tcPr>
          <w:p>
            <w:pPr>
              <w:jc w:val="right"/>
              <w:ind w:right="35"/>
              <w:spacing w:after="0"/>
              <w:rPr>
                <w:sz w:val="20"/>
                <w:szCs w:val="20"/>
                <w:color w:val="auto"/>
              </w:rPr>
            </w:pPr>
            <w:r>
              <w:rPr>
                <w:rFonts w:ascii="Arial" w:cs="Arial" w:eastAsia="Arial" w:hAnsi="Arial"/>
                <w:sz w:val="18"/>
                <w:szCs w:val="18"/>
                <w:color w:val="auto"/>
              </w:rPr>
              <w:t>8.3%</w:t>
            </w:r>
          </w:p>
        </w:tc>
      </w:tr>
      <w:tr>
        <w:trPr>
          <w:trHeight w:val="216"/>
        </w:trPr>
        <w:tc>
          <w:tcPr>
            <w:tcW w:w="6920" w:type="dxa"/>
            <w:vAlign w:val="bottom"/>
          </w:tcPr>
          <w:p>
            <w:pPr>
              <w:ind w:left="220"/>
              <w:spacing w:after="0"/>
              <w:rPr>
                <w:sz w:val="20"/>
                <w:szCs w:val="20"/>
                <w:color w:val="auto"/>
              </w:rPr>
            </w:pPr>
            <w:r>
              <w:rPr>
                <w:rFonts w:ascii="Arial" w:cs="Arial" w:eastAsia="Arial" w:hAnsi="Arial"/>
                <w:sz w:val="18"/>
                <w:szCs w:val="18"/>
                <w:color w:val="auto"/>
              </w:rPr>
              <w:t>100 Vanguard Boulevard</w:t>
            </w: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6920" w:type="dxa"/>
            <w:vAlign w:val="bottom"/>
          </w:tcPr>
          <w:p>
            <w:pPr>
              <w:ind w:left="220"/>
              <w:spacing w:after="0"/>
              <w:rPr>
                <w:sz w:val="20"/>
                <w:szCs w:val="20"/>
                <w:color w:val="auto"/>
              </w:rPr>
            </w:pPr>
            <w:r>
              <w:rPr>
                <w:rFonts w:ascii="Arial" w:cs="Arial" w:eastAsia="Arial" w:hAnsi="Arial"/>
                <w:sz w:val="18"/>
                <w:szCs w:val="18"/>
                <w:color w:val="auto"/>
              </w:rPr>
              <w:t>Malvern, PA 19355</w:t>
            </w: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7"/>
        </w:trPr>
        <w:tc>
          <w:tcPr>
            <w:tcW w:w="6920" w:type="dxa"/>
            <w:vAlign w:val="bottom"/>
            <w:tcBorders>
              <w:bottom w:val="single" w:sz="8" w:color="477258"/>
            </w:tcBorders>
          </w:tcPr>
          <w:p>
            <w:pPr>
              <w:spacing w:after="0"/>
              <w:rPr>
                <w:sz w:val="2"/>
                <w:szCs w:val="2"/>
                <w:color w:val="auto"/>
              </w:rPr>
            </w:pPr>
          </w:p>
        </w:tc>
        <w:tc>
          <w:tcPr>
            <w:tcW w:w="1360" w:type="dxa"/>
            <w:vAlign w:val="bottom"/>
            <w:tcBorders>
              <w:bottom w:val="single" w:sz="8" w:color="477258"/>
            </w:tcBorders>
          </w:tcPr>
          <w:p>
            <w:pPr>
              <w:spacing w:after="0"/>
              <w:rPr>
                <w:sz w:val="2"/>
                <w:szCs w:val="2"/>
                <w:color w:val="auto"/>
              </w:rPr>
            </w:pPr>
          </w:p>
        </w:tc>
        <w:tc>
          <w:tcPr>
            <w:tcW w:w="780" w:type="dxa"/>
            <w:vAlign w:val="bottom"/>
            <w:tcBorders>
              <w:bottom w:val="single" w:sz="8" w:color="477258"/>
            </w:tcBorders>
          </w:tcPr>
          <w:p>
            <w:pPr>
              <w:spacing w:after="0"/>
              <w:rPr>
                <w:sz w:val="2"/>
                <w:szCs w:val="2"/>
                <w:color w:val="auto"/>
              </w:rPr>
            </w:pPr>
          </w:p>
        </w:tc>
      </w:tr>
      <w:tr>
        <w:trPr>
          <w:trHeight w:val="236"/>
        </w:trPr>
        <w:tc>
          <w:tcPr>
            <w:tcW w:w="6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BlackRock, Inc.</w:t>
            </w:r>
          </w:p>
        </w:tc>
        <w:tc>
          <w:tcPr>
            <w:tcW w:w="1360" w:type="dxa"/>
            <w:vAlign w:val="bottom"/>
            <w:shd w:val="clear" w:color="auto" w:fill="CCEEFF"/>
          </w:tcPr>
          <w:p>
            <w:pPr>
              <w:jc w:val="right"/>
              <w:ind w:right="79"/>
              <w:spacing w:after="0" w:line="236" w:lineRule="exact"/>
              <w:rPr>
                <w:sz w:val="20"/>
                <w:szCs w:val="20"/>
                <w:color w:val="auto"/>
              </w:rPr>
            </w:pPr>
            <w:r>
              <w:rPr>
                <w:rFonts w:ascii="Arial" w:cs="Arial" w:eastAsia="Arial" w:hAnsi="Arial"/>
                <w:sz w:val="18"/>
                <w:szCs w:val="18"/>
                <w:color w:val="auto"/>
              </w:rPr>
              <w:t>30,563,244</w:t>
            </w:r>
            <w:r>
              <w:rPr>
                <w:rFonts w:ascii="Arial" w:cs="Arial" w:eastAsia="Arial" w:hAnsi="Arial"/>
                <w:sz w:val="26"/>
                <w:szCs w:val="26"/>
                <w:color w:val="auto"/>
                <w:vertAlign w:val="superscript"/>
              </w:rPr>
              <w:t>(4)</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7.2%</w:t>
            </w: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55 East 52nd Street</w:t>
            </w:r>
          </w:p>
        </w:tc>
        <w:tc>
          <w:tcPr>
            <w:tcW w:w="1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7"/>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York, NY 10055</w:t>
            </w:r>
          </w:p>
        </w:tc>
        <w:tc>
          <w:tcPr>
            <w:tcW w:w="1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68"/>
        </w:trPr>
        <w:tc>
          <w:tcPr>
            <w:tcW w:w="6920" w:type="dxa"/>
            <w:vAlign w:val="bottom"/>
            <w:tcBorders>
              <w:bottom w:val="single" w:sz="8" w:color="477258"/>
            </w:tcBorders>
            <w:shd w:val="clear" w:color="auto" w:fill="CCEEFF"/>
          </w:tcPr>
          <w:p>
            <w:pPr>
              <w:spacing w:after="0"/>
              <w:rPr>
                <w:sz w:val="5"/>
                <w:szCs w:val="5"/>
                <w:color w:val="auto"/>
              </w:rPr>
            </w:pPr>
          </w:p>
        </w:tc>
        <w:tc>
          <w:tcPr>
            <w:tcW w:w="1360" w:type="dxa"/>
            <w:vAlign w:val="bottom"/>
            <w:tcBorders>
              <w:bottom w:val="single" w:sz="8" w:color="477258"/>
            </w:tcBorders>
            <w:shd w:val="clear" w:color="auto" w:fill="CCEEFF"/>
          </w:tcPr>
          <w:p>
            <w:pPr>
              <w:spacing w:after="0"/>
              <w:rPr>
                <w:sz w:val="5"/>
                <w:szCs w:val="5"/>
                <w:color w:val="auto"/>
              </w:rPr>
            </w:pPr>
          </w:p>
        </w:tc>
        <w:tc>
          <w:tcPr>
            <w:tcW w:w="780" w:type="dxa"/>
            <w:vAlign w:val="bottom"/>
            <w:tcBorders>
              <w:bottom w:val="single" w:sz="8" w:color="477258"/>
            </w:tcBorders>
            <w:shd w:val="clear" w:color="auto" w:fill="CCEEFF"/>
          </w:tcPr>
          <w:p>
            <w:pPr>
              <w:spacing w:after="0"/>
              <w:rPr>
                <w:sz w:val="5"/>
                <w:szCs w:val="5"/>
                <w:color w:val="auto"/>
              </w:rPr>
            </w:pPr>
          </w:p>
        </w:tc>
      </w:tr>
    </w:tbl>
    <w:p>
      <w:pPr>
        <w:spacing w:after="0" w:line="53" w:lineRule="exact"/>
        <w:rPr>
          <w:sz w:val="20"/>
          <w:szCs w:val="20"/>
          <w:color w:val="auto"/>
        </w:rPr>
      </w:pPr>
    </w:p>
    <w:p>
      <w:pPr>
        <w:ind w:left="1180" w:right="20" w:hanging="364"/>
        <w:spacing w:after="0" w:line="261"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Percentage is calculated using the number of shares of Common Stock outstanding and entitled to vote as of March 17, 2021.</w:t>
      </w:r>
    </w:p>
    <w:p>
      <w:pPr>
        <w:spacing w:after="0" w:line="89" w:lineRule="exact"/>
        <w:rPr>
          <w:rFonts w:ascii="Arial" w:cs="Arial" w:eastAsia="Arial" w:hAnsi="Arial"/>
          <w:sz w:val="18"/>
          <w:szCs w:val="18"/>
          <w:color w:val="auto"/>
        </w:rPr>
      </w:pPr>
    </w:p>
    <w:p>
      <w:pPr>
        <w:jc w:val="both"/>
        <w:ind w:left="1180" w:hanging="364"/>
        <w:spacing w:after="0" w:line="253"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12, 2021. Mr. Gates reports that he has sole voting and dispositive power over 16,600,672 shares of Common Stock held by Cascade Investment, L.L.C., as the sole member of such entity. Additionally, the Schedule 13G/A reports that Mr. Gates and Melinda French Gates share voting and dispositive power over 18,633,672 shares of Common Stock beneficially owned by Bill &amp; Melinda Gates Foundation Trust.</w:t>
      </w:r>
    </w:p>
    <w:p>
      <w:pPr>
        <w:spacing w:after="0" w:line="313" w:lineRule="exact"/>
        <w:rPr>
          <w:rFonts w:ascii="Arial" w:cs="Arial" w:eastAsia="Arial" w:hAnsi="Arial"/>
          <w:sz w:val="18"/>
          <w:szCs w:val="18"/>
          <w:color w:val="auto"/>
        </w:rPr>
      </w:pPr>
    </w:p>
    <w:p>
      <w:pPr>
        <w:jc w:val="both"/>
        <w:ind w:left="1180" w:hanging="364"/>
        <w:spacing w:after="0" w:line="256"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10, 2021. The Vanguard Group reports that it has shared voting power over 701,749 shares of Common Stock and sole or shared dispositive power over 34,896,452 shares of Common Stock beneficially owned.</w:t>
      </w:r>
    </w:p>
    <w:p>
      <w:pPr>
        <w:spacing w:after="0" w:line="309" w:lineRule="exact"/>
        <w:rPr>
          <w:rFonts w:ascii="Arial" w:cs="Arial" w:eastAsia="Arial" w:hAnsi="Arial"/>
          <w:sz w:val="18"/>
          <w:szCs w:val="18"/>
          <w:color w:val="auto"/>
        </w:rPr>
      </w:pPr>
    </w:p>
    <w:p>
      <w:pPr>
        <w:jc w:val="both"/>
        <w:ind w:left="1180" w:hanging="364"/>
        <w:spacing w:after="0" w:line="256"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 2021. BlackRock, Inc. reports that it has sole voting power over 26,850,422 shares of Common Stock and sole dispositive power over 30,563,244 shares of Common Stock beneficially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-149860</wp:posOffset>
            </wp:positionV>
            <wp:extent cx="454660"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4660" cy="12001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EXECUTIVE OFFICERS</w:t>
      </w:r>
    </w:p>
    <w:p>
      <w:pPr>
        <w:spacing w:after="0" w:line="146" w:lineRule="exact"/>
        <w:rPr>
          <w:sz w:val="20"/>
          <w:szCs w:val="20"/>
          <w:color w:val="auto"/>
        </w:rPr>
      </w:pPr>
    </w:p>
    <w:p>
      <w:pPr>
        <w:jc w:val="both"/>
        <w:ind w:left="820" w:right="840"/>
        <w:spacing w:after="0" w:line="254" w:lineRule="auto"/>
        <w:rPr>
          <w:sz w:val="20"/>
          <w:szCs w:val="20"/>
          <w:color w:val="auto"/>
        </w:rPr>
      </w:pPr>
      <w:r>
        <w:rPr>
          <w:rFonts w:ascii="Arial" w:cs="Arial" w:eastAsia="Arial" w:hAnsi="Arial"/>
          <w:sz w:val="18"/>
          <w:szCs w:val="18"/>
          <w:color w:val="auto"/>
        </w:rPr>
        <w:t>The following is a listing of our current executive officers, their ages and their business experience for at least the past five years (other than Mr. Fish, whose age, experience and qualifications are included in the director nominees section of this Proxy Statement). Unless otherwise specified, all prior positions listed below were with our Company.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0" w:type="dxa"/>
            <w:vAlign w:val="bottom"/>
          </w:tcPr>
          <w:p>
            <w:pPr>
              <w:spacing w:after="0"/>
              <w:rPr>
                <w:sz w:val="17"/>
                <w:szCs w:val="17"/>
                <w:color w:val="auto"/>
              </w:rPr>
            </w:pPr>
          </w:p>
        </w:tc>
        <w:tc>
          <w:tcPr>
            <w:tcW w:w="1660" w:type="dxa"/>
            <w:vAlign w:val="bottom"/>
            <w:tcBorders>
              <w:bottom w:val="single" w:sz="8" w:color="477258"/>
            </w:tcBorders>
            <w:gridSpan w:val="2"/>
          </w:tcPr>
          <w:p>
            <w:pPr>
              <w:ind w:left="40"/>
              <w:spacing w:after="0"/>
              <w:rPr>
                <w:sz w:val="20"/>
                <w:szCs w:val="20"/>
                <w:color w:val="auto"/>
              </w:rPr>
            </w:pPr>
            <w:r>
              <w:rPr>
                <w:rFonts w:ascii="Arial" w:cs="Arial" w:eastAsia="Arial" w:hAnsi="Arial"/>
                <w:sz w:val="14"/>
                <w:szCs w:val="14"/>
                <w:b w:val="1"/>
                <w:bCs w:val="1"/>
                <w:color w:val="477258"/>
              </w:rPr>
              <w:t>Name</w:t>
            </w:r>
          </w:p>
        </w:tc>
        <w:tc>
          <w:tcPr>
            <w:tcW w:w="580" w:type="dxa"/>
            <w:vAlign w:val="bottom"/>
            <w:tcBorders>
              <w:bottom w:val="single" w:sz="8" w:color="477258"/>
            </w:tcBorders>
          </w:tcPr>
          <w:p>
            <w:pPr>
              <w:spacing w:after="0"/>
              <w:rPr>
                <w:sz w:val="17"/>
                <w:szCs w:val="17"/>
                <w:color w:val="auto"/>
              </w:rPr>
            </w:pPr>
          </w:p>
        </w:tc>
        <w:tc>
          <w:tcPr>
            <w:tcW w:w="580" w:type="dxa"/>
            <w:vAlign w:val="bottom"/>
            <w:tcBorders>
              <w:bottom w:val="single" w:sz="8" w:color="477258"/>
            </w:tcBorders>
          </w:tcPr>
          <w:p>
            <w:pPr>
              <w:ind w:left="180"/>
              <w:spacing w:after="0"/>
              <w:rPr>
                <w:sz w:val="20"/>
                <w:szCs w:val="20"/>
                <w:color w:val="auto"/>
              </w:rPr>
            </w:pPr>
            <w:r>
              <w:rPr>
                <w:rFonts w:ascii="Arial" w:cs="Arial" w:eastAsia="Arial" w:hAnsi="Arial"/>
                <w:sz w:val="14"/>
                <w:szCs w:val="14"/>
                <w:b w:val="1"/>
                <w:bCs w:val="1"/>
                <w:color w:val="477258"/>
              </w:rPr>
              <w:t>Age</w:t>
            </w:r>
          </w:p>
        </w:tc>
        <w:tc>
          <w:tcPr>
            <w:tcW w:w="220" w:type="dxa"/>
            <w:vAlign w:val="bottom"/>
            <w:tcBorders>
              <w:bottom w:val="single" w:sz="8" w:color="477258"/>
            </w:tcBorders>
          </w:tcPr>
          <w:p>
            <w:pPr>
              <w:spacing w:after="0"/>
              <w:rPr>
                <w:sz w:val="17"/>
                <w:szCs w:val="17"/>
                <w:color w:val="auto"/>
              </w:rPr>
            </w:pPr>
          </w:p>
        </w:tc>
        <w:tc>
          <w:tcPr>
            <w:tcW w:w="640" w:type="dxa"/>
            <w:vAlign w:val="bottom"/>
            <w:tcBorders>
              <w:bottom w:val="single" w:sz="8" w:color="477258"/>
            </w:tcBorders>
          </w:tcPr>
          <w:p>
            <w:pPr>
              <w:spacing w:after="0"/>
              <w:rPr>
                <w:sz w:val="17"/>
                <w:szCs w:val="17"/>
                <w:color w:val="auto"/>
              </w:rPr>
            </w:pPr>
          </w:p>
        </w:tc>
        <w:tc>
          <w:tcPr>
            <w:tcW w:w="4560" w:type="dxa"/>
            <w:vAlign w:val="bottom"/>
            <w:tcBorders>
              <w:bottom w:val="single" w:sz="8" w:color="477258"/>
            </w:tcBorders>
            <w:gridSpan w:val="9"/>
          </w:tcPr>
          <w:p>
            <w:pPr>
              <w:ind w:left="20"/>
              <w:spacing w:after="0"/>
              <w:rPr>
                <w:sz w:val="20"/>
                <w:szCs w:val="20"/>
                <w:color w:val="auto"/>
              </w:rPr>
            </w:pPr>
            <w:r>
              <w:rPr>
                <w:rFonts w:ascii="Arial" w:cs="Arial" w:eastAsia="Arial" w:hAnsi="Arial"/>
                <w:sz w:val="14"/>
                <w:szCs w:val="14"/>
                <w:b w:val="1"/>
                <w:bCs w:val="1"/>
                <w:color w:val="477258"/>
              </w:rPr>
              <w:t>Positions Held and Business Experience for Past Five Years</w:t>
            </w:r>
          </w:p>
        </w:tc>
        <w:tc>
          <w:tcPr>
            <w:tcW w:w="440" w:type="dxa"/>
            <w:vAlign w:val="bottom"/>
            <w:tcBorders>
              <w:bottom w:val="single" w:sz="8" w:color="477258"/>
            </w:tcBorders>
          </w:tcPr>
          <w:p>
            <w:pPr>
              <w:spacing w:after="0"/>
              <w:rPr>
                <w:sz w:val="17"/>
                <w:szCs w:val="17"/>
                <w:color w:val="auto"/>
              </w:rPr>
            </w:pPr>
          </w:p>
        </w:tc>
        <w:tc>
          <w:tcPr>
            <w:tcW w:w="380" w:type="dxa"/>
            <w:vAlign w:val="bottom"/>
            <w:tcBorders>
              <w:bottom w:val="single" w:sz="8" w:color="477258"/>
            </w:tcBorders>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820" w:type="dxa"/>
            <w:vAlign w:val="bottom"/>
          </w:tcPr>
          <w:p>
            <w:pPr>
              <w:spacing w:after="0"/>
              <w:rPr>
                <w:sz w:val="23"/>
                <w:szCs w:val="23"/>
                <w:color w:val="auto"/>
              </w:rPr>
            </w:pPr>
          </w:p>
        </w:tc>
        <w:tc>
          <w:tcPr>
            <w:tcW w:w="2240" w:type="dxa"/>
            <w:vAlign w:val="bottom"/>
            <w:gridSpan w:val="3"/>
          </w:tcPr>
          <w:p>
            <w:pPr>
              <w:ind w:left="40"/>
              <w:spacing w:after="0"/>
              <w:rPr>
                <w:sz w:val="20"/>
                <w:szCs w:val="20"/>
                <w:color w:val="auto"/>
              </w:rPr>
            </w:pPr>
            <w:r>
              <w:rPr>
                <w:rFonts w:ascii="Arial" w:cs="Arial" w:eastAsia="Arial" w:hAnsi="Arial"/>
                <w:sz w:val="18"/>
                <w:szCs w:val="18"/>
                <w:color w:val="auto"/>
              </w:rPr>
              <w:t>Steven R. Batchelor</w:t>
            </w:r>
          </w:p>
        </w:tc>
        <w:tc>
          <w:tcPr>
            <w:tcW w:w="580" w:type="dxa"/>
            <w:vAlign w:val="bottom"/>
          </w:tcPr>
          <w:p>
            <w:pPr>
              <w:ind w:left="180"/>
              <w:spacing w:after="0"/>
              <w:rPr>
                <w:sz w:val="20"/>
                <w:szCs w:val="20"/>
                <w:color w:val="auto"/>
              </w:rPr>
            </w:pPr>
            <w:r>
              <w:rPr>
                <w:rFonts w:ascii="Arial" w:cs="Arial" w:eastAsia="Arial" w:hAnsi="Arial"/>
                <w:sz w:val="18"/>
                <w:szCs w:val="18"/>
                <w:color w:val="auto"/>
              </w:rPr>
              <w:t>63</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5200" w:type="dxa"/>
            <w:vAlign w:val="bottom"/>
            <w:gridSpan w:val="10"/>
          </w:tcPr>
          <w:p>
            <w:pPr>
              <w:ind w:left="60"/>
              <w:spacing w:after="0"/>
              <w:rPr>
                <w:sz w:val="20"/>
                <w:szCs w:val="20"/>
                <w:color w:val="auto"/>
              </w:rPr>
            </w:pPr>
            <w:r>
              <w:rPr>
                <w:rFonts w:ascii="Arial" w:cs="Arial" w:eastAsia="Arial" w:hAnsi="Arial"/>
                <w:sz w:val="18"/>
                <w:szCs w:val="18"/>
                <w:color w:val="auto"/>
              </w:rPr>
              <w:t>Senior Vice President — Operations since January 2019.</w:t>
            </w: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80" w:type="dxa"/>
            <w:vAlign w:val="bottom"/>
            <w:gridSpan w:val="4"/>
          </w:tcPr>
          <w:p>
            <w:pPr>
              <w:ind w:left="100"/>
              <w:spacing w:after="0" w:line="176" w:lineRule="exact"/>
              <w:rPr>
                <w:sz w:val="20"/>
                <w:szCs w:val="20"/>
                <w:color w:val="auto"/>
              </w:rPr>
            </w:pPr>
            <w:r>
              <w:rPr>
                <w:rFonts w:ascii="Arial" w:cs="Arial" w:eastAsia="Arial" w:hAnsi="Arial"/>
                <w:sz w:val="18"/>
                <w:szCs w:val="18"/>
                <w:color w:val="477258"/>
              </w:rPr>
              <w:t xml:space="preserve">• </w:t>
            </w:r>
            <w:r>
              <w:rPr>
                <w:rFonts w:ascii="Arial" w:cs="Arial" w:eastAsia="Arial" w:hAnsi="Arial"/>
                <w:sz w:val="18"/>
                <w:szCs w:val="18"/>
                <w:color w:val="000000"/>
              </w:rPr>
              <w:t>Vice President,</w:t>
            </w:r>
          </w:p>
        </w:tc>
        <w:tc>
          <w:tcPr>
            <w:tcW w:w="4560" w:type="dxa"/>
            <w:vAlign w:val="bottom"/>
            <w:gridSpan w:val="9"/>
          </w:tcPr>
          <w:p>
            <w:pPr>
              <w:jc w:val="center"/>
              <w:spacing w:after="0" w:line="176" w:lineRule="exact"/>
              <w:rPr>
                <w:sz w:val="20"/>
                <w:szCs w:val="20"/>
                <w:color w:val="auto"/>
              </w:rPr>
            </w:pPr>
            <w:r>
              <w:rPr>
                <w:rFonts w:ascii="Arial" w:cs="Arial" w:eastAsia="Arial" w:hAnsi="Arial"/>
                <w:sz w:val="18"/>
                <w:szCs w:val="18"/>
                <w:color w:val="auto"/>
              </w:rPr>
              <w:t>Collections and Fleet Operations from 2013 to</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Borders>
              <w:bottom w:val="single" w:sz="8" w:color="477258"/>
            </w:tcBorders>
          </w:tcPr>
          <w:p>
            <w:pPr>
              <w:spacing w:after="0"/>
              <w:rPr>
                <w:sz w:val="18"/>
                <w:szCs w:val="18"/>
                <w:color w:val="auto"/>
              </w:rPr>
            </w:pPr>
          </w:p>
        </w:tc>
        <w:tc>
          <w:tcPr>
            <w:tcW w:w="1360" w:type="dxa"/>
            <w:vAlign w:val="bottom"/>
            <w:tcBorders>
              <w:bottom w:val="single" w:sz="8" w:color="477258"/>
            </w:tcBorders>
          </w:tcPr>
          <w:p>
            <w:pPr>
              <w:spacing w:after="0"/>
              <w:rPr>
                <w:sz w:val="18"/>
                <w:szCs w:val="18"/>
                <w:color w:val="auto"/>
              </w:rPr>
            </w:pPr>
          </w:p>
        </w:tc>
        <w:tc>
          <w:tcPr>
            <w:tcW w:w="580" w:type="dxa"/>
            <w:vAlign w:val="bottom"/>
            <w:tcBorders>
              <w:bottom w:val="single" w:sz="8" w:color="477258"/>
            </w:tcBorders>
          </w:tcPr>
          <w:p>
            <w:pPr>
              <w:spacing w:after="0"/>
              <w:rPr>
                <w:sz w:val="18"/>
                <w:szCs w:val="18"/>
                <w:color w:val="auto"/>
              </w:rPr>
            </w:pPr>
          </w:p>
        </w:tc>
        <w:tc>
          <w:tcPr>
            <w:tcW w:w="580" w:type="dxa"/>
            <w:vAlign w:val="bottom"/>
            <w:tcBorders>
              <w:bottom w:val="single" w:sz="8" w:color="477258"/>
            </w:tcBorders>
          </w:tcPr>
          <w:p>
            <w:pPr>
              <w:spacing w:after="0"/>
              <w:rPr>
                <w:sz w:val="18"/>
                <w:szCs w:val="18"/>
                <w:color w:val="auto"/>
              </w:rPr>
            </w:pPr>
          </w:p>
        </w:tc>
        <w:tc>
          <w:tcPr>
            <w:tcW w:w="220" w:type="dxa"/>
            <w:vAlign w:val="bottom"/>
            <w:tcBorders>
              <w:bottom w:val="single" w:sz="8" w:color="477258"/>
            </w:tcBorders>
          </w:tcPr>
          <w:p>
            <w:pPr>
              <w:spacing w:after="0"/>
              <w:rPr>
                <w:sz w:val="18"/>
                <w:szCs w:val="18"/>
                <w:color w:val="auto"/>
              </w:rPr>
            </w:pPr>
          </w:p>
        </w:tc>
        <w:tc>
          <w:tcPr>
            <w:tcW w:w="2160" w:type="dxa"/>
            <w:vAlign w:val="bottom"/>
            <w:tcBorders>
              <w:bottom w:val="single" w:sz="8" w:color="477258"/>
            </w:tcBorders>
            <w:gridSpan w:val="4"/>
          </w:tcPr>
          <w:p>
            <w:pPr>
              <w:ind w:left="60"/>
              <w:spacing w:after="0"/>
              <w:rPr>
                <w:sz w:val="20"/>
                <w:szCs w:val="20"/>
                <w:color w:val="auto"/>
              </w:rPr>
            </w:pPr>
            <w:r>
              <w:rPr>
                <w:rFonts w:ascii="Arial" w:cs="Arial" w:eastAsia="Arial" w:hAnsi="Arial"/>
                <w:sz w:val="18"/>
                <w:szCs w:val="18"/>
                <w:color w:val="auto"/>
              </w:rPr>
              <w:t>December 2018.</w:t>
            </w:r>
          </w:p>
        </w:tc>
        <w:tc>
          <w:tcPr>
            <w:tcW w:w="640" w:type="dxa"/>
            <w:vAlign w:val="bottom"/>
            <w:tcBorders>
              <w:bottom w:val="single" w:sz="8" w:color="477258"/>
            </w:tcBorders>
          </w:tcPr>
          <w:p>
            <w:pPr>
              <w:spacing w:after="0"/>
              <w:rPr>
                <w:sz w:val="18"/>
                <w:szCs w:val="18"/>
                <w:color w:val="auto"/>
              </w:rPr>
            </w:pPr>
          </w:p>
        </w:tc>
        <w:tc>
          <w:tcPr>
            <w:tcW w:w="360" w:type="dxa"/>
            <w:vAlign w:val="bottom"/>
            <w:tcBorders>
              <w:bottom w:val="single" w:sz="8" w:color="477258"/>
            </w:tcBorders>
          </w:tcPr>
          <w:p>
            <w:pPr>
              <w:spacing w:after="0"/>
              <w:rPr>
                <w:sz w:val="18"/>
                <w:szCs w:val="18"/>
                <w:color w:val="auto"/>
              </w:rPr>
            </w:pPr>
          </w:p>
        </w:tc>
        <w:tc>
          <w:tcPr>
            <w:tcW w:w="280" w:type="dxa"/>
            <w:vAlign w:val="bottom"/>
            <w:tcBorders>
              <w:bottom w:val="single" w:sz="8" w:color="477258"/>
            </w:tcBorders>
          </w:tcPr>
          <w:p>
            <w:pPr>
              <w:spacing w:after="0"/>
              <w:rPr>
                <w:sz w:val="18"/>
                <w:szCs w:val="18"/>
                <w:color w:val="auto"/>
              </w:rPr>
            </w:pPr>
          </w:p>
        </w:tc>
        <w:tc>
          <w:tcPr>
            <w:tcW w:w="1120" w:type="dxa"/>
            <w:vAlign w:val="bottom"/>
            <w:tcBorders>
              <w:bottom w:val="single" w:sz="8" w:color="477258"/>
            </w:tcBorders>
          </w:tcPr>
          <w:p>
            <w:pPr>
              <w:spacing w:after="0"/>
              <w:rPr>
                <w:sz w:val="18"/>
                <w:szCs w:val="18"/>
                <w:color w:val="auto"/>
              </w:rPr>
            </w:pPr>
          </w:p>
        </w:tc>
        <w:tc>
          <w:tcPr>
            <w:tcW w:w="300" w:type="dxa"/>
            <w:vAlign w:val="bottom"/>
            <w:tcBorders>
              <w:bottom w:val="single" w:sz="8" w:color="477258"/>
            </w:tcBorders>
          </w:tcPr>
          <w:p>
            <w:pPr>
              <w:spacing w:after="0"/>
              <w:rPr>
                <w:sz w:val="18"/>
                <w:szCs w:val="18"/>
                <w:color w:val="auto"/>
              </w:rPr>
            </w:pPr>
          </w:p>
        </w:tc>
        <w:tc>
          <w:tcPr>
            <w:tcW w:w="340" w:type="dxa"/>
            <w:vAlign w:val="bottom"/>
            <w:tcBorders>
              <w:bottom w:val="single" w:sz="8" w:color="477258"/>
            </w:tcBorders>
          </w:tcPr>
          <w:p>
            <w:pPr>
              <w:spacing w:after="0"/>
              <w:rPr>
                <w:sz w:val="18"/>
                <w:szCs w:val="18"/>
                <w:color w:val="auto"/>
              </w:rPr>
            </w:pPr>
          </w:p>
        </w:tc>
        <w:tc>
          <w:tcPr>
            <w:tcW w:w="440" w:type="dxa"/>
            <w:vAlign w:val="bottom"/>
            <w:tcBorders>
              <w:bottom w:val="single" w:sz="8" w:color="477258"/>
            </w:tcBorders>
          </w:tcPr>
          <w:p>
            <w:pPr>
              <w:spacing w:after="0"/>
              <w:rPr>
                <w:sz w:val="18"/>
                <w:szCs w:val="18"/>
                <w:color w:val="auto"/>
              </w:rPr>
            </w:pPr>
          </w:p>
        </w:tc>
        <w:tc>
          <w:tcPr>
            <w:tcW w:w="380" w:type="dxa"/>
            <w:vAlign w:val="bottom"/>
            <w:tcBorders>
              <w:bottom w:val="single" w:sz="8" w:color="477258"/>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20" w:type="dxa"/>
            <w:vAlign w:val="bottom"/>
          </w:tcPr>
          <w:p>
            <w:pPr>
              <w:spacing w:after="0"/>
              <w:rPr>
                <w:sz w:val="22"/>
                <w:szCs w:val="22"/>
                <w:color w:val="auto"/>
              </w:rPr>
            </w:pPr>
          </w:p>
        </w:tc>
        <w:tc>
          <w:tcPr>
            <w:tcW w:w="2240" w:type="dxa"/>
            <w:vAlign w:val="bottom"/>
            <w:gridSpan w:val="3"/>
          </w:tcPr>
          <w:p>
            <w:pPr>
              <w:ind w:left="40"/>
              <w:spacing w:after="0"/>
              <w:rPr>
                <w:sz w:val="20"/>
                <w:szCs w:val="20"/>
                <w:color w:val="auto"/>
              </w:rPr>
            </w:pPr>
            <w:r>
              <w:rPr>
                <w:rFonts w:ascii="Arial" w:cs="Arial" w:eastAsia="Arial" w:hAnsi="Arial"/>
                <w:sz w:val="18"/>
                <w:szCs w:val="18"/>
                <w:color w:val="auto"/>
              </w:rPr>
              <w:t>Charles C. Boettcher</w:t>
            </w:r>
          </w:p>
        </w:tc>
        <w:tc>
          <w:tcPr>
            <w:tcW w:w="580" w:type="dxa"/>
            <w:vAlign w:val="bottom"/>
          </w:tcPr>
          <w:p>
            <w:pPr>
              <w:ind w:left="180"/>
              <w:spacing w:after="0"/>
              <w:rPr>
                <w:sz w:val="20"/>
                <w:szCs w:val="20"/>
                <w:color w:val="auto"/>
              </w:rPr>
            </w:pPr>
            <w:r>
              <w:rPr>
                <w:rFonts w:ascii="Arial" w:cs="Arial" w:eastAsia="Arial" w:hAnsi="Arial"/>
                <w:sz w:val="18"/>
                <w:szCs w:val="18"/>
                <w:color w:val="auto"/>
              </w:rPr>
              <w:t>47</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6020" w:type="dxa"/>
            <w:vAlign w:val="bottom"/>
            <w:gridSpan w:val="12"/>
          </w:tcPr>
          <w:p>
            <w:pPr>
              <w:ind w:left="60"/>
              <w:spacing w:after="0"/>
              <w:rPr>
                <w:sz w:val="20"/>
                <w:szCs w:val="20"/>
                <w:color w:val="auto"/>
              </w:rPr>
            </w:pPr>
            <w:r>
              <w:rPr>
                <w:rFonts w:ascii="Arial" w:cs="Arial" w:eastAsia="Arial" w:hAnsi="Arial"/>
                <w:sz w:val="18"/>
                <w:szCs w:val="18"/>
                <w:color w:val="auto"/>
              </w:rPr>
              <w:t>Executive Vice President, Corporate Development and Chief Legal</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5"/>
          </w:tcPr>
          <w:p>
            <w:pPr>
              <w:ind w:left="60"/>
              <w:spacing w:after="0"/>
              <w:rPr>
                <w:sz w:val="20"/>
                <w:szCs w:val="20"/>
                <w:color w:val="auto"/>
              </w:rPr>
            </w:pPr>
            <w:r>
              <w:rPr>
                <w:rFonts w:ascii="Arial" w:cs="Arial" w:eastAsia="Arial" w:hAnsi="Arial"/>
                <w:sz w:val="18"/>
                <w:szCs w:val="18"/>
                <w:color w:val="auto"/>
              </w:rPr>
              <w:t>Officer since February 2020.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477258"/>
              </w:rPr>
              <w:t xml:space="preserve">• </w:t>
            </w:r>
            <w:r>
              <w:rPr>
                <w:rFonts w:ascii="Arial" w:cs="Arial" w:eastAsia="Arial" w:hAnsi="Arial"/>
                <w:sz w:val="18"/>
                <w:szCs w:val="18"/>
                <w:color w:val="000000"/>
              </w:rPr>
              <w:t>Senior</w:t>
            </w: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rPr>
              <w:t>Vice President,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Corporate</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Development and</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Chief Legal</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8"/>
          </w:tcPr>
          <w:p>
            <w:pPr>
              <w:ind w:left="60"/>
              <w:spacing w:after="0"/>
              <w:rPr>
                <w:sz w:val="20"/>
                <w:szCs w:val="20"/>
                <w:color w:val="auto"/>
              </w:rPr>
            </w:pPr>
            <w:r>
              <w:rPr>
                <w:rFonts w:ascii="Arial" w:cs="Arial" w:eastAsia="Arial" w:hAnsi="Arial"/>
                <w:sz w:val="18"/>
                <w:szCs w:val="18"/>
                <w:color w:val="auto"/>
              </w:rPr>
              <w:t>Officer from May 2019 to February 2020.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ind w:left="100"/>
              <w:spacing w:after="0" w:line="189" w:lineRule="exact"/>
              <w:rPr>
                <w:sz w:val="20"/>
                <w:szCs w:val="20"/>
                <w:color w:val="auto"/>
              </w:rPr>
            </w:pPr>
            <w:r>
              <w:rPr>
                <w:rFonts w:ascii="Arial" w:cs="Arial" w:eastAsia="Arial" w:hAnsi="Arial"/>
                <w:sz w:val="18"/>
                <w:szCs w:val="18"/>
                <w:color w:val="477258"/>
              </w:rPr>
              <w:t>•</w:t>
            </w:r>
          </w:p>
        </w:tc>
        <w:tc>
          <w:tcPr>
            <w:tcW w:w="6020" w:type="dxa"/>
            <w:vAlign w:val="bottom"/>
            <w:gridSpan w:val="12"/>
          </w:tcPr>
          <w:p>
            <w:pPr>
              <w:ind w:left="60"/>
              <w:spacing w:after="0" w:line="189" w:lineRule="exact"/>
              <w:rPr>
                <w:sz w:val="20"/>
                <w:szCs w:val="20"/>
                <w:color w:val="auto"/>
              </w:rPr>
            </w:pPr>
            <w:r>
              <w:rPr>
                <w:rFonts w:ascii="Arial" w:cs="Arial" w:eastAsia="Arial" w:hAnsi="Arial"/>
                <w:sz w:val="18"/>
                <w:szCs w:val="18"/>
                <w:color w:val="auto"/>
              </w:rPr>
              <w:t>Senior Vice President and Chief Legal Officer from January 2017</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color w:val="auto"/>
              </w:rPr>
              <w:t>to May 2019.</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ind w:left="100"/>
              <w:spacing w:after="0" w:line="176" w:lineRule="exact"/>
              <w:rPr>
                <w:sz w:val="20"/>
                <w:szCs w:val="20"/>
                <w:color w:val="auto"/>
              </w:rPr>
            </w:pPr>
            <w:r>
              <w:rPr>
                <w:rFonts w:ascii="Arial" w:cs="Arial" w:eastAsia="Arial" w:hAnsi="Arial"/>
                <w:sz w:val="18"/>
                <w:szCs w:val="18"/>
                <w:color w:val="477258"/>
              </w:rPr>
              <w:t>•</w:t>
            </w:r>
          </w:p>
        </w:tc>
        <w:tc>
          <w:tcPr>
            <w:tcW w:w="5640" w:type="dxa"/>
            <w:vAlign w:val="bottom"/>
            <w:gridSpan w:val="11"/>
          </w:tcPr>
          <w:p>
            <w:pPr>
              <w:ind w:left="60"/>
              <w:spacing w:after="0" w:line="176" w:lineRule="exact"/>
              <w:rPr>
                <w:sz w:val="20"/>
                <w:szCs w:val="20"/>
                <w:color w:val="auto"/>
              </w:rPr>
            </w:pPr>
            <w:r>
              <w:rPr>
                <w:rFonts w:ascii="Arial" w:cs="Arial" w:eastAsia="Arial" w:hAnsi="Arial"/>
                <w:sz w:val="18"/>
                <w:szCs w:val="18"/>
                <w:color w:val="auto"/>
              </w:rPr>
              <w:t>Also served as Chief Compliance Officer from May 2017 to</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color w:val="auto"/>
              </w:rPr>
              <w:t>February 2018.</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80" w:type="dxa"/>
            <w:vAlign w:val="bottom"/>
            <w:gridSpan w:val="4"/>
          </w:tcPr>
          <w:p>
            <w:pPr>
              <w:ind w:left="100"/>
              <w:spacing w:after="0" w:line="176" w:lineRule="exact"/>
              <w:rPr>
                <w:sz w:val="20"/>
                <w:szCs w:val="20"/>
                <w:color w:val="auto"/>
              </w:rPr>
            </w:pPr>
            <w:r>
              <w:rPr>
                <w:rFonts w:ascii="Arial" w:cs="Arial" w:eastAsia="Arial" w:hAnsi="Arial"/>
                <w:sz w:val="18"/>
                <w:szCs w:val="18"/>
                <w:color w:val="477258"/>
              </w:rPr>
              <w:t xml:space="preserve">• </w:t>
            </w:r>
            <w:r>
              <w:rPr>
                <w:rFonts w:ascii="Arial" w:cs="Arial" w:eastAsia="Arial" w:hAnsi="Arial"/>
                <w:sz w:val="18"/>
                <w:szCs w:val="18"/>
                <w:color w:val="000000"/>
              </w:rPr>
              <w:t>Vice  President</w:t>
            </w:r>
          </w:p>
        </w:tc>
        <w:tc>
          <w:tcPr>
            <w:tcW w:w="4560" w:type="dxa"/>
            <w:vAlign w:val="bottom"/>
            <w:gridSpan w:val="9"/>
          </w:tcPr>
          <w:p>
            <w:pPr>
              <w:jc w:val="right"/>
              <w:spacing w:after="0" w:line="176" w:lineRule="exact"/>
              <w:rPr>
                <w:sz w:val="20"/>
                <w:szCs w:val="20"/>
                <w:color w:val="auto"/>
              </w:rPr>
            </w:pPr>
            <w:r>
              <w:rPr>
                <w:rFonts w:ascii="Arial" w:cs="Arial" w:eastAsia="Arial" w:hAnsi="Arial"/>
                <w:sz w:val="18"/>
                <w:szCs w:val="18"/>
                <w:color w:val="auto"/>
              </w:rPr>
              <w:t>and  General  Counsel  from  September  2016  to</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ind w:left="60"/>
              <w:spacing w:after="0"/>
              <w:rPr>
                <w:sz w:val="20"/>
                <w:szCs w:val="20"/>
                <w:color w:val="auto"/>
              </w:rPr>
            </w:pPr>
            <w:r>
              <w:rPr>
                <w:rFonts w:ascii="Arial" w:cs="Arial" w:eastAsia="Arial" w:hAnsi="Arial"/>
                <w:sz w:val="18"/>
                <w:szCs w:val="18"/>
                <w:color w:val="auto"/>
              </w:rPr>
              <w:t>December 2016.</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color w:val="477258"/>
              </w:rPr>
              <w:t xml:space="preserve">• </w:t>
            </w:r>
            <w:r>
              <w:rPr>
                <w:rFonts w:ascii="Arial" w:cs="Arial" w:eastAsia="Arial" w:hAnsi="Arial"/>
                <w:sz w:val="18"/>
                <w:szCs w:val="18"/>
                <w:color w:val="000000"/>
              </w:rPr>
              <w:t>Executive</w:t>
            </w:r>
          </w:p>
        </w:tc>
        <w:tc>
          <w:tcPr>
            <w:tcW w:w="440" w:type="dxa"/>
            <w:vAlign w:val="bottom"/>
          </w:tcPr>
          <w:p>
            <w:pPr>
              <w:ind w:left="40"/>
              <w:spacing w:after="0"/>
              <w:rPr>
                <w:sz w:val="20"/>
                <w:szCs w:val="20"/>
                <w:color w:val="auto"/>
              </w:rPr>
            </w:pPr>
            <w:r>
              <w:rPr>
                <w:rFonts w:ascii="Arial" w:cs="Arial" w:eastAsia="Arial" w:hAnsi="Arial"/>
                <w:sz w:val="18"/>
                <w:szCs w:val="18"/>
                <w:color w:val="auto"/>
              </w:rPr>
              <w:t>Vice</w:t>
            </w:r>
          </w:p>
        </w:tc>
        <w:tc>
          <w:tcPr>
            <w:tcW w:w="4560" w:type="dxa"/>
            <w:vAlign w:val="bottom"/>
            <w:gridSpan w:val="9"/>
          </w:tcPr>
          <w:p>
            <w:pPr>
              <w:jc w:val="right"/>
              <w:spacing w:after="0"/>
              <w:rPr>
                <w:sz w:val="20"/>
                <w:szCs w:val="20"/>
                <w:color w:val="auto"/>
              </w:rPr>
            </w:pPr>
            <w:r>
              <w:rPr>
                <w:rFonts w:ascii="Arial" w:cs="Arial" w:eastAsia="Arial" w:hAnsi="Arial"/>
                <w:sz w:val="18"/>
                <w:szCs w:val="18"/>
                <w:color w:val="auto"/>
              </w:rPr>
              <w:t>President,  Chief  Financial  Officer  and  General</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20" w:type="dxa"/>
            <w:vAlign w:val="bottom"/>
            <w:gridSpan w:val="12"/>
          </w:tcPr>
          <w:p>
            <w:pPr>
              <w:ind w:left="60"/>
              <w:spacing w:after="0"/>
              <w:rPr>
                <w:sz w:val="20"/>
                <w:szCs w:val="20"/>
                <w:color w:val="auto"/>
              </w:rPr>
            </w:pPr>
            <w:r>
              <w:rPr>
                <w:rFonts w:ascii="Arial" w:cs="Arial" w:eastAsia="Arial" w:hAnsi="Arial"/>
                <w:sz w:val="18"/>
                <w:szCs w:val="18"/>
                <w:color w:val="auto"/>
              </w:rPr>
              <w:t>Counsel of Oilfield Water Logistics, an oilfield services company,</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5"/>
          </w:tcPr>
          <w:p>
            <w:pPr>
              <w:ind w:left="60"/>
              <w:spacing w:after="0"/>
              <w:rPr>
                <w:sz w:val="20"/>
                <w:szCs w:val="20"/>
                <w:color w:val="auto"/>
              </w:rPr>
            </w:pPr>
            <w:r>
              <w:rPr>
                <w:rFonts w:ascii="Arial" w:cs="Arial" w:eastAsia="Arial" w:hAnsi="Arial"/>
                <w:sz w:val="18"/>
                <w:szCs w:val="18"/>
                <w:color w:val="auto"/>
              </w:rPr>
              <w:t>from 2015 to August 2016.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660" w:type="dxa"/>
            <w:vAlign w:val="bottom"/>
            <w:tcBorders>
              <w:bottom w:val="single" w:sz="8" w:color="477258"/>
            </w:tcBorders>
            <w:gridSpan w:val="2"/>
          </w:tcPr>
          <w:p>
            <w:pPr>
              <w:spacing w:after="0"/>
              <w:rPr>
                <w:sz w:val="2"/>
                <w:szCs w:val="2"/>
                <w:color w:val="auto"/>
              </w:rPr>
            </w:pPr>
          </w:p>
        </w:tc>
        <w:tc>
          <w:tcPr>
            <w:tcW w:w="580" w:type="dxa"/>
            <w:vAlign w:val="bottom"/>
            <w:tcBorders>
              <w:bottom w:val="single" w:sz="8" w:color="477258"/>
            </w:tcBorders>
          </w:tcPr>
          <w:p>
            <w:pPr>
              <w:spacing w:after="0"/>
              <w:rPr>
                <w:sz w:val="2"/>
                <w:szCs w:val="2"/>
                <w:color w:val="auto"/>
              </w:rPr>
            </w:pPr>
          </w:p>
        </w:tc>
        <w:tc>
          <w:tcPr>
            <w:tcW w:w="580" w:type="dxa"/>
            <w:vAlign w:val="bottom"/>
            <w:tcBorders>
              <w:bottom w:val="single" w:sz="8" w:color="477258"/>
            </w:tcBorders>
          </w:tcPr>
          <w:p>
            <w:pPr>
              <w:spacing w:after="0"/>
              <w:rPr>
                <w:sz w:val="2"/>
                <w:szCs w:val="2"/>
                <w:color w:val="auto"/>
              </w:rPr>
            </w:pPr>
          </w:p>
        </w:tc>
        <w:tc>
          <w:tcPr>
            <w:tcW w:w="220" w:type="dxa"/>
            <w:vAlign w:val="bottom"/>
            <w:tcBorders>
              <w:bottom w:val="single" w:sz="8" w:color="477258"/>
            </w:tcBorders>
          </w:tcPr>
          <w:p>
            <w:pPr>
              <w:spacing w:after="0"/>
              <w:rPr>
                <w:sz w:val="2"/>
                <w:szCs w:val="2"/>
                <w:color w:val="auto"/>
              </w:rPr>
            </w:pPr>
          </w:p>
        </w:tc>
        <w:tc>
          <w:tcPr>
            <w:tcW w:w="5200" w:type="dxa"/>
            <w:vAlign w:val="bottom"/>
            <w:tcBorders>
              <w:bottom w:val="single" w:sz="8" w:color="477258"/>
            </w:tcBorders>
            <w:gridSpan w:val="10"/>
          </w:tcPr>
          <w:p>
            <w:pPr>
              <w:spacing w:after="0"/>
              <w:rPr>
                <w:sz w:val="2"/>
                <w:szCs w:val="2"/>
                <w:color w:val="auto"/>
              </w:rPr>
            </w:pPr>
          </w:p>
        </w:tc>
        <w:tc>
          <w:tcPr>
            <w:tcW w:w="440" w:type="dxa"/>
            <w:vAlign w:val="bottom"/>
            <w:tcBorders>
              <w:bottom w:val="single" w:sz="8" w:color="477258"/>
            </w:tcBorders>
          </w:tcPr>
          <w:p>
            <w:pPr>
              <w:spacing w:after="0"/>
              <w:rPr>
                <w:sz w:val="2"/>
                <w:szCs w:val="2"/>
                <w:color w:val="auto"/>
              </w:rPr>
            </w:pPr>
          </w:p>
        </w:tc>
        <w:tc>
          <w:tcPr>
            <w:tcW w:w="380" w:type="dxa"/>
            <w:vAlign w:val="bottom"/>
            <w:tcBorders>
              <w:bottom w:val="single" w:sz="8" w:color="477258"/>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0" w:type="dxa"/>
            <w:vAlign w:val="bottom"/>
          </w:tcPr>
          <w:p>
            <w:pPr>
              <w:spacing w:after="0"/>
              <w:rPr>
                <w:sz w:val="22"/>
                <w:szCs w:val="22"/>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color w:val="auto"/>
              </w:rPr>
              <w:t>Tara J. Hemmer</w:t>
            </w:r>
          </w:p>
        </w:tc>
        <w:tc>
          <w:tcPr>
            <w:tcW w:w="58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48</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5200" w:type="dxa"/>
            <w:vAlign w:val="bottom"/>
            <w:gridSpan w:val="10"/>
          </w:tcPr>
          <w:p>
            <w:pPr>
              <w:ind w:left="60"/>
              <w:spacing w:after="0"/>
              <w:rPr>
                <w:sz w:val="20"/>
                <w:szCs w:val="20"/>
                <w:color w:val="auto"/>
              </w:rPr>
            </w:pPr>
            <w:r>
              <w:rPr>
                <w:rFonts w:ascii="Arial" w:cs="Arial" w:eastAsia="Arial" w:hAnsi="Arial"/>
                <w:sz w:val="18"/>
                <w:szCs w:val="18"/>
                <w:color w:val="auto"/>
              </w:rPr>
              <w:t>Senior Vice President — Operations since January 2019.</w:t>
            </w: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640" w:type="dxa"/>
            <w:vAlign w:val="bottom"/>
          </w:tcPr>
          <w:p>
            <w:pPr>
              <w:ind w:left="60"/>
              <w:spacing w:after="0"/>
              <w:rPr>
                <w:sz w:val="20"/>
                <w:szCs w:val="20"/>
                <w:color w:val="auto"/>
              </w:rPr>
            </w:pPr>
            <w:r>
              <w:rPr>
                <w:rFonts w:ascii="Arial" w:cs="Arial" w:eastAsia="Arial" w:hAnsi="Arial"/>
                <w:sz w:val="18"/>
                <w:szCs w:val="18"/>
                <w:color w:val="auto"/>
              </w:rPr>
              <w:t>Senior</w:t>
            </w:r>
          </w:p>
        </w:tc>
        <w:tc>
          <w:tcPr>
            <w:tcW w:w="2800" w:type="dxa"/>
            <w:vAlign w:val="bottom"/>
            <w:gridSpan w:val="6"/>
          </w:tcPr>
          <w:p>
            <w:pPr>
              <w:ind w:left="120"/>
              <w:spacing w:after="0"/>
              <w:rPr>
                <w:sz w:val="20"/>
                <w:szCs w:val="20"/>
                <w:color w:val="auto"/>
              </w:rPr>
            </w:pPr>
            <w:r>
              <w:rPr>
                <w:rFonts w:ascii="Arial" w:cs="Arial" w:eastAsia="Arial" w:hAnsi="Arial"/>
                <w:sz w:val="18"/>
                <w:szCs w:val="18"/>
                <w:color w:val="auto"/>
              </w:rPr>
              <w:t>Vice  President — Operations,</w:t>
            </w:r>
          </w:p>
        </w:tc>
        <w:tc>
          <w:tcPr>
            <w:tcW w:w="1120" w:type="dxa"/>
            <w:vAlign w:val="bottom"/>
          </w:tcPr>
          <w:p>
            <w:pPr>
              <w:ind w:left="120"/>
              <w:spacing w:after="0"/>
              <w:rPr>
                <w:sz w:val="20"/>
                <w:szCs w:val="20"/>
                <w:color w:val="auto"/>
              </w:rPr>
            </w:pPr>
            <w:r>
              <w:rPr>
                <w:rFonts w:ascii="Arial" w:cs="Arial" w:eastAsia="Arial" w:hAnsi="Arial"/>
                <w:sz w:val="18"/>
                <w:szCs w:val="18"/>
                <w:color w:val="auto"/>
              </w:rPr>
              <w:t>Safety  and</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Environmental</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8"/>
          </w:tcPr>
          <w:p>
            <w:pPr>
              <w:ind w:left="60"/>
              <w:spacing w:after="0"/>
              <w:rPr>
                <w:sz w:val="20"/>
                <w:szCs w:val="20"/>
                <w:color w:val="auto"/>
              </w:rPr>
            </w:pPr>
            <w:r>
              <w:rPr>
                <w:rFonts w:ascii="Arial" w:cs="Arial" w:eastAsia="Arial" w:hAnsi="Arial"/>
                <w:sz w:val="18"/>
                <w:szCs w:val="18"/>
                <w:color w:val="auto"/>
              </w:rPr>
              <w:t>Compliance from January 2018 to December 2018.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640" w:type="dxa"/>
            <w:vAlign w:val="bottom"/>
          </w:tcPr>
          <w:p>
            <w:pPr>
              <w:ind w:left="60"/>
              <w:spacing w:after="0"/>
              <w:rPr>
                <w:sz w:val="20"/>
                <w:szCs w:val="20"/>
                <w:color w:val="auto"/>
              </w:rPr>
            </w:pPr>
            <w:r>
              <w:rPr>
                <w:rFonts w:ascii="Arial" w:cs="Arial" w:eastAsia="Arial" w:hAnsi="Arial"/>
                <w:sz w:val="18"/>
                <w:szCs w:val="18"/>
                <w:color w:val="auto"/>
              </w:rPr>
              <w:t>Vice</w:t>
            </w:r>
          </w:p>
        </w:tc>
        <w:tc>
          <w:tcPr>
            <w:tcW w:w="2160" w:type="dxa"/>
            <w:vAlign w:val="bottom"/>
            <w:gridSpan w:val="4"/>
          </w:tcPr>
          <w:p>
            <w:pPr>
              <w:ind w:left="60"/>
              <w:spacing w:after="0"/>
              <w:rPr>
                <w:sz w:val="20"/>
                <w:szCs w:val="20"/>
                <w:color w:val="auto"/>
              </w:rPr>
            </w:pPr>
            <w:r>
              <w:rPr>
                <w:rFonts w:ascii="Arial" w:cs="Arial" w:eastAsia="Arial" w:hAnsi="Arial"/>
                <w:sz w:val="18"/>
                <w:szCs w:val="18"/>
                <w:color w:val="auto"/>
              </w:rPr>
              <w:t>President — Disposal</w:t>
            </w:r>
          </w:p>
        </w:tc>
        <w:tc>
          <w:tcPr>
            <w:tcW w:w="2060" w:type="dxa"/>
            <w:vAlign w:val="bottom"/>
            <w:gridSpan w:val="4"/>
          </w:tcPr>
          <w:p>
            <w:pPr>
              <w:jc w:val="center"/>
              <w:ind w:right="50"/>
              <w:spacing w:after="0"/>
              <w:rPr>
                <w:sz w:val="20"/>
                <w:szCs w:val="20"/>
                <w:color w:val="auto"/>
              </w:rPr>
            </w:pPr>
            <w:r>
              <w:rPr>
                <w:rFonts w:ascii="Arial" w:cs="Arial" w:eastAsia="Arial" w:hAnsi="Arial"/>
                <w:sz w:val="18"/>
                <w:szCs w:val="18"/>
                <w:color w:val="auto"/>
              </w:rPr>
              <w:t>Operations,   Closed</w:t>
            </w:r>
          </w:p>
        </w:tc>
        <w:tc>
          <w:tcPr>
            <w:tcW w:w="780" w:type="dxa"/>
            <w:vAlign w:val="bottom"/>
            <w:gridSpan w:val="2"/>
          </w:tcPr>
          <w:p>
            <w:pPr>
              <w:jc w:val="right"/>
              <w:ind w:right="150"/>
              <w:spacing w:after="0"/>
              <w:rPr>
                <w:sz w:val="20"/>
                <w:szCs w:val="20"/>
                <w:color w:val="auto"/>
              </w:rPr>
            </w:pPr>
            <w:r>
              <w:rPr>
                <w:rFonts w:ascii="Arial" w:cs="Arial" w:eastAsia="Arial" w:hAnsi="Arial"/>
                <w:sz w:val="18"/>
                <w:szCs w:val="18"/>
                <w:color w:val="auto"/>
              </w:rPr>
              <w:t>Sites</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and</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20" w:type="dxa"/>
            <w:vAlign w:val="bottom"/>
            <w:gridSpan w:val="12"/>
          </w:tcPr>
          <w:p>
            <w:pPr>
              <w:ind w:left="60"/>
              <w:spacing w:after="0"/>
              <w:rPr>
                <w:sz w:val="20"/>
                <w:szCs w:val="20"/>
                <w:color w:val="auto"/>
              </w:rPr>
            </w:pPr>
            <w:r>
              <w:rPr>
                <w:rFonts w:ascii="Arial" w:cs="Arial" w:eastAsia="Arial" w:hAnsi="Arial"/>
                <w:sz w:val="18"/>
                <w:szCs w:val="18"/>
                <w:color w:val="auto"/>
              </w:rPr>
              <w:t>Environmental Compliance from September 2017 to January 2018.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477258"/>
              </w:rPr>
              <w:t>•</w:t>
            </w:r>
          </w:p>
        </w:tc>
        <w:tc>
          <w:tcPr>
            <w:tcW w:w="5640" w:type="dxa"/>
            <w:vAlign w:val="bottom"/>
            <w:gridSpan w:val="11"/>
          </w:tcPr>
          <w:p>
            <w:pPr>
              <w:ind w:left="60"/>
              <w:spacing w:after="0" w:line="201" w:lineRule="exact"/>
              <w:rPr>
                <w:sz w:val="20"/>
                <w:szCs w:val="20"/>
                <w:color w:val="auto"/>
              </w:rPr>
            </w:pPr>
            <w:r>
              <w:rPr>
                <w:rFonts w:ascii="Arial" w:cs="Arial" w:eastAsia="Arial" w:hAnsi="Arial"/>
                <w:sz w:val="18"/>
                <w:szCs w:val="18"/>
                <w:color w:val="auto"/>
              </w:rPr>
              <w:t>Area Vice President — Greater Mid-Atlantic Area from 2012 to</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Borders>
              <w:bottom w:val="single" w:sz="8" w:color="477258"/>
            </w:tcBorders>
          </w:tcPr>
          <w:p>
            <w:pPr>
              <w:spacing w:after="0"/>
              <w:rPr>
                <w:sz w:val="18"/>
                <w:szCs w:val="18"/>
                <w:color w:val="auto"/>
              </w:rPr>
            </w:pPr>
          </w:p>
        </w:tc>
        <w:tc>
          <w:tcPr>
            <w:tcW w:w="1360" w:type="dxa"/>
            <w:vAlign w:val="bottom"/>
            <w:tcBorders>
              <w:bottom w:val="single" w:sz="8" w:color="477258"/>
            </w:tcBorders>
          </w:tcPr>
          <w:p>
            <w:pPr>
              <w:spacing w:after="0"/>
              <w:rPr>
                <w:sz w:val="18"/>
                <w:szCs w:val="18"/>
                <w:color w:val="auto"/>
              </w:rPr>
            </w:pPr>
          </w:p>
        </w:tc>
        <w:tc>
          <w:tcPr>
            <w:tcW w:w="580" w:type="dxa"/>
            <w:vAlign w:val="bottom"/>
            <w:tcBorders>
              <w:bottom w:val="single" w:sz="8" w:color="477258"/>
            </w:tcBorders>
          </w:tcPr>
          <w:p>
            <w:pPr>
              <w:spacing w:after="0"/>
              <w:rPr>
                <w:sz w:val="18"/>
                <w:szCs w:val="18"/>
                <w:color w:val="auto"/>
              </w:rPr>
            </w:pPr>
          </w:p>
        </w:tc>
        <w:tc>
          <w:tcPr>
            <w:tcW w:w="580" w:type="dxa"/>
            <w:vAlign w:val="bottom"/>
            <w:tcBorders>
              <w:bottom w:val="single" w:sz="8" w:color="477258"/>
            </w:tcBorders>
          </w:tcPr>
          <w:p>
            <w:pPr>
              <w:spacing w:after="0"/>
              <w:rPr>
                <w:sz w:val="18"/>
                <w:szCs w:val="18"/>
                <w:color w:val="auto"/>
              </w:rPr>
            </w:pPr>
          </w:p>
        </w:tc>
        <w:tc>
          <w:tcPr>
            <w:tcW w:w="220" w:type="dxa"/>
            <w:vAlign w:val="bottom"/>
            <w:tcBorders>
              <w:bottom w:val="single" w:sz="8" w:color="477258"/>
            </w:tcBorders>
          </w:tcPr>
          <w:p>
            <w:pPr>
              <w:spacing w:after="0"/>
              <w:rPr>
                <w:sz w:val="18"/>
                <w:szCs w:val="18"/>
                <w:color w:val="auto"/>
              </w:rPr>
            </w:pPr>
          </w:p>
        </w:tc>
        <w:tc>
          <w:tcPr>
            <w:tcW w:w="1020" w:type="dxa"/>
            <w:vAlign w:val="bottom"/>
            <w:tcBorders>
              <w:bottom w:val="single" w:sz="8" w:color="477258"/>
            </w:tcBorders>
            <w:gridSpan w:val="2"/>
          </w:tcPr>
          <w:p>
            <w:pPr>
              <w:ind w:left="60"/>
              <w:spacing w:after="0"/>
              <w:rPr>
                <w:sz w:val="20"/>
                <w:szCs w:val="20"/>
                <w:color w:val="auto"/>
              </w:rPr>
            </w:pPr>
            <w:r>
              <w:rPr>
                <w:rFonts w:ascii="Arial" w:cs="Arial" w:eastAsia="Arial" w:hAnsi="Arial"/>
                <w:sz w:val="18"/>
                <w:szCs w:val="18"/>
                <w:color w:val="auto"/>
              </w:rPr>
              <w:t>May 2017.</w:t>
            </w:r>
          </w:p>
        </w:tc>
        <w:tc>
          <w:tcPr>
            <w:tcW w:w="440" w:type="dxa"/>
            <w:vAlign w:val="bottom"/>
            <w:tcBorders>
              <w:bottom w:val="single" w:sz="8" w:color="477258"/>
            </w:tcBorders>
          </w:tcPr>
          <w:p>
            <w:pPr>
              <w:spacing w:after="0"/>
              <w:rPr>
                <w:sz w:val="18"/>
                <w:szCs w:val="18"/>
                <w:color w:val="auto"/>
              </w:rPr>
            </w:pPr>
          </w:p>
        </w:tc>
        <w:tc>
          <w:tcPr>
            <w:tcW w:w="700" w:type="dxa"/>
            <w:vAlign w:val="bottom"/>
            <w:tcBorders>
              <w:bottom w:val="single" w:sz="8" w:color="477258"/>
            </w:tcBorders>
          </w:tcPr>
          <w:p>
            <w:pPr>
              <w:spacing w:after="0"/>
              <w:rPr>
                <w:sz w:val="18"/>
                <w:szCs w:val="18"/>
                <w:color w:val="auto"/>
              </w:rPr>
            </w:pPr>
          </w:p>
        </w:tc>
        <w:tc>
          <w:tcPr>
            <w:tcW w:w="640" w:type="dxa"/>
            <w:vAlign w:val="bottom"/>
            <w:tcBorders>
              <w:bottom w:val="single" w:sz="8" w:color="477258"/>
            </w:tcBorders>
          </w:tcPr>
          <w:p>
            <w:pPr>
              <w:spacing w:after="0"/>
              <w:rPr>
                <w:sz w:val="18"/>
                <w:szCs w:val="18"/>
                <w:color w:val="auto"/>
              </w:rPr>
            </w:pPr>
          </w:p>
        </w:tc>
        <w:tc>
          <w:tcPr>
            <w:tcW w:w="360" w:type="dxa"/>
            <w:vAlign w:val="bottom"/>
            <w:tcBorders>
              <w:bottom w:val="single" w:sz="8" w:color="477258"/>
            </w:tcBorders>
          </w:tcPr>
          <w:p>
            <w:pPr>
              <w:spacing w:after="0"/>
              <w:rPr>
                <w:sz w:val="18"/>
                <w:szCs w:val="18"/>
                <w:color w:val="auto"/>
              </w:rPr>
            </w:pPr>
          </w:p>
        </w:tc>
        <w:tc>
          <w:tcPr>
            <w:tcW w:w="280" w:type="dxa"/>
            <w:vAlign w:val="bottom"/>
            <w:tcBorders>
              <w:bottom w:val="single" w:sz="8" w:color="477258"/>
            </w:tcBorders>
          </w:tcPr>
          <w:p>
            <w:pPr>
              <w:spacing w:after="0"/>
              <w:rPr>
                <w:sz w:val="18"/>
                <w:szCs w:val="18"/>
                <w:color w:val="auto"/>
              </w:rPr>
            </w:pPr>
          </w:p>
        </w:tc>
        <w:tc>
          <w:tcPr>
            <w:tcW w:w="1120" w:type="dxa"/>
            <w:vAlign w:val="bottom"/>
            <w:tcBorders>
              <w:bottom w:val="single" w:sz="8" w:color="477258"/>
            </w:tcBorders>
          </w:tcPr>
          <w:p>
            <w:pPr>
              <w:spacing w:after="0"/>
              <w:rPr>
                <w:sz w:val="18"/>
                <w:szCs w:val="18"/>
                <w:color w:val="auto"/>
              </w:rPr>
            </w:pPr>
          </w:p>
        </w:tc>
        <w:tc>
          <w:tcPr>
            <w:tcW w:w="300" w:type="dxa"/>
            <w:vAlign w:val="bottom"/>
            <w:tcBorders>
              <w:bottom w:val="single" w:sz="8" w:color="477258"/>
            </w:tcBorders>
          </w:tcPr>
          <w:p>
            <w:pPr>
              <w:spacing w:after="0"/>
              <w:rPr>
                <w:sz w:val="18"/>
                <w:szCs w:val="18"/>
                <w:color w:val="auto"/>
              </w:rPr>
            </w:pPr>
          </w:p>
        </w:tc>
        <w:tc>
          <w:tcPr>
            <w:tcW w:w="340" w:type="dxa"/>
            <w:vAlign w:val="bottom"/>
            <w:tcBorders>
              <w:bottom w:val="single" w:sz="8" w:color="477258"/>
            </w:tcBorders>
          </w:tcPr>
          <w:p>
            <w:pPr>
              <w:spacing w:after="0"/>
              <w:rPr>
                <w:sz w:val="18"/>
                <w:szCs w:val="18"/>
                <w:color w:val="auto"/>
              </w:rPr>
            </w:pPr>
          </w:p>
        </w:tc>
        <w:tc>
          <w:tcPr>
            <w:tcW w:w="440" w:type="dxa"/>
            <w:vAlign w:val="bottom"/>
            <w:tcBorders>
              <w:bottom w:val="single" w:sz="8" w:color="477258"/>
            </w:tcBorders>
          </w:tcPr>
          <w:p>
            <w:pPr>
              <w:spacing w:after="0"/>
              <w:rPr>
                <w:sz w:val="18"/>
                <w:szCs w:val="18"/>
                <w:color w:val="auto"/>
              </w:rPr>
            </w:pPr>
          </w:p>
        </w:tc>
        <w:tc>
          <w:tcPr>
            <w:tcW w:w="380" w:type="dxa"/>
            <w:vAlign w:val="bottom"/>
            <w:tcBorders>
              <w:bottom w:val="single" w:sz="8" w:color="477258"/>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color w:val="auto"/>
              </w:rPr>
              <w:t>John J. Morris, Jr.</w:t>
            </w:r>
          </w:p>
        </w:tc>
        <w:tc>
          <w:tcPr>
            <w:tcW w:w="58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51</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5640" w:type="dxa"/>
            <w:vAlign w:val="bottom"/>
            <w:gridSpan w:val="11"/>
          </w:tcPr>
          <w:p>
            <w:pPr>
              <w:ind w:left="60"/>
              <w:spacing w:after="0"/>
              <w:rPr>
                <w:sz w:val="20"/>
                <w:szCs w:val="20"/>
                <w:color w:val="auto"/>
              </w:rPr>
            </w:pPr>
            <w:r>
              <w:rPr>
                <w:rFonts w:ascii="Arial" w:cs="Arial" w:eastAsia="Arial" w:hAnsi="Arial"/>
                <w:sz w:val="18"/>
                <w:szCs w:val="18"/>
                <w:color w:val="auto"/>
              </w:rPr>
              <w:t>Executive Vice President and Chief Operating Officer since</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color w:val="auto"/>
              </w:rPr>
              <w:t>January 2019.</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477258"/>
              </w:rPr>
              <w:t>•</w:t>
            </w:r>
          </w:p>
        </w:tc>
        <w:tc>
          <w:tcPr>
            <w:tcW w:w="6020" w:type="dxa"/>
            <w:vAlign w:val="bottom"/>
            <w:gridSpan w:val="12"/>
          </w:tcPr>
          <w:p>
            <w:pPr>
              <w:ind w:left="60"/>
              <w:spacing w:after="0" w:line="202" w:lineRule="exact"/>
              <w:rPr>
                <w:sz w:val="20"/>
                <w:szCs w:val="20"/>
                <w:color w:val="auto"/>
              </w:rPr>
            </w:pPr>
            <w:r>
              <w:rPr>
                <w:rFonts w:ascii="Arial" w:cs="Arial" w:eastAsia="Arial" w:hAnsi="Arial"/>
                <w:sz w:val="18"/>
                <w:szCs w:val="18"/>
                <w:color w:val="auto"/>
              </w:rPr>
              <w:t>Senior Vice President — Operations from 2012 to December 2018.</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4860" w:type="dxa"/>
            <w:vAlign w:val="bottom"/>
            <w:gridSpan w:val="9"/>
          </w:tcPr>
          <w:p>
            <w:pPr>
              <w:ind w:left="60"/>
              <w:spacing w:after="0"/>
              <w:rPr>
                <w:sz w:val="20"/>
                <w:szCs w:val="20"/>
                <w:color w:val="auto"/>
              </w:rPr>
            </w:pPr>
            <w:r>
              <w:rPr>
                <w:rFonts w:ascii="Arial" w:cs="Arial" w:eastAsia="Arial" w:hAnsi="Arial"/>
                <w:sz w:val="18"/>
                <w:szCs w:val="18"/>
                <w:color w:val="auto"/>
              </w:rPr>
              <w:t>Chief Strategy Officer from March 2012 to July 2012.</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ind w:left="100"/>
              <w:spacing w:after="0" w:line="176" w:lineRule="exact"/>
              <w:rPr>
                <w:sz w:val="20"/>
                <w:szCs w:val="20"/>
                <w:color w:val="auto"/>
              </w:rPr>
            </w:pPr>
            <w:r>
              <w:rPr>
                <w:rFonts w:ascii="Arial" w:cs="Arial" w:eastAsia="Arial" w:hAnsi="Arial"/>
                <w:sz w:val="18"/>
                <w:szCs w:val="18"/>
                <w:color w:val="477258"/>
              </w:rPr>
              <w:t>•</w:t>
            </w:r>
          </w:p>
        </w:tc>
        <w:tc>
          <w:tcPr>
            <w:tcW w:w="5640" w:type="dxa"/>
            <w:vAlign w:val="bottom"/>
            <w:gridSpan w:val="11"/>
          </w:tcPr>
          <w:p>
            <w:pPr>
              <w:ind w:left="60"/>
              <w:spacing w:after="0" w:line="176" w:lineRule="exact"/>
              <w:rPr>
                <w:sz w:val="20"/>
                <w:szCs w:val="20"/>
                <w:color w:val="auto"/>
              </w:rPr>
            </w:pPr>
            <w:r>
              <w:rPr>
                <w:rFonts w:ascii="Arial" w:cs="Arial" w:eastAsia="Arial" w:hAnsi="Arial"/>
                <w:sz w:val="18"/>
                <w:szCs w:val="18"/>
                <w:color w:val="auto"/>
              </w:rPr>
              <w:t>Area Vice President — Greater Mid-Atlantic Area from 2011 to</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Borders>
              <w:bottom w:val="single" w:sz="8" w:color="477258"/>
            </w:tcBorders>
          </w:tcPr>
          <w:p>
            <w:pPr>
              <w:spacing w:after="0"/>
              <w:rPr>
                <w:sz w:val="18"/>
                <w:szCs w:val="18"/>
                <w:color w:val="auto"/>
              </w:rPr>
            </w:pPr>
          </w:p>
        </w:tc>
        <w:tc>
          <w:tcPr>
            <w:tcW w:w="1360" w:type="dxa"/>
            <w:vAlign w:val="bottom"/>
            <w:tcBorders>
              <w:bottom w:val="single" w:sz="8" w:color="477258"/>
            </w:tcBorders>
          </w:tcPr>
          <w:p>
            <w:pPr>
              <w:spacing w:after="0"/>
              <w:rPr>
                <w:sz w:val="18"/>
                <w:szCs w:val="18"/>
                <w:color w:val="auto"/>
              </w:rPr>
            </w:pPr>
          </w:p>
        </w:tc>
        <w:tc>
          <w:tcPr>
            <w:tcW w:w="580" w:type="dxa"/>
            <w:vAlign w:val="bottom"/>
            <w:tcBorders>
              <w:bottom w:val="single" w:sz="8" w:color="477258"/>
            </w:tcBorders>
          </w:tcPr>
          <w:p>
            <w:pPr>
              <w:spacing w:after="0"/>
              <w:rPr>
                <w:sz w:val="18"/>
                <w:szCs w:val="18"/>
                <w:color w:val="auto"/>
              </w:rPr>
            </w:pPr>
          </w:p>
        </w:tc>
        <w:tc>
          <w:tcPr>
            <w:tcW w:w="580" w:type="dxa"/>
            <w:vAlign w:val="bottom"/>
            <w:tcBorders>
              <w:bottom w:val="single" w:sz="8" w:color="477258"/>
            </w:tcBorders>
          </w:tcPr>
          <w:p>
            <w:pPr>
              <w:spacing w:after="0"/>
              <w:rPr>
                <w:sz w:val="18"/>
                <w:szCs w:val="18"/>
                <w:color w:val="auto"/>
              </w:rPr>
            </w:pPr>
          </w:p>
        </w:tc>
        <w:tc>
          <w:tcPr>
            <w:tcW w:w="220" w:type="dxa"/>
            <w:vAlign w:val="bottom"/>
            <w:tcBorders>
              <w:bottom w:val="single" w:sz="8" w:color="477258"/>
            </w:tcBorders>
          </w:tcPr>
          <w:p>
            <w:pPr>
              <w:spacing w:after="0"/>
              <w:rPr>
                <w:sz w:val="18"/>
                <w:szCs w:val="18"/>
                <w:color w:val="auto"/>
              </w:rPr>
            </w:pPr>
          </w:p>
        </w:tc>
        <w:tc>
          <w:tcPr>
            <w:tcW w:w="64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2012.</w:t>
            </w:r>
          </w:p>
        </w:tc>
        <w:tc>
          <w:tcPr>
            <w:tcW w:w="380" w:type="dxa"/>
            <w:vAlign w:val="bottom"/>
            <w:tcBorders>
              <w:bottom w:val="single" w:sz="8" w:color="477258"/>
            </w:tcBorders>
          </w:tcPr>
          <w:p>
            <w:pPr>
              <w:spacing w:after="0"/>
              <w:rPr>
                <w:sz w:val="18"/>
                <w:szCs w:val="18"/>
                <w:color w:val="auto"/>
              </w:rPr>
            </w:pPr>
          </w:p>
        </w:tc>
        <w:tc>
          <w:tcPr>
            <w:tcW w:w="440" w:type="dxa"/>
            <w:vAlign w:val="bottom"/>
            <w:tcBorders>
              <w:bottom w:val="single" w:sz="8" w:color="477258"/>
            </w:tcBorders>
          </w:tcPr>
          <w:p>
            <w:pPr>
              <w:spacing w:after="0"/>
              <w:rPr>
                <w:sz w:val="18"/>
                <w:szCs w:val="18"/>
                <w:color w:val="auto"/>
              </w:rPr>
            </w:pPr>
          </w:p>
        </w:tc>
        <w:tc>
          <w:tcPr>
            <w:tcW w:w="700" w:type="dxa"/>
            <w:vAlign w:val="bottom"/>
            <w:tcBorders>
              <w:bottom w:val="single" w:sz="8" w:color="477258"/>
            </w:tcBorders>
          </w:tcPr>
          <w:p>
            <w:pPr>
              <w:spacing w:after="0"/>
              <w:rPr>
                <w:sz w:val="18"/>
                <w:szCs w:val="18"/>
                <w:color w:val="auto"/>
              </w:rPr>
            </w:pPr>
          </w:p>
        </w:tc>
        <w:tc>
          <w:tcPr>
            <w:tcW w:w="640" w:type="dxa"/>
            <w:vAlign w:val="bottom"/>
            <w:tcBorders>
              <w:bottom w:val="single" w:sz="8" w:color="477258"/>
            </w:tcBorders>
          </w:tcPr>
          <w:p>
            <w:pPr>
              <w:spacing w:after="0"/>
              <w:rPr>
                <w:sz w:val="18"/>
                <w:szCs w:val="18"/>
                <w:color w:val="auto"/>
              </w:rPr>
            </w:pPr>
          </w:p>
        </w:tc>
        <w:tc>
          <w:tcPr>
            <w:tcW w:w="360" w:type="dxa"/>
            <w:vAlign w:val="bottom"/>
            <w:tcBorders>
              <w:bottom w:val="single" w:sz="8" w:color="477258"/>
            </w:tcBorders>
          </w:tcPr>
          <w:p>
            <w:pPr>
              <w:spacing w:after="0"/>
              <w:rPr>
                <w:sz w:val="18"/>
                <w:szCs w:val="18"/>
                <w:color w:val="auto"/>
              </w:rPr>
            </w:pPr>
          </w:p>
        </w:tc>
        <w:tc>
          <w:tcPr>
            <w:tcW w:w="280" w:type="dxa"/>
            <w:vAlign w:val="bottom"/>
            <w:tcBorders>
              <w:bottom w:val="single" w:sz="8" w:color="477258"/>
            </w:tcBorders>
          </w:tcPr>
          <w:p>
            <w:pPr>
              <w:spacing w:after="0"/>
              <w:rPr>
                <w:sz w:val="18"/>
                <w:szCs w:val="18"/>
                <w:color w:val="auto"/>
              </w:rPr>
            </w:pPr>
          </w:p>
        </w:tc>
        <w:tc>
          <w:tcPr>
            <w:tcW w:w="1120" w:type="dxa"/>
            <w:vAlign w:val="bottom"/>
            <w:tcBorders>
              <w:bottom w:val="single" w:sz="8" w:color="477258"/>
            </w:tcBorders>
          </w:tcPr>
          <w:p>
            <w:pPr>
              <w:spacing w:after="0"/>
              <w:rPr>
                <w:sz w:val="18"/>
                <w:szCs w:val="18"/>
                <w:color w:val="auto"/>
              </w:rPr>
            </w:pPr>
          </w:p>
        </w:tc>
        <w:tc>
          <w:tcPr>
            <w:tcW w:w="300" w:type="dxa"/>
            <w:vAlign w:val="bottom"/>
            <w:tcBorders>
              <w:bottom w:val="single" w:sz="8" w:color="477258"/>
            </w:tcBorders>
          </w:tcPr>
          <w:p>
            <w:pPr>
              <w:spacing w:after="0"/>
              <w:rPr>
                <w:sz w:val="18"/>
                <w:szCs w:val="18"/>
                <w:color w:val="auto"/>
              </w:rPr>
            </w:pPr>
          </w:p>
        </w:tc>
        <w:tc>
          <w:tcPr>
            <w:tcW w:w="340" w:type="dxa"/>
            <w:vAlign w:val="bottom"/>
            <w:tcBorders>
              <w:bottom w:val="single" w:sz="8" w:color="477258"/>
            </w:tcBorders>
          </w:tcPr>
          <w:p>
            <w:pPr>
              <w:spacing w:after="0"/>
              <w:rPr>
                <w:sz w:val="18"/>
                <w:szCs w:val="18"/>
                <w:color w:val="auto"/>
              </w:rPr>
            </w:pPr>
          </w:p>
        </w:tc>
        <w:tc>
          <w:tcPr>
            <w:tcW w:w="440" w:type="dxa"/>
            <w:vAlign w:val="bottom"/>
            <w:tcBorders>
              <w:bottom w:val="single" w:sz="8" w:color="477258"/>
            </w:tcBorders>
          </w:tcPr>
          <w:p>
            <w:pPr>
              <w:spacing w:after="0"/>
              <w:rPr>
                <w:sz w:val="18"/>
                <w:szCs w:val="18"/>
                <w:color w:val="auto"/>
              </w:rPr>
            </w:pPr>
          </w:p>
        </w:tc>
        <w:tc>
          <w:tcPr>
            <w:tcW w:w="380" w:type="dxa"/>
            <w:vAlign w:val="bottom"/>
            <w:tcBorders>
              <w:bottom w:val="single" w:sz="8" w:color="477258"/>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color w:val="auto"/>
              </w:rPr>
              <w:t>Leslie K. Nagy</w:t>
            </w:r>
          </w:p>
        </w:tc>
        <w:tc>
          <w:tcPr>
            <w:tcW w:w="58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46</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4560" w:type="dxa"/>
            <w:vAlign w:val="bottom"/>
            <w:gridSpan w:val="8"/>
          </w:tcPr>
          <w:p>
            <w:pPr>
              <w:ind w:left="60"/>
              <w:spacing w:after="0"/>
              <w:rPr>
                <w:sz w:val="20"/>
                <w:szCs w:val="20"/>
                <w:color w:val="auto"/>
              </w:rPr>
            </w:pPr>
            <w:r>
              <w:rPr>
                <w:rFonts w:ascii="Arial" w:cs="Arial" w:eastAsia="Arial" w:hAnsi="Arial"/>
                <w:sz w:val="18"/>
                <w:szCs w:val="18"/>
                <w:color w:val="auto"/>
              </w:rPr>
              <w:t>Vice President and Chief Accounting Officer since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ind w:left="60"/>
              <w:spacing w:after="0"/>
              <w:rPr>
                <w:sz w:val="20"/>
                <w:szCs w:val="20"/>
                <w:color w:val="auto"/>
              </w:rPr>
            </w:pPr>
            <w:r>
              <w:rPr>
                <w:rFonts w:ascii="Arial" w:cs="Arial" w:eastAsia="Arial" w:hAnsi="Arial"/>
                <w:sz w:val="18"/>
                <w:szCs w:val="18"/>
                <w:color w:val="auto"/>
              </w:rPr>
              <w:t>November 2017.</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color w:val="477258"/>
              </w:rPr>
              <w:t xml:space="preserve">• </w:t>
            </w:r>
            <w:r>
              <w:rPr>
                <w:rFonts w:ascii="Arial" w:cs="Arial" w:eastAsia="Arial" w:hAnsi="Arial"/>
                <w:sz w:val="18"/>
                <w:szCs w:val="18"/>
                <w:color w:val="000000"/>
              </w:rPr>
              <w:t>Principal</w:t>
            </w:r>
          </w:p>
        </w:tc>
        <w:tc>
          <w:tcPr>
            <w:tcW w:w="1140" w:type="dxa"/>
            <w:vAlign w:val="bottom"/>
            <w:gridSpan w:val="2"/>
          </w:tcPr>
          <w:p>
            <w:pPr>
              <w:spacing w:after="0"/>
              <w:rPr>
                <w:sz w:val="20"/>
                <w:szCs w:val="20"/>
                <w:color w:val="auto"/>
              </w:rPr>
            </w:pPr>
            <w:r>
              <w:rPr>
                <w:rFonts w:ascii="Arial" w:cs="Arial" w:eastAsia="Arial" w:hAnsi="Arial"/>
                <w:sz w:val="18"/>
                <w:szCs w:val="18"/>
                <w:color w:val="auto"/>
              </w:rPr>
              <w:t>Accounting</w:t>
            </w:r>
          </w:p>
        </w:tc>
        <w:tc>
          <w:tcPr>
            <w:tcW w:w="640" w:type="dxa"/>
            <w:vAlign w:val="bottom"/>
          </w:tcPr>
          <w:p>
            <w:pPr>
              <w:ind w:left="20"/>
              <w:spacing w:after="0"/>
              <w:rPr>
                <w:sz w:val="20"/>
                <w:szCs w:val="20"/>
                <w:color w:val="auto"/>
              </w:rPr>
            </w:pPr>
            <w:r>
              <w:rPr>
                <w:rFonts w:ascii="Arial" w:cs="Arial" w:eastAsia="Arial" w:hAnsi="Arial"/>
                <w:sz w:val="18"/>
                <w:szCs w:val="18"/>
                <w:color w:val="auto"/>
              </w:rPr>
              <w:t>Officer</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and</w:t>
            </w:r>
          </w:p>
        </w:tc>
        <w:tc>
          <w:tcPr>
            <w:tcW w:w="1120" w:type="dxa"/>
            <w:vAlign w:val="bottom"/>
          </w:tcPr>
          <w:p>
            <w:pPr>
              <w:ind w:left="40"/>
              <w:spacing w:after="0"/>
              <w:rPr>
                <w:sz w:val="20"/>
                <w:szCs w:val="20"/>
                <w:color w:val="auto"/>
              </w:rPr>
            </w:pPr>
            <w:r>
              <w:rPr>
                <w:rFonts w:ascii="Arial" w:cs="Arial" w:eastAsia="Arial" w:hAnsi="Arial"/>
                <w:sz w:val="18"/>
                <w:szCs w:val="18"/>
                <w:color w:val="auto"/>
              </w:rPr>
              <w:t>Controller,</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Parker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Drilling</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Company,</w:t>
            </w:r>
          </w:p>
        </w:tc>
        <w:tc>
          <w:tcPr>
            <w:tcW w:w="440" w:type="dxa"/>
            <w:vAlign w:val="bottom"/>
          </w:tcPr>
          <w:p>
            <w:pPr>
              <w:ind w:left="160"/>
              <w:spacing w:after="0"/>
              <w:rPr>
                <w:sz w:val="20"/>
                <w:szCs w:val="20"/>
                <w:color w:val="auto"/>
              </w:rPr>
            </w:pPr>
            <w:r>
              <w:rPr>
                <w:rFonts w:ascii="Arial" w:cs="Arial" w:eastAsia="Arial" w:hAnsi="Arial"/>
                <w:sz w:val="18"/>
                <w:szCs w:val="18"/>
                <w:color w:val="auto"/>
              </w:rPr>
              <w:t>an</w:t>
            </w:r>
          </w:p>
        </w:tc>
        <w:tc>
          <w:tcPr>
            <w:tcW w:w="4560" w:type="dxa"/>
            <w:vAlign w:val="bottom"/>
            <w:gridSpan w:val="9"/>
          </w:tcPr>
          <w:p>
            <w:pPr>
              <w:jc w:val="right"/>
              <w:spacing w:after="0"/>
              <w:rPr>
                <w:sz w:val="20"/>
                <w:szCs w:val="20"/>
                <w:color w:val="auto"/>
              </w:rPr>
            </w:pPr>
            <w:r>
              <w:rPr>
                <w:rFonts w:ascii="Arial" w:cs="Arial" w:eastAsia="Arial" w:hAnsi="Arial"/>
                <w:sz w:val="18"/>
                <w:szCs w:val="18"/>
                <w:color w:val="auto"/>
              </w:rPr>
              <w:t>oilfield   services   company,   from   2014   to</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ind w:left="60"/>
              <w:spacing w:after="0"/>
              <w:rPr>
                <w:sz w:val="20"/>
                <w:szCs w:val="20"/>
                <w:color w:val="auto"/>
              </w:rPr>
            </w:pPr>
            <w:r>
              <w:rPr>
                <w:rFonts w:ascii="Arial" w:cs="Arial" w:eastAsia="Arial" w:hAnsi="Arial"/>
                <w:sz w:val="18"/>
                <w:szCs w:val="18"/>
                <w:color w:val="auto"/>
              </w:rPr>
              <w:t>November 2017.</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240" w:type="dxa"/>
            <w:vAlign w:val="bottom"/>
            <w:tcBorders>
              <w:bottom w:val="single" w:sz="8" w:color="477258"/>
            </w:tcBorders>
            <w:gridSpan w:val="3"/>
          </w:tcPr>
          <w:p>
            <w:pPr>
              <w:spacing w:after="0"/>
              <w:rPr>
                <w:sz w:val="2"/>
                <w:szCs w:val="2"/>
                <w:color w:val="auto"/>
              </w:rPr>
            </w:pPr>
          </w:p>
        </w:tc>
        <w:tc>
          <w:tcPr>
            <w:tcW w:w="580" w:type="dxa"/>
            <w:vAlign w:val="bottom"/>
            <w:tcBorders>
              <w:bottom w:val="single" w:sz="8" w:color="477258"/>
            </w:tcBorders>
          </w:tcPr>
          <w:p>
            <w:pPr>
              <w:spacing w:after="0"/>
              <w:rPr>
                <w:sz w:val="2"/>
                <w:szCs w:val="2"/>
                <w:color w:val="auto"/>
              </w:rPr>
            </w:pPr>
          </w:p>
        </w:tc>
        <w:tc>
          <w:tcPr>
            <w:tcW w:w="220" w:type="dxa"/>
            <w:vAlign w:val="bottom"/>
            <w:tcBorders>
              <w:bottom w:val="single" w:sz="8" w:color="477258"/>
            </w:tcBorders>
          </w:tcPr>
          <w:p>
            <w:pPr>
              <w:spacing w:after="0"/>
              <w:rPr>
                <w:sz w:val="2"/>
                <w:szCs w:val="2"/>
                <w:color w:val="auto"/>
              </w:rPr>
            </w:pPr>
          </w:p>
        </w:tc>
        <w:tc>
          <w:tcPr>
            <w:tcW w:w="4860" w:type="dxa"/>
            <w:vAlign w:val="bottom"/>
            <w:tcBorders>
              <w:bottom w:val="single" w:sz="8" w:color="477258"/>
            </w:tcBorders>
            <w:gridSpan w:val="9"/>
          </w:tcPr>
          <w:p>
            <w:pPr>
              <w:spacing w:after="0"/>
              <w:rPr>
                <w:sz w:val="2"/>
                <w:szCs w:val="2"/>
                <w:color w:val="auto"/>
              </w:rPr>
            </w:pPr>
          </w:p>
        </w:tc>
        <w:tc>
          <w:tcPr>
            <w:tcW w:w="340" w:type="dxa"/>
            <w:vAlign w:val="bottom"/>
            <w:tcBorders>
              <w:bottom w:val="single" w:sz="8" w:color="477258"/>
            </w:tcBorders>
          </w:tcPr>
          <w:p>
            <w:pPr>
              <w:spacing w:after="0"/>
              <w:rPr>
                <w:sz w:val="2"/>
                <w:szCs w:val="2"/>
                <w:color w:val="auto"/>
              </w:rPr>
            </w:pPr>
          </w:p>
        </w:tc>
        <w:tc>
          <w:tcPr>
            <w:tcW w:w="440" w:type="dxa"/>
            <w:vAlign w:val="bottom"/>
            <w:tcBorders>
              <w:bottom w:val="single" w:sz="8" w:color="477258"/>
            </w:tcBorders>
          </w:tcPr>
          <w:p>
            <w:pPr>
              <w:spacing w:after="0"/>
              <w:rPr>
                <w:sz w:val="2"/>
                <w:szCs w:val="2"/>
                <w:color w:val="auto"/>
              </w:rPr>
            </w:pPr>
          </w:p>
        </w:tc>
        <w:tc>
          <w:tcPr>
            <w:tcW w:w="380" w:type="dxa"/>
            <w:vAlign w:val="bottom"/>
            <w:tcBorders>
              <w:bottom w:val="single" w:sz="8" w:color="477258"/>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2240" w:type="dxa"/>
            <w:vAlign w:val="bottom"/>
            <w:gridSpan w:val="3"/>
          </w:tcPr>
          <w:p>
            <w:pPr>
              <w:ind w:left="40"/>
              <w:spacing w:after="0"/>
              <w:rPr>
                <w:sz w:val="20"/>
                <w:szCs w:val="20"/>
                <w:color w:val="auto"/>
              </w:rPr>
            </w:pPr>
            <w:r>
              <w:rPr>
                <w:rFonts w:ascii="Arial" w:cs="Arial" w:eastAsia="Arial" w:hAnsi="Arial"/>
                <w:sz w:val="18"/>
                <w:szCs w:val="18"/>
                <w:color w:val="auto"/>
              </w:rPr>
              <w:t>Tamla D. Oates-Forney</w:t>
            </w:r>
          </w:p>
        </w:tc>
        <w:tc>
          <w:tcPr>
            <w:tcW w:w="580" w:type="dxa"/>
            <w:vAlign w:val="bottom"/>
          </w:tcPr>
          <w:p>
            <w:pPr>
              <w:ind w:left="180"/>
              <w:spacing w:after="0"/>
              <w:rPr>
                <w:sz w:val="20"/>
                <w:szCs w:val="20"/>
                <w:color w:val="auto"/>
              </w:rPr>
            </w:pPr>
            <w:r>
              <w:rPr>
                <w:rFonts w:ascii="Arial" w:cs="Arial" w:eastAsia="Arial" w:hAnsi="Arial"/>
                <w:sz w:val="18"/>
                <w:szCs w:val="18"/>
                <w:color w:val="auto"/>
              </w:rPr>
              <w:t>49</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4860" w:type="dxa"/>
            <w:vAlign w:val="bottom"/>
            <w:gridSpan w:val="9"/>
          </w:tcPr>
          <w:p>
            <w:pPr>
              <w:ind w:left="60"/>
              <w:spacing w:after="0"/>
              <w:rPr>
                <w:sz w:val="20"/>
                <w:szCs w:val="20"/>
                <w:color w:val="auto"/>
              </w:rPr>
            </w:pPr>
            <w:r>
              <w:rPr>
                <w:rFonts w:ascii="Arial" w:cs="Arial" w:eastAsia="Arial" w:hAnsi="Arial"/>
                <w:sz w:val="18"/>
                <w:szCs w:val="18"/>
                <w:color w:val="auto"/>
              </w:rPr>
              <w:t>Senior Vice President and Chief People Officer since</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ind w:left="60"/>
              <w:spacing w:after="0"/>
              <w:rPr>
                <w:sz w:val="20"/>
                <w:szCs w:val="20"/>
                <w:color w:val="auto"/>
              </w:rPr>
            </w:pPr>
            <w:r>
              <w:rPr>
                <w:rFonts w:ascii="Arial" w:cs="Arial" w:eastAsia="Arial" w:hAnsi="Arial"/>
                <w:sz w:val="18"/>
                <w:szCs w:val="18"/>
                <w:color w:val="auto"/>
              </w:rPr>
              <w:t>December 2018.</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80" w:type="dxa"/>
            <w:vAlign w:val="bottom"/>
            <w:gridSpan w:val="4"/>
          </w:tcPr>
          <w:p>
            <w:pPr>
              <w:ind w:left="100"/>
              <w:spacing w:after="0"/>
              <w:rPr>
                <w:sz w:val="20"/>
                <w:szCs w:val="20"/>
                <w:color w:val="auto"/>
              </w:rPr>
            </w:pPr>
            <w:r>
              <w:rPr>
                <w:rFonts w:ascii="Arial" w:cs="Arial" w:eastAsia="Arial" w:hAnsi="Arial"/>
                <w:sz w:val="18"/>
                <w:szCs w:val="18"/>
                <w:color w:val="477258"/>
              </w:rPr>
              <w:t xml:space="preserve">• </w:t>
            </w:r>
            <w:r>
              <w:rPr>
                <w:rFonts w:ascii="Arial" w:cs="Arial" w:eastAsia="Arial" w:hAnsi="Arial"/>
                <w:sz w:val="18"/>
                <w:szCs w:val="18"/>
                <w:color w:val="000000"/>
              </w:rPr>
              <w:t>Vice President,</w:t>
            </w:r>
          </w:p>
        </w:tc>
        <w:tc>
          <w:tcPr>
            <w:tcW w:w="4560" w:type="dxa"/>
            <w:vAlign w:val="bottom"/>
            <w:gridSpan w:val="9"/>
          </w:tcPr>
          <w:p>
            <w:pPr>
              <w:jc w:val="right"/>
              <w:spacing w:after="0"/>
              <w:rPr>
                <w:sz w:val="20"/>
                <w:szCs w:val="20"/>
                <w:color w:val="auto"/>
              </w:rPr>
            </w:pPr>
            <w:r>
              <w:rPr>
                <w:rFonts w:ascii="Arial" w:cs="Arial" w:eastAsia="Arial" w:hAnsi="Arial"/>
                <w:sz w:val="18"/>
                <w:szCs w:val="18"/>
                <w:color w:val="auto"/>
              </w:rPr>
              <w:t>Human Resources, GE Energy Connections, an</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20" w:type="dxa"/>
            <w:vAlign w:val="bottom"/>
            <w:gridSpan w:val="12"/>
          </w:tcPr>
          <w:p>
            <w:pPr>
              <w:ind w:left="60"/>
              <w:spacing w:after="0"/>
              <w:rPr>
                <w:sz w:val="20"/>
                <w:szCs w:val="20"/>
                <w:color w:val="auto"/>
              </w:rPr>
            </w:pPr>
            <w:r>
              <w:rPr>
                <w:rFonts w:ascii="Arial" w:cs="Arial" w:eastAsia="Arial" w:hAnsi="Arial"/>
                <w:sz w:val="18"/>
                <w:szCs w:val="18"/>
                <w:color w:val="auto"/>
              </w:rPr>
              <w:t>electrification and automation business included in the General</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6"/>
          </w:tcPr>
          <w:p>
            <w:pPr>
              <w:ind w:left="60"/>
              <w:spacing w:after="0"/>
              <w:rPr>
                <w:sz w:val="20"/>
                <w:szCs w:val="20"/>
                <w:color w:val="auto"/>
              </w:rPr>
            </w:pPr>
            <w:r>
              <w:rPr>
                <w:rFonts w:ascii="Arial" w:cs="Arial" w:eastAsia="Arial" w:hAnsi="Arial"/>
                <w:sz w:val="18"/>
                <w:szCs w:val="18"/>
                <w:color w:val="auto"/>
              </w:rPr>
              <w:t>Electric  Company  multinational</w:t>
            </w: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conglomerate,</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from</w:t>
            </w:r>
          </w:p>
        </w:tc>
        <w:tc>
          <w:tcPr>
            <w:tcW w:w="440" w:type="dxa"/>
            <w:vAlign w:val="bottom"/>
          </w:tcPr>
          <w:p>
            <w:pPr>
              <w:jc w:val="right"/>
              <w:spacing w:after="0"/>
              <w:rPr>
                <w:sz w:val="20"/>
                <w:szCs w:val="20"/>
                <w:color w:val="auto"/>
              </w:rPr>
            </w:pPr>
            <w:r>
              <w:rPr>
                <w:rFonts w:ascii="Arial" w:cs="Arial" w:eastAsia="Arial" w:hAnsi="Arial"/>
                <w:sz w:val="18"/>
                <w:szCs w:val="18"/>
                <w:color w:val="auto"/>
                <w:w w:val="99"/>
              </w:rPr>
              <w:t>2014</w:t>
            </w:r>
          </w:p>
        </w:tc>
        <w:tc>
          <w:tcPr>
            <w:tcW w:w="380" w:type="dxa"/>
            <w:vAlign w:val="bottom"/>
          </w:tcPr>
          <w:p>
            <w:pPr>
              <w:jc w:val="right"/>
              <w:spacing w:after="0"/>
              <w:rPr>
                <w:sz w:val="20"/>
                <w:szCs w:val="20"/>
                <w:color w:val="auto"/>
              </w:rPr>
            </w:pPr>
            <w:r>
              <w:rPr>
                <w:rFonts w:ascii="Arial" w:cs="Arial" w:eastAsia="Arial" w:hAnsi="Arial"/>
                <w:sz w:val="18"/>
                <w:szCs w:val="18"/>
                <w:color w:val="auto"/>
              </w:rPr>
              <w:t>to</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April 2018.</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660" w:type="dxa"/>
            <w:vAlign w:val="bottom"/>
            <w:tcBorders>
              <w:bottom w:val="single" w:sz="8" w:color="477258"/>
            </w:tcBorders>
            <w:gridSpan w:val="2"/>
          </w:tcPr>
          <w:p>
            <w:pPr>
              <w:spacing w:after="0"/>
              <w:rPr>
                <w:sz w:val="2"/>
                <w:szCs w:val="2"/>
                <w:color w:val="auto"/>
              </w:rPr>
            </w:pPr>
          </w:p>
        </w:tc>
        <w:tc>
          <w:tcPr>
            <w:tcW w:w="580" w:type="dxa"/>
            <w:vAlign w:val="bottom"/>
            <w:tcBorders>
              <w:bottom w:val="single" w:sz="8" w:color="477258"/>
            </w:tcBorders>
          </w:tcPr>
          <w:p>
            <w:pPr>
              <w:spacing w:after="0"/>
              <w:rPr>
                <w:sz w:val="2"/>
                <w:szCs w:val="2"/>
                <w:color w:val="auto"/>
              </w:rPr>
            </w:pPr>
          </w:p>
        </w:tc>
        <w:tc>
          <w:tcPr>
            <w:tcW w:w="580" w:type="dxa"/>
            <w:vAlign w:val="bottom"/>
            <w:tcBorders>
              <w:bottom w:val="single" w:sz="8" w:color="477258"/>
            </w:tcBorders>
          </w:tcPr>
          <w:p>
            <w:pPr>
              <w:spacing w:after="0"/>
              <w:rPr>
                <w:sz w:val="2"/>
                <w:szCs w:val="2"/>
                <w:color w:val="auto"/>
              </w:rPr>
            </w:pPr>
          </w:p>
        </w:tc>
        <w:tc>
          <w:tcPr>
            <w:tcW w:w="220" w:type="dxa"/>
            <w:vAlign w:val="bottom"/>
            <w:tcBorders>
              <w:bottom w:val="single" w:sz="8" w:color="477258"/>
            </w:tcBorders>
          </w:tcPr>
          <w:p>
            <w:pPr>
              <w:spacing w:after="0"/>
              <w:rPr>
                <w:sz w:val="2"/>
                <w:szCs w:val="2"/>
                <w:color w:val="auto"/>
              </w:rPr>
            </w:pPr>
          </w:p>
        </w:tc>
        <w:tc>
          <w:tcPr>
            <w:tcW w:w="5640" w:type="dxa"/>
            <w:vAlign w:val="bottom"/>
            <w:tcBorders>
              <w:bottom w:val="single" w:sz="8" w:color="477258"/>
            </w:tcBorders>
            <w:gridSpan w:val="11"/>
          </w:tcPr>
          <w:p>
            <w:pPr>
              <w:spacing w:after="0"/>
              <w:rPr>
                <w:sz w:val="2"/>
                <w:szCs w:val="2"/>
                <w:color w:val="auto"/>
              </w:rPr>
            </w:pPr>
          </w:p>
        </w:tc>
        <w:tc>
          <w:tcPr>
            <w:tcW w:w="380" w:type="dxa"/>
            <w:vAlign w:val="bottom"/>
            <w:tcBorders>
              <w:bottom w:val="single" w:sz="8" w:color="477258"/>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color w:val="auto"/>
              </w:rPr>
              <w:t>Devina A. Rankin</w:t>
            </w:r>
          </w:p>
        </w:tc>
        <w:tc>
          <w:tcPr>
            <w:tcW w:w="58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45</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5640" w:type="dxa"/>
            <w:vAlign w:val="bottom"/>
            <w:gridSpan w:val="11"/>
          </w:tcPr>
          <w:p>
            <w:pPr>
              <w:ind w:left="60"/>
              <w:spacing w:after="0"/>
              <w:rPr>
                <w:sz w:val="20"/>
                <w:szCs w:val="20"/>
                <w:color w:val="auto"/>
              </w:rPr>
            </w:pPr>
            <w:r>
              <w:rPr>
                <w:rFonts w:ascii="Arial" w:cs="Arial" w:eastAsia="Arial" w:hAnsi="Arial"/>
                <w:sz w:val="18"/>
                <w:szCs w:val="18"/>
                <w:color w:val="auto"/>
              </w:rPr>
              <w:t>Executive Vice President and Chief Financial Officer since</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color w:val="auto"/>
              </w:rPr>
              <w:t>February 2020.</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640" w:type="dxa"/>
            <w:vAlign w:val="bottom"/>
          </w:tcPr>
          <w:p>
            <w:pPr>
              <w:ind w:left="60"/>
              <w:spacing w:after="0"/>
              <w:rPr>
                <w:sz w:val="20"/>
                <w:szCs w:val="20"/>
                <w:color w:val="auto"/>
              </w:rPr>
            </w:pPr>
            <w:r>
              <w:rPr>
                <w:rFonts w:ascii="Arial" w:cs="Arial" w:eastAsia="Arial" w:hAnsi="Arial"/>
                <w:sz w:val="18"/>
                <w:szCs w:val="18"/>
                <w:color w:val="auto"/>
              </w:rPr>
              <w:t>Senior</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Vice</w:t>
            </w:r>
          </w:p>
        </w:tc>
        <w:tc>
          <w:tcPr>
            <w:tcW w:w="4560" w:type="dxa"/>
            <w:vAlign w:val="bottom"/>
            <w:gridSpan w:val="9"/>
          </w:tcPr>
          <w:p>
            <w:pPr>
              <w:jc w:val="right"/>
              <w:spacing w:after="0"/>
              <w:rPr>
                <w:sz w:val="20"/>
                <w:szCs w:val="20"/>
                <w:color w:val="auto"/>
              </w:rPr>
            </w:pPr>
            <w:r>
              <w:rPr>
                <w:rFonts w:ascii="Arial" w:cs="Arial" w:eastAsia="Arial" w:hAnsi="Arial"/>
                <w:sz w:val="18"/>
                <w:szCs w:val="18"/>
                <w:color w:val="auto"/>
              </w:rPr>
              <w:t>President   and   Chief   Financial   Officer   from</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6"/>
          </w:tcPr>
          <w:p>
            <w:pPr>
              <w:ind w:left="60"/>
              <w:spacing w:after="0"/>
              <w:rPr>
                <w:sz w:val="20"/>
                <w:szCs w:val="20"/>
                <w:color w:val="auto"/>
              </w:rPr>
            </w:pPr>
            <w:r>
              <w:rPr>
                <w:rFonts w:ascii="Arial" w:cs="Arial" w:eastAsia="Arial" w:hAnsi="Arial"/>
                <w:sz w:val="18"/>
                <w:szCs w:val="18"/>
                <w:color w:val="auto"/>
              </w:rPr>
              <w:t>February 2017 to February 2020.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ind w:left="100"/>
              <w:spacing w:after="0" w:line="189" w:lineRule="exact"/>
              <w:rPr>
                <w:sz w:val="20"/>
                <w:szCs w:val="20"/>
                <w:color w:val="auto"/>
              </w:rPr>
            </w:pPr>
            <w:r>
              <w:rPr>
                <w:rFonts w:ascii="Arial" w:cs="Arial" w:eastAsia="Arial" w:hAnsi="Arial"/>
                <w:sz w:val="18"/>
                <w:szCs w:val="18"/>
                <w:color w:val="477258"/>
              </w:rPr>
              <w:t>•</w:t>
            </w:r>
          </w:p>
        </w:tc>
        <w:tc>
          <w:tcPr>
            <w:tcW w:w="5640" w:type="dxa"/>
            <w:vAlign w:val="bottom"/>
            <w:gridSpan w:val="11"/>
          </w:tcPr>
          <w:p>
            <w:pPr>
              <w:ind w:left="60"/>
              <w:spacing w:after="0" w:line="189" w:lineRule="exact"/>
              <w:rPr>
                <w:sz w:val="20"/>
                <w:szCs w:val="20"/>
                <w:color w:val="auto"/>
              </w:rPr>
            </w:pPr>
            <w:r>
              <w:rPr>
                <w:rFonts w:ascii="Arial" w:cs="Arial" w:eastAsia="Arial" w:hAnsi="Arial"/>
                <w:sz w:val="18"/>
                <w:szCs w:val="18"/>
                <w:color w:val="auto"/>
              </w:rPr>
              <w:t>Also continued to serve as Treasurer from February 2017 to</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300" w:type="dxa"/>
            <w:vAlign w:val="bottom"/>
            <w:vMerge w:val="restart"/>
          </w:tcPr>
          <w:p>
            <w:pPr>
              <w:spacing w:after="0"/>
              <w:rPr>
                <w:sz w:val="20"/>
                <w:szCs w:val="20"/>
                <w:color w:val="auto"/>
              </w:rPr>
            </w:pPr>
            <w:r>
              <w:rPr>
                <w:rFonts w:ascii="Arial" w:cs="Arial" w:eastAsia="Arial" w:hAnsi="Arial"/>
                <w:sz w:val="18"/>
                <w:szCs w:val="18"/>
                <w:color w:val="auto"/>
              </w:rPr>
              <w:t>22</w:t>
            </w:r>
          </w:p>
        </w:tc>
        <w:tc>
          <w:tcPr>
            <w:tcW w:w="1360" w:type="dxa"/>
            <w:vAlign w:val="bottom"/>
            <w:vMerge w:val="restart"/>
          </w:tcPr>
          <w:p>
            <w:pPr>
              <w:jc w:val="right"/>
              <w:ind w:right="1018"/>
              <w:spacing w:after="0"/>
              <w:rPr>
                <w:sz w:val="20"/>
                <w:szCs w:val="20"/>
                <w:color w:val="auto"/>
              </w:rPr>
            </w:pPr>
            <w:r>
              <w:rPr>
                <w:rFonts w:ascii="Arial" w:cs="Arial" w:eastAsia="Arial" w:hAnsi="Arial"/>
                <w:sz w:val="32"/>
                <w:szCs w:val="32"/>
                <w:b w:val="1"/>
                <w:bCs w:val="1"/>
                <w:color w:val="477258"/>
              </w:rPr>
              <w: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ind w:left="60"/>
              <w:spacing w:after="0" w:line="163" w:lineRule="exact"/>
              <w:rPr>
                <w:sz w:val="20"/>
                <w:szCs w:val="20"/>
                <w:color w:val="auto"/>
              </w:rPr>
            </w:pPr>
            <w:r>
              <w:rPr>
                <w:rFonts w:ascii="Arial" w:cs="Arial" w:eastAsia="Arial" w:hAnsi="Arial"/>
                <w:sz w:val="18"/>
                <w:szCs w:val="18"/>
                <w:color w:val="auto"/>
              </w:rPr>
              <w:t>August 2017.</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020" w:type="dxa"/>
            <w:vAlign w:val="bottom"/>
            <w:gridSpan w:val="4"/>
          </w:tcPr>
          <w:p>
            <w:pPr>
              <w:spacing w:after="0" w:line="162" w:lineRule="exact"/>
              <w:rPr>
                <w:sz w:val="20"/>
                <w:szCs w:val="20"/>
                <w:color w:val="auto"/>
              </w:rPr>
            </w:pPr>
            <w:r>
              <w:rPr>
                <w:rFonts w:ascii="Arial" w:cs="Arial" w:eastAsia="Arial" w:hAnsi="Arial"/>
                <w:sz w:val="18"/>
                <w:szCs w:val="18"/>
                <w:color w:val="auto"/>
              </w:rPr>
              <w:t>2021 Proxy Statement</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ind w:left="100"/>
              <w:spacing w:after="0" w:line="121" w:lineRule="exact"/>
              <w:rPr>
                <w:sz w:val="20"/>
                <w:szCs w:val="20"/>
                <w:color w:val="auto"/>
              </w:rPr>
            </w:pPr>
            <w:r>
              <w:rPr>
                <w:rFonts w:ascii="Arial" w:cs="Arial" w:eastAsia="Arial" w:hAnsi="Arial"/>
                <w:sz w:val="13"/>
                <w:szCs w:val="13"/>
                <w:color w:val="477258"/>
              </w:rPr>
              <w:t>•</w:t>
            </w:r>
          </w:p>
        </w:tc>
        <w:tc>
          <w:tcPr>
            <w:tcW w:w="6020" w:type="dxa"/>
            <w:vAlign w:val="bottom"/>
            <w:gridSpan w:val="12"/>
          </w:tcPr>
          <w:p>
            <w:pPr>
              <w:ind w:left="60"/>
              <w:spacing w:after="0" w:line="121" w:lineRule="exact"/>
              <w:rPr>
                <w:sz w:val="20"/>
                <w:szCs w:val="20"/>
                <w:color w:val="auto"/>
              </w:rPr>
            </w:pPr>
            <w:r>
              <w:rPr>
                <w:rFonts w:ascii="Arial" w:cs="Arial" w:eastAsia="Arial" w:hAnsi="Arial"/>
                <w:sz w:val="13"/>
                <w:szCs w:val="13"/>
                <w:color w:val="auto"/>
              </w:rPr>
              <w:t>Vice President, Treasurer and Acting Chief Financial Officer from</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6"/>
          </w:tcPr>
          <w:p>
            <w:pPr>
              <w:ind w:left="60"/>
              <w:spacing w:after="0"/>
              <w:rPr>
                <w:sz w:val="20"/>
                <w:szCs w:val="20"/>
                <w:color w:val="auto"/>
              </w:rPr>
            </w:pPr>
            <w:r>
              <w:rPr>
                <w:rFonts w:ascii="Arial" w:cs="Arial" w:eastAsia="Arial" w:hAnsi="Arial"/>
                <w:sz w:val="18"/>
                <w:szCs w:val="18"/>
                <w:color w:val="auto"/>
              </w:rPr>
              <w:t>January 2017 to February 2017.</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300" w:type="dxa"/>
            <w:vAlign w:val="bottom"/>
            <w:tcBorders>
              <w:bottom w:val="single" w:sz="8" w:color="477258"/>
            </w:tcBorders>
          </w:tcPr>
          <w:p>
            <w:pPr>
              <w:spacing w:after="0"/>
              <w:rPr>
                <w:sz w:val="21"/>
                <w:szCs w:val="21"/>
                <w:color w:val="auto"/>
              </w:rPr>
            </w:pPr>
          </w:p>
        </w:tc>
        <w:tc>
          <w:tcPr>
            <w:tcW w:w="1360" w:type="dxa"/>
            <w:vAlign w:val="bottom"/>
            <w:tcBorders>
              <w:bottom w:val="single" w:sz="8" w:color="477258"/>
            </w:tcBorders>
          </w:tcPr>
          <w:p>
            <w:pPr>
              <w:spacing w:after="0"/>
              <w:rPr>
                <w:sz w:val="21"/>
                <w:szCs w:val="21"/>
                <w:color w:val="auto"/>
              </w:rPr>
            </w:pPr>
          </w:p>
        </w:tc>
        <w:tc>
          <w:tcPr>
            <w:tcW w:w="580" w:type="dxa"/>
            <w:vAlign w:val="bottom"/>
            <w:tcBorders>
              <w:bottom w:val="single" w:sz="8" w:color="477258"/>
            </w:tcBorders>
          </w:tcPr>
          <w:p>
            <w:pPr>
              <w:spacing w:after="0"/>
              <w:rPr>
                <w:sz w:val="21"/>
                <w:szCs w:val="21"/>
                <w:color w:val="auto"/>
              </w:rPr>
            </w:pPr>
          </w:p>
        </w:tc>
        <w:tc>
          <w:tcPr>
            <w:tcW w:w="580" w:type="dxa"/>
            <w:vAlign w:val="bottom"/>
            <w:tcBorders>
              <w:bottom w:val="single" w:sz="8" w:color="477258"/>
            </w:tcBorders>
          </w:tcPr>
          <w:p>
            <w:pPr>
              <w:spacing w:after="0"/>
              <w:rPr>
                <w:sz w:val="21"/>
                <w:szCs w:val="21"/>
                <w:color w:val="auto"/>
              </w:rPr>
            </w:pPr>
          </w:p>
        </w:tc>
        <w:tc>
          <w:tcPr>
            <w:tcW w:w="220" w:type="dxa"/>
            <w:vAlign w:val="bottom"/>
            <w:tcBorders>
              <w:bottom w:val="single" w:sz="8" w:color="477258"/>
            </w:tcBorders>
          </w:tcPr>
          <w:p>
            <w:pPr>
              <w:ind w:left="100"/>
              <w:spacing w:after="0"/>
              <w:rPr>
                <w:sz w:val="20"/>
                <w:szCs w:val="20"/>
                <w:color w:val="auto"/>
              </w:rPr>
            </w:pPr>
            <w:r>
              <w:rPr>
                <w:rFonts w:ascii="Arial" w:cs="Arial" w:eastAsia="Arial" w:hAnsi="Arial"/>
                <w:sz w:val="18"/>
                <w:szCs w:val="18"/>
                <w:color w:val="477258"/>
              </w:rPr>
              <w:t>•</w:t>
            </w:r>
          </w:p>
        </w:tc>
        <w:tc>
          <w:tcPr>
            <w:tcW w:w="5200" w:type="dxa"/>
            <w:vAlign w:val="bottom"/>
            <w:tcBorders>
              <w:bottom w:val="single" w:sz="8" w:color="477258"/>
            </w:tcBorders>
            <w:gridSpan w:val="10"/>
          </w:tcPr>
          <w:p>
            <w:pPr>
              <w:ind w:left="60"/>
              <w:spacing w:after="0"/>
              <w:rPr>
                <w:sz w:val="20"/>
                <w:szCs w:val="20"/>
                <w:color w:val="auto"/>
              </w:rPr>
            </w:pPr>
            <w:r>
              <w:rPr>
                <w:rFonts w:ascii="Arial" w:cs="Arial" w:eastAsia="Arial" w:hAnsi="Arial"/>
                <w:sz w:val="18"/>
                <w:szCs w:val="18"/>
                <w:color w:val="auto"/>
              </w:rPr>
              <w:t>Vice President and Treasurer from 2012 to January 2017.</w:t>
            </w:r>
          </w:p>
        </w:tc>
        <w:tc>
          <w:tcPr>
            <w:tcW w:w="440" w:type="dxa"/>
            <w:vAlign w:val="bottom"/>
            <w:tcBorders>
              <w:bottom w:val="single" w:sz="8" w:color="477258"/>
            </w:tcBorders>
          </w:tcPr>
          <w:p>
            <w:pPr>
              <w:spacing w:after="0"/>
              <w:rPr>
                <w:sz w:val="21"/>
                <w:szCs w:val="21"/>
                <w:color w:val="auto"/>
              </w:rPr>
            </w:pPr>
          </w:p>
        </w:tc>
        <w:tc>
          <w:tcPr>
            <w:tcW w:w="380" w:type="dxa"/>
            <w:vAlign w:val="bottom"/>
            <w:tcBorders>
              <w:bottom w:val="single" w:sz="8" w:color="477258"/>
            </w:tcBorders>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0" w:type="dxa"/>
            <w:vAlign w:val="bottom"/>
            <w:tcBorders>
              <w:bottom w:val="single" w:sz="8" w:color="9A9A9A"/>
            </w:tcBorders>
          </w:tcPr>
          <w:p>
            <w:pPr>
              <w:spacing w:after="0"/>
              <w:rPr>
                <w:sz w:val="20"/>
                <w:szCs w:val="20"/>
                <w:color w:val="auto"/>
              </w:rPr>
            </w:pPr>
          </w:p>
        </w:tc>
        <w:tc>
          <w:tcPr>
            <w:tcW w:w="1660" w:type="dxa"/>
            <w:vAlign w:val="bottom"/>
            <w:tcBorders>
              <w:bottom w:val="single" w:sz="8" w:color="9A9A9A"/>
            </w:tcBorders>
            <w:gridSpan w:val="2"/>
          </w:tcPr>
          <w:p>
            <w:pPr>
              <w:ind w:left="40"/>
              <w:spacing w:after="0"/>
              <w:rPr>
                <w:sz w:val="20"/>
                <w:szCs w:val="20"/>
                <w:color w:val="auto"/>
              </w:rPr>
            </w:pPr>
            <w:r>
              <w:rPr>
                <w:rFonts w:ascii="Arial" w:cs="Arial" w:eastAsia="Arial" w:hAnsi="Arial"/>
                <w:sz w:val="18"/>
                <w:szCs w:val="18"/>
                <w:color w:val="auto"/>
              </w:rPr>
              <w:t>Nikolaj H. Sjoqvist</w:t>
            </w:r>
          </w:p>
        </w:tc>
        <w:tc>
          <w:tcPr>
            <w:tcW w:w="58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ind w:left="180"/>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9A9A9A"/>
            </w:tcBorders>
          </w:tcPr>
          <w:p>
            <w:pPr>
              <w:ind w:left="100"/>
              <w:spacing w:after="0"/>
              <w:rPr>
                <w:sz w:val="20"/>
                <w:szCs w:val="20"/>
                <w:color w:val="auto"/>
              </w:rPr>
            </w:pPr>
            <w:r>
              <w:rPr>
                <w:rFonts w:ascii="Arial" w:cs="Arial" w:eastAsia="Arial" w:hAnsi="Arial"/>
                <w:sz w:val="18"/>
                <w:szCs w:val="18"/>
                <w:color w:val="477258"/>
              </w:rPr>
              <w:t>•</w:t>
            </w:r>
          </w:p>
        </w:tc>
        <w:tc>
          <w:tcPr>
            <w:tcW w:w="4860" w:type="dxa"/>
            <w:vAlign w:val="bottom"/>
            <w:tcBorders>
              <w:bottom w:val="single" w:sz="8" w:color="9A9A9A"/>
            </w:tcBorders>
            <w:gridSpan w:val="9"/>
          </w:tcPr>
          <w:p>
            <w:pPr>
              <w:ind w:left="60"/>
              <w:spacing w:after="0"/>
              <w:rPr>
                <w:sz w:val="20"/>
                <w:szCs w:val="20"/>
                <w:color w:val="auto"/>
              </w:rPr>
            </w:pPr>
            <w:r>
              <w:rPr>
                <w:rFonts w:ascii="Arial" w:cs="Arial" w:eastAsia="Arial" w:hAnsi="Arial"/>
                <w:sz w:val="18"/>
                <w:szCs w:val="18"/>
                <w:color w:val="auto"/>
              </w:rPr>
              <w:t>Senior Vice President and Chief Digital Officer since</w:t>
            </w:r>
          </w:p>
        </w:tc>
        <w:tc>
          <w:tcPr>
            <w:tcW w:w="34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3"/>
          </w:tcPr>
          <w:p>
            <w:pPr>
              <w:ind w:left="60"/>
              <w:spacing w:after="0" w:line="175" w:lineRule="exact"/>
              <w:rPr>
                <w:sz w:val="20"/>
                <w:szCs w:val="20"/>
                <w:color w:val="auto"/>
              </w:rPr>
            </w:pPr>
            <w:r>
              <w:rPr>
                <w:rFonts w:ascii="Arial" w:cs="Arial" w:eastAsia="Arial" w:hAnsi="Arial"/>
                <w:sz w:val="18"/>
                <w:szCs w:val="18"/>
                <w:color w:val="auto"/>
              </w:rPr>
              <w:t>October 2017.</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ind w:left="100"/>
              <w:spacing w:after="0" w:line="176" w:lineRule="exact"/>
              <w:rPr>
                <w:sz w:val="20"/>
                <w:szCs w:val="20"/>
                <w:color w:val="auto"/>
              </w:rPr>
            </w:pPr>
            <w:r>
              <w:rPr>
                <w:rFonts w:ascii="Arial" w:cs="Arial" w:eastAsia="Arial" w:hAnsi="Arial"/>
                <w:sz w:val="18"/>
                <w:szCs w:val="18"/>
                <w:color w:val="477258"/>
              </w:rPr>
              <w:t>•</w:t>
            </w:r>
          </w:p>
        </w:tc>
        <w:tc>
          <w:tcPr>
            <w:tcW w:w="4860" w:type="dxa"/>
            <w:vAlign w:val="bottom"/>
            <w:gridSpan w:val="9"/>
          </w:tcPr>
          <w:p>
            <w:pPr>
              <w:ind w:left="60"/>
              <w:spacing w:after="0" w:line="176" w:lineRule="exact"/>
              <w:rPr>
                <w:sz w:val="20"/>
                <w:szCs w:val="20"/>
                <w:color w:val="auto"/>
              </w:rPr>
            </w:pPr>
            <w:r>
              <w:rPr>
                <w:rFonts w:ascii="Arial" w:cs="Arial" w:eastAsia="Arial" w:hAnsi="Arial"/>
                <w:sz w:val="18"/>
                <w:szCs w:val="18"/>
                <w:color w:val="auto"/>
              </w:rPr>
              <w:t>Vice President — Revenue Management from 2012 to</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Borders>
              <w:bottom w:val="single" w:sz="8" w:color="477258"/>
            </w:tcBorders>
          </w:tcPr>
          <w:p>
            <w:pPr>
              <w:spacing w:after="0"/>
              <w:rPr>
                <w:sz w:val="18"/>
                <w:szCs w:val="18"/>
                <w:color w:val="auto"/>
              </w:rPr>
            </w:pPr>
          </w:p>
        </w:tc>
        <w:tc>
          <w:tcPr>
            <w:tcW w:w="1360" w:type="dxa"/>
            <w:vAlign w:val="bottom"/>
            <w:tcBorders>
              <w:bottom w:val="single" w:sz="8" w:color="477258"/>
            </w:tcBorders>
          </w:tcPr>
          <w:p>
            <w:pPr>
              <w:spacing w:after="0"/>
              <w:rPr>
                <w:sz w:val="18"/>
                <w:szCs w:val="18"/>
                <w:color w:val="auto"/>
              </w:rPr>
            </w:pPr>
          </w:p>
        </w:tc>
        <w:tc>
          <w:tcPr>
            <w:tcW w:w="580" w:type="dxa"/>
            <w:vAlign w:val="bottom"/>
            <w:tcBorders>
              <w:bottom w:val="single" w:sz="8" w:color="477258"/>
            </w:tcBorders>
          </w:tcPr>
          <w:p>
            <w:pPr>
              <w:spacing w:after="0"/>
              <w:rPr>
                <w:sz w:val="18"/>
                <w:szCs w:val="18"/>
                <w:color w:val="auto"/>
              </w:rPr>
            </w:pPr>
          </w:p>
        </w:tc>
        <w:tc>
          <w:tcPr>
            <w:tcW w:w="580" w:type="dxa"/>
            <w:vAlign w:val="bottom"/>
            <w:tcBorders>
              <w:bottom w:val="single" w:sz="8" w:color="477258"/>
            </w:tcBorders>
          </w:tcPr>
          <w:p>
            <w:pPr>
              <w:spacing w:after="0"/>
              <w:rPr>
                <w:sz w:val="18"/>
                <w:szCs w:val="18"/>
                <w:color w:val="auto"/>
              </w:rPr>
            </w:pPr>
          </w:p>
        </w:tc>
        <w:tc>
          <w:tcPr>
            <w:tcW w:w="220" w:type="dxa"/>
            <w:vAlign w:val="bottom"/>
            <w:tcBorders>
              <w:bottom w:val="single" w:sz="8" w:color="477258"/>
            </w:tcBorders>
          </w:tcPr>
          <w:p>
            <w:pPr>
              <w:spacing w:after="0"/>
              <w:rPr>
                <w:sz w:val="18"/>
                <w:szCs w:val="18"/>
                <w:color w:val="auto"/>
              </w:rPr>
            </w:pPr>
          </w:p>
        </w:tc>
        <w:tc>
          <w:tcPr>
            <w:tcW w:w="1460" w:type="dxa"/>
            <w:vAlign w:val="bottom"/>
            <w:tcBorders>
              <w:bottom w:val="single" w:sz="8" w:color="477258"/>
            </w:tcBorders>
            <w:gridSpan w:val="3"/>
          </w:tcPr>
          <w:p>
            <w:pPr>
              <w:ind w:left="60"/>
              <w:spacing w:after="0"/>
              <w:rPr>
                <w:sz w:val="20"/>
                <w:szCs w:val="20"/>
                <w:color w:val="auto"/>
              </w:rPr>
            </w:pPr>
            <w:r>
              <w:rPr>
                <w:rFonts w:ascii="Arial" w:cs="Arial" w:eastAsia="Arial" w:hAnsi="Arial"/>
                <w:sz w:val="18"/>
                <w:szCs w:val="18"/>
                <w:color w:val="auto"/>
              </w:rPr>
              <w:t>October 2017.</w:t>
            </w:r>
          </w:p>
        </w:tc>
        <w:tc>
          <w:tcPr>
            <w:tcW w:w="700" w:type="dxa"/>
            <w:vAlign w:val="bottom"/>
            <w:tcBorders>
              <w:bottom w:val="single" w:sz="8" w:color="477258"/>
            </w:tcBorders>
          </w:tcPr>
          <w:p>
            <w:pPr>
              <w:spacing w:after="0"/>
              <w:rPr>
                <w:sz w:val="18"/>
                <w:szCs w:val="18"/>
                <w:color w:val="auto"/>
              </w:rPr>
            </w:pPr>
          </w:p>
        </w:tc>
        <w:tc>
          <w:tcPr>
            <w:tcW w:w="640" w:type="dxa"/>
            <w:vAlign w:val="bottom"/>
            <w:tcBorders>
              <w:bottom w:val="single" w:sz="8" w:color="477258"/>
            </w:tcBorders>
          </w:tcPr>
          <w:p>
            <w:pPr>
              <w:spacing w:after="0"/>
              <w:rPr>
                <w:sz w:val="18"/>
                <w:szCs w:val="18"/>
                <w:color w:val="auto"/>
              </w:rPr>
            </w:pPr>
          </w:p>
        </w:tc>
        <w:tc>
          <w:tcPr>
            <w:tcW w:w="360" w:type="dxa"/>
            <w:vAlign w:val="bottom"/>
            <w:tcBorders>
              <w:bottom w:val="single" w:sz="8" w:color="477258"/>
            </w:tcBorders>
          </w:tcPr>
          <w:p>
            <w:pPr>
              <w:spacing w:after="0"/>
              <w:rPr>
                <w:sz w:val="18"/>
                <w:szCs w:val="18"/>
                <w:color w:val="auto"/>
              </w:rPr>
            </w:pPr>
          </w:p>
        </w:tc>
        <w:tc>
          <w:tcPr>
            <w:tcW w:w="280" w:type="dxa"/>
            <w:vAlign w:val="bottom"/>
            <w:tcBorders>
              <w:bottom w:val="single" w:sz="8" w:color="477258"/>
            </w:tcBorders>
          </w:tcPr>
          <w:p>
            <w:pPr>
              <w:spacing w:after="0"/>
              <w:rPr>
                <w:sz w:val="18"/>
                <w:szCs w:val="18"/>
                <w:color w:val="auto"/>
              </w:rPr>
            </w:pPr>
          </w:p>
        </w:tc>
        <w:tc>
          <w:tcPr>
            <w:tcW w:w="1120" w:type="dxa"/>
            <w:vAlign w:val="bottom"/>
            <w:tcBorders>
              <w:bottom w:val="single" w:sz="8" w:color="477258"/>
            </w:tcBorders>
          </w:tcPr>
          <w:p>
            <w:pPr>
              <w:spacing w:after="0"/>
              <w:rPr>
                <w:sz w:val="18"/>
                <w:szCs w:val="18"/>
                <w:color w:val="auto"/>
              </w:rPr>
            </w:pPr>
          </w:p>
        </w:tc>
        <w:tc>
          <w:tcPr>
            <w:tcW w:w="300" w:type="dxa"/>
            <w:vAlign w:val="bottom"/>
            <w:tcBorders>
              <w:bottom w:val="single" w:sz="8" w:color="477258"/>
            </w:tcBorders>
          </w:tcPr>
          <w:p>
            <w:pPr>
              <w:spacing w:after="0"/>
              <w:rPr>
                <w:sz w:val="18"/>
                <w:szCs w:val="18"/>
                <w:color w:val="auto"/>
              </w:rPr>
            </w:pPr>
          </w:p>
        </w:tc>
        <w:tc>
          <w:tcPr>
            <w:tcW w:w="340" w:type="dxa"/>
            <w:vAlign w:val="bottom"/>
            <w:tcBorders>
              <w:bottom w:val="single" w:sz="8" w:color="477258"/>
            </w:tcBorders>
          </w:tcPr>
          <w:p>
            <w:pPr>
              <w:spacing w:after="0"/>
              <w:rPr>
                <w:sz w:val="18"/>
                <w:szCs w:val="18"/>
                <w:color w:val="auto"/>
              </w:rPr>
            </w:pPr>
          </w:p>
        </w:tc>
        <w:tc>
          <w:tcPr>
            <w:tcW w:w="440" w:type="dxa"/>
            <w:vAlign w:val="bottom"/>
            <w:tcBorders>
              <w:bottom w:val="single" w:sz="8" w:color="477258"/>
            </w:tcBorders>
          </w:tcPr>
          <w:p>
            <w:pPr>
              <w:spacing w:after="0"/>
              <w:rPr>
                <w:sz w:val="18"/>
                <w:szCs w:val="18"/>
                <w:color w:val="auto"/>
              </w:rPr>
            </w:pPr>
          </w:p>
        </w:tc>
        <w:tc>
          <w:tcPr>
            <w:tcW w:w="380" w:type="dxa"/>
            <w:vAlign w:val="bottom"/>
            <w:tcBorders>
              <w:bottom w:val="single" w:sz="8" w:color="477258"/>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color w:val="auto"/>
              </w:rPr>
              <w:t>Michael J. Watson</w:t>
            </w:r>
          </w:p>
        </w:tc>
        <w:tc>
          <w:tcPr>
            <w:tcW w:w="58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51</w:t>
            </w: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5200" w:type="dxa"/>
            <w:vAlign w:val="bottom"/>
            <w:gridSpan w:val="10"/>
          </w:tcPr>
          <w:p>
            <w:pPr>
              <w:ind w:left="60"/>
              <w:spacing w:after="0"/>
              <w:rPr>
                <w:sz w:val="20"/>
                <w:szCs w:val="20"/>
                <w:color w:val="auto"/>
              </w:rPr>
            </w:pPr>
            <w:r>
              <w:rPr>
                <w:rFonts w:ascii="Arial" w:cs="Arial" w:eastAsia="Arial" w:hAnsi="Arial"/>
                <w:sz w:val="18"/>
                <w:szCs w:val="18"/>
                <w:color w:val="auto"/>
              </w:rPr>
              <w:t>Senior Vice President and Chief Customer Officer since</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color w:val="auto"/>
              </w:rPr>
              <w:t>October 2018.</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477258"/>
              </w:rPr>
              <w:t>•</w:t>
            </w:r>
          </w:p>
        </w:tc>
        <w:tc>
          <w:tcPr>
            <w:tcW w:w="6020" w:type="dxa"/>
            <w:vAlign w:val="bottom"/>
            <w:gridSpan w:val="12"/>
          </w:tcPr>
          <w:p>
            <w:pPr>
              <w:ind w:left="60"/>
              <w:spacing w:after="0"/>
              <w:rPr>
                <w:sz w:val="20"/>
                <w:szCs w:val="20"/>
                <w:color w:val="auto"/>
              </w:rPr>
            </w:pPr>
            <w:r>
              <w:rPr>
                <w:rFonts w:ascii="Arial" w:cs="Arial" w:eastAsia="Arial" w:hAnsi="Arial"/>
                <w:sz w:val="18"/>
                <w:szCs w:val="18"/>
                <w:color w:val="auto"/>
              </w:rPr>
              <w:t>Area Vice President — Illinois / Missouri Valley Area from 2013 to</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ind w:left="60"/>
              <w:spacing w:after="0"/>
              <w:rPr>
                <w:sz w:val="20"/>
                <w:szCs w:val="20"/>
                <w:color w:val="auto"/>
              </w:rPr>
            </w:pPr>
            <w:r>
              <w:rPr>
                <w:rFonts w:ascii="Arial" w:cs="Arial" w:eastAsia="Arial" w:hAnsi="Arial"/>
                <w:sz w:val="18"/>
                <w:szCs w:val="18"/>
                <w:color w:val="auto"/>
              </w:rPr>
              <w:t>September 2018.</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300" w:type="dxa"/>
            <w:vAlign w:val="bottom"/>
            <w:tcBorders>
              <w:bottom w:val="single" w:sz="8" w:color="477258"/>
            </w:tcBorders>
          </w:tcPr>
          <w:p>
            <w:pPr>
              <w:spacing w:after="0"/>
              <w:rPr>
                <w:sz w:val="5"/>
                <w:szCs w:val="5"/>
                <w:color w:val="auto"/>
              </w:rPr>
            </w:pPr>
          </w:p>
        </w:tc>
        <w:tc>
          <w:tcPr>
            <w:tcW w:w="1360" w:type="dxa"/>
            <w:vAlign w:val="bottom"/>
            <w:tcBorders>
              <w:bottom w:val="single" w:sz="8" w:color="477258"/>
            </w:tcBorders>
          </w:tcPr>
          <w:p>
            <w:pPr>
              <w:spacing w:after="0"/>
              <w:rPr>
                <w:sz w:val="5"/>
                <w:szCs w:val="5"/>
                <w:color w:val="auto"/>
              </w:rPr>
            </w:pPr>
          </w:p>
        </w:tc>
        <w:tc>
          <w:tcPr>
            <w:tcW w:w="580" w:type="dxa"/>
            <w:vAlign w:val="bottom"/>
            <w:tcBorders>
              <w:bottom w:val="single" w:sz="8" w:color="477258"/>
            </w:tcBorders>
          </w:tcPr>
          <w:p>
            <w:pPr>
              <w:spacing w:after="0"/>
              <w:rPr>
                <w:sz w:val="5"/>
                <w:szCs w:val="5"/>
                <w:color w:val="auto"/>
              </w:rPr>
            </w:pPr>
          </w:p>
        </w:tc>
        <w:tc>
          <w:tcPr>
            <w:tcW w:w="580" w:type="dxa"/>
            <w:vAlign w:val="bottom"/>
            <w:tcBorders>
              <w:bottom w:val="single" w:sz="8" w:color="477258"/>
            </w:tcBorders>
          </w:tcPr>
          <w:p>
            <w:pPr>
              <w:spacing w:after="0"/>
              <w:rPr>
                <w:sz w:val="5"/>
                <w:szCs w:val="5"/>
                <w:color w:val="auto"/>
              </w:rPr>
            </w:pPr>
          </w:p>
        </w:tc>
        <w:tc>
          <w:tcPr>
            <w:tcW w:w="220" w:type="dxa"/>
            <w:vAlign w:val="bottom"/>
            <w:tcBorders>
              <w:bottom w:val="single" w:sz="8" w:color="477258"/>
            </w:tcBorders>
          </w:tcPr>
          <w:p>
            <w:pPr>
              <w:spacing w:after="0"/>
              <w:rPr>
                <w:sz w:val="5"/>
                <w:szCs w:val="5"/>
                <w:color w:val="auto"/>
              </w:rPr>
            </w:pPr>
          </w:p>
        </w:tc>
        <w:tc>
          <w:tcPr>
            <w:tcW w:w="640" w:type="dxa"/>
            <w:vAlign w:val="bottom"/>
            <w:tcBorders>
              <w:bottom w:val="single" w:sz="8" w:color="477258"/>
            </w:tcBorders>
          </w:tcPr>
          <w:p>
            <w:pPr>
              <w:spacing w:after="0"/>
              <w:rPr>
                <w:sz w:val="5"/>
                <w:szCs w:val="5"/>
                <w:color w:val="auto"/>
              </w:rPr>
            </w:pPr>
          </w:p>
        </w:tc>
        <w:tc>
          <w:tcPr>
            <w:tcW w:w="380" w:type="dxa"/>
            <w:vAlign w:val="bottom"/>
            <w:tcBorders>
              <w:bottom w:val="single" w:sz="8" w:color="477258"/>
            </w:tcBorders>
          </w:tcPr>
          <w:p>
            <w:pPr>
              <w:spacing w:after="0"/>
              <w:rPr>
                <w:sz w:val="5"/>
                <w:szCs w:val="5"/>
                <w:color w:val="auto"/>
              </w:rPr>
            </w:pPr>
          </w:p>
        </w:tc>
        <w:tc>
          <w:tcPr>
            <w:tcW w:w="440" w:type="dxa"/>
            <w:vAlign w:val="bottom"/>
            <w:tcBorders>
              <w:bottom w:val="single" w:sz="8" w:color="477258"/>
            </w:tcBorders>
          </w:tcPr>
          <w:p>
            <w:pPr>
              <w:spacing w:after="0"/>
              <w:rPr>
                <w:sz w:val="5"/>
                <w:szCs w:val="5"/>
                <w:color w:val="auto"/>
              </w:rPr>
            </w:pPr>
          </w:p>
        </w:tc>
        <w:tc>
          <w:tcPr>
            <w:tcW w:w="700" w:type="dxa"/>
            <w:vAlign w:val="bottom"/>
            <w:tcBorders>
              <w:bottom w:val="single" w:sz="8" w:color="477258"/>
            </w:tcBorders>
          </w:tcPr>
          <w:p>
            <w:pPr>
              <w:spacing w:after="0"/>
              <w:rPr>
                <w:sz w:val="5"/>
                <w:szCs w:val="5"/>
                <w:color w:val="auto"/>
              </w:rPr>
            </w:pPr>
          </w:p>
        </w:tc>
        <w:tc>
          <w:tcPr>
            <w:tcW w:w="640" w:type="dxa"/>
            <w:vAlign w:val="bottom"/>
            <w:tcBorders>
              <w:bottom w:val="single" w:sz="8" w:color="477258"/>
            </w:tcBorders>
          </w:tcPr>
          <w:p>
            <w:pPr>
              <w:spacing w:after="0"/>
              <w:rPr>
                <w:sz w:val="5"/>
                <w:szCs w:val="5"/>
                <w:color w:val="auto"/>
              </w:rPr>
            </w:pPr>
          </w:p>
        </w:tc>
        <w:tc>
          <w:tcPr>
            <w:tcW w:w="360" w:type="dxa"/>
            <w:vAlign w:val="bottom"/>
            <w:tcBorders>
              <w:bottom w:val="single" w:sz="8" w:color="477258"/>
            </w:tcBorders>
          </w:tcPr>
          <w:p>
            <w:pPr>
              <w:spacing w:after="0"/>
              <w:rPr>
                <w:sz w:val="5"/>
                <w:szCs w:val="5"/>
                <w:color w:val="auto"/>
              </w:rPr>
            </w:pPr>
          </w:p>
        </w:tc>
        <w:tc>
          <w:tcPr>
            <w:tcW w:w="280" w:type="dxa"/>
            <w:vAlign w:val="bottom"/>
            <w:tcBorders>
              <w:bottom w:val="single" w:sz="8" w:color="477258"/>
            </w:tcBorders>
          </w:tcPr>
          <w:p>
            <w:pPr>
              <w:spacing w:after="0"/>
              <w:rPr>
                <w:sz w:val="5"/>
                <w:szCs w:val="5"/>
                <w:color w:val="auto"/>
              </w:rPr>
            </w:pPr>
          </w:p>
        </w:tc>
        <w:tc>
          <w:tcPr>
            <w:tcW w:w="1120" w:type="dxa"/>
            <w:vAlign w:val="bottom"/>
            <w:tcBorders>
              <w:bottom w:val="single" w:sz="8" w:color="477258"/>
            </w:tcBorders>
          </w:tcPr>
          <w:p>
            <w:pPr>
              <w:spacing w:after="0"/>
              <w:rPr>
                <w:sz w:val="5"/>
                <w:szCs w:val="5"/>
                <w:color w:val="auto"/>
              </w:rPr>
            </w:pPr>
          </w:p>
        </w:tc>
        <w:tc>
          <w:tcPr>
            <w:tcW w:w="300" w:type="dxa"/>
            <w:vAlign w:val="bottom"/>
            <w:tcBorders>
              <w:bottom w:val="single" w:sz="8" w:color="477258"/>
            </w:tcBorders>
          </w:tcPr>
          <w:p>
            <w:pPr>
              <w:spacing w:after="0"/>
              <w:rPr>
                <w:sz w:val="5"/>
                <w:szCs w:val="5"/>
                <w:color w:val="auto"/>
              </w:rPr>
            </w:pPr>
          </w:p>
        </w:tc>
        <w:tc>
          <w:tcPr>
            <w:tcW w:w="340" w:type="dxa"/>
            <w:vAlign w:val="bottom"/>
            <w:tcBorders>
              <w:bottom w:val="single" w:sz="8" w:color="477258"/>
            </w:tcBorders>
          </w:tcPr>
          <w:p>
            <w:pPr>
              <w:spacing w:after="0"/>
              <w:rPr>
                <w:sz w:val="5"/>
                <w:szCs w:val="5"/>
                <w:color w:val="auto"/>
              </w:rPr>
            </w:pPr>
          </w:p>
        </w:tc>
        <w:tc>
          <w:tcPr>
            <w:tcW w:w="440" w:type="dxa"/>
            <w:vAlign w:val="bottom"/>
            <w:tcBorders>
              <w:bottom w:val="single" w:sz="8" w:color="477258"/>
            </w:tcBorders>
          </w:tcPr>
          <w:p>
            <w:pPr>
              <w:spacing w:after="0"/>
              <w:rPr>
                <w:sz w:val="5"/>
                <w:szCs w:val="5"/>
                <w:color w:val="auto"/>
              </w:rPr>
            </w:pPr>
          </w:p>
        </w:tc>
        <w:tc>
          <w:tcPr>
            <w:tcW w:w="380" w:type="dxa"/>
            <w:vAlign w:val="bottom"/>
            <w:tcBorders>
              <w:bottom w:val="single" w:sz="8" w:color="477258"/>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-1006475</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-1006475</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-1619885</wp:posOffset>
            </wp:positionV>
            <wp:extent cx="45402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4025" cy="128905"/>
                    </a:xfrm>
                    <a:prstGeom prst="rect">
                      <a:avLst/>
                    </a:prstGeom>
                    <a:noFill/>
                  </pic:spPr>
                </pic:pic>
              </a:graphicData>
            </a:graphic>
          </wp:anchor>
        </w:drawing>
      </w:r>
    </w:p>
    <w:p>
      <w:pPr>
        <w:sectPr>
          <w:pgSz w:w="11900" w:h="16838" w:orient="portrait"/>
          <w:cols w:equalWidth="0" w:num="1">
            <w:col w:w="10720"/>
          </w:cols>
          <w:pgMar w:left="580" w:top="131" w:right="599" w:bottom="798"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EXECUTIVE COMPENSATION</w:t>
      </w:r>
    </w:p>
    <w:p>
      <w:pPr>
        <w:spacing w:after="0" w:line="114" w:lineRule="exact"/>
        <w:rPr>
          <w:sz w:val="20"/>
          <w:szCs w:val="20"/>
          <w:color w:val="auto"/>
        </w:rPr>
      </w:pPr>
    </w:p>
    <w:p>
      <w:pPr>
        <w:ind w:left="820" w:right="3880"/>
        <w:spacing w:after="0" w:line="341" w:lineRule="auto"/>
        <w:rPr>
          <w:sz w:val="20"/>
          <w:szCs w:val="20"/>
          <w:color w:val="auto"/>
        </w:rPr>
      </w:pPr>
      <w:r>
        <w:rPr>
          <w:rFonts w:ascii="Arial" w:cs="Arial" w:eastAsia="Arial" w:hAnsi="Arial"/>
          <w:sz w:val="22"/>
          <w:szCs w:val="22"/>
          <w:b w:val="1"/>
          <w:bCs w:val="1"/>
          <w:color w:val="477258"/>
        </w:rPr>
        <w:t>COMPENSATION DISCUSSION AND ANALYSIS Introduction</w:t>
      </w:r>
    </w:p>
    <w:p>
      <w:pPr>
        <w:spacing w:after="0" w:line="1" w:lineRule="exact"/>
        <w:rPr>
          <w:sz w:val="20"/>
          <w:szCs w:val="20"/>
          <w:color w:val="auto"/>
        </w:rPr>
      </w:pPr>
    </w:p>
    <w:p>
      <w:pPr>
        <w:jc w:val="both"/>
        <w:ind w:left="820"/>
        <w:spacing w:after="0" w:line="224" w:lineRule="auto"/>
        <w:rPr>
          <w:sz w:val="20"/>
          <w:szCs w:val="20"/>
          <w:color w:val="auto"/>
        </w:rPr>
      </w:pPr>
      <w:r>
        <w:rPr>
          <w:rFonts w:ascii="Arial" w:cs="Arial" w:eastAsia="Arial" w:hAnsi="Arial"/>
          <w:sz w:val="18"/>
          <w:szCs w:val="18"/>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2020 aligned with the Company’s 2020 financial goals and performance. The Compensation Discussion and Analysis helps readers better understand the information found in the Summary Compensation Table and other accompanying tables included in this Proxy Statement.</w:t>
      </w:r>
    </w:p>
    <w:p>
      <w:pPr>
        <w:spacing w:after="0" w:line="96"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This Compensation Discussion and Analysis focuses on our executive pay program as it relates to the following executive officers during 2020, whom we refer to as the “named executive officers” or “named executives”:</w:t>
      </w:r>
    </w:p>
    <w:p>
      <w:pPr>
        <w:spacing w:after="0" w:line="302" w:lineRule="exact"/>
        <w:rPr>
          <w:sz w:val="20"/>
          <w:szCs w:val="20"/>
          <w:color w:val="auto"/>
        </w:rPr>
      </w:pPr>
    </w:p>
    <w:p>
      <w:pPr>
        <w:ind w:left="1360" w:hanging="184"/>
        <w:spacing w:after="0"/>
        <w:tabs>
          <w:tab w:leader="none" w:pos="1360" w:val="left"/>
        </w:tabs>
        <w:numPr>
          <w:ilvl w:val="0"/>
          <w:numId w:val="27"/>
        </w:numPr>
        <w:rPr>
          <w:rFonts w:ascii="Arial" w:cs="Arial" w:eastAsia="Arial" w:hAnsi="Arial"/>
          <w:sz w:val="18"/>
          <w:szCs w:val="18"/>
          <w:color w:val="477258"/>
        </w:rPr>
      </w:pPr>
      <w:r>
        <w:rPr>
          <w:rFonts w:ascii="Arial" w:cs="Arial" w:eastAsia="Arial" w:hAnsi="Arial"/>
          <w:sz w:val="18"/>
          <w:szCs w:val="18"/>
          <w:color w:val="auto"/>
        </w:rPr>
        <w:t>Mr. James C. Fish, Jr. — President and Chief Executive Officer since November 2016.</w:t>
      </w:r>
    </w:p>
    <w:p>
      <w:pPr>
        <w:spacing w:after="0" w:line="103" w:lineRule="exact"/>
        <w:rPr>
          <w:rFonts w:ascii="Arial" w:cs="Arial" w:eastAsia="Arial" w:hAnsi="Arial"/>
          <w:sz w:val="18"/>
          <w:szCs w:val="18"/>
          <w:color w:val="477258"/>
        </w:rPr>
      </w:pPr>
    </w:p>
    <w:p>
      <w:pPr>
        <w:ind w:left="1360" w:hanging="184"/>
        <w:spacing w:after="0" w:line="261" w:lineRule="auto"/>
        <w:tabs>
          <w:tab w:leader="none" w:pos="1360" w:val="left"/>
        </w:tabs>
        <w:numPr>
          <w:ilvl w:val="0"/>
          <w:numId w:val="27"/>
        </w:numPr>
        <w:rPr>
          <w:rFonts w:ascii="Arial" w:cs="Arial" w:eastAsia="Arial" w:hAnsi="Arial"/>
          <w:sz w:val="18"/>
          <w:szCs w:val="18"/>
          <w:color w:val="477258"/>
        </w:rPr>
      </w:pPr>
      <w:r>
        <w:rPr>
          <w:rFonts w:ascii="Arial" w:cs="Arial" w:eastAsia="Arial" w:hAnsi="Arial"/>
          <w:sz w:val="18"/>
          <w:szCs w:val="18"/>
          <w:color w:val="auto"/>
        </w:rPr>
        <w:t>Ms. Devina A. Rankin — Executive Vice President and Chief Financial Officer since February 2020; Senior Vice President and Chief Financial Officer since February 2017.</w:t>
      </w:r>
    </w:p>
    <w:p>
      <w:pPr>
        <w:spacing w:after="0" w:line="76" w:lineRule="exact"/>
        <w:rPr>
          <w:rFonts w:ascii="Arial" w:cs="Arial" w:eastAsia="Arial" w:hAnsi="Arial"/>
          <w:sz w:val="18"/>
          <w:szCs w:val="18"/>
          <w:color w:val="477258"/>
        </w:rPr>
      </w:pPr>
    </w:p>
    <w:p>
      <w:pPr>
        <w:ind w:left="1360" w:hanging="184"/>
        <w:spacing w:after="0" w:line="261" w:lineRule="auto"/>
        <w:tabs>
          <w:tab w:leader="none" w:pos="1360" w:val="left"/>
        </w:tabs>
        <w:numPr>
          <w:ilvl w:val="0"/>
          <w:numId w:val="27"/>
        </w:numPr>
        <w:rPr>
          <w:rFonts w:ascii="Arial" w:cs="Arial" w:eastAsia="Arial" w:hAnsi="Arial"/>
          <w:sz w:val="18"/>
          <w:szCs w:val="18"/>
          <w:color w:val="477258"/>
        </w:rPr>
      </w:pPr>
      <w:r>
        <w:rPr>
          <w:rFonts w:ascii="Arial" w:cs="Arial" w:eastAsia="Arial" w:hAnsi="Arial"/>
          <w:sz w:val="18"/>
          <w:szCs w:val="18"/>
          <w:color w:val="auto"/>
        </w:rPr>
        <w:t>Mr. John J. Morris, Jr. — Executive Vice President and Chief Operating Officer since January 2019; Senior Vice President, Operations from July 2012 to December 2018.</w:t>
      </w:r>
    </w:p>
    <w:p>
      <w:pPr>
        <w:spacing w:after="0" w:line="89" w:lineRule="exact"/>
        <w:rPr>
          <w:rFonts w:ascii="Arial" w:cs="Arial" w:eastAsia="Arial" w:hAnsi="Arial"/>
          <w:sz w:val="18"/>
          <w:szCs w:val="18"/>
          <w:color w:val="477258"/>
        </w:rPr>
      </w:pPr>
    </w:p>
    <w:p>
      <w:pPr>
        <w:ind w:left="1360" w:hanging="184"/>
        <w:spacing w:after="0"/>
        <w:tabs>
          <w:tab w:leader="none" w:pos="1360" w:val="left"/>
        </w:tabs>
        <w:numPr>
          <w:ilvl w:val="0"/>
          <w:numId w:val="27"/>
        </w:numPr>
        <w:rPr>
          <w:rFonts w:ascii="Arial" w:cs="Arial" w:eastAsia="Arial" w:hAnsi="Arial"/>
          <w:sz w:val="18"/>
          <w:szCs w:val="18"/>
          <w:color w:val="477258"/>
        </w:rPr>
      </w:pPr>
      <w:r>
        <w:rPr>
          <w:rFonts w:ascii="Arial" w:cs="Arial" w:eastAsia="Arial" w:hAnsi="Arial"/>
          <w:sz w:val="18"/>
          <w:szCs w:val="18"/>
          <w:color w:val="auto"/>
        </w:rPr>
        <w:t>Ms. Tara J. Hemmer — Senior Vice President, Operations since January 2019.</w:t>
      </w:r>
    </w:p>
    <w:p>
      <w:pPr>
        <w:spacing w:after="0" w:line="103" w:lineRule="exact"/>
        <w:rPr>
          <w:rFonts w:ascii="Arial" w:cs="Arial" w:eastAsia="Arial" w:hAnsi="Arial"/>
          <w:sz w:val="18"/>
          <w:szCs w:val="18"/>
          <w:color w:val="477258"/>
        </w:rPr>
      </w:pPr>
    </w:p>
    <w:p>
      <w:pPr>
        <w:ind w:left="1360" w:hanging="184"/>
        <w:spacing w:after="0"/>
        <w:tabs>
          <w:tab w:leader="none" w:pos="1360" w:val="left"/>
        </w:tabs>
        <w:numPr>
          <w:ilvl w:val="0"/>
          <w:numId w:val="27"/>
        </w:numPr>
        <w:rPr>
          <w:rFonts w:ascii="Arial" w:cs="Arial" w:eastAsia="Arial" w:hAnsi="Arial"/>
          <w:sz w:val="18"/>
          <w:szCs w:val="18"/>
          <w:color w:val="477258"/>
        </w:rPr>
      </w:pPr>
      <w:r>
        <w:rPr>
          <w:rFonts w:ascii="Arial" w:cs="Arial" w:eastAsia="Arial" w:hAnsi="Arial"/>
          <w:sz w:val="18"/>
          <w:szCs w:val="18"/>
          <w:color w:val="auto"/>
        </w:rPr>
        <w:t>Mr. Steven R. Batchelor — Senior Vice President, Operations since January 2019.</w:t>
      </w:r>
    </w:p>
    <w:p>
      <w:pPr>
        <w:spacing w:after="0" w:line="117" w:lineRule="exact"/>
        <w:rPr>
          <w:sz w:val="20"/>
          <w:szCs w:val="20"/>
          <w:color w:val="auto"/>
        </w:rPr>
      </w:pPr>
    </w:p>
    <w:p>
      <w:pPr>
        <w:jc w:val="both"/>
        <w:ind w:left="820"/>
        <w:spacing w:after="0" w:line="246" w:lineRule="auto"/>
        <w:rPr>
          <w:sz w:val="20"/>
          <w:szCs w:val="20"/>
          <w:color w:val="auto"/>
        </w:rPr>
      </w:pPr>
      <w:r>
        <w:rPr>
          <w:rFonts w:ascii="Arial" w:cs="Arial" w:eastAsia="Arial" w:hAnsi="Arial"/>
          <w:sz w:val="18"/>
          <w:szCs w:val="18"/>
          <w:color w:val="auto"/>
        </w:rPr>
        <w:t>For additional information about the named executives’ background and prior experience with the Company, see “Executive Officers” above.</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Executive Summary</w:t>
      </w:r>
    </w:p>
    <w:p>
      <w:pPr>
        <w:spacing w:after="0" w:line="134"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objective of our executive compensation program is to attract, retain, reward and incentivize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w:t>
      </w:r>
    </w:p>
    <w:p>
      <w:pPr>
        <w:spacing w:after="0" w:line="293" w:lineRule="exact"/>
        <w:rPr>
          <w:sz w:val="20"/>
          <w:szCs w:val="20"/>
          <w:color w:val="auto"/>
        </w:rPr>
      </w:pPr>
    </w:p>
    <w:p>
      <w:pPr>
        <w:jc w:val="both"/>
        <w:ind w:left="820"/>
        <w:spacing w:after="0" w:line="236" w:lineRule="auto"/>
        <w:rPr>
          <w:sz w:val="20"/>
          <w:szCs w:val="20"/>
          <w:color w:val="auto"/>
        </w:rPr>
      </w:pPr>
      <w:r>
        <w:rPr>
          <w:rFonts w:ascii="Arial" w:cs="Arial" w:eastAsia="Arial" w:hAnsi="Arial"/>
          <w:sz w:val="18"/>
          <w:szCs w:val="18"/>
          <w:color w:val="auto"/>
        </w:rPr>
        <w:t>We have enabled a people -first, technology-led focus, that leverages and sustains the strongest asset network in the industry to drive best in class customer experience and growth. As North America’s leading provider of comprehensive waste management environmental services, sustainability and environmental stewardship is embedded in all that we do. As a result, we believe that positive financial results, including the results for the performance measures on which our executives are compensated, are naturally aligned with the successful execution of our goals to put our people first and position them to serve and care for our customers, the environment, the communities in which we work and our stockholders. On the other hand, we believe our Company would not be successful, on financial performance measures or otherwise, without our industry-leading focus on sustainability.</w:t>
      </w:r>
    </w:p>
    <w:p>
      <w:pPr>
        <w:spacing w:after="0" w:line="99"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The following key structural elements and policies further the objective of our executive compensation program:</w:t>
      </w:r>
    </w:p>
    <w:p>
      <w:pPr>
        <w:spacing w:after="0" w:line="311" w:lineRule="exact"/>
        <w:rPr>
          <w:sz w:val="20"/>
          <w:szCs w:val="20"/>
          <w:color w:val="auto"/>
        </w:rPr>
      </w:pPr>
    </w:p>
    <w:p>
      <w:pPr>
        <w:jc w:val="both"/>
        <w:ind w:left="1360" w:hanging="184"/>
        <w:spacing w:after="0" w:line="252" w:lineRule="auto"/>
        <w:tabs>
          <w:tab w:leader="none" w:pos="1360" w:val="left"/>
        </w:tabs>
        <w:numPr>
          <w:ilvl w:val="0"/>
          <w:numId w:val="28"/>
        </w:numPr>
        <w:rPr>
          <w:rFonts w:ascii="Arial" w:cs="Arial" w:eastAsia="Arial" w:hAnsi="Arial"/>
          <w:sz w:val="18"/>
          <w:szCs w:val="18"/>
          <w:color w:val="477258"/>
        </w:rPr>
      </w:pPr>
      <w:r>
        <w:rPr>
          <w:rFonts w:ascii="Arial" w:cs="Arial" w:eastAsia="Arial" w:hAnsi="Arial"/>
          <w:sz w:val="18"/>
          <w:szCs w:val="18"/>
          <w:color w:val="auto"/>
        </w:rPr>
        <w:t>a substantial portion of executive compensation is linked to Company performance, through annual cash incentive performance criteria and long-term equity-based incentive awards. As a result, our executive compensation program provides for notably higher total compensation in periods of above-target Company performance, as we saw with respect to compensation elements with a three-year performance period ended 2020. Performance-based annual cash incentive and long-term equity-based incentive awards comprised 88.6% of total 2020 target compensation for our President and Chief Executive Officer, while approximately 80% of the 2020 target compensation opportunities for our other named executives was performance-based;</w:t>
      </w:r>
    </w:p>
    <w:p>
      <w:pPr>
        <w:spacing w:after="0" w:line="313" w:lineRule="exact"/>
        <w:rPr>
          <w:rFonts w:ascii="Arial" w:cs="Arial" w:eastAsia="Arial" w:hAnsi="Arial"/>
          <w:sz w:val="18"/>
          <w:szCs w:val="18"/>
          <w:color w:val="477258"/>
        </w:rPr>
      </w:pPr>
    </w:p>
    <w:p>
      <w:pPr>
        <w:jc w:val="both"/>
        <w:ind w:left="1360" w:hanging="184"/>
        <w:spacing w:after="0" w:line="256" w:lineRule="auto"/>
        <w:tabs>
          <w:tab w:leader="none" w:pos="1360" w:val="left"/>
        </w:tabs>
        <w:numPr>
          <w:ilvl w:val="0"/>
          <w:numId w:val="28"/>
        </w:numPr>
        <w:rPr>
          <w:rFonts w:ascii="Arial" w:cs="Arial" w:eastAsia="Arial" w:hAnsi="Arial"/>
          <w:sz w:val="18"/>
          <w:szCs w:val="18"/>
          <w:color w:val="477258"/>
        </w:rPr>
      </w:pPr>
      <w:r>
        <w:rPr>
          <w:rFonts w:ascii="Arial" w:cs="Arial" w:eastAsia="Arial" w:hAnsi="Arial"/>
          <w:sz w:val="18"/>
          <w:szCs w:val="18"/>
          <w:color w:val="auto"/>
        </w:rPr>
        <w:t>at target, 71.5% of total compensation of our President and Chief Executive Officer was tied to long-term equity awards, and 60% of total compensation of our other named executives was tied to long-term equity awards, which aligns executives’ interests with those of stockholders;</w:t>
      </w:r>
    </w:p>
    <w:p>
      <w:pPr>
        <w:spacing w:after="0" w:line="234"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-149860</wp:posOffset>
            </wp:positionV>
            <wp:extent cx="454660"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4660" cy="12001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ind w:left="1360" w:hanging="184"/>
        <w:spacing w:after="0" w:line="261" w:lineRule="auto"/>
        <w:tabs>
          <w:tab w:leader="none" w:pos="1360" w:val="left"/>
        </w:tabs>
        <w:numPr>
          <w:ilvl w:val="0"/>
          <w:numId w:val="29"/>
        </w:numPr>
        <w:rPr>
          <w:rFonts w:ascii="Arial" w:cs="Arial" w:eastAsia="Arial" w:hAnsi="Arial"/>
          <w:sz w:val="18"/>
          <w:szCs w:val="18"/>
          <w:color w:val="477258"/>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89" w:lineRule="exact"/>
        <w:rPr>
          <w:rFonts w:ascii="Arial" w:cs="Arial" w:eastAsia="Arial" w:hAnsi="Arial"/>
          <w:sz w:val="18"/>
          <w:szCs w:val="18"/>
          <w:color w:val="477258"/>
        </w:rPr>
      </w:pPr>
    </w:p>
    <w:p>
      <w:pPr>
        <w:jc w:val="both"/>
        <w:ind w:left="1360" w:hanging="184"/>
        <w:spacing w:after="0" w:line="256" w:lineRule="auto"/>
        <w:tabs>
          <w:tab w:leader="none" w:pos="1360" w:val="left"/>
        </w:tabs>
        <w:numPr>
          <w:ilvl w:val="0"/>
          <w:numId w:val="29"/>
        </w:numPr>
        <w:rPr>
          <w:rFonts w:ascii="Arial" w:cs="Arial" w:eastAsia="Arial" w:hAnsi="Arial"/>
          <w:sz w:val="18"/>
          <w:szCs w:val="18"/>
          <w:color w:val="477258"/>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93" w:lineRule="exact"/>
        <w:rPr>
          <w:rFonts w:ascii="Arial" w:cs="Arial" w:eastAsia="Arial" w:hAnsi="Arial"/>
          <w:sz w:val="18"/>
          <w:szCs w:val="18"/>
          <w:color w:val="477258"/>
        </w:rPr>
      </w:pPr>
    </w:p>
    <w:p>
      <w:pPr>
        <w:jc w:val="both"/>
        <w:ind w:left="1360" w:hanging="184"/>
        <w:spacing w:after="0" w:line="256" w:lineRule="auto"/>
        <w:tabs>
          <w:tab w:leader="none" w:pos="1360" w:val="left"/>
        </w:tabs>
        <w:numPr>
          <w:ilvl w:val="0"/>
          <w:numId w:val="29"/>
        </w:numPr>
        <w:rPr>
          <w:rFonts w:ascii="Arial" w:cs="Arial" w:eastAsia="Arial" w:hAnsi="Arial"/>
          <w:sz w:val="18"/>
          <w:szCs w:val="18"/>
          <w:color w:val="477258"/>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80" w:lineRule="exact"/>
        <w:rPr>
          <w:rFonts w:ascii="Arial" w:cs="Arial" w:eastAsia="Arial" w:hAnsi="Arial"/>
          <w:sz w:val="18"/>
          <w:szCs w:val="18"/>
          <w:color w:val="477258"/>
        </w:rPr>
      </w:pPr>
    </w:p>
    <w:p>
      <w:pPr>
        <w:ind w:left="1360" w:hanging="184"/>
        <w:spacing w:after="0" w:line="261" w:lineRule="auto"/>
        <w:tabs>
          <w:tab w:leader="none" w:pos="1360" w:val="left"/>
        </w:tabs>
        <w:numPr>
          <w:ilvl w:val="0"/>
          <w:numId w:val="29"/>
        </w:numPr>
        <w:rPr>
          <w:rFonts w:ascii="Arial" w:cs="Arial" w:eastAsia="Arial" w:hAnsi="Arial"/>
          <w:sz w:val="18"/>
          <w:szCs w:val="18"/>
          <w:color w:val="477258"/>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89" w:lineRule="exact"/>
        <w:rPr>
          <w:rFonts w:ascii="Arial" w:cs="Arial" w:eastAsia="Arial" w:hAnsi="Arial"/>
          <w:sz w:val="18"/>
          <w:szCs w:val="18"/>
          <w:color w:val="477258"/>
        </w:rPr>
      </w:pPr>
    </w:p>
    <w:p>
      <w:pPr>
        <w:jc w:val="both"/>
        <w:ind w:left="1360" w:hanging="184"/>
        <w:spacing w:after="0" w:line="256" w:lineRule="auto"/>
        <w:tabs>
          <w:tab w:leader="none" w:pos="1360" w:val="left"/>
        </w:tabs>
        <w:numPr>
          <w:ilvl w:val="0"/>
          <w:numId w:val="29"/>
        </w:numPr>
        <w:rPr>
          <w:rFonts w:ascii="Arial" w:cs="Arial" w:eastAsia="Arial" w:hAnsi="Arial"/>
          <w:sz w:val="18"/>
          <w:szCs w:val="18"/>
          <w:color w:val="477258"/>
        </w:rPr>
      </w:pPr>
      <w:r>
        <w:rPr>
          <w:rFonts w:ascii="Arial" w:cs="Arial" w:eastAsia="Arial" w:hAnsi="Arial"/>
          <w:sz w:val="18"/>
          <w:szCs w:val="18"/>
          <w:color w:val="auto"/>
        </w:rPr>
        <w:t>the Company has clawback provisions in its equity award agreements and executive officer employment agreements, and has adopted a clawback policy applicable to annual incentive compensation, designed to recoup compensation when cause and/or misconduct are found;</w:t>
      </w:r>
    </w:p>
    <w:p>
      <w:pPr>
        <w:spacing w:after="0" w:line="93" w:lineRule="exact"/>
        <w:rPr>
          <w:rFonts w:ascii="Arial" w:cs="Arial" w:eastAsia="Arial" w:hAnsi="Arial"/>
          <w:sz w:val="18"/>
          <w:szCs w:val="18"/>
          <w:color w:val="477258"/>
        </w:rPr>
      </w:pPr>
    </w:p>
    <w:p>
      <w:pPr>
        <w:jc w:val="both"/>
        <w:ind w:left="1360" w:hanging="184"/>
        <w:spacing w:after="0" w:line="256" w:lineRule="auto"/>
        <w:tabs>
          <w:tab w:leader="none" w:pos="1360" w:val="left"/>
        </w:tabs>
        <w:numPr>
          <w:ilvl w:val="0"/>
          <w:numId w:val="29"/>
        </w:numPr>
        <w:rPr>
          <w:rFonts w:ascii="Arial" w:cs="Arial" w:eastAsia="Arial" w:hAnsi="Arial"/>
          <w:sz w:val="18"/>
          <w:szCs w:val="18"/>
          <w:color w:val="477258"/>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entered into after the date of such policy (the “Severance Limitation Policy”); and</w:t>
      </w:r>
    </w:p>
    <w:p>
      <w:pPr>
        <w:spacing w:after="0" w:line="93" w:lineRule="exact"/>
        <w:rPr>
          <w:rFonts w:ascii="Arial" w:cs="Arial" w:eastAsia="Arial" w:hAnsi="Arial"/>
          <w:sz w:val="18"/>
          <w:szCs w:val="18"/>
          <w:color w:val="477258"/>
        </w:rPr>
      </w:pPr>
    </w:p>
    <w:p>
      <w:pPr>
        <w:ind w:left="1360" w:right="20" w:hanging="184"/>
        <w:spacing w:after="0" w:line="261" w:lineRule="auto"/>
        <w:tabs>
          <w:tab w:leader="none" w:pos="1360" w:val="left"/>
        </w:tabs>
        <w:numPr>
          <w:ilvl w:val="0"/>
          <w:numId w:val="29"/>
        </w:numPr>
        <w:rPr>
          <w:rFonts w:ascii="Arial" w:cs="Arial" w:eastAsia="Arial" w:hAnsi="Arial"/>
          <w:sz w:val="18"/>
          <w:szCs w:val="18"/>
          <w:color w:val="477258"/>
        </w:rPr>
      </w:pPr>
      <w:r>
        <w:rPr>
          <w:rFonts w:ascii="Arial" w:cs="Arial" w:eastAsia="Arial" w:hAnsi="Arial"/>
          <w:sz w:val="18"/>
          <w:szCs w:val="18"/>
          <w:color w:val="auto"/>
        </w:rPr>
        <w:t>the Company has adopted a policy that prohibits it from entering into new agreements with executive officers that provide for certain death benefits or tax gross-up payments.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2020 Pay-For-Performance</w:t>
      </w:r>
    </w:p>
    <w:p>
      <w:pPr>
        <w:spacing w:after="0" w:line="134" w:lineRule="exact"/>
        <w:rPr>
          <w:sz w:val="20"/>
          <w:szCs w:val="20"/>
          <w:color w:val="auto"/>
        </w:rPr>
      </w:pPr>
    </w:p>
    <w:p>
      <w:pPr>
        <w:jc w:val="both"/>
        <w:ind w:left="820"/>
        <w:spacing w:after="0" w:line="238" w:lineRule="auto"/>
        <w:rPr>
          <w:sz w:val="20"/>
          <w:szCs w:val="20"/>
          <w:color w:val="auto"/>
        </w:rPr>
      </w:pPr>
      <w:r>
        <w:rPr>
          <w:rFonts w:ascii="Arial" w:cs="Arial" w:eastAsia="Arial" w:hAnsi="Arial"/>
          <w:sz w:val="18"/>
          <w:szCs w:val="18"/>
          <w:color w:val="auto"/>
        </w:rPr>
        <w:t>During 2020, we delivered solid operating income and cash flows despite revenue declines in our collection and disposal lines of business due to the COVID-19 pandemic. The Company continued its commitment to supporting both organic and inorganic growth during 2020, with the highlight being the completion of our acquisition of Advanced Disposal Services, Inc. (“Advanced Disposal”). Following is a summary of the 2020 compensation program results:</w:t>
      </w:r>
    </w:p>
    <w:p>
      <w:pPr>
        <w:spacing w:after="0" w:line="180"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Total Shareholder Return</w:t>
      </w:r>
    </w:p>
    <w:p>
      <w:pPr>
        <w:spacing w:after="0" w:line="139" w:lineRule="exact"/>
        <w:rPr>
          <w:sz w:val="20"/>
          <w:szCs w:val="20"/>
          <w:color w:val="auto"/>
        </w:rPr>
      </w:pPr>
    </w:p>
    <w:p>
      <w:pPr>
        <w:jc w:val="both"/>
        <w:ind w:left="820"/>
        <w:spacing w:after="0" w:line="237" w:lineRule="auto"/>
        <w:rPr>
          <w:sz w:val="20"/>
          <w:szCs w:val="20"/>
          <w:color w:val="auto"/>
        </w:rPr>
      </w:pPr>
      <w:r>
        <w:rPr>
          <w:rFonts w:ascii="Arial" w:cs="Arial" w:eastAsia="Arial" w:hAnsi="Arial"/>
          <w:sz w:val="18"/>
          <w:szCs w:val="18"/>
          <w:color w:val="auto"/>
        </w:rPr>
        <w:t>With respect to the half of the performance share units (“PSUs”) granted in 2018 with a three-year performance period ended December 31, 2020 that was subject to total shareholder return relative to the S&amp;P 500 (“TSR PSUs”), the performance of the Company’s Common Stock on this measure translated into a percentile rank relative to the S&amp;P 500 of 68.21%, resulting in a 172.84% payout on these PSUs in shares of Common Stock. This performance directly benefited our stockholders, delivering total shareholder return of 45.67% over the three-year performance period.</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Cash Flow Generation</w:t>
      </w:r>
    </w:p>
    <w:p>
      <w:pPr>
        <w:spacing w:after="0" w:line="139" w:lineRule="exact"/>
        <w:rPr>
          <w:sz w:val="20"/>
          <w:szCs w:val="20"/>
          <w:color w:val="auto"/>
        </w:rPr>
      </w:pPr>
    </w:p>
    <w:p>
      <w:pPr>
        <w:jc w:val="both"/>
        <w:ind w:left="820"/>
        <w:spacing w:after="0" w:line="238" w:lineRule="auto"/>
        <w:rPr>
          <w:sz w:val="20"/>
          <w:szCs w:val="20"/>
          <w:color w:val="auto"/>
        </w:rPr>
      </w:pPr>
      <w:r>
        <w:rPr>
          <w:rFonts w:ascii="Arial" w:cs="Arial" w:eastAsia="Arial" w:hAnsi="Arial"/>
          <w:sz w:val="18"/>
          <w:szCs w:val="18"/>
          <w:color w:val="auto"/>
        </w:rPr>
        <w:t>The Company generated net cash flow from operating activities, less capital expenditures, for purposes of the performance goal associated with the other half of our PSUs (“Cash Flow PSUs”) granted in 2018, of $7.009 billion, exceeding the maximum performance level of $6.316 billion for the three- year performance period ended December 31, 2020. This performance resulted in a maximum 200% payout on these PSUs in shares of Common Stock.</w:t>
      </w:r>
    </w:p>
    <w:p>
      <w:pPr>
        <w:spacing w:after="0" w:line="180"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Annual Incentive Performance Measures</w:t>
      </w:r>
    </w:p>
    <w:p>
      <w:pPr>
        <w:spacing w:after="0" w:line="139"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Company performance on annual cash incentive performance measures for named executive officers is set forth below. Due to these results, each of the named executives received an annual cash incentive payment for 2020 equal to 68.1% of target.</w:t>
      </w:r>
    </w:p>
    <w:p>
      <w:pPr>
        <w:spacing w:after="0" w:line="77" w:lineRule="exact"/>
        <w:rPr>
          <w:sz w:val="20"/>
          <w:szCs w:val="20"/>
          <w:color w:val="auto"/>
        </w:rPr>
      </w:pPr>
    </w:p>
    <w:p>
      <w:pPr>
        <w:ind w:left="1180"/>
        <w:spacing w:after="0" w:line="282" w:lineRule="auto"/>
        <w:rPr>
          <w:sz w:val="20"/>
          <w:szCs w:val="20"/>
          <w:color w:val="auto"/>
        </w:rPr>
      </w:pPr>
      <w:r>
        <w:rPr>
          <w:rFonts w:ascii="Arial" w:cs="Arial" w:eastAsia="Arial" w:hAnsi="Arial"/>
          <w:sz w:val="18"/>
          <w:szCs w:val="18"/>
          <w:i w:val="1"/>
          <w:iCs w:val="1"/>
          <w:u w:val="single" w:color="auto"/>
          <w:color w:val="auto"/>
        </w:rPr>
        <w:t>Income from Operations, excluding 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 $4.371 billion, yielding a</w:t>
      </w:r>
      <w:r>
        <w:rPr>
          <w:rFonts w:ascii="Arial" w:cs="Arial" w:eastAsia="Arial" w:hAnsi="Arial"/>
          <w:sz w:val="18"/>
          <w:szCs w:val="18"/>
          <w:i w:val="1"/>
          <w:iCs w:val="1"/>
          <w:color w:val="auto"/>
        </w:rPr>
        <w:t xml:space="preserve"> </w:t>
      </w:r>
      <w:r>
        <w:rPr>
          <w:rFonts w:ascii="Arial" w:cs="Arial" w:eastAsia="Arial" w:hAnsi="Arial"/>
          <w:sz w:val="18"/>
          <w:szCs w:val="18"/>
          <w:color w:val="auto"/>
        </w:rPr>
        <w:t>payout of 60.9%</w:t>
      </w:r>
    </w:p>
    <w:p>
      <w:pPr>
        <w:spacing w:after="0" w:line="54" w:lineRule="exact"/>
        <w:rPr>
          <w:sz w:val="20"/>
          <w:szCs w:val="20"/>
          <w:color w:val="auto"/>
        </w:rPr>
      </w:pPr>
    </w:p>
    <w:p>
      <w:pPr>
        <w:ind w:left="1180"/>
        <w:spacing w:after="0"/>
        <w:rPr>
          <w:sz w:val="20"/>
          <w:szCs w:val="20"/>
          <w:color w:val="auto"/>
        </w:rPr>
      </w:pPr>
      <w:r>
        <w:rPr>
          <w:rFonts w:ascii="Arial" w:cs="Arial" w:eastAsia="Arial" w:hAnsi="Arial"/>
          <w:sz w:val="18"/>
          <w:szCs w:val="18"/>
          <w:i w:val="1"/>
          <w:iCs w:val="1"/>
          <w:u w:val="single" w:color="auto"/>
          <w:color w:val="auto"/>
        </w:rPr>
        <w:t>Income from Operations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 17.70%, yielding a payout of 150.5%</w:t>
      </w:r>
    </w:p>
    <w:p>
      <w:pPr>
        <w:spacing w:after="0" w:line="117" w:lineRule="exact"/>
        <w:rPr>
          <w:sz w:val="20"/>
          <w:szCs w:val="20"/>
          <w:color w:val="auto"/>
        </w:rPr>
      </w:pPr>
    </w:p>
    <w:p>
      <w:pPr>
        <w:jc w:val="both"/>
        <w:ind w:left="1180"/>
        <w:spacing w:after="0" w:line="254" w:lineRule="auto"/>
        <w:rPr>
          <w:sz w:val="20"/>
          <w:szCs w:val="20"/>
          <w:color w:val="auto"/>
        </w:rPr>
      </w:pPr>
      <w:r>
        <w:rPr>
          <w:rFonts w:ascii="Arial" w:cs="Arial" w:eastAsia="Arial" w:hAnsi="Arial"/>
          <w:sz w:val="18"/>
          <w:szCs w:val="18"/>
          <w:i w:val="1"/>
          <w:iCs w:val="1"/>
          <w:u w:val="single" w:color="auto"/>
          <w:color w:val="auto"/>
        </w:rPr>
        <w:t>Internal Revenue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 defined as internal revenue growth from yield, plus internal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from volume, at the consolidated level for the traditional solid waste business — (3.00)%, yielding a payout of 0%.</w:t>
      </w:r>
    </w:p>
    <w:p>
      <w:pPr>
        <w:spacing w:after="0" w:line="295"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In 2020, the COVID-19 global pandemic and related measures had a significant adverse impact on many sectors of the economy, including environmental services. Despite the unpredictable and unprecedented challenges faced during the</w:t>
      </w:r>
    </w:p>
    <w:p>
      <w:pPr>
        <w:spacing w:after="0" w:line="235"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year, the 2020 executive compensation program continued to demonstrate effective alignment between executive pay and Company performance. The payouts on the PSUs granted in 2018 correlate with outstanding cash flow generation and total shareholder return over the three-year performance period, and both stockholders and executives were rewarded by these above-target results.</w:t>
      </w:r>
    </w:p>
    <w:p>
      <w:pPr>
        <w:spacing w:after="0" w:line="293"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Further, the blended results of the annual incentive performance measures are reflective of our executives taking the right actions to deliver operating and financial performance, despite the difficult broader economic conditions. Our executives’ successful implementation of intentional steps to decrease our operating costs and eliminate discretionary selling, general and administrative expenses to mitigate the impact from the declines in our volumes resulted in enhanced Company performance on the Income from Operations, excluding Depreciation and Amortization performance measure. The Income from Operations Margin performance measure was similarly benefited by such actions, as well as proactive steps our executives took to manage our capital spending. The Internal Revenue Growth performance measure fell below threshold performance criteria, as we experienced revenue declines at our landfills, as well as decreased demand from our industrial and commercial collection customers, due to the COVID-19 pandemic. Overall, while the blended results on these annual incentive performance measures were below target, this aspect of executive compensation rewarded our executives’ focus on operational execution and efficiency that allowed the Company to continue to provide reliable, high quality service to our customers and generate strong financial performance in the face of exceptional external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183515</wp:posOffset>
            </wp:positionV>
            <wp:extent cx="5048885" cy="30257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48885"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Consideration of Stockholder Advisory Vote</w:t>
      </w:r>
    </w:p>
    <w:p>
      <w:pPr>
        <w:spacing w:after="0" w:line="134"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When establishing 2020 compensation for the named executives, the MD&amp;C Committee noted the results of the advisory stockholder votes on executive compensation, with more than 95% of shares present and entitled to vote at the annual meeting voting in favor of the Company’s executive compensation every year since the advisory vote on compensation was implemented. Accordingly, the results of the stockholder advisory vote have not caused the MD&amp;C Committee to recommend any changes to our compensation practices.</w:t>
      </w:r>
    </w:p>
    <w:p>
      <w:pPr>
        <w:spacing w:after="0" w:line="36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2021 Compensation Program Preview</w:t>
      </w:r>
    </w:p>
    <w:p>
      <w:pPr>
        <w:spacing w:after="0" w:line="134" w:lineRule="exact"/>
        <w:rPr>
          <w:sz w:val="20"/>
          <w:szCs w:val="20"/>
          <w:color w:val="auto"/>
        </w:rPr>
      </w:pPr>
    </w:p>
    <w:p>
      <w:pPr>
        <w:jc w:val="both"/>
        <w:ind w:left="820"/>
        <w:spacing w:after="0" w:line="238" w:lineRule="auto"/>
        <w:rPr>
          <w:sz w:val="20"/>
          <w:szCs w:val="20"/>
          <w:color w:val="auto"/>
        </w:rPr>
      </w:pPr>
      <w:r>
        <w:rPr>
          <w:rFonts w:ascii="Arial" w:cs="Arial" w:eastAsia="Arial" w:hAnsi="Arial"/>
          <w:sz w:val="18"/>
          <w:szCs w:val="18"/>
          <w:color w:val="auto"/>
        </w:rPr>
        <w:t>The MD&amp;C Committee continually reviews our compensation program to ensure it is clearly aligned with the business strategy and best supports the accomplishment of our goals. The Committee also believes that consistency in program design reinforces its efforts to maintain a compensation program that is straightforward, easy to communicate and</w:t>
      </w:r>
    </w:p>
    <w:p>
      <w:pPr>
        <w:spacing w:after="0" w:line="251"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445135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-158750</wp:posOffset>
            </wp:positionV>
            <wp:extent cx="454660"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54660" cy="12890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168275</wp:posOffset>
            </wp:positionV>
            <wp:extent cx="57607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color w:val="auto"/>
        </w:rPr>
        <w:t>readily translates into actionable goals. The Committee’s choice of long-term performance measures and respective weighting has been consistent since 2016, and the MD&amp;C Committee is pleased with the financial results and stockholder value that has been generated. Accordingly, the Committee has approved keeping the 2021 long-term incentive program design consistent with the 2020 design.</w:t>
      </w:r>
    </w:p>
    <w:p>
      <w:pPr>
        <w:spacing w:after="0" w:line="96" w:lineRule="exact"/>
        <w:rPr>
          <w:sz w:val="20"/>
          <w:szCs w:val="20"/>
          <w:color w:val="auto"/>
        </w:rPr>
      </w:pPr>
    </w:p>
    <w:p>
      <w:pPr>
        <w:jc w:val="both"/>
        <w:ind w:left="820"/>
        <w:spacing w:after="0" w:line="251" w:lineRule="auto"/>
        <w:rPr>
          <w:sz w:val="20"/>
          <w:szCs w:val="20"/>
          <w:color w:val="auto"/>
        </w:rPr>
      </w:pPr>
      <w:r>
        <w:rPr>
          <w:rFonts w:ascii="Arial" w:cs="Arial" w:eastAsia="Arial" w:hAnsi="Arial"/>
          <w:sz w:val="18"/>
          <w:szCs w:val="18"/>
          <w:color w:val="auto"/>
        </w:rPr>
        <w:t>With respect to the annual incentive program, the 2021 design is largely consistent with prior years, but two of the specific performance measures have been modified, primarily in response to current impacts from our acquisition of Advanced Disposal. The Income from Operations Margin performance measure has been replaced with an income from operations, excluding depreciation and amortization margin performance measure, maintaining its 25% weighting. This measure is intended to encourage responsible, high margin revenue growth and cost management and reduction, while removing variability caused by Advanced Disposal purchase price accounting. The Internal Revenue Growth performance measure, which would otherwise exclude the incentive to grow Advanced Disposal acquired revenue, has been replaced with a total revenue performance measure, also maintaining its 25% weighting. This measure will encourage top line growth, through growth of the Company’s legacy revenue, as well as the acquired Advanced Disposal revenue.</w:t>
      </w:r>
    </w:p>
    <w:p>
      <w:pPr>
        <w:spacing w:after="0" w:line="200" w:lineRule="exact"/>
        <w:rPr>
          <w:sz w:val="20"/>
          <w:szCs w:val="20"/>
          <w:color w:val="auto"/>
        </w:rPr>
      </w:pPr>
    </w:p>
    <w:p>
      <w:pPr>
        <w:spacing w:after="0" w:line="20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Our Compensation Philosophy for Named Executive Officers</w:t>
      </w:r>
    </w:p>
    <w:p>
      <w:pPr>
        <w:spacing w:after="0" w:line="13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compensation philosophy is designed to:</w:t>
      </w:r>
    </w:p>
    <w:p>
      <w:pPr>
        <w:spacing w:after="0" w:line="117" w:lineRule="exact"/>
        <w:rPr>
          <w:sz w:val="20"/>
          <w:szCs w:val="20"/>
          <w:color w:val="auto"/>
        </w:rPr>
      </w:pPr>
    </w:p>
    <w:p>
      <w:pPr>
        <w:ind w:left="1360" w:hanging="184"/>
        <w:spacing w:after="0"/>
        <w:tabs>
          <w:tab w:leader="none" w:pos="1360" w:val="left"/>
        </w:tabs>
        <w:numPr>
          <w:ilvl w:val="0"/>
          <w:numId w:val="30"/>
        </w:numPr>
        <w:rPr>
          <w:rFonts w:ascii="Arial" w:cs="Arial" w:eastAsia="Arial" w:hAnsi="Arial"/>
          <w:sz w:val="18"/>
          <w:szCs w:val="18"/>
          <w:color w:val="477258"/>
        </w:rPr>
      </w:pPr>
      <w:r>
        <w:rPr>
          <w:rFonts w:ascii="Arial" w:cs="Arial" w:eastAsia="Arial" w:hAnsi="Arial"/>
          <w:sz w:val="18"/>
          <w:szCs w:val="18"/>
          <w:color w:val="auto"/>
        </w:rPr>
        <w:t>Attract and retain exceptional employees through competitive compensation opportunities;</w:t>
      </w:r>
    </w:p>
    <w:p>
      <w:pPr>
        <w:spacing w:after="0" w:line="117" w:lineRule="exact"/>
        <w:rPr>
          <w:rFonts w:ascii="Arial" w:cs="Arial" w:eastAsia="Arial" w:hAnsi="Arial"/>
          <w:sz w:val="18"/>
          <w:szCs w:val="18"/>
          <w:color w:val="477258"/>
        </w:rPr>
      </w:pPr>
    </w:p>
    <w:p>
      <w:pPr>
        <w:ind w:left="1360" w:hanging="184"/>
        <w:spacing w:after="0" w:line="261" w:lineRule="auto"/>
        <w:tabs>
          <w:tab w:leader="none" w:pos="1360" w:val="left"/>
        </w:tabs>
        <w:numPr>
          <w:ilvl w:val="0"/>
          <w:numId w:val="30"/>
        </w:numPr>
        <w:rPr>
          <w:rFonts w:ascii="Arial" w:cs="Arial" w:eastAsia="Arial" w:hAnsi="Arial"/>
          <w:sz w:val="18"/>
          <w:szCs w:val="18"/>
          <w:color w:val="477258"/>
        </w:rPr>
      </w:pPr>
      <w:r>
        <w:rPr>
          <w:rFonts w:ascii="Arial" w:cs="Arial" w:eastAsia="Arial" w:hAnsi="Arial"/>
          <w:sz w:val="18"/>
          <w:szCs w:val="18"/>
          <w:color w:val="auto"/>
        </w:rPr>
        <w:t>Encourage and reward performance through substantial at-risk performance-based compensation, while discouraging excessive risk-taking behavior; and</w:t>
      </w:r>
    </w:p>
    <w:p>
      <w:pPr>
        <w:spacing w:after="0" w:line="89" w:lineRule="exact"/>
        <w:rPr>
          <w:rFonts w:ascii="Arial" w:cs="Arial" w:eastAsia="Arial" w:hAnsi="Arial"/>
          <w:sz w:val="18"/>
          <w:szCs w:val="18"/>
          <w:color w:val="477258"/>
        </w:rPr>
      </w:pPr>
    </w:p>
    <w:p>
      <w:pPr>
        <w:ind w:left="1360" w:hanging="184"/>
        <w:spacing w:after="0" w:line="261" w:lineRule="auto"/>
        <w:tabs>
          <w:tab w:leader="none" w:pos="1360" w:val="left"/>
        </w:tabs>
        <w:numPr>
          <w:ilvl w:val="0"/>
          <w:numId w:val="30"/>
        </w:numPr>
        <w:rPr>
          <w:rFonts w:ascii="Arial" w:cs="Arial" w:eastAsia="Arial" w:hAnsi="Arial"/>
          <w:sz w:val="18"/>
          <w:szCs w:val="18"/>
          <w:color w:val="477258"/>
        </w:rPr>
      </w:pPr>
      <w:r>
        <w:rPr>
          <w:rFonts w:ascii="Arial" w:cs="Arial" w:eastAsia="Arial" w:hAnsi="Arial"/>
          <w:sz w:val="18"/>
          <w:szCs w:val="18"/>
          <w:color w:val="auto"/>
        </w:rPr>
        <w:t>Align our decision makers’ long-term interests with those of our stockholders through emphasis on equity ownership.</w:t>
      </w:r>
    </w:p>
    <w:p>
      <w:pPr>
        <w:spacing w:after="0" w:line="90" w:lineRule="exact"/>
        <w:rPr>
          <w:sz w:val="20"/>
          <w:szCs w:val="20"/>
          <w:color w:val="auto"/>
        </w:rPr>
      </w:pPr>
    </w:p>
    <w:p>
      <w:pPr>
        <w:jc w:val="both"/>
        <w:ind w:left="820" w:right="20"/>
        <w:spacing w:after="0" w:line="261" w:lineRule="auto"/>
        <w:rPr>
          <w:sz w:val="20"/>
          <w:szCs w:val="20"/>
          <w:color w:val="auto"/>
        </w:rPr>
      </w:pPr>
      <w:r>
        <w:rPr>
          <w:rFonts w:ascii="Arial" w:cs="Arial" w:eastAsia="Arial" w:hAnsi="Arial"/>
          <w:sz w:val="18"/>
          <w:szCs w:val="18"/>
          <w:color w:val="auto"/>
        </w:rPr>
        <w:t>Additionally, our compensation philosophy is intended to encourage executives to embrace the Company’s strategy and to lead the Company in setting aspirations that will continue to drive exemplary performance.</w:t>
      </w:r>
    </w:p>
    <w:p>
      <w:pPr>
        <w:spacing w:after="0" w:line="306" w:lineRule="exact"/>
        <w:rPr>
          <w:sz w:val="20"/>
          <w:szCs w:val="20"/>
          <w:color w:val="auto"/>
        </w:rPr>
      </w:pPr>
    </w:p>
    <w:p>
      <w:pPr>
        <w:jc w:val="both"/>
        <w:ind w:left="820" w:right="20"/>
        <w:spacing w:after="0" w:line="261" w:lineRule="auto"/>
        <w:rPr>
          <w:sz w:val="20"/>
          <w:szCs w:val="20"/>
          <w:color w:val="auto"/>
        </w:rPr>
      </w:pPr>
      <w:r>
        <w:rPr>
          <w:rFonts w:ascii="Arial" w:cs="Arial" w:eastAsia="Arial" w:hAnsi="Arial"/>
          <w:sz w:val="18"/>
          <w:szCs w:val="18"/>
          <w:color w:val="auto"/>
        </w:rPr>
        <w:t>With respect to our named executive officers, the MD&amp;C Committee believes that total direct compensation at target should be in a range around the competitive median according to the following:</w:t>
      </w:r>
    </w:p>
    <w:p>
      <w:pPr>
        <w:spacing w:after="0" w:line="90" w:lineRule="exact"/>
        <w:rPr>
          <w:sz w:val="20"/>
          <w:szCs w:val="20"/>
          <w:color w:val="auto"/>
        </w:rPr>
      </w:pPr>
    </w:p>
    <w:p>
      <w:pPr>
        <w:jc w:val="both"/>
        <w:ind w:left="1360" w:hanging="184"/>
        <w:spacing w:after="0" w:line="256" w:lineRule="auto"/>
        <w:tabs>
          <w:tab w:leader="none" w:pos="1360" w:val="left"/>
        </w:tabs>
        <w:numPr>
          <w:ilvl w:val="0"/>
          <w:numId w:val="31"/>
        </w:numPr>
        <w:rPr>
          <w:rFonts w:ascii="Arial" w:cs="Arial" w:eastAsia="Arial" w:hAnsi="Arial"/>
          <w:sz w:val="18"/>
          <w:szCs w:val="18"/>
          <w:color w:val="477258"/>
        </w:rPr>
      </w:pPr>
      <w:r>
        <w:rPr>
          <w:rFonts w:ascii="Arial" w:cs="Arial" w:eastAsia="Arial" w:hAnsi="Arial"/>
          <w:sz w:val="18"/>
          <w:szCs w:val="18"/>
          <w:color w:val="auto"/>
        </w:rPr>
        <w:t>Base salaries should be paid within a range of plus or minus 10% around the competitive median, with attention given to individual circumstances, including strategic importance of the named executive’s role, the executive’s experience and individual performance;</w:t>
      </w:r>
    </w:p>
    <w:p>
      <w:pPr>
        <w:spacing w:after="0" w:line="93" w:lineRule="exact"/>
        <w:rPr>
          <w:rFonts w:ascii="Arial" w:cs="Arial" w:eastAsia="Arial" w:hAnsi="Arial"/>
          <w:sz w:val="18"/>
          <w:szCs w:val="18"/>
          <w:color w:val="477258"/>
        </w:rPr>
      </w:pPr>
    </w:p>
    <w:p>
      <w:pPr>
        <w:ind w:left="1360" w:hanging="184"/>
        <w:spacing w:after="0" w:line="261" w:lineRule="auto"/>
        <w:tabs>
          <w:tab w:leader="none" w:pos="1360" w:val="left"/>
        </w:tabs>
        <w:numPr>
          <w:ilvl w:val="0"/>
          <w:numId w:val="31"/>
        </w:numPr>
        <w:rPr>
          <w:rFonts w:ascii="Arial" w:cs="Arial" w:eastAsia="Arial" w:hAnsi="Arial"/>
          <w:sz w:val="18"/>
          <w:szCs w:val="18"/>
          <w:color w:val="477258"/>
        </w:rPr>
      </w:pPr>
      <w:r>
        <w:rPr>
          <w:rFonts w:ascii="Arial" w:cs="Arial" w:eastAsia="Arial" w:hAnsi="Arial"/>
          <w:sz w:val="18"/>
          <w:szCs w:val="18"/>
          <w:color w:val="auto"/>
        </w:rPr>
        <w:t>Target short-term and long-term incentive opportunities should generally be set at the competitive median; and</w:t>
      </w:r>
    </w:p>
    <w:p>
      <w:pPr>
        <w:spacing w:after="0" w:line="89" w:lineRule="exact"/>
        <w:rPr>
          <w:rFonts w:ascii="Arial" w:cs="Arial" w:eastAsia="Arial" w:hAnsi="Arial"/>
          <w:sz w:val="18"/>
          <w:szCs w:val="18"/>
          <w:color w:val="477258"/>
        </w:rPr>
      </w:pPr>
    </w:p>
    <w:p>
      <w:pPr>
        <w:ind w:left="1360" w:hanging="184"/>
        <w:spacing w:after="0" w:line="261" w:lineRule="auto"/>
        <w:tabs>
          <w:tab w:leader="none" w:pos="1360" w:val="left"/>
        </w:tabs>
        <w:numPr>
          <w:ilvl w:val="0"/>
          <w:numId w:val="31"/>
        </w:numPr>
        <w:rPr>
          <w:rFonts w:ascii="Arial" w:cs="Arial" w:eastAsia="Arial" w:hAnsi="Arial"/>
          <w:sz w:val="18"/>
          <w:szCs w:val="18"/>
          <w:color w:val="477258"/>
        </w:rPr>
      </w:pPr>
      <w:r>
        <w:rPr>
          <w:rFonts w:ascii="Arial" w:cs="Arial" w:eastAsia="Arial" w:hAnsi="Arial"/>
          <w:sz w:val="18"/>
          <w:szCs w:val="18"/>
          <w:color w:val="auto"/>
        </w:rPr>
        <w:t>Total direct compensation opportunities should generally be within a range of plus or minus 20% around the competitive median.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168275</wp:posOffset>
            </wp:positionV>
            <wp:extent cx="57607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Overview of Elements of Our 2020 Executive Compensation Program</w:t>
      </w:r>
    </w:p>
    <w:p>
      <w:pPr>
        <w:spacing w:after="0" w:line="149" w:lineRule="exact"/>
        <w:rPr>
          <w:sz w:val="20"/>
          <w:szCs w:val="20"/>
          <w:color w:val="auto"/>
        </w:rPr>
      </w:pPr>
    </w:p>
    <w:tbl>
      <w:tblPr>
        <w:tblLayout w:type="fixed"/>
        <w:tblInd w:w="820" w:type="dxa"/>
        <w:tblCellMar>
          <w:top w:w="0" w:type="dxa"/>
          <w:left w:w="0" w:type="dxa"/>
          <w:bottom w:w="0" w:type="dxa"/>
          <w:right w:w="0" w:type="dxa"/>
        </w:tblCellMar>
      </w:tblPr>
      <w:tr>
        <w:trPr>
          <w:trHeight w:val="196"/>
        </w:trPr>
        <w:tc>
          <w:tcPr>
            <w:tcW w:w="40" w:type="dxa"/>
            <w:vAlign w:val="bottom"/>
            <w:tcBorders>
              <w:bottom w:val="single" w:sz="8" w:color="477258"/>
            </w:tcBorders>
          </w:tcPr>
          <w:p>
            <w:pPr>
              <w:spacing w:after="0"/>
              <w:rPr>
                <w:sz w:val="17"/>
                <w:szCs w:val="17"/>
                <w:color w:val="auto"/>
              </w:rPr>
            </w:pPr>
          </w:p>
        </w:tc>
        <w:tc>
          <w:tcPr>
            <w:tcW w:w="1420" w:type="dxa"/>
            <w:vAlign w:val="bottom"/>
            <w:tcBorders>
              <w:bottom w:val="single" w:sz="8" w:color="477258"/>
            </w:tcBorders>
          </w:tcPr>
          <w:p>
            <w:pPr>
              <w:ind w:left="20"/>
              <w:spacing w:after="0"/>
              <w:rPr>
                <w:sz w:val="20"/>
                <w:szCs w:val="20"/>
                <w:color w:val="auto"/>
              </w:rPr>
            </w:pPr>
            <w:r>
              <w:rPr>
                <w:rFonts w:ascii="Arial" w:cs="Arial" w:eastAsia="Arial" w:hAnsi="Arial"/>
                <w:sz w:val="14"/>
                <w:szCs w:val="14"/>
                <w:b w:val="1"/>
                <w:bCs w:val="1"/>
                <w:color w:val="477258"/>
              </w:rPr>
              <w:t>Timing</w:t>
            </w:r>
          </w:p>
        </w:tc>
        <w:tc>
          <w:tcPr>
            <w:tcW w:w="1500" w:type="dxa"/>
            <w:vAlign w:val="bottom"/>
            <w:tcBorders>
              <w:bottom w:val="single" w:sz="8" w:color="477258"/>
            </w:tcBorders>
          </w:tcPr>
          <w:p>
            <w:pPr>
              <w:ind w:left="100"/>
              <w:spacing w:after="0"/>
              <w:rPr>
                <w:sz w:val="20"/>
                <w:szCs w:val="20"/>
                <w:color w:val="auto"/>
              </w:rPr>
            </w:pPr>
            <w:r>
              <w:rPr>
                <w:rFonts w:ascii="Arial" w:cs="Arial" w:eastAsia="Arial" w:hAnsi="Arial"/>
                <w:sz w:val="14"/>
                <w:szCs w:val="14"/>
                <w:b w:val="1"/>
                <w:bCs w:val="1"/>
                <w:color w:val="477258"/>
              </w:rPr>
              <w:t>Component</w:t>
            </w:r>
          </w:p>
        </w:tc>
        <w:tc>
          <w:tcPr>
            <w:tcW w:w="120" w:type="dxa"/>
            <w:vAlign w:val="bottom"/>
            <w:tcBorders>
              <w:bottom w:val="single" w:sz="8" w:color="477258"/>
            </w:tcBorders>
          </w:tcPr>
          <w:p>
            <w:pPr>
              <w:spacing w:after="0"/>
              <w:rPr>
                <w:sz w:val="17"/>
                <w:szCs w:val="17"/>
                <w:color w:val="auto"/>
              </w:rPr>
            </w:pPr>
          </w:p>
        </w:tc>
        <w:tc>
          <w:tcPr>
            <w:tcW w:w="2000" w:type="dxa"/>
            <w:vAlign w:val="bottom"/>
            <w:tcBorders>
              <w:bottom w:val="single" w:sz="8" w:color="477258"/>
            </w:tcBorders>
          </w:tcPr>
          <w:p>
            <w:pPr>
              <w:spacing w:after="0"/>
              <w:rPr>
                <w:sz w:val="20"/>
                <w:szCs w:val="20"/>
                <w:color w:val="auto"/>
              </w:rPr>
            </w:pPr>
            <w:r>
              <w:rPr>
                <w:rFonts w:ascii="Arial" w:cs="Arial" w:eastAsia="Arial" w:hAnsi="Arial"/>
                <w:sz w:val="14"/>
                <w:szCs w:val="14"/>
                <w:b w:val="1"/>
                <w:bCs w:val="1"/>
                <w:color w:val="477258"/>
              </w:rPr>
              <w:t>Purpose</w:t>
            </w:r>
          </w:p>
        </w:tc>
        <w:tc>
          <w:tcPr>
            <w:tcW w:w="3980" w:type="dxa"/>
            <w:vAlign w:val="bottom"/>
            <w:tcBorders>
              <w:bottom w:val="single" w:sz="8" w:color="477258"/>
            </w:tcBorders>
            <w:gridSpan w:val="2"/>
          </w:tcPr>
          <w:p>
            <w:pPr>
              <w:ind w:left="120"/>
              <w:spacing w:after="0"/>
              <w:rPr>
                <w:sz w:val="20"/>
                <w:szCs w:val="20"/>
                <w:color w:val="auto"/>
              </w:rPr>
            </w:pPr>
            <w:r>
              <w:rPr>
                <w:rFonts w:ascii="Arial" w:cs="Arial" w:eastAsia="Arial" w:hAnsi="Arial"/>
                <w:sz w:val="14"/>
                <w:szCs w:val="14"/>
                <w:b w:val="1"/>
                <w:bCs w:val="1"/>
                <w:color w:val="477258"/>
              </w:rPr>
              <w:t>Key Features</w:t>
            </w:r>
          </w:p>
        </w:tc>
        <w:tc>
          <w:tcPr>
            <w:tcW w:w="0" w:type="dxa"/>
            <w:vAlign w:val="bottom"/>
          </w:tcPr>
          <w:p>
            <w:pPr>
              <w:spacing w:after="0"/>
              <w:rPr>
                <w:sz w:val="1"/>
                <w:szCs w:val="1"/>
                <w:color w:val="auto"/>
              </w:rPr>
            </w:pPr>
          </w:p>
        </w:tc>
      </w:tr>
      <w:tr>
        <w:trPr>
          <w:trHeight w:val="207"/>
        </w:trPr>
        <w:tc>
          <w:tcPr>
            <w:tcW w:w="40" w:type="dxa"/>
            <w:vAlign w:val="bottom"/>
            <w:shd w:val="clear" w:color="auto" w:fill="E5E5E5"/>
          </w:tcPr>
          <w:p>
            <w:pPr>
              <w:spacing w:after="0"/>
              <w:rPr>
                <w:sz w:val="17"/>
                <w:szCs w:val="17"/>
                <w:color w:val="auto"/>
              </w:rPr>
            </w:pPr>
          </w:p>
        </w:tc>
        <w:tc>
          <w:tcPr>
            <w:tcW w:w="14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Current</w:t>
            </w:r>
          </w:p>
        </w:tc>
        <w:tc>
          <w:tcPr>
            <w:tcW w:w="1500" w:type="dxa"/>
            <w:vAlign w:val="bottom"/>
          </w:tcPr>
          <w:p>
            <w:pPr>
              <w:ind w:left="100"/>
              <w:spacing w:after="0"/>
              <w:rPr>
                <w:sz w:val="20"/>
                <w:szCs w:val="20"/>
                <w:color w:val="auto"/>
              </w:rPr>
            </w:pPr>
            <w:r>
              <w:rPr>
                <w:rFonts w:ascii="Arial" w:cs="Arial" w:eastAsia="Arial" w:hAnsi="Arial"/>
                <w:sz w:val="14"/>
                <w:szCs w:val="14"/>
                <w:color w:val="auto"/>
              </w:rPr>
              <w:t>Base Salary</w:t>
            </w:r>
          </w:p>
        </w:tc>
        <w:tc>
          <w:tcPr>
            <w:tcW w:w="120" w:type="dxa"/>
            <w:vAlign w:val="bottom"/>
            <w:shd w:val="clear" w:color="auto" w:fill="E5E5E5"/>
          </w:tcPr>
          <w:p>
            <w:pPr>
              <w:spacing w:after="0"/>
              <w:rPr>
                <w:sz w:val="17"/>
                <w:szCs w:val="17"/>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To attract and retain</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Adjustments to base salary primarily consider</w:t>
            </w:r>
          </w:p>
        </w:tc>
        <w:tc>
          <w:tcPr>
            <w:tcW w:w="0" w:type="dxa"/>
            <w:vAlign w:val="bottom"/>
          </w:tcPr>
          <w:p>
            <w:pPr>
              <w:spacing w:after="0"/>
              <w:rPr>
                <w:sz w:val="1"/>
                <w:szCs w:val="1"/>
                <w:color w:val="auto"/>
              </w:rPr>
            </w:pPr>
          </w:p>
        </w:tc>
      </w:tr>
      <w:tr>
        <w:trPr>
          <w:trHeight w:val="162"/>
        </w:trPr>
        <w:tc>
          <w:tcPr>
            <w:tcW w:w="40" w:type="dxa"/>
            <w:vAlign w:val="bottom"/>
            <w:shd w:val="clear" w:color="auto" w:fill="E5E5E5"/>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executives with a</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competitive market data and the executive’s</w:t>
            </w:r>
          </w:p>
        </w:tc>
        <w:tc>
          <w:tcPr>
            <w:tcW w:w="0" w:type="dxa"/>
            <w:vAlign w:val="bottom"/>
          </w:tcPr>
          <w:p>
            <w:pPr>
              <w:spacing w:after="0"/>
              <w:rPr>
                <w:sz w:val="1"/>
                <w:szCs w:val="1"/>
                <w:color w:val="auto"/>
              </w:rPr>
            </w:pPr>
          </w:p>
        </w:tc>
      </w:tr>
      <w:tr>
        <w:trPr>
          <w:trHeight w:val="162"/>
        </w:trPr>
        <w:tc>
          <w:tcPr>
            <w:tcW w:w="40" w:type="dxa"/>
            <w:vAlign w:val="bottom"/>
            <w:shd w:val="clear" w:color="auto" w:fill="E5E5E5"/>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competitive level of</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individual performance and responsibilities.</w:t>
            </w:r>
          </w:p>
        </w:tc>
        <w:tc>
          <w:tcPr>
            <w:tcW w:w="0" w:type="dxa"/>
            <w:vAlign w:val="bottom"/>
          </w:tcPr>
          <w:p>
            <w:pPr>
              <w:spacing w:after="0"/>
              <w:rPr>
                <w:sz w:val="1"/>
                <w:szCs w:val="1"/>
                <w:color w:val="auto"/>
              </w:rPr>
            </w:pPr>
          </w:p>
        </w:tc>
      </w:tr>
      <w:tr>
        <w:trPr>
          <w:trHeight w:val="178"/>
        </w:trPr>
        <w:tc>
          <w:tcPr>
            <w:tcW w:w="40" w:type="dxa"/>
            <w:vAlign w:val="bottom"/>
            <w:tcBorders>
              <w:bottom w:val="single" w:sz="8" w:color="477258"/>
            </w:tcBorders>
            <w:shd w:val="clear" w:color="auto" w:fill="E5E5E5"/>
          </w:tcPr>
          <w:p>
            <w:pPr>
              <w:spacing w:after="0"/>
              <w:rPr>
                <w:sz w:val="15"/>
                <w:szCs w:val="15"/>
                <w:color w:val="auto"/>
              </w:rPr>
            </w:pPr>
          </w:p>
        </w:tc>
        <w:tc>
          <w:tcPr>
            <w:tcW w:w="1420" w:type="dxa"/>
            <w:vAlign w:val="bottom"/>
            <w:tcBorders>
              <w:bottom w:val="single" w:sz="8" w:color="477258"/>
            </w:tcBorders>
            <w:shd w:val="clear" w:color="auto" w:fill="E5E5E5"/>
          </w:tcPr>
          <w:p>
            <w:pPr>
              <w:spacing w:after="0"/>
              <w:rPr>
                <w:sz w:val="15"/>
                <w:szCs w:val="15"/>
                <w:color w:val="auto"/>
              </w:rPr>
            </w:pPr>
          </w:p>
        </w:tc>
        <w:tc>
          <w:tcPr>
            <w:tcW w:w="1500" w:type="dxa"/>
            <w:vAlign w:val="bottom"/>
            <w:tcBorders>
              <w:bottom w:val="single" w:sz="8" w:color="477258"/>
            </w:tcBorders>
          </w:tcPr>
          <w:p>
            <w:pPr>
              <w:spacing w:after="0"/>
              <w:rPr>
                <w:sz w:val="15"/>
                <w:szCs w:val="15"/>
                <w:color w:val="auto"/>
              </w:rPr>
            </w:pPr>
          </w:p>
        </w:tc>
        <w:tc>
          <w:tcPr>
            <w:tcW w:w="120" w:type="dxa"/>
            <w:vAlign w:val="bottom"/>
            <w:tcBorders>
              <w:bottom w:val="single" w:sz="8" w:color="477258"/>
            </w:tcBorders>
            <w:shd w:val="clear" w:color="auto" w:fill="E5E5E5"/>
          </w:tcPr>
          <w:p>
            <w:pPr>
              <w:spacing w:after="0"/>
              <w:rPr>
                <w:sz w:val="15"/>
                <w:szCs w:val="15"/>
                <w:color w:val="auto"/>
              </w:rPr>
            </w:pPr>
          </w:p>
        </w:tc>
        <w:tc>
          <w:tcPr>
            <w:tcW w:w="2000" w:type="dxa"/>
            <w:vAlign w:val="bottom"/>
            <w:tcBorders>
              <w:bottom w:val="single" w:sz="8" w:color="477258"/>
            </w:tcBorders>
            <w:shd w:val="clear" w:color="auto" w:fill="E5E5E5"/>
          </w:tcPr>
          <w:p>
            <w:pPr>
              <w:spacing w:after="0"/>
              <w:rPr>
                <w:sz w:val="20"/>
                <w:szCs w:val="20"/>
                <w:color w:val="auto"/>
              </w:rPr>
            </w:pPr>
            <w:r>
              <w:rPr>
                <w:rFonts w:ascii="Arial" w:cs="Arial" w:eastAsia="Arial" w:hAnsi="Arial"/>
                <w:sz w:val="14"/>
                <w:szCs w:val="14"/>
                <w:color w:val="auto"/>
              </w:rPr>
              <w:t>regular income</w:t>
            </w:r>
          </w:p>
        </w:tc>
        <w:tc>
          <w:tcPr>
            <w:tcW w:w="220" w:type="dxa"/>
            <w:vAlign w:val="bottom"/>
            <w:tcBorders>
              <w:bottom w:val="single" w:sz="8" w:color="477258"/>
            </w:tcBorders>
          </w:tcPr>
          <w:p>
            <w:pPr>
              <w:spacing w:after="0"/>
              <w:rPr>
                <w:sz w:val="15"/>
                <w:szCs w:val="15"/>
                <w:color w:val="auto"/>
              </w:rPr>
            </w:pPr>
          </w:p>
        </w:tc>
        <w:tc>
          <w:tcPr>
            <w:tcW w:w="3760" w:type="dxa"/>
            <w:vAlign w:val="bottom"/>
            <w:tcBorders>
              <w:bottom w:val="single" w:sz="8" w:color="477258"/>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Short-Term</w:t>
            </w:r>
          </w:p>
        </w:tc>
        <w:tc>
          <w:tcPr>
            <w:tcW w:w="1500" w:type="dxa"/>
            <w:vAlign w:val="bottom"/>
          </w:tcPr>
          <w:p>
            <w:pPr>
              <w:ind w:left="100"/>
              <w:spacing w:after="0"/>
              <w:rPr>
                <w:sz w:val="20"/>
                <w:szCs w:val="20"/>
                <w:color w:val="auto"/>
              </w:rPr>
            </w:pPr>
            <w:r>
              <w:rPr>
                <w:rFonts w:ascii="Arial" w:cs="Arial" w:eastAsia="Arial" w:hAnsi="Arial"/>
                <w:sz w:val="14"/>
                <w:szCs w:val="14"/>
                <w:color w:val="auto"/>
              </w:rPr>
              <w:t>Annual Cash</w:t>
            </w:r>
          </w:p>
        </w:tc>
        <w:tc>
          <w:tcPr>
            <w:tcW w:w="120" w:type="dxa"/>
            <w:vAlign w:val="bottom"/>
          </w:tcPr>
          <w:p>
            <w:pPr>
              <w:spacing w:after="0"/>
              <w:rPr>
                <w:sz w:val="15"/>
                <w:szCs w:val="15"/>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To encourage and reward</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Cash incentives are targeted at a percentage of base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Performance</w:t>
            </w:r>
          </w:p>
        </w:tc>
        <w:tc>
          <w:tcPr>
            <w:tcW w:w="1500" w:type="dxa"/>
            <w:vAlign w:val="bottom"/>
          </w:tcPr>
          <w:p>
            <w:pPr>
              <w:ind w:left="100"/>
              <w:spacing w:after="0"/>
              <w:rPr>
                <w:sz w:val="20"/>
                <w:szCs w:val="20"/>
                <w:color w:val="auto"/>
              </w:rPr>
            </w:pPr>
            <w:r>
              <w:rPr>
                <w:rFonts w:ascii="Arial" w:cs="Arial" w:eastAsia="Arial" w:hAnsi="Arial"/>
                <w:sz w:val="14"/>
                <w:szCs w:val="14"/>
                <w:color w:val="auto"/>
              </w:rPr>
              <w:t>Incentive</w:t>
            </w: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contributions to our annual</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salary and range from zero to 200% of target based</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Incentive</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financial objectives</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on the following performance measures: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through performance-</w:t>
            </w:r>
          </w:p>
        </w:tc>
        <w:tc>
          <w:tcPr>
            <w:tcW w:w="220" w:type="dxa"/>
            <w:vAlign w:val="bottom"/>
            <w:vMerge w:val="restart"/>
          </w:tcPr>
          <w:p>
            <w:pPr>
              <w:ind w:left="120"/>
              <w:spacing w:after="0"/>
              <w:rPr>
                <w:sz w:val="20"/>
                <w:szCs w:val="20"/>
                <w:color w:val="auto"/>
              </w:rPr>
            </w:pPr>
            <w:r>
              <w:rPr>
                <w:rFonts w:ascii="Arial" w:cs="Arial" w:eastAsia="Arial" w:hAnsi="Arial"/>
                <w:sz w:val="14"/>
                <w:szCs w:val="14"/>
                <w:color w:val="477258"/>
              </w:rPr>
              <w:t>•</w:t>
            </w:r>
          </w:p>
        </w:tc>
        <w:tc>
          <w:tcPr>
            <w:tcW w:w="3760" w:type="dxa"/>
            <w:vAlign w:val="bottom"/>
            <w:vMerge w:val="restart"/>
          </w:tcPr>
          <w:p>
            <w:pPr>
              <w:ind w:left="40"/>
              <w:spacing w:after="0"/>
              <w:rPr>
                <w:sz w:val="20"/>
                <w:szCs w:val="20"/>
                <w:color w:val="auto"/>
              </w:rPr>
            </w:pPr>
            <w:r>
              <w:rPr>
                <w:rFonts w:ascii="Arial" w:cs="Arial" w:eastAsia="Arial" w:hAnsi="Arial"/>
                <w:sz w:val="14"/>
                <w:szCs w:val="14"/>
                <w:color w:val="auto"/>
              </w:rPr>
              <w:t>Income from Operations, excluding Depreciation</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420" w:type="dxa"/>
            <w:vAlign w:val="bottom"/>
            <w:shd w:val="clear" w:color="auto" w:fill="E5E5E5"/>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shd w:val="clear" w:color="auto" w:fill="E5E5E5"/>
          </w:tcPr>
          <w:p>
            <w:pPr>
              <w:spacing w:after="0" w:line="135" w:lineRule="exact"/>
              <w:rPr>
                <w:sz w:val="20"/>
                <w:szCs w:val="20"/>
                <w:color w:val="auto"/>
              </w:rPr>
            </w:pPr>
            <w:r>
              <w:rPr>
                <w:rFonts w:ascii="Arial" w:cs="Arial" w:eastAsia="Arial" w:hAnsi="Arial"/>
                <w:sz w:val="14"/>
                <w:szCs w:val="14"/>
                <w:color w:val="auto"/>
              </w:rPr>
              <w:t>based compensation</w:t>
            </w:r>
          </w:p>
        </w:tc>
        <w:tc>
          <w:tcPr>
            <w:tcW w:w="220" w:type="dxa"/>
            <w:vAlign w:val="bottom"/>
            <w:vMerge w:val="continue"/>
          </w:tcPr>
          <w:p>
            <w:pPr>
              <w:spacing w:after="0"/>
              <w:rPr>
                <w:sz w:val="11"/>
                <w:szCs w:val="11"/>
                <w:color w:val="auto"/>
              </w:rPr>
            </w:pPr>
          </w:p>
        </w:tc>
        <w:tc>
          <w:tcPr>
            <w:tcW w:w="3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subject to challenging, yet</w:t>
            </w: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and Amortization — designed to encourage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20" w:type="dxa"/>
            <w:vAlign w:val="bottom"/>
            <w:shd w:val="clear" w:color="auto" w:fill="E5E5E5"/>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attainable, objective and</w:t>
            </w:r>
          </w:p>
        </w:tc>
        <w:tc>
          <w:tcPr>
            <w:tcW w:w="22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balanced growth and profitability (weighted 50%);</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20"/>
                <w:szCs w:val="20"/>
                <w:color w:val="auto"/>
              </w:rPr>
            </w:pPr>
            <w:r>
              <w:rPr>
                <w:rFonts w:ascii="Arial" w:cs="Arial" w:eastAsia="Arial" w:hAnsi="Arial"/>
                <w:sz w:val="14"/>
                <w:szCs w:val="14"/>
                <w:color w:val="auto"/>
              </w:rPr>
              <w:t>transparent metrics</w:t>
            </w:r>
          </w:p>
        </w:tc>
        <w:tc>
          <w:tcPr>
            <w:tcW w:w="220" w:type="dxa"/>
            <w:vAlign w:val="bottom"/>
            <w:vMerge w:val="restart"/>
          </w:tcPr>
          <w:p>
            <w:pPr>
              <w:ind w:left="120"/>
              <w:spacing w:after="0"/>
              <w:rPr>
                <w:sz w:val="20"/>
                <w:szCs w:val="20"/>
                <w:color w:val="auto"/>
              </w:rPr>
            </w:pPr>
            <w:r>
              <w:rPr>
                <w:rFonts w:ascii="Arial" w:cs="Arial" w:eastAsia="Arial" w:hAnsi="Arial"/>
                <w:sz w:val="14"/>
                <w:szCs w:val="14"/>
                <w:color w:val="477258"/>
              </w:rPr>
              <w:t>•</w:t>
            </w:r>
          </w:p>
        </w:tc>
        <w:tc>
          <w:tcPr>
            <w:tcW w:w="3760" w:type="dxa"/>
            <w:vAlign w:val="bottom"/>
            <w:vMerge w:val="restart"/>
          </w:tcPr>
          <w:p>
            <w:pPr>
              <w:ind w:left="40"/>
              <w:spacing w:after="0"/>
              <w:rPr>
                <w:sz w:val="20"/>
                <w:szCs w:val="20"/>
                <w:color w:val="auto"/>
              </w:rPr>
            </w:pPr>
            <w:r>
              <w:rPr>
                <w:rFonts w:ascii="Arial" w:cs="Arial" w:eastAsia="Arial" w:hAnsi="Arial"/>
                <w:sz w:val="14"/>
                <w:szCs w:val="14"/>
                <w:color w:val="auto"/>
              </w:rPr>
              <w:t>Income from Operations Margin — defined as</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1420" w:type="dxa"/>
            <w:vAlign w:val="bottom"/>
            <w:shd w:val="clear" w:color="auto" w:fill="E5E5E5"/>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shd w:val="clear" w:color="auto" w:fill="E5E5E5"/>
          </w:tcPr>
          <w:p>
            <w:pPr>
              <w:spacing w:after="0"/>
              <w:rPr>
                <w:sz w:val="8"/>
                <w:szCs w:val="8"/>
                <w:color w:val="auto"/>
              </w:rPr>
            </w:pPr>
          </w:p>
        </w:tc>
        <w:tc>
          <w:tcPr>
            <w:tcW w:w="220" w:type="dxa"/>
            <w:vAlign w:val="bottom"/>
            <w:vMerge w:val="continue"/>
          </w:tcPr>
          <w:p>
            <w:pPr>
              <w:spacing w:after="0"/>
              <w:rPr>
                <w:sz w:val="8"/>
                <w:szCs w:val="8"/>
                <w:color w:val="auto"/>
              </w:rPr>
            </w:pPr>
          </w:p>
        </w:tc>
        <w:tc>
          <w:tcPr>
            <w:tcW w:w="3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Income from Operations as a percentage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Revenue — motivates executives to control costs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and operate efficiently while focusing on yield</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(weighted 25%); and</w:t>
            </w: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1420" w:type="dxa"/>
            <w:vAlign w:val="bottom"/>
            <w:shd w:val="clear" w:color="auto" w:fill="E5E5E5"/>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shd w:val="clear" w:color="auto" w:fill="E5E5E5"/>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477258"/>
              </w:rPr>
              <w:t>•</w:t>
            </w:r>
          </w:p>
        </w:tc>
        <w:tc>
          <w:tcPr>
            <w:tcW w:w="3760" w:type="dxa"/>
            <w:vAlign w:val="bottom"/>
          </w:tcPr>
          <w:p>
            <w:pPr>
              <w:ind w:left="40"/>
              <w:spacing w:after="0"/>
              <w:rPr>
                <w:sz w:val="20"/>
                <w:szCs w:val="20"/>
                <w:color w:val="auto"/>
              </w:rPr>
            </w:pPr>
            <w:r>
              <w:rPr>
                <w:rFonts w:ascii="Arial" w:cs="Arial" w:eastAsia="Arial" w:hAnsi="Arial"/>
                <w:sz w:val="14"/>
                <w:szCs w:val="14"/>
                <w:color w:val="auto"/>
              </w:rPr>
              <w:t>Internal Revenue Growth — defined as internal</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revenue growth from yield, plus internal revenue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growth from volume, at the consolidated level for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the traditional solid waste business — designed to</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support strategic growth goals (weighted 25%).</w:t>
            </w: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1420" w:type="dxa"/>
            <w:vAlign w:val="bottom"/>
            <w:shd w:val="clear" w:color="auto" w:fill="E5E5E5"/>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shd w:val="clear" w:color="auto" w:fill="E5E5E5"/>
          </w:tcPr>
          <w:p>
            <w:pPr>
              <w:spacing w:after="0"/>
              <w:rPr>
                <w:sz w:val="24"/>
                <w:szCs w:val="2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The MD&amp;C Committee has discretion to increase or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decrease an individual’s payment by up to 25% based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on individual performance, but such modifier has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never been used to increase a payment to a named</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420" w:type="dxa"/>
            <w:vAlign w:val="bottom"/>
            <w:tcBorders>
              <w:bottom w:val="single" w:sz="8" w:color="E5E5E5"/>
            </w:tcBorders>
            <w:shd w:val="clear" w:color="auto" w:fill="E5E5E5"/>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bottom w:val="single" w:sz="8" w:color="E5E5E5"/>
            </w:tcBorders>
            <w:shd w:val="clear" w:color="auto" w:fill="E5E5E5"/>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executive.</w:t>
            </w:r>
          </w:p>
        </w:tc>
        <w:tc>
          <w:tcPr>
            <w:tcW w:w="0" w:type="dxa"/>
            <w:vAlign w:val="bottom"/>
          </w:tcPr>
          <w:p>
            <w:pPr>
              <w:spacing w:after="0"/>
              <w:rPr>
                <w:sz w:val="1"/>
                <w:szCs w:val="1"/>
                <w:color w:val="auto"/>
              </w:rPr>
            </w:pPr>
          </w:p>
        </w:tc>
      </w:tr>
      <w:tr>
        <w:trPr>
          <w:trHeight w:val="169"/>
        </w:trPr>
        <w:tc>
          <w:tcPr>
            <w:tcW w:w="40" w:type="dxa"/>
            <w:vAlign w:val="bottom"/>
            <w:tcBorders>
              <w:top w:val="single" w:sz="8" w:color="477258"/>
            </w:tcBorders>
          </w:tcPr>
          <w:p>
            <w:pPr>
              <w:spacing w:after="0"/>
              <w:rPr>
                <w:sz w:val="14"/>
                <w:szCs w:val="14"/>
                <w:color w:val="auto"/>
              </w:rPr>
            </w:pPr>
          </w:p>
        </w:tc>
        <w:tc>
          <w:tcPr>
            <w:tcW w:w="1420" w:type="dxa"/>
            <w:vAlign w:val="bottom"/>
            <w:tcBorders>
              <w:top w:val="single" w:sz="8" w:color="477258"/>
            </w:tcBorders>
          </w:tcPr>
          <w:p>
            <w:pPr>
              <w:ind w:left="20"/>
              <w:spacing w:after="0"/>
              <w:rPr>
                <w:sz w:val="20"/>
                <w:szCs w:val="20"/>
                <w:color w:val="auto"/>
              </w:rPr>
            </w:pPr>
            <w:r>
              <w:rPr>
                <w:rFonts w:ascii="Arial" w:cs="Arial" w:eastAsia="Arial" w:hAnsi="Arial"/>
                <w:sz w:val="14"/>
                <w:szCs w:val="14"/>
                <w:b w:val="1"/>
                <w:bCs w:val="1"/>
                <w:color w:val="auto"/>
              </w:rPr>
              <w:t>Long-Term</w:t>
            </w:r>
          </w:p>
        </w:tc>
        <w:tc>
          <w:tcPr>
            <w:tcW w:w="1500" w:type="dxa"/>
            <w:vAlign w:val="bottom"/>
            <w:tcBorders>
              <w:top w:val="single" w:sz="8" w:color="477258"/>
            </w:tcBorders>
          </w:tcPr>
          <w:p>
            <w:pPr>
              <w:ind w:left="100"/>
              <w:spacing w:after="0"/>
              <w:rPr>
                <w:sz w:val="20"/>
                <w:szCs w:val="20"/>
                <w:color w:val="auto"/>
              </w:rPr>
            </w:pPr>
            <w:r>
              <w:rPr>
                <w:rFonts w:ascii="Arial" w:cs="Arial" w:eastAsia="Arial" w:hAnsi="Arial"/>
                <w:sz w:val="14"/>
                <w:szCs w:val="14"/>
                <w:color w:val="auto"/>
              </w:rPr>
              <w:t>Performance</w:t>
            </w:r>
          </w:p>
        </w:tc>
        <w:tc>
          <w:tcPr>
            <w:tcW w:w="120" w:type="dxa"/>
            <w:vAlign w:val="bottom"/>
            <w:tcBorders>
              <w:top w:val="single" w:sz="8" w:color="477258"/>
            </w:tcBorders>
          </w:tcPr>
          <w:p>
            <w:pPr>
              <w:spacing w:after="0"/>
              <w:rPr>
                <w:sz w:val="14"/>
                <w:szCs w:val="14"/>
                <w:color w:val="auto"/>
              </w:rPr>
            </w:pPr>
          </w:p>
        </w:tc>
        <w:tc>
          <w:tcPr>
            <w:tcW w:w="2000" w:type="dxa"/>
            <w:vAlign w:val="bottom"/>
            <w:tcBorders>
              <w:top w:val="single" w:sz="8" w:color="477258"/>
            </w:tcBorders>
          </w:tcPr>
          <w:p>
            <w:pPr>
              <w:spacing w:after="0"/>
              <w:rPr>
                <w:sz w:val="20"/>
                <w:szCs w:val="20"/>
                <w:color w:val="auto"/>
              </w:rPr>
            </w:pPr>
            <w:r>
              <w:rPr>
                <w:rFonts w:ascii="Arial" w:cs="Arial" w:eastAsia="Arial" w:hAnsi="Arial"/>
                <w:sz w:val="14"/>
                <w:szCs w:val="14"/>
                <w:color w:val="auto"/>
              </w:rPr>
              <w:t>To encourage and reward</w:t>
            </w:r>
          </w:p>
        </w:tc>
        <w:tc>
          <w:tcPr>
            <w:tcW w:w="3980" w:type="dxa"/>
            <w:vAlign w:val="bottom"/>
            <w:tcBorders>
              <w:top w:val="single" w:sz="8" w:color="477258"/>
            </w:tcBorders>
            <w:gridSpan w:val="2"/>
          </w:tcPr>
          <w:p>
            <w:pPr>
              <w:ind w:left="120"/>
              <w:spacing w:after="0"/>
              <w:rPr>
                <w:sz w:val="20"/>
                <w:szCs w:val="20"/>
                <w:color w:val="auto"/>
              </w:rPr>
            </w:pPr>
            <w:r>
              <w:rPr>
                <w:rFonts w:ascii="Arial" w:cs="Arial" w:eastAsia="Arial" w:hAnsi="Arial"/>
                <w:sz w:val="14"/>
                <w:szCs w:val="14"/>
                <w:color w:val="auto"/>
              </w:rPr>
              <w:t>Number of shares delivered range from zero to 200%</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Performance</w:t>
            </w:r>
          </w:p>
        </w:tc>
        <w:tc>
          <w:tcPr>
            <w:tcW w:w="1500" w:type="dxa"/>
            <w:vAlign w:val="bottom"/>
          </w:tcPr>
          <w:p>
            <w:pPr>
              <w:ind w:left="100"/>
              <w:spacing w:after="0"/>
              <w:rPr>
                <w:sz w:val="20"/>
                <w:szCs w:val="20"/>
                <w:color w:val="auto"/>
              </w:rPr>
            </w:pPr>
            <w:r>
              <w:rPr>
                <w:rFonts w:ascii="Arial" w:cs="Arial" w:eastAsia="Arial" w:hAnsi="Arial"/>
                <w:sz w:val="14"/>
                <w:szCs w:val="14"/>
                <w:color w:val="auto"/>
              </w:rPr>
              <w:t>Share Units</w:t>
            </w:r>
          </w:p>
        </w:tc>
        <w:tc>
          <w:tcPr>
            <w:tcW w:w="1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building long-term</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of the initial target grant based on performance over</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Incentives</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stockholder value through</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 three-year performance period.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successful strategy</w:t>
            </w: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Payout on half of each executive’s PSUs granted in</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rPr>
              <w:t>execution;</w:t>
            </w:r>
          </w:p>
        </w:tc>
        <w:tc>
          <w:tcPr>
            <w:tcW w:w="3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2020 is dependent on cash flow generation, defined</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To retain executives; and</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as net cash flow provided by operating activities, less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rPr>
              <w:t>To increase stockholder</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capital expenditures, with certain exclusions, which</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continues our focus on capital discipline, while also</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rPr>
              <w:t>alignment through</w:t>
            </w: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aligning the Company with stockholders’ free cash</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rPr>
              <w:t>executives’ stock</w:t>
            </w: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flow expectations. We refer to these as Cash Flow</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vMerge w:val="restart"/>
          </w:tcPr>
          <w:p>
            <w:pPr>
              <w:spacing w:after="0"/>
              <w:rPr>
                <w:sz w:val="20"/>
                <w:szCs w:val="20"/>
                <w:color w:val="auto"/>
              </w:rPr>
            </w:pPr>
            <w:r>
              <w:rPr>
                <w:rFonts w:ascii="Arial" w:cs="Arial" w:eastAsia="Arial" w:hAnsi="Arial"/>
                <w:sz w:val="14"/>
                <w:szCs w:val="14"/>
                <w:color w:val="auto"/>
              </w:rPr>
              <w:t>ownership</w:t>
            </w: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PSUs.</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Payout on the remaining half of the PSUs granted in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2020 is dependent on total shareholder return relative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to other companies in the S&amp;P 500 over the three-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year performance period. We refer to these as TSR</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PSUs.</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PSUs earn dividend equivalents that are paid at the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end of the performance period based on the number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of shares earned. Recipients can defer the receipt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shares, in which case such shares of Common Stock</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will be paid out, without interest, at the end of the</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deferral period.</w:t>
            </w: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500" w:type="dxa"/>
            <w:vAlign w:val="bottom"/>
            <w:tcBorders>
              <w:bottom w:val="single" w:sz="8" w:color="477258"/>
            </w:tcBorders>
          </w:tcPr>
          <w:p>
            <w:pPr>
              <w:spacing w:after="0"/>
              <w:rPr>
                <w:sz w:val="3"/>
                <w:szCs w:val="3"/>
                <w:color w:val="auto"/>
              </w:rPr>
            </w:pPr>
          </w:p>
        </w:tc>
        <w:tc>
          <w:tcPr>
            <w:tcW w:w="120" w:type="dxa"/>
            <w:vAlign w:val="bottom"/>
            <w:tcBorders>
              <w:bottom w:val="single" w:sz="8" w:color="477258"/>
            </w:tcBorders>
          </w:tcPr>
          <w:p>
            <w:pPr>
              <w:spacing w:after="0"/>
              <w:rPr>
                <w:sz w:val="3"/>
                <w:szCs w:val="3"/>
                <w:color w:val="auto"/>
              </w:rPr>
            </w:pPr>
          </w:p>
        </w:tc>
        <w:tc>
          <w:tcPr>
            <w:tcW w:w="2000" w:type="dxa"/>
            <w:vAlign w:val="bottom"/>
            <w:tcBorders>
              <w:bottom w:val="single" w:sz="8" w:color="477258"/>
            </w:tcBorders>
          </w:tcPr>
          <w:p>
            <w:pPr>
              <w:spacing w:after="0"/>
              <w:rPr>
                <w:sz w:val="3"/>
                <w:szCs w:val="3"/>
                <w:color w:val="auto"/>
              </w:rPr>
            </w:pPr>
          </w:p>
        </w:tc>
        <w:tc>
          <w:tcPr>
            <w:tcW w:w="3980" w:type="dxa"/>
            <w:vAlign w:val="bottom"/>
            <w:tcBorders>
              <w:bottom w:val="single" w:sz="8" w:color="477258"/>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ind w:left="100"/>
              <w:spacing w:after="0"/>
              <w:rPr>
                <w:sz w:val="20"/>
                <w:szCs w:val="20"/>
                <w:color w:val="auto"/>
              </w:rPr>
            </w:pPr>
            <w:r>
              <w:rPr>
                <w:rFonts w:ascii="Arial" w:cs="Arial" w:eastAsia="Arial" w:hAnsi="Arial"/>
                <w:sz w:val="14"/>
                <w:szCs w:val="14"/>
                <w:color w:val="auto"/>
              </w:rPr>
              <w:t>Stock Options</w:t>
            </w:r>
          </w:p>
        </w:tc>
        <w:tc>
          <w:tcPr>
            <w:tcW w:w="120" w:type="dxa"/>
            <w:vAlign w:val="bottom"/>
          </w:tcPr>
          <w:p>
            <w:pPr>
              <w:spacing w:after="0"/>
              <w:rPr>
                <w:sz w:val="16"/>
                <w:szCs w:val="16"/>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To support the growth</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Stock options vest in 25% increments on the first two</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element of the Company’s</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anniversaries of the date of grant and the remaining</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color w:val="auto"/>
              </w:rPr>
              <w:t>strategy and encourage</w:t>
            </w: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50% vest on the third anniversary.</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Pr>
          <w:p>
            <w:pPr>
              <w:spacing w:after="0" w:line="108" w:lineRule="exact"/>
              <w:rPr>
                <w:sz w:val="20"/>
                <w:szCs w:val="20"/>
                <w:color w:val="auto"/>
              </w:rPr>
            </w:pPr>
            <w:r>
              <w:rPr>
                <w:rFonts w:ascii="Arial" w:cs="Arial" w:eastAsia="Arial" w:hAnsi="Arial"/>
                <w:sz w:val="12"/>
                <w:szCs w:val="12"/>
                <w:color w:val="auto"/>
              </w:rPr>
              <w:t>and reward stock price</w:t>
            </w:r>
          </w:p>
        </w:tc>
        <w:tc>
          <w:tcPr>
            <w:tcW w:w="2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-5960110</wp:posOffset>
            </wp:positionV>
            <wp:extent cx="5760720" cy="76720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60720" cy="7672070"/>
                    </a:xfrm>
                    <a:prstGeom prst="rect">
                      <a:avLst/>
                    </a:prstGeom>
                    <a:noFill/>
                  </pic:spPr>
                </pic:pic>
              </a:graphicData>
            </a:graphic>
          </wp:anchor>
        </w:drawing>
      </w:r>
    </w:p>
    <w:tbl>
      <w:tblPr>
        <w:tblLayout w:type="fixed"/>
        <w:tblInd w:w="3900" w:type="dxa"/>
        <w:tblCellMar>
          <w:top w:w="0" w:type="dxa"/>
          <w:left w:w="0" w:type="dxa"/>
          <w:bottom w:w="0" w:type="dxa"/>
          <w:right w:w="0" w:type="dxa"/>
        </w:tblCellMar>
      </w:tblPr>
      <w:tr>
        <w:trPr>
          <w:trHeight w:val="162"/>
        </w:trPr>
        <w:tc>
          <w:tcPr>
            <w:tcW w:w="2000" w:type="dxa"/>
            <w:vAlign w:val="bottom"/>
            <w:vMerge w:val="restart"/>
          </w:tcPr>
          <w:p>
            <w:pPr>
              <w:spacing w:after="0"/>
              <w:rPr>
                <w:sz w:val="20"/>
                <w:szCs w:val="20"/>
                <w:color w:val="auto"/>
              </w:rPr>
            </w:pPr>
            <w:r>
              <w:rPr>
                <w:rFonts w:ascii="Arial" w:cs="Arial" w:eastAsia="Arial" w:hAnsi="Arial"/>
                <w:sz w:val="14"/>
                <w:szCs w:val="14"/>
                <w:color w:val="auto"/>
              </w:rPr>
              <w:t>appreciation over the long-</w:t>
            </w:r>
          </w:p>
        </w:tc>
        <w:tc>
          <w:tcPr>
            <w:tcW w:w="3580" w:type="dxa"/>
            <w:vAlign w:val="bottom"/>
          </w:tcPr>
          <w:p>
            <w:pPr>
              <w:ind w:left="120"/>
              <w:spacing w:after="0"/>
              <w:rPr>
                <w:sz w:val="20"/>
                <w:szCs w:val="20"/>
                <w:color w:val="auto"/>
              </w:rPr>
            </w:pPr>
            <w:r>
              <w:rPr>
                <w:rFonts w:ascii="Arial" w:cs="Arial" w:eastAsia="Arial" w:hAnsi="Arial"/>
                <w:sz w:val="14"/>
                <w:szCs w:val="14"/>
                <w:color w:val="auto"/>
              </w:rPr>
              <w:t>Exercise price is the average of the high and low</w:t>
            </w:r>
          </w:p>
        </w:tc>
        <w:tc>
          <w:tcPr>
            <w:tcW w:w="0" w:type="dxa"/>
            <w:vAlign w:val="bottom"/>
          </w:tcPr>
          <w:p>
            <w:pPr>
              <w:spacing w:after="0"/>
              <w:rPr>
                <w:sz w:val="1"/>
                <w:szCs w:val="1"/>
                <w:color w:val="auto"/>
              </w:rPr>
            </w:pPr>
          </w:p>
        </w:tc>
      </w:tr>
      <w:tr>
        <w:trPr>
          <w:trHeight w:val="54"/>
        </w:trPr>
        <w:tc>
          <w:tcPr>
            <w:tcW w:w="2000" w:type="dxa"/>
            <w:vAlign w:val="bottom"/>
            <w:vMerge w:val="continue"/>
          </w:tcPr>
          <w:p>
            <w:pPr>
              <w:spacing w:after="0"/>
              <w:rPr>
                <w:sz w:val="4"/>
                <w:szCs w:val="4"/>
                <w:color w:val="auto"/>
              </w:rPr>
            </w:pPr>
          </w:p>
        </w:tc>
        <w:tc>
          <w:tcPr>
            <w:tcW w:w="3580" w:type="dxa"/>
            <w:vAlign w:val="bottom"/>
            <w:vMerge w:val="restart"/>
          </w:tcPr>
          <w:p>
            <w:pPr>
              <w:ind w:left="120"/>
              <w:spacing w:after="0"/>
              <w:rPr>
                <w:sz w:val="20"/>
                <w:szCs w:val="20"/>
                <w:color w:val="auto"/>
              </w:rPr>
            </w:pPr>
            <w:r>
              <w:rPr>
                <w:rFonts w:ascii="Arial" w:cs="Arial" w:eastAsia="Arial" w:hAnsi="Arial"/>
                <w:sz w:val="14"/>
                <w:szCs w:val="14"/>
                <w:color w:val="auto"/>
              </w:rPr>
              <w:t>market price of our Common Stock on the date of</w:t>
            </w:r>
          </w:p>
        </w:tc>
        <w:tc>
          <w:tcPr>
            <w:tcW w:w="0" w:type="dxa"/>
            <w:vAlign w:val="bottom"/>
          </w:tcPr>
          <w:p>
            <w:pPr>
              <w:spacing w:after="0"/>
              <w:rPr>
                <w:sz w:val="1"/>
                <w:szCs w:val="1"/>
                <w:color w:val="auto"/>
              </w:rPr>
            </w:pPr>
          </w:p>
        </w:tc>
      </w:tr>
      <w:tr>
        <w:trPr>
          <w:trHeight w:val="108"/>
        </w:trPr>
        <w:tc>
          <w:tcPr>
            <w:tcW w:w="2000" w:type="dxa"/>
            <w:vAlign w:val="bottom"/>
            <w:vMerge w:val="restart"/>
          </w:tcPr>
          <w:p>
            <w:pPr>
              <w:spacing w:after="0"/>
              <w:rPr>
                <w:sz w:val="20"/>
                <w:szCs w:val="20"/>
                <w:color w:val="auto"/>
              </w:rPr>
            </w:pPr>
            <w:r>
              <w:rPr>
                <w:rFonts w:ascii="Arial" w:cs="Arial" w:eastAsia="Arial" w:hAnsi="Arial"/>
                <w:sz w:val="14"/>
                <w:szCs w:val="14"/>
                <w:color w:val="auto"/>
              </w:rPr>
              <w:t>term;</w:t>
            </w:r>
          </w:p>
        </w:tc>
        <w:tc>
          <w:tcPr>
            <w:tcW w:w="3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00" w:type="dxa"/>
            <w:vAlign w:val="bottom"/>
            <w:vMerge w:val="continue"/>
          </w:tcPr>
          <w:p>
            <w:pPr>
              <w:spacing w:after="0"/>
              <w:rPr>
                <w:sz w:val="5"/>
                <w:szCs w:val="5"/>
                <w:color w:val="auto"/>
              </w:rPr>
            </w:pPr>
          </w:p>
        </w:tc>
        <w:tc>
          <w:tcPr>
            <w:tcW w:w="3580" w:type="dxa"/>
            <w:vAlign w:val="bottom"/>
            <w:vMerge w:val="restart"/>
          </w:tcPr>
          <w:p>
            <w:pPr>
              <w:ind w:left="120"/>
              <w:spacing w:after="0"/>
              <w:rPr>
                <w:sz w:val="20"/>
                <w:szCs w:val="20"/>
                <w:color w:val="auto"/>
              </w:rPr>
            </w:pPr>
            <w:r>
              <w:rPr>
                <w:rFonts w:ascii="Arial" w:cs="Arial" w:eastAsia="Arial" w:hAnsi="Arial"/>
                <w:sz w:val="14"/>
                <w:szCs w:val="14"/>
                <w:color w:val="auto"/>
              </w:rPr>
              <w:t>grant.</w:t>
            </w:r>
          </w:p>
        </w:tc>
        <w:tc>
          <w:tcPr>
            <w:tcW w:w="0" w:type="dxa"/>
            <w:vAlign w:val="bottom"/>
          </w:tcPr>
          <w:p>
            <w:pPr>
              <w:spacing w:after="0"/>
              <w:rPr>
                <w:sz w:val="1"/>
                <w:szCs w:val="1"/>
                <w:color w:val="auto"/>
              </w:rPr>
            </w:pPr>
          </w:p>
        </w:tc>
      </w:tr>
      <w:tr>
        <w:trPr>
          <w:trHeight w:val="108"/>
        </w:trPr>
        <w:tc>
          <w:tcPr>
            <w:tcW w:w="2000" w:type="dxa"/>
            <w:vAlign w:val="bottom"/>
            <w:vMerge w:val="restart"/>
          </w:tcPr>
          <w:p>
            <w:pPr>
              <w:spacing w:after="0"/>
              <w:rPr>
                <w:sz w:val="20"/>
                <w:szCs w:val="20"/>
                <w:color w:val="auto"/>
              </w:rPr>
            </w:pPr>
            <w:r>
              <w:rPr>
                <w:rFonts w:ascii="Arial" w:cs="Arial" w:eastAsia="Arial" w:hAnsi="Arial"/>
                <w:sz w:val="14"/>
                <w:szCs w:val="14"/>
                <w:color w:val="auto"/>
              </w:rPr>
              <w:t>To retain executives; and</w:t>
            </w:r>
          </w:p>
        </w:tc>
        <w:tc>
          <w:tcPr>
            <w:tcW w:w="3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00" w:type="dxa"/>
            <w:vAlign w:val="bottom"/>
            <w:vMerge w:val="continue"/>
          </w:tcPr>
          <w:p>
            <w:pPr>
              <w:spacing w:after="0"/>
              <w:rPr>
                <w:sz w:val="14"/>
                <w:szCs w:val="14"/>
                <w:color w:val="auto"/>
              </w:rPr>
            </w:pPr>
          </w:p>
        </w:tc>
        <w:tc>
          <w:tcPr>
            <w:tcW w:w="3580" w:type="dxa"/>
            <w:vAlign w:val="bottom"/>
            <w:vMerge w:val="restart"/>
          </w:tcPr>
          <w:p>
            <w:pPr>
              <w:ind w:left="120"/>
              <w:spacing w:after="0"/>
              <w:rPr>
                <w:sz w:val="20"/>
                <w:szCs w:val="20"/>
                <w:color w:val="auto"/>
              </w:rPr>
            </w:pPr>
            <w:r>
              <w:rPr>
                <w:rFonts w:ascii="Arial" w:cs="Arial" w:eastAsia="Arial" w:hAnsi="Arial"/>
                <w:sz w:val="14"/>
                <w:szCs w:val="14"/>
                <w:color w:val="auto"/>
              </w:rPr>
              <w:t>Stock options have a term of ten years.</w:t>
            </w:r>
          </w:p>
        </w:tc>
        <w:tc>
          <w:tcPr>
            <w:tcW w:w="0" w:type="dxa"/>
            <w:vAlign w:val="bottom"/>
          </w:tcPr>
          <w:p>
            <w:pPr>
              <w:spacing w:after="0"/>
              <w:rPr>
                <w:sz w:val="1"/>
                <w:szCs w:val="1"/>
                <w:color w:val="auto"/>
              </w:rPr>
            </w:pPr>
          </w:p>
        </w:tc>
      </w:tr>
      <w:tr>
        <w:trPr>
          <w:trHeight w:val="108"/>
        </w:trPr>
        <w:tc>
          <w:tcPr>
            <w:tcW w:w="2000" w:type="dxa"/>
            <w:vAlign w:val="bottom"/>
            <w:vMerge w:val="restart"/>
          </w:tcPr>
          <w:p>
            <w:pPr>
              <w:spacing w:after="0"/>
              <w:rPr>
                <w:sz w:val="20"/>
                <w:szCs w:val="20"/>
                <w:color w:val="auto"/>
              </w:rPr>
            </w:pPr>
            <w:r>
              <w:rPr>
                <w:rFonts w:ascii="Arial" w:cs="Arial" w:eastAsia="Arial" w:hAnsi="Arial"/>
                <w:sz w:val="14"/>
                <w:szCs w:val="14"/>
                <w:color w:val="auto"/>
              </w:rPr>
              <w:t>To increase stockholder</w:t>
            </w:r>
          </w:p>
        </w:tc>
        <w:tc>
          <w:tcPr>
            <w:tcW w:w="3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00" w:type="dxa"/>
            <w:vAlign w:val="bottom"/>
            <w:vMerge w:val="continue"/>
          </w:tcPr>
          <w:p>
            <w:pPr>
              <w:spacing w:after="0"/>
              <w:rPr>
                <w:sz w:val="13"/>
                <w:szCs w:val="13"/>
                <w:color w:val="auto"/>
              </w:rPr>
            </w:pPr>
          </w:p>
        </w:tc>
        <w:tc>
          <w:tcPr>
            <w:tcW w:w="3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alignment through</w:t>
            </w: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executives’ stock</w:t>
            </w: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20"/>
                <w:szCs w:val="20"/>
                <w:color w:val="auto"/>
              </w:rPr>
            </w:pPr>
            <w:r>
              <w:rPr>
                <w:rFonts w:ascii="Arial" w:cs="Arial" w:eastAsia="Arial" w:hAnsi="Arial"/>
                <w:sz w:val="14"/>
                <w:szCs w:val="14"/>
                <w:color w:val="auto"/>
              </w:rPr>
              <w:t>ownership</w:t>
            </w: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ectPr>
          <w:pgSz w:w="11900" w:h="16838" w:orient="portrait"/>
          <w:cols w:equalWidth="0" w:num="1">
            <w:col w:w="9880"/>
          </w:cols>
          <w:pgMar w:left="580" w:top="131" w:right="1439" w:bottom="1440" w:gutter="0" w:footer="0" w:header="0"/>
        </w:sectPr>
      </w:pPr>
    </w:p>
    <w:tbl>
      <w:tblPr>
        <w:tblLayout w:type="fixed"/>
        <w:tblInd w:w="238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Arial" w:cs="Arial" w:eastAsia="Arial" w:hAnsi="Arial"/>
                <w:sz w:val="14"/>
                <w:szCs w:val="14"/>
                <w:color w:val="auto"/>
              </w:rPr>
              <w:t>Restricted Stock</w:t>
            </w:r>
          </w:p>
        </w:tc>
        <w:tc>
          <w:tcPr>
            <w:tcW w:w="1980" w:type="dxa"/>
            <w:vAlign w:val="bottom"/>
          </w:tcPr>
          <w:p>
            <w:pPr>
              <w:ind w:left="180"/>
              <w:spacing w:after="0"/>
              <w:rPr>
                <w:sz w:val="20"/>
                <w:szCs w:val="20"/>
                <w:color w:val="auto"/>
              </w:rPr>
            </w:pPr>
            <w:r>
              <w:rPr>
                <w:rFonts w:ascii="Arial" w:cs="Arial" w:eastAsia="Arial" w:hAnsi="Arial"/>
                <w:sz w:val="14"/>
                <w:szCs w:val="14"/>
                <w:color w:val="auto"/>
              </w:rPr>
              <w:t>Used on a limited basis</w:t>
            </w:r>
          </w:p>
        </w:tc>
      </w:tr>
      <w:tr>
        <w:trPr>
          <w:trHeight w:val="162"/>
        </w:trPr>
        <w:tc>
          <w:tcPr>
            <w:tcW w:w="1340" w:type="dxa"/>
            <w:vAlign w:val="bottom"/>
          </w:tcPr>
          <w:p>
            <w:pPr>
              <w:spacing w:after="0"/>
              <w:rPr>
                <w:sz w:val="20"/>
                <w:szCs w:val="20"/>
                <w:color w:val="auto"/>
              </w:rPr>
            </w:pPr>
            <w:r>
              <w:rPr>
                <w:rFonts w:ascii="Arial" w:cs="Arial" w:eastAsia="Arial" w:hAnsi="Arial"/>
                <w:sz w:val="14"/>
                <w:szCs w:val="14"/>
                <w:color w:val="auto"/>
              </w:rPr>
              <w:t>Units</w:t>
            </w:r>
          </w:p>
        </w:tc>
        <w:tc>
          <w:tcPr>
            <w:tcW w:w="1980" w:type="dxa"/>
            <w:vAlign w:val="bottom"/>
          </w:tcPr>
          <w:p>
            <w:pPr>
              <w:ind w:left="180"/>
              <w:spacing w:after="0"/>
              <w:rPr>
                <w:sz w:val="20"/>
                <w:szCs w:val="20"/>
                <w:color w:val="auto"/>
              </w:rPr>
            </w:pPr>
            <w:r>
              <w:rPr>
                <w:rFonts w:ascii="Arial" w:cs="Arial" w:eastAsia="Arial" w:hAnsi="Arial"/>
                <w:sz w:val="14"/>
                <w:szCs w:val="14"/>
                <w:color w:val="auto"/>
              </w:rPr>
              <w:t>(e.g. promotion and new</w:t>
            </w:r>
          </w:p>
        </w:tc>
      </w:tr>
      <w:tr>
        <w:trPr>
          <w:trHeight w:val="162"/>
        </w:trPr>
        <w:tc>
          <w:tcPr>
            <w:tcW w:w="13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Arial" w:cs="Arial" w:eastAsia="Arial" w:hAnsi="Arial"/>
                <w:sz w:val="14"/>
                <w:szCs w:val="14"/>
                <w:color w:val="auto"/>
              </w:rPr>
              <w:t>hire) to make awards that</w:t>
            </w:r>
          </w:p>
        </w:tc>
      </w:tr>
      <w:tr>
        <w:trPr>
          <w:trHeight w:val="162"/>
        </w:trPr>
        <w:tc>
          <w:tcPr>
            <w:tcW w:w="13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Arial" w:cs="Arial" w:eastAsia="Arial" w:hAnsi="Arial"/>
                <w:sz w:val="14"/>
                <w:szCs w:val="14"/>
                <w:color w:val="auto"/>
              </w:rPr>
              <w:t>encourage and reward</w:t>
            </w:r>
          </w:p>
        </w:tc>
      </w:tr>
      <w:tr>
        <w:trPr>
          <w:trHeight w:val="162"/>
        </w:trPr>
        <w:tc>
          <w:tcPr>
            <w:tcW w:w="13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Arial" w:cs="Arial" w:eastAsia="Arial" w:hAnsi="Arial"/>
                <w:sz w:val="14"/>
                <w:szCs w:val="14"/>
                <w:color w:val="auto"/>
              </w:rPr>
              <w:t>long-term performance</w:t>
            </w:r>
          </w:p>
        </w:tc>
      </w:tr>
      <w:tr>
        <w:trPr>
          <w:trHeight w:val="162"/>
        </w:trPr>
        <w:tc>
          <w:tcPr>
            <w:tcW w:w="13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Arial" w:cs="Arial" w:eastAsia="Arial" w:hAnsi="Arial"/>
                <w:sz w:val="14"/>
                <w:szCs w:val="14"/>
                <w:color w:val="auto"/>
              </w:rPr>
              <w:t>and increase alignment</w:t>
            </w:r>
          </w:p>
        </w:tc>
      </w:tr>
      <w:tr>
        <w:trPr>
          <w:trHeight w:val="172"/>
        </w:trPr>
        <w:tc>
          <w:tcPr>
            <w:tcW w:w="1340" w:type="dxa"/>
            <w:vAlign w:val="bottom"/>
          </w:tcPr>
          <w:p>
            <w:pPr>
              <w:spacing w:after="0"/>
              <w:rPr>
                <w:sz w:val="14"/>
                <w:szCs w:val="14"/>
                <w:color w:val="auto"/>
              </w:rPr>
            </w:pPr>
          </w:p>
        </w:tc>
        <w:tc>
          <w:tcPr>
            <w:tcW w:w="1980" w:type="dxa"/>
            <w:vAlign w:val="bottom"/>
          </w:tcPr>
          <w:p>
            <w:pPr>
              <w:ind w:left="180"/>
              <w:spacing w:after="0"/>
              <w:rPr>
                <w:sz w:val="20"/>
                <w:szCs w:val="20"/>
                <w:color w:val="auto"/>
              </w:rPr>
            </w:pPr>
            <w:r>
              <w:rPr>
                <w:rFonts w:ascii="Arial" w:cs="Arial" w:eastAsia="Arial" w:hAnsi="Arial"/>
                <w:sz w:val="14"/>
                <w:szCs w:val="14"/>
                <w:color w:val="auto"/>
              </w:rPr>
              <w:t>with stockholders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33020</wp:posOffset>
            </wp:positionV>
            <wp:extent cx="57607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spacing w:after="0" w:line="258" w:lineRule="auto"/>
        <w:rPr>
          <w:sz w:val="20"/>
          <w:szCs w:val="20"/>
          <w:color w:val="auto"/>
        </w:rPr>
      </w:pPr>
      <w:r>
        <w:rPr>
          <w:rFonts w:ascii="Arial" w:cs="Arial" w:eastAsia="Arial" w:hAnsi="Arial"/>
          <w:sz w:val="14"/>
          <w:szCs w:val="14"/>
          <w:color w:val="auto"/>
        </w:rPr>
        <w:t>No restricted stock units (“RSUs”) were granted to named executives in 2020.</w:t>
      </w:r>
    </w:p>
    <w:p>
      <w:pPr>
        <w:spacing w:after="0" w:line="86"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RSUs typically vest in full three years after the date of grant. Time- based vesting aids retention. Dividend equivalents on RSUs accrue and are paid in cash upon vesting.</w:t>
      </w:r>
    </w:p>
    <w:p>
      <w:pPr>
        <w:spacing w:after="0" w:line="415" w:lineRule="exact"/>
        <w:rPr>
          <w:sz w:val="20"/>
          <w:szCs w:val="20"/>
          <w:color w:val="auto"/>
        </w:rPr>
      </w:pPr>
    </w:p>
    <w:p>
      <w:pPr>
        <w:sectPr>
          <w:pgSz w:w="11900" w:h="16838" w:orient="portrait"/>
          <w:cols w:equalWidth="0" w:num="2">
            <w:col w:w="5700" w:space="320"/>
            <w:col w:w="3860"/>
          </w:cols>
          <w:pgMar w:left="580" w:top="131" w:right="1439" w:bottom="1440" w:gutter="0" w:footer="0" w:header="0"/>
          <w:type w:val="continuous"/>
        </w:sectPr>
      </w:pPr>
    </w:p>
    <w:p>
      <w:pPr>
        <w:spacing w:after="0" w:line="235"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-158750</wp:posOffset>
            </wp:positionV>
            <wp:extent cx="45466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4660" cy="12890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168275</wp:posOffset>
            </wp:positionV>
            <wp:extent cx="57607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184"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Deferral Plan.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our named executive officers is eligible to participate in our 409A Deferral</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may elect to defer receipt of portions of their base salary and cash incentives in excess of the annual compensation threshold established under Section 401(a)(17) of the Internal Revenue Code of 1986, as amended (the “IRC”). We believe that providing a program that allows and encourages planning for retirement is a key factor in our ability to attract and retain talent. Additional details on the 409A Deferral Plan can be found in the Nonqualified Deferred Compensation in 2020 table and accompanying disclosure.</w:t>
      </w:r>
    </w:p>
    <w:p>
      <w:pPr>
        <w:spacing w:after="0" w:line="284"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Perquisites.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very limited perquisites or personal benefits to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consisting of reimbursement of the cost of physical exams, cost to the Company for spousal or guest participation in corporate events (which did not occur in 2020 due to the COVID-19 pandemic), and use of Company aircraft for personal travel. The MD&amp;C Committee permits our President and Chief Executive Officer to use the Company’s aircraft for business and personal travel; provided, however, that personal use of the Company aircraft attributed to him that results in incremental cost to the Company shall not exceed 90 hours during any calendar year without approval from the Chairman of the MD&amp;C Committee. In 2020, our President and Chief Executive Officer had less than nine hours of personal use of Company aircraft under this standard. Personal use of the Company’s aircraft by other employees resulting in incremental cost to the Company is permitted with Chief Executive Officer approval. This generally occurs infrequently, although additional personal use of the Company aircraft was permitted in 2020 due to the COVID-19 pandemic. The value of our named executives’ personal use of the Company’s aircraft is treated as taxable income to the respective executive in accordance with IRS regulations using the Standard Industry Fare Level formula. This is a different amount than we calculate pursuant to the SEC requirement to report the incremental cost to us of their use. See note (4) to the Summary Compensation Table below for additional information about this calculation.</w:t>
      </w:r>
    </w:p>
    <w:p>
      <w:pPr>
        <w:spacing w:after="0" w:line="200" w:lineRule="exact"/>
        <w:rPr>
          <w:sz w:val="20"/>
          <w:szCs w:val="20"/>
          <w:color w:val="auto"/>
        </w:rPr>
      </w:pPr>
    </w:p>
    <w:p>
      <w:pPr>
        <w:spacing w:after="0" w:line="246"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Post-Employment and Change in Control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protections that aid in retention of senior leadership by providing the individual with comfort that he or she will be treated fairly in the event of an involuntary termination not for cause. The change in control provisions included in our Executive Severance Protection Plan, our stock option award documentation and, if applicable, employment agreements require a double trigger in order to receive any payment in the event of a change in control situation. Additional details can be found under “— Post Employment and Change in Control Compensation; Clawback Policies” and “Potential Payments Upon Termination or Change in Control.”</w:t>
      </w:r>
    </w:p>
    <w:p>
      <w:pPr>
        <w:spacing w:after="0" w:line="37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How Named Executive Officer Compensation Decisions are Made</w:t>
      </w:r>
    </w:p>
    <w:p>
      <w:pPr>
        <w:spacing w:after="0" w:line="134" w:lineRule="exact"/>
        <w:rPr>
          <w:sz w:val="20"/>
          <w:szCs w:val="20"/>
          <w:color w:val="auto"/>
        </w:rPr>
      </w:pPr>
    </w:p>
    <w:p>
      <w:pPr>
        <w:jc w:val="both"/>
        <w:ind w:left="820"/>
        <w:spacing w:after="0" w:line="238" w:lineRule="auto"/>
        <w:rPr>
          <w:sz w:val="20"/>
          <w:szCs w:val="20"/>
          <w:color w:val="auto"/>
        </w:rPr>
      </w:pPr>
      <w:r>
        <w:rPr>
          <w:rFonts w:ascii="Arial" w:cs="Arial" w:eastAsia="Arial" w:hAnsi="Arial"/>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w:t>
      </w:r>
    </w:p>
    <w:p>
      <w:pPr>
        <w:spacing w:after="0" w:line="97"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In the performance of its duties, the MD&amp;C Committee regularly reviews the total compensation, including the base salary, target annual cash incentive award opportunities, long -term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performance share unit calculations; reviews the individual annual cash incentive targets for the current year as a percent of base salary for each of the named executive officers; and makes decisions on granting long-term equity awards.</w:t>
      </w:r>
    </w:p>
    <w:p>
      <w:pPr>
        <w:spacing w:after="0" w:line="252"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several resources in its analysis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compensation for the named executive 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Frederic W. Cook &amp; Co., Inc. (“FW Cook”) as its independent consultant since 2002. The Company makes regular payments to FW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293" w:lineRule="exact"/>
        <w:rPr>
          <w:sz w:val="20"/>
          <w:szCs w:val="20"/>
          <w:color w:val="auto"/>
        </w:rPr>
      </w:pPr>
    </w:p>
    <w:p>
      <w:pPr>
        <w:jc w:val="both"/>
        <w:ind w:left="820"/>
        <w:spacing w:after="0" w:line="238" w:lineRule="auto"/>
        <w:rPr>
          <w:sz w:val="20"/>
          <w:szCs w:val="20"/>
          <w:color w:val="auto"/>
        </w:rPr>
      </w:pPr>
      <w:r>
        <w:rPr>
          <w:rFonts w:ascii="Arial" w:cs="Arial" w:eastAsia="Arial" w:hAnsi="Arial"/>
          <w:sz w:val="18"/>
          <w:szCs w:val="18"/>
          <w:color w:val="auto"/>
        </w:rPr>
        <w:t>In addition to services related to executive compensation, FW Cook also provides the MD&amp;C Committee information and advice with respect to compensation of the independent directors. FW Cook has no other business relationships with the Company and receives no other payments from the Company. The MD&amp;C Committee adopted a charter provision requiring</w:t>
      </w:r>
    </w:p>
    <w:p>
      <w:pPr>
        <w:spacing w:after="0" w:line="251"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168275</wp:posOffset>
            </wp:positionV>
            <wp:extent cx="57607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jc w:val="both"/>
        <w:ind w:left="820"/>
        <w:spacing w:after="0" w:line="251" w:lineRule="auto"/>
        <w:rPr>
          <w:sz w:val="20"/>
          <w:szCs w:val="20"/>
          <w:color w:val="auto"/>
        </w:rPr>
      </w:pPr>
      <w:r>
        <w:rPr>
          <w:rFonts w:ascii="Arial" w:cs="Arial" w:eastAsia="Arial" w:hAnsi="Arial"/>
          <w:sz w:val="18"/>
          <w:szCs w:val="18"/>
          <w:color w:val="auto"/>
        </w:rPr>
        <w:t>that it consider the independence of any compensation consultants it uses for executive compensation matters. The MD&amp;C Committee has considered the independence of FW Cook in light of SEC rules and New York Stock Exchange listing standards. In connection with this process, the MD&amp;C Committee has reviewed, among other items, a letter from FW Cook addressing the independence of FW Cook and the members of the consulting team serving the MD&amp;C Committee, including the following factors: (a) other services provided to us by FW Cook; (b) fees paid by us as a percentage of FW Cook’s total revenue; (c) policies or procedures of FW Cook that are designed to prevent conflicts of interest; (d) any business or personal relationships between the senior advisor of the consulting team with a member of the MD&amp;C Committee; (e) any Company stock owned by the senior advisor or any member of his immediate family and (f) any business or personal relationships between our executive officers and the senior advisor. The MD&amp;C Committee reviewed these considerations and concluded that the work performed by FW Cook and its senior advisor involved in the engagement did not raise any conflict of interest.</w:t>
      </w:r>
    </w:p>
    <w:p>
      <w:pPr>
        <w:spacing w:after="0" w:line="300"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i w:val="1"/>
          <w:iCs w:val="1"/>
          <w:u w:val="single" w:color="auto"/>
          <w:color w:val="auto"/>
        </w:rPr>
        <w:t>Role of CEO and our People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President and Chief Executive Officer contributes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determinations by assessing the performance of the other named executive officers and providing these assessments with recommendations to the MD&amp;C Committee. Personnel within the Company’s People Organization assist the MD&amp;C Committee by working with the independent consultant to provide information requested by the MD&amp;C Committee and assisting it in designing and administering the Company’s compensation programs.</w:t>
      </w:r>
    </w:p>
    <w:p>
      <w:pPr>
        <w:spacing w:after="0" w:line="79"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i w:val="1"/>
          <w:iCs w:val="1"/>
          <w:u w:val="single" w:color="auto"/>
          <w:color w:val="auto"/>
        </w:rPr>
        <w:t>Peer Company Comparisons.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compensation information of comparison</w:t>
      </w:r>
      <w:r>
        <w:rPr>
          <w:rFonts w:ascii="Arial" w:cs="Arial" w:eastAsia="Arial" w:hAnsi="Arial"/>
          <w:sz w:val="18"/>
          <w:szCs w:val="18"/>
          <w:i w:val="1"/>
          <w:iCs w:val="1"/>
          <w:color w:val="auto"/>
        </w:rPr>
        <w:t xml:space="preserve"> </w:t>
      </w:r>
      <w:r>
        <w:rPr>
          <w:rFonts w:ascii="Arial" w:cs="Arial" w:eastAsia="Arial" w:hAnsi="Arial"/>
          <w:sz w:val="18"/>
          <w:szCs w:val="18"/>
          <w:color w:val="auto"/>
        </w:rPr>
        <w:t>groups of companies to gauge the competitive market, which is relevant for attracting and retaining key talent and for ensuring that the Company’s compensation practices are aligned with prevalent practices. For purposes of establishing the 2020 executive compensation program, the MD&amp;C Committee considered a competitive analysis of total direct compensation levels and compensation mix for our executive officers during the second half of 2019, using information from:</w:t>
      </w:r>
    </w:p>
    <w:p>
      <w:pPr>
        <w:spacing w:after="0" w:line="97" w:lineRule="exact"/>
        <w:rPr>
          <w:sz w:val="20"/>
          <w:szCs w:val="20"/>
          <w:color w:val="auto"/>
        </w:rPr>
      </w:pPr>
    </w:p>
    <w:p>
      <w:pPr>
        <w:jc w:val="both"/>
        <w:ind w:left="1360" w:hanging="184"/>
        <w:spacing w:after="0" w:line="252" w:lineRule="auto"/>
        <w:tabs>
          <w:tab w:leader="none" w:pos="1360" w:val="left"/>
        </w:tabs>
        <w:numPr>
          <w:ilvl w:val="0"/>
          <w:numId w:val="32"/>
        </w:numPr>
        <w:rPr>
          <w:rFonts w:ascii="Arial" w:cs="Arial" w:eastAsia="Arial" w:hAnsi="Arial"/>
          <w:sz w:val="18"/>
          <w:szCs w:val="18"/>
          <w:color w:val="477258"/>
        </w:rPr>
      </w:pPr>
      <w:r>
        <w:rPr>
          <w:rFonts w:ascii="Arial" w:cs="Arial" w:eastAsia="Arial" w:hAnsi="Arial"/>
          <w:sz w:val="18"/>
          <w:szCs w:val="18"/>
          <w:color w:val="auto"/>
        </w:rPr>
        <w:t>Size-adjusted median compensation data from two general industry surveys in which management annually participates; the Aon Hewitt 2019 Total Compensation Measurement Survey and the Willis Towers Watson 2019 Executive Compensation Database Survey. The 2019 Aon Hewitt Total Compensation Measurement Survey includes 450 organizations ranging in size from $60 million to $265 billion in annual revenue, and the 2019 Willis Towers Watson Executive Compensation Database Survey includes 811 organizations ranging in size from approximately $25 million to $200 billion in annual revenue. Data selected from these surveys is scoped based on Company revenue; and</w:t>
      </w:r>
    </w:p>
    <w:p>
      <w:pPr>
        <w:spacing w:after="0" w:line="314" w:lineRule="exact"/>
        <w:rPr>
          <w:rFonts w:ascii="Arial" w:cs="Arial" w:eastAsia="Arial" w:hAnsi="Arial"/>
          <w:sz w:val="18"/>
          <w:szCs w:val="18"/>
          <w:color w:val="477258"/>
        </w:rPr>
      </w:pPr>
    </w:p>
    <w:p>
      <w:pPr>
        <w:ind w:left="1360" w:right="520" w:hanging="184"/>
        <w:spacing w:after="0" w:line="261" w:lineRule="auto"/>
        <w:tabs>
          <w:tab w:leader="none" w:pos="1360" w:val="left"/>
        </w:tabs>
        <w:numPr>
          <w:ilvl w:val="0"/>
          <w:numId w:val="32"/>
        </w:numPr>
        <w:rPr>
          <w:rFonts w:ascii="Arial" w:cs="Arial" w:eastAsia="Arial" w:hAnsi="Arial"/>
          <w:sz w:val="18"/>
          <w:szCs w:val="18"/>
          <w:color w:val="477258"/>
        </w:rPr>
      </w:pPr>
      <w:r>
        <w:rPr>
          <w:rFonts w:ascii="Arial" w:cs="Arial" w:eastAsia="Arial" w:hAnsi="Arial"/>
          <w:sz w:val="18"/>
          <w:szCs w:val="18"/>
          <w:color w:val="auto"/>
        </w:rPr>
        <w:t>Median compensation data from a comparison group of 18 publicly traded U.S. companies, described below.</w:t>
      </w:r>
    </w:p>
    <w:p>
      <w:pPr>
        <w:spacing w:after="0" w:line="90" w:lineRule="exact"/>
        <w:rPr>
          <w:sz w:val="20"/>
          <w:szCs w:val="20"/>
          <w:color w:val="auto"/>
        </w:rPr>
      </w:pPr>
    </w:p>
    <w:p>
      <w:pPr>
        <w:jc w:val="both"/>
        <w:ind w:left="820"/>
        <w:spacing w:after="0" w:line="251" w:lineRule="auto"/>
        <w:rPr>
          <w:sz w:val="20"/>
          <w:szCs w:val="20"/>
          <w:color w:val="auto"/>
        </w:rPr>
      </w:pPr>
      <w:r>
        <w:rPr>
          <w:rFonts w:ascii="Arial" w:cs="Arial" w:eastAsia="Arial" w:hAnsi="Arial"/>
          <w:sz w:val="18"/>
          <w:szCs w:val="18"/>
          <w:color w:val="auto"/>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15 different Global Industry Classifications. These industry classifications are meant to provide a collection of companies in industries that share similar characteristics with us.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-149860</wp:posOffset>
            </wp:positionV>
            <wp:extent cx="454660" cy="120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4660" cy="12001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168275</wp:posOffset>
            </wp:positionV>
            <wp:extent cx="57607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jc w:val="both"/>
        <w:ind w:left="820"/>
        <w:spacing w:after="0" w:line="238" w:lineRule="auto"/>
        <w:rPr>
          <w:sz w:val="20"/>
          <w:szCs w:val="20"/>
          <w:color w:val="auto"/>
        </w:rPr>
      </w:pPr>
      <w:r>
        <w:rPr>
          <w:rFonts w:ascii="Arial" w:cs="Arial" w:eastAsia="Arial" w:hAnsi="Arial"/>
          <w:sz w:val="18"/>
          <w:szCs w:val="18"/>
          <w:color w:val="auto"/>
        </w:rPr>
        <w:t>The following chart sets forth various size comparisons to companies in the comparison group; this table is provided to evidence that the Company was appropriately positioned within its peer group for purposes of establishing 2020 compensation during 2019. All financial and market data are taken from Standard &amp; Poor’s Capital IQ, with financial data as of each company’s 2018 fiscal year end and market capitalization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86360</wp:posOffset>
            </wp:positionV>
            <wp:extent cx="3951605" cy="2837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95160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261"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Allocation of Compensation Elements and Tally Sheets.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forms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total compensation will be paid to 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 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288" w:lineRule="exact"/>
        <w:rPr>
          <w:sz w:val="20"/>
          <w:szCs w:val="20"/>
          <w:color w:val="auto"/>
        </w:rPr>
      </w:pPr>
    </w:p>
    <w:p>
      <w:pPr>
        <w:jc w:val="both"/>
        <w:ind w:left="820"/>
        <w:spacing w:after="0" w:line="251" w:lineRule="auto"/>
        <w:rPr>
          <w:sz w:val="20"/>
          <w:szCs w:val="20"/>
          <w:color w:val="auto"/>
        </w:rPr>
      </w:pPr>
      <w:r>
        <w:rPr>
          <w:rFonts w:ascii="Arial" w:cs="Arial" w:eastAsia="Arial" w:hAnsi="Arial"/>
          <w:sz w:val="18"/>
          <w:szCs w:val="18"/>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 -term and long-term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320"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The following charts display the allocation of total 2020 target compensation among base salary, annual cash incentive and long-term incentives for (a) our President and Chief Executive Officer and</w:t>
      </w:r>
    </w:p>
    <w:p>
      <w:pPr>
        <w:spacing w:after="0" w:line="1" w:lineRule="exact"/>
        <w:rPr>
          <w:sz w:val="20"/>
          <w:szCs w:val="20"/>
          <w:color w:val="auto"/>
        </w:rPr>
      </w:pPr>
    </w:p>
    <w:p>
      <w:pPr>
        <w:ind w:left="1120" w:hanging="304"/>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other named executives, on average.</w:t>
      </w:r>
    </w:p>
    <w:p>
      <w:pPr>
        <w:spacing w:after="0" w:line="270"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 xml:space="preserve">30  </w:t>
      </w:r>
      <w:r>
        <w:rPr>
          <w:rFonts w:ascii="Arial" w:cs="Arial" w:eastAsia="Arial" w:hAnsi="Arial"/>
          <w:sz w:val="32"/>
          <w:szCs w:val="32"/>
          <w:b w:val="1"/>
          <w:bCs w:val="1"/>
          <w:color w:val="477258"/>
        </w:rPr>
        <w:t xml:space="preserve">|  </w:t>
      </w:r>
      <w:r>
        <w:rPr>
          <w:rFonts w:ascii="Arial" w:cs="Arial" w:eastAsia="Arial" w:hAnsi="Arial"/>
          <w:sz w:val="1"/>
          <w:szCs w:val="1"/>
          <w:color w:val="auto"/>
        </w:rPr>
        <w:drawing>
          <wp:inline distT="0" distB="0" distL="0" distR="0">
            <wp:extent cx="454025" cy="12890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445135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168275</wp:posOffset>
            </wp:positionV>
            <wp:extent cx="57607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These charts reflect the MD&amp;C Committee’s 2020 desired total mix of target compensation for named executives, which includes 60% of total compensation derived from long-term equity awards, while long-term equity awards comprised 71.5% of our President and Chief Executive Officer’s total target compensation. These charts also reflect that 88.6% of our President and Chief Executive Officer’s total target compensation opportunities awarded in 2020 were performance-based, while approximately 80% of the total target compensation established in February 2020 for the other named executives was performance-based. We consider stock options granted under our long-term incentive plan to be performance-based because their value will increase as the market value of our Common Stock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191770</wp:posOffset>
            </wp:positionV>
            <wp:extent cx="5151755" cy="17741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5175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Internal Pay Equity.</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differentials between compensation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The MD&amp;C Committee also reviews compensation comparisons between the President and Chief Executive Officer and the other executive officers, while recognizing the additional responsibilities of the President and Chief Executive Officer and that such differentials will increase in periods of above-target performance and decrease in times of below-target performance. Based on these considerations, the MD&amp;C Committee concluded that the compensation paid to the President and Chief Executive Officer is reasonable compared to that of the other executive officers.</w:t>
      </w:r>
    </w:p>
    <w:p>
      <w:pPr>
        <w:spacing w:after="0" w:line="77"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Policy on Calculation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the MD&amp;C Committee adopted a policy on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that affect payouts under annual and long-term incentive awards in 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 -term gains and protect current incentive opportunities. To ensure the integrity of the adjustments, the policy provides that the MD&amp;C Committee’s approach to adjustments shall generally be consistent with the Company’s approach to reporting adjusted non-GAAP earnings to the investment community, except that the MD&amp;C Committee has determined that potential adjustments arising from a single transaction or event generally should be disregarded unless, taken together, they change the calculated award payout by at least five percent. For this reason, actual results reported in this Proxy Statement on financial performance measures may differ from earnings results reported to the investment community. The MD&amp;C Committee retains discretion to evaluate all adjustments, both income and expense, as circumstances warrant; however, beginning with long -term equity incentive awards granted in 2017, the MD&amp;C Committee agreed that it shall not have the ability to use negative discretion with respect to the calculation of cash flow for purposes of the Cash Flow PSUs, in order to avoid variable accounting treatment for those awards.</w:t>
      </w:r>
    </w:p>
    <w:p>
      <w:pPr>
        <w:spacing w:after="0" w:line="239"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Tax and Accounting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revision of Section 162(m) of the IRC in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generally may no longer take a deduction for any compensation paid to any of its named executive officers in excess of $1 million. Section 409A of the IRC (“Code Section 409A”) generally provides that any deferred compensation arrangement that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284"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We account for equity -based payments, including stock options, PSUs and RSUs, in accordance with Financial Accounting Standards Board Accounting Standards Codification Topic 718, Stock Compensation (“ASC Topic 718”). The MD&amp;C</w:t>
      </w:r>
    </w:p>
    <w:p>
      <w:pPr>
        <w:spacing w:after="0" w:line="235"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-149860</wp:posOffset>
            </wp:positionV>
            <wp:extent cx="454660"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4660" cy="12001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168275</wp:posOffset>
            </wp:positionV>
            <wp:extent cx="57607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99"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Committee takes into consideration the accounting treatment under ASC Topic 718 when determining the form and amount of annual long-term equity incentive awards. However, because our long-term equity incentive awards are based on a target dollar value established prior to grant (described in further detail under “Named Executives’ 2020 Compensation Program and Results — Long-Term Equity Incentives”), this “value” will differ from the grant date fair value of awards calculated pursuant to ASC Topic 718.</w:t>
      </w:r>
    </w:p>
    <w:p>
      <w:pPr>
        <w:spacing w:after="0" w:line="270" w:lineRule="exact"/>
        <w:rPr>
          <w:sz w:val="20"/>
          <w:szCs w:val="20"/>
          <w:color w:val="auto"/>
        </w:rPr>
      </w:pPr>
    </w:p>
    <w:p>
      <w:pPr>
        <w:jc w:val="both"/>
        <w:ind w:left="820"/>
        <w:spacing w:after="0" w:line="239" w:lineRule="auto"/>
        <w:rPr>
          <w:sz w:val="20"/>
          <w:szCs w:val="20"/>
          <w:color w:val="auto"/>
        </w:rPr>
      </w:pPr>
      <w:r>
        <w:rPr>
          <w:rFonts w:ascii="Arial" w:cs="Arial" w:eastAsia="Arial" w:hAnsi="Arial"/>
          <w:sz w:val="18"/>
          <w:szCs w:val="18"/>
          <w:i w:val="1"/>
          <w:iCs w:val="1"/>
          <w:u w:val="single" w:color="auto"/>
          <w:color w:val="auto"/>
        </w:rPr>
        <w:t>Risk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the structural elements set forth in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earlier to establish compensation that will provide sufficient incentives for named executive officers to drive results while avoiding unnecessary or excessive risk taking that could harm the long-term value of the Company. During 2020,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79"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Consideration of Stockholder Advisory Vote on Executive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reviews the results of the stockholder advisory vote on executive compensation and considers such voting results when establishing the Company’s compensation programs. In light of the fact that more than 95% of shares present and entitled to vote at the annual meeting have voted in favor of the Company’s executive compensation every year since the advisory vote on compensation was implemented, the results of the stockholder advisory votes have not caused the MD&amp;C Committee to recommend any changes to our compensation practices.</w:t>
      </w:r>
    </w:p>
    <w:p>
      <w:pPr>
        <w:spacing w:after="0" w:line="383"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Named Executives’ 2020 Compensation Program and Results</w:t>
      </w:r>
    </w:p>
    <w:p>
      <w:pPr>
        <w:spacing w:after="0" w:line="112"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Base Salary</w:t>
      </w:r>
    </w:p>
    <w:p>
      <w:pPr>
        <w:spacing w:after="0" w:line="139"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MD&amp;C Committee approved increases to the 2020 base salaries of named executive officers, consistent with our compensation philosophy and driven by competitive market data, internal pay equity considerations and individual performance relative to the executive’s responsibilities and contributions. The table below shows the 2020 annual base salary established by the MD&amp;C Committee for each of our named executive officers.</w:t>
      </w:r>
    </w:p>
    <w:p>
      <w:pPr>
        <w:spacing w:after="0" w:line="307" w:lineRule="exact"/>
        <w:rPr>
          <w:sz w:val="20"/>
          <w:szCs w:val="20"/>
          <w:color w:val="auto"/>
        </w:rPr>
      </w:pPr>
    </w:p>
    <w:tbl>
      <w:tblPr>
        <w:tblLayout w:type="fixed"/>
        <w:tblInd w:w="1520" w:type="dxa"/>
        <w:tblCellMar>
          <w:top w:w="0" w:type="dxa"/>
          <w:left w:w="0" w:type="dxa"/>
          <w:bottom w:w="0" w:type="dxa"/>
          <w:right w:w="0" w:type="dxa"/>
        </w:tblCellMar>
      </w:tblPr>
      <w:tr>
        <w:trPr>
          <w:trHeight w:val="196"/>
        </w:trPr>
        <w:tc>
          <w:tcPr>
            <w:tcW w:w="4100" w:type="dxa"/>
            <w:vAlign w:val="bottom"/>
            <w:tcBorders>
              <w:bottom w:val="single" w:sz="8" w:color="477258"/>
            </w:tcBorders>
          </w:tcPr>
          <w:p>
            <w:pPr>
              <w:ind w:left="60"/>
              <w:spacing w:after="0"/>
              <w:rPr>
                <w:sz w:val="20"/>
                <w:szCs w:val="20"/>
                <w:color w:val="auto"/>
              </w:rPr>
            </w:pPr>
            <w:r>
              <w:rPr>
                <w:rFonts w:ascii="Arial" w:cs="Arial" w:eastAsia="Arial" w:hAnsi="Arial"/>
                <w:sz w:val="14"/>
                <w:szCs w:val="14"/>
                <w:b w:val="1"/>
                <w:bCs w:val="1"/>
                <w:color w:val="477258"/>
              </w:rPr>
              <w:t>Named Executive Officer</w:t>
            </w:r>
          </w:p>
        </w:tc>
        <w:tc>
          <w:tcPr>
            <w:tcW w:w="3540" w:type="dxa"/>
            <w:vAlign w:val="bottom"/>
            <w:tcBorders>
              <w:bottom w:val="single" w:sz="8" w:color="477258"/>
            </w:tcBorders>
            <w:gridSpan w:val="2"/>
          </w:tcPr>
          <w:p>
            <w:pPr>
              <w:jc w:val="right"/>
              <w:spacing w:after="0"/>
              <w:rPr>
                <w:sz w:val="20"/>
                <w:szCs w:val="20"/>
                <w:color w:val="auto"/>
              </w:rPr>
            </w:pPr>
            <w:r>
              <w:rPr>
                <w:rFonts w:ascii="Arial" w:cs="Arial" w:eastAsia="Arial" w:hAnsi="Arial"/>
                <w:sz w:val="14"/>
                <w:szCs w:val="14"/>
                <w:b w:val="1"/>
                <w:bCs w:val="1"/>
                <w:color w:val="477258"/>
              </w:rPr>
              <w:t>2020 Base Salary</w:t>
            </w:r>
          </w:p>
        </w:tc>
      </w:tr>
      <w:tr>
        <w:trPr>
          <w:trHeight w:val="263"/>
        </w:trPr>
        <w:tc>
          <w:tcPr>
            <w:tcW w:w="410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Fish</w:t>
            </w:r>
          </w:p>
        </w:tc>
        <w:tc>
          <w:tcPr>
            <w:tcW w:w="24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77258"/>
            </w:tcBorders>
            <w:shd w:val="clear" w:color="auto" w:fill="CCEEFF"/>
          </w:tcPr>
          <w:p>
            <w:pPr>
              <w:jc w:val="right"/>
              <w:ind w:right="130"/>
              <w:spacing w:after="0"/>
              <w:rPr>
                <w:sz w:val="20"/>
                <w:szCs w:val="20"/>
                <w:color w:val="auto"/>
              </w:rPr>
            </w:pPr>
            <w:r>
              <w:rPr>
                <w:rFonts w:ascii="Arial" w:cs="Arial" w:eastAsia="Arial" w:hAnsi="Arial"/>
                <w:sz w:val="18"/>
                <w:szCs w:val="18"/>
                <w:color w:val="auto"/>
              </w:rPr>
              <w:t>1,275,000</w:t>
            </w:r>
          </w:p>
        </w:tc>
      </w:tr>
      <w:tr>
        <w:trPr>
          <w:trHeight w:val="283"/>
        </w:trPr>
        <w:tc>
          <w:tcPr>
            <w:tcW w:w="4100" w:type="dxa"/>
            <w:vAlign w:val="bottom"/>
            <w:tcBorders>
              <w:bottom w:val="single" w:sz="8" w:color="477258"/>
            </w:tcBorders>
          </w:tcPr>
          <w:p>
            <w:pPr>
              <w:ind w:left="60"/>
              <w:spacing w:after="0" w:line="283" w:lineRule="exact"/>
              <w:rPr>
                <w:sz w:val="20"/>
                <w:szCs w:val="20"/>
                <w:color w:val="auto"/>
              </w:rPr>
            </w:pPr>
            <w:r>
              <w:rPr>
                <w:rFonts w:ascii="Arial" w:cs="Arial" w:eastAsia="Arial" w:hAnsi="Arial"/>
                <w:sz w:val="18"/>
                <w:szCs w:val="18"/>
                <w:b w:val="1"/>
                <w:bCs w:val="1"/>
                <w:color w:val="auto"/>
              </w:rPr>
              <w:t>Ms. Rankin</w:t>
            </w:r>
            <w:r>
              <w:rPr>
                <w:rFonts w:ascii="Arial" w:cs="Arial" w:eastAsia="Arial" w:hAnsi="Arial"/>
                <w:sz w:val="26"/>
                <w:szCs w:val="26"/>
                <w:b w:val="1"/>
                <w:bCs w:val="1"/>
                <w:color w:val="auto"/>
                <w:vertAlign w:val="superscript"/>
              </w:rPr>
              <w:t>(1)</w:t>
            </w:r>
          </w:p>
        </w:tc>
        <w:tc>
          <w:tcPr>
            <w:tcW w:w="24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77258"/>
            </w:tcBorders>
          </w:tcPr>
          <w:p>
            <w:pPr>
              <w:jc w:val="right"/>
              <w:ind w:right="130"/>
              <w:spacing w:after="0"/>
              <w:rPr>
                <w:sz w:val="20"/>
                <w:szCs w:val="20"/>
                <w:color w:val="auto"/>
              </w:rPr>
            </w:pPr>
            <w:r>
              <w:rPr>
                <w:rFonts w:ascii="Arial" w:cs="Arial" w:eastAsia="Arial" w:hAnsi="Arial"/>
                <w:sz w:val="18"/>
                <w:szCs w:val="18"/>
                <w:color w:val="auto"/>
              </w:rPr>
              <w:t>688,750</w:t>
            </w:r>
          </w:p>
        </w:tc>
      </w:tr>
      <w:tr>
        <w:trPr>
          <w:trHeight w:val="257"/>
        </w:trPr>
        <w:tc>
          <w:tcPr>
            <w:tcW w:w="410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Morris</w:t>
            </w:r>
          </w:p>
        </w:tc>
        <w:tc>
          <w:tcPr>
            <w:tcW w:w="24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77258"/>
            </w:tcBorders>
            <w:shd w:val="clear" w:color="auto" w:fill="CCEEFF"/>
          </w:tcPr>
          <w:p>
            <w:pPr>
              <w:jc w:val="right"/>
              <w:ind w:right="130"/>
              <w:spacing w:after="0"/>
              <w:rPr>
                <w:sz w:val="20"/>
                <w:szCs w:val="20"/>
                <w:color w:val="auto"/>
              </w:rPr>
            </w:pPr>
            <w:r>
              <w:rPr>
                <w:rFonts w:ascii="Arial" w:cs="Arial" w:eastAsia="Arial" w:hAnsi="Arial"/>
                <w:sz w:val="18"/>
                <w:szCs w:val="18"/>
                <w:color w:val="auto"/>
              </w:rPr>
              <w:t>715,750</w:t>
            </w:r>
          </w:p>
        </w:tc>
      </w:tr>
      <w:tr>
        <w:trPr>
          <w:trHeight w:val="263"/>
        </w:trPr>
        <w:tc>
          <w:tcPr>
            <w:tcW w:w="410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Hemmer</w:t>
            </w:r>
          </w:p>
        </w:tc>
        <w:tc>
          <w:tcPr>
            <w:tcW w:w="24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77258"/>
            </w:tcBorders>
          </w:tcPr>
          <w:p>
            <w:pPr>
              <w:jc w:val="right"/>
              <w:ind w:right="130"/>
              <w:spacing w:after="0"/>
              <w:rPr>
                <w:sz w:val="20"/>
                <w:szCs w:val="20"/>
                <w:color w:val="auto"/>
              </w:rPr>
            </w:pPr>
            <w:r>
              <w:rPr>
                <w:rFonts w:ascii="Arial" w:cs="Arial" w:eastAsia="Arial" w:hAnsi="Arial"/>
                <w:sz w:val="18"/>
                <w:szCs w:val="18"/>
                <w:color w:val="auto"/>
              </w:rPr>
              <w:t>575,900</w:t>
            </w:r>
          </w:p>
        </w:tc>
      </w:tr>
      <w:tr>
        <w:trPr>
          <w:trHeight w:val="277"/>
        </w:trPr>
        <w:tc>
          <w:tcPr>
            <w:tcW w:w="4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Batchelor</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575,900</w:t>
            </w:r>
          </w:p>
        </w:tc>
      </w:tr>
      <w:tr>
        <w:trPr>
          <w:trHeight w:val="20"/>
        </w:trPr>
        <w:tc>
          <w:tcPr>
            <w:tcW w:w="4100" w:type="dxa"/>
            <w:vAlign w:val="bottom"/>
            <w:shd w:val="clear" w:color="auto" w:fill="477258"/>
          </w:tcPr>
          <w:p>
            <w:pPr>
              <w:spacing w:after="0" w:line="20" w:lineRule="exact"/>
              <w:rPr>
                <w:sz w:val="1"/>
                <w:szCs w:val="1"/>
                <w:color w:val="auto"/>
              </w:rPr>
            </w:pPr>
          </w:p>
        </w:tc>
        <w:tc>
          <w:tcPr>
            <w:tcW w:w="2480" w:type="dxa"/>
            <w:vAlign w:val="bottom"/>
            <w:shd w:val="clear" w:color="auto" w:fill="477258"/>
          </w:tcPr>
          <w:p>
            <w:pPr>
              <w:spacing w:after="0" w:line="20" w:lineRule="exact"/>
              <w:rPr>
                <w:sz w:val="1"/>
                <w:szCs w:val="1"/>
                <w:color w:val="auto"/>
              </w:rPr>
            </w:pPr>
          </w:p>
        </w:tc>
        <w:tc>
          <w:tcPr>
            <w:tcW w:w="1060" w:type="dxa"/>
            <w:vAlign w:val="bottom"/>
            <w:shd w:val="clear" w:color="auto" w:fill="477258"/>
          </w:tcPr>
          <w:p>
            <w:pPr>
              <w:spacing w:after="0" w:line="20" w:lineRule="exact"/>
              <w:rPr>
                <w:sz w:val="1"/>
                <w:szCs w:val="1"/>
                <w:color w:val="auto"/>
              </w:rPr>
            </w:pPr>
          </w:p>
        </w:tc>
      </w:tr>
    </w:tbl>
    <w:p>
      <w:pPr>
        <w:spacing w:after="0" w:line="53" w:lineRule="exact"/>
        <w:rPr>
          <w:sz w:val="20"/>
          <w:szCs w:val="20"/>
          <w:color w:val="auto"/>
        </w:rPr>
      </w:pPr>
    </w:p>
    <w:p>
      <w:pPr>
        <w:jc w:val="both"/>
        <w:ind w:left="1900" w:hanging="364"/>
        <w:spacing w:after="0" w:line="261" w:lineRule="auto"/>
        <w:tabs>
          <w:tab w:leader="none" w:pos="1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Ms. Rankin’s 2020 base salary was approved in February 2020 and subsequently increased in May 2020 to the amount set forth above, following her promotion to Executive Vice President.</w:t>
      </w:r>
    </w:p>
    <w:p>
      <w:pPr>
        <w:spacing w:after="0" w:line="392"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121" w:lineRule="exact"/>
        <w:rPr>
          <w:sz w:val="20"/>
          <w:szCs w:val="20"/>
          <w:color w:val="auto"/>
        </w:rPr>
      </w:pPr>
    </w:p>
    <w:p>
      <w:pPr>
        <w:jc w:val="both"/>
        <w:ind w:left="1360" w:hanging="184"/>
        <w:spacing w:after="0" w:line="275" w:lineRule="auto"/>
        <w:tabs>
          <w:tab w:leader="none" w:pos="1360" w:val="left"/>
        </w:tabs>
        <w:numPr>
          <w:ilvl w:val="0"/>
          <w:numId w:val="35"/>
        </w:numPr>
        <w:rPr>
          <w:rFonts w:ascii="Arial" w:cs="Arial" w:eastAsia="Arial" w:hAnsi="Arial"/>
          <w:sz w:val="18"/>
          <w:szCs w:val="18"/>
          <w:color w:val="477258"/>
        </w:rPr>
      </w:pPr>
      <w:r>
        <w:rPr>
          <w:rFonts w:ascii="Arial" w:cs="Arial" w:eastAsia="Arial" w:hAnsi="Arial"/>
          <w:sz w:val="18"/>
          <w:szCs w:val="18"/>
          <w:i w:val="1"/>
          <w:iCs w:val="1"/>
          <w:color w:val="auto"/>
        </w:rPr>
        <w:t>Annual cash incentives were dependent on the following performance measures: Income from Operations, excluding Depreciation and Amortization; Income from Operations Margin and Internal Revenue Growth.</w:t>
      </w:r>
    </w:p>
    <w:p>
      <w:pPr>
        <w:spacing w:after="0" w:line="281" w:lineRule="exact"/>
        <w:rPr>
          <w:rFonts w:ascii="Arial" w:cs="Arial" w:eastAsia="Arial" w:hAnsi="Arial"/>
          <w:sz w:val="18"/>
          <w:szCs w:val="18"/>
          <w:color w:val="477258"/>
        </w:rPr>
      </w:pPr>
    </w:p>
    <w:p>
      <w:pPr>
        <w:ind w:left="1360" w:hanging="184"/>
        <w:spacing w:after="0" w:line="282" w:lineRule="auto"/>
        <w:tabs>
          <w:tab w:leader="none" w:pos="1360" w:val="left"/>
        </w:tabs>
        <w:numPr>
          <w:ilvl w:val="0"/>
          <w:numId w:val="35"/>
        </w:numPr>
        <w:rPr>
          <w:rFonts w:ascii="Arial" w:cs="Arial" w:eastAsia="Arial" w:hAnsi="Arial"/>
          <w:sz w:val="18"/>
          <w:szCs w:val="18"/>
          <w:color w:val="477258"/>
        </w:rPr>
      </w:pPr>
      <w:r>
        <w:rPr>
          <w:rFonts w:ascii="Arial" w:cs="Arial" w:eastAsia="Arial" w:hAnsi="Arial"/>
          <w:sz w:val="18"/>
          <w:szCs w:val="18"/>
          <w:i w:val="1"/>
          <w:iCs w:val="1"/>
          <w:color w:val="auto"/>
        </w:rPr>
        <w:t>Blended results on the performance measures resulted in each of the named executives receiving an annual cash incentive payment for 2020 equal to 68.1% of target.</w:t>
      </w:r>
    </w:p>
    <w:p>
      <w:pPr>
        <w:spacing w:after="0" w:line="72"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MD&amp;C Committee develops financial performance measures for annual cash incentive awards to drive improvements in business operations, as well as support and fund the long-term strategy of the Company. The MD&amp;C Committee has found that the Income from Operations, excluding Depreciation and Amortization, performance measure encourages balanced focus on growth and profitability, while the Income from Operations Margin performance measure continues to keep the Company focused on cost control, operational improvements and yield. The Internal Revenue Growth measure supports the Company’s strategic growth and creation of shareholder value. The MD&amp;C Committee believes these financial performance measures, collectively, support and align with the strategy of the Company and are appropriate indicators of our progress toward the Company’s goals. See “2020 Pay-for-Performance” in the Executive Summary above for a discussion of alignment between the annual cash incentive measures and Company performance in 2020.</w:t>
      </w:r>
    </w:p>
    <w:p>
      <w:pPr>
        <w:spacing w:after="0" w:line="200" w:lineRule="exact"/>
        <w:rPr>
          <w:sz w:val="20"/>
          <w:szCs w:val="20"/>
          <w:color w:val="auto"/>
        </w:rPr>
      </w:pPr>
    </w:p>
    <w:p>
      <w:pPr>
        <w:spacing w:after="0" w:line="20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168275</wp:posOffset>
            </wp:positionV>
            <wp:extent cx="57607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jc w:val="both"/>
        <w:ind w:left="820"/>
        <w:spacing w:after="0" w:line="237" w:lineRule="auto"/>
        <w:rPr>
          <w:sz w:val="20"/>
          <w:szCs w:val="20"/>
          <w:color w:val="auto"/>
        </w:rPr>
      </w:pPr>
      <w:r>
        <w:rPr>
          <w:rFonts w:ascii="Arial" w:cs="Arial" w:eastAsia="Arial" w:hAnsi="Arial"/>
          <w:sz w:val="18"/>
          <w:szCs w:val="18"/>
          <w:color w:val="auto"/>
        </w:rPr>
        <w:t>When setting threshold, target and maximum performance measure levels each year, the MD&amp;C Committee looks to the Company’s historical results of operations and analyses and forecasts for the coming year. Specifically, the MD&amp;C Committee considers expected revenue based on analyses of pricing and volume trends, as affected by operational and general economic factors and expected costs. The table below details the performance measures set by the MD&amp;C Committee for purposes of the named executive officers’ annual cash incentive for 2020.</w:t>
      </w:r>
    </w:p>
    <w:p>
      <w:pPr>
        <w:spacing w:after="0" w:line="9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80" w:type="dxa"/>
            <w:vAlign w:val="bottom"/>
          </w:tcPr>
          <w:p>
            <w:pPr>
              <w:jc w:val="right"/>
              <w:ind w:right="79"/>
              <w:spacing w:after="0"/>
              <w:rPr>
                <w:sz w:val="20"/>
                <w:szCs w:val="20"/>
                <w:color w:val="auto"/>
              </w:rPr>
            </w:pPr>
            <w:r>
              <w:rPr>
                <w:rFonts w:ascii="Arial" w:cs="Arial" w:eastAsia="Arial" w:hAnsi="Arial"/>
                <w:sz w:val="14"/>
                <w:szCs w:val="14"/>
                <w:b w:val="1"/>
                <w:bCs w:val="1"/>
                <w:color w:val="477258"/>
              </w:rPr>
              <w:t>Threshold</w:t>
            </w:r>
          </w:p>
        </w:tc>
        <w:tc>
          <w:tcPr>
            <w:tcW w:w="1420" w:type="dxa"/>
            <w:vAlign w:val="bottom"/>
          </w:tcPr>
          <w:p>
            <w:pPr>
              <w:jc w:val="right"/>
              <w:ind w:right="79"/>
              <w:spacing w:after="0"/>
              <w:rPr>
                <w:sz w:val="20"/>
                <w:szCs w:val="20"/>
                <w:color w:val="auto"/>
              </w:rPr>
            </w:pPr>
            <w:r>
              <w:rPr>
                <w:rFonts w:ascii="Arial" w:cs="Arial" w:eastAsia="Arial" w:hAnsi="Arial"/>
                <w:sz w:val="14"/>
                <w:szCs w:val="14"/>
                <w:b w:val="1"/>
                <w:bCs w:val="1"/>
                <w:color w:val="477258"/>
              </w:rPr>
              <w:t>Target</w:t>
            </w:r>
          </w:p>
        </w:tc>
        <w:tc>
          <w:tcPr>
            <w:tcW w:w="1380" w:type="dxa"/>
            <w:vAlign w:val="bottom"/>
          </w:tcPr>
          <w:p>
            <w:pPr>
              <w:jc w:val="right"/>
              <w:ind w:right="19"/>
              <w:spacing w:after="0"/>
              <w:rPr>
                <w:sz w:val="20"/>
                <w:szCs w:val="20"/>
                <w:color w:val="auto"/>
              </w:rPr>
            </w:pPr>
            <w:r>
              <w:rPr>
                <w:rFonts w:ascii="Arial" w:cs="Arial" w:eastAsia="Arial" w:hAnsi="Arial"/>
                <w:sz w:val="14"/>
                <w:szCs w:val="14"/>
                <w:b w:val="1"/>
                <w:bCs w:val="1"/>
                <w:color w:val="477258"/>
              </w:rPr>
              <w:t>Maximum</w:t>
            </w:r>
          </w:p>
        </w:tc>
      </w:tr>
      <w:tr>
        <w:trPr>
          <w:trHeight w:val="135"/>
        </w:trPr>
        <w:tc>
          <w:tcPr>
            <w:tcW w:w="4780" w:type="dxa"/>
            <w:vAlign w:val="bottom"/>
          </w:tcPr>
          <w:p>
            <w:pPr>
              <w:spacing w:after="0"/>
              <w:rPr>
                <w:sz w:val="11"/>
                <w:szCs w:val="11"/>
                <w:color w:val="auto"/>
              </w:rPr>
            </w:pPr>
          </w:p>
        </w:tc>
        <w:tc>
          <w:tcPr>
            <w:tcW w:w="1480" w:type="dxa"/>
            <w:vAlign w:val="bottom"/>
          </w:tcPr>
          <w:p>
            <w:pPr>
              <w:jc w:val="right"/>
              <w:ind w:right="79"/>
              <w:spacing w:after="0" w:line="135" w:lineRule="exact"/>
              <w:rPr>
                <w:sz w:val="20"/>
                <w:szCs w:val="20"/>
                <w:color w:val="auto"/>
              </w:rPr>
            </w:pPr>
            <w:r>
              <w:rPr>
                <w:rFonts w:ascii="Arial" w:cs="Arial" w:eastAsia="Arial" w:hAnsi="Arial"/>
                <w:sz w:val="14"/>
                <w:szCs w:val="14"/>
                <w:b w:val="1"/>
                <w:bCs w:val="1"/>
                <w:color w:val="477258"/>
              </w:rPr>
              <w:t>Performance</w:t>
            </w:r>
          </w:p>
        </w:tc>
        <w:tc>
          <w:tcPr>
            <w:tcW w:w="1420" w:type="dxa"/>
            <w:vAlign w:val="bottom"/>
          </w:tcPr>
          <w:p>
            <w:pPr>
              <w:jc w:val="right"/>
              <w:ind w:right="79"/>
              <w:spacing w:after="0" w:line="135" w:lineRule="exact"/>
              <w:rPr>
                <w:sz w:val="20"/>
                <w:szCs w:val="20"/>
                <w:color w:val="auto"/>
              </w:rPr>
            </w:pPr>
            <w:r>
              <w:rPr>
                <w:rFonts w:ascii="Arial" w:cs="Arial" w:eastAsia="Arial" w:hAnsi="Arial"/>
                <w:sz w:val="14"/>
                <w:szCs w:val="14"/>
                <w:b w:val="1"/>
                <w:bCs w:val="1"/>
                <w:color w:val="477258"/>
              </w:rPr>
              <w:t>Performance</w:t>
            </w:r>
          </w:p>
        </w:tc>
        <w:tc>
          <w:tcPr>
            <w:tcW w:w="1380" w:type="dxa"/>
            <w:vAlign w:val="bottom"/>
          </w:tcPr>
          <w:p>
            <w:pPr>
              <w:jc w:val="right"/>
              <w:ind w:right="19"/>
              <w:spacing w:after="0" w:line="135" w:lineRule="exact"/>
              <w:rPr>
                <w:sz w:val="20"/>
                <w:szCs w:val="20"/>
                <w:color w:val="auto"/>
              </w:rPr>
            </w:pPr>
            <w:r>
              <w:rPr>
                <w:rFonts w:ascii="Arial" w:cs="Arial" w:eastAsia="Arial" w:hAnsi="Arial"/>
                <w:sz w:val="14"/>
                <w:szCs w:val="14"/>
                <w:b w:val="1"/>
                <w:bCs w:val="1"/>
                <w:color w:val="477258"/>
              </w:rPr>
              <w:t>Performance</w:t>
            </w:r>
          </w:p>
        </w:tc>
      </w:tr>
      <w:tr>
        <w:trPr>
          <w:trHeight w:val="189"/>
        </w:trPr>
        <w:tc>
          <w:tcPr>
            <w:tcW w:w="4780" w:type="dxa"/>
            <w:vAlign w:val="bottom"/>
            <w:tcBorders>
              <w:bottom w:val="single" w:sz="8" w:color="477258"/>
            </w:tcBorders>
          </w:tcPr>
          <w:p>
            <w:pPr>
              <w:spacing w:after="0"/>
              <w:rPr>
                <w:sz w:val="16"/>
                <w:szCs w:val="16"/>
                <w:color w:val="auto"/>
              </w:rPr>
            </w:pPr>
          </w:p>
        </w:tc>
        <w:tc>
          <w:tcPr>
            <w:tcW w:w="1480" w:type="dxa"/>
            <w:vAlign w:val="bottom"/>
            <w:tcBorders>
              <w:bottom w:val="single" w:sz="8" w:color="477258"/>
            </w:tcBorders>
          </w:tcPr>
          <w:p>
            <w:pPr>
              <w:jc w:val="right"/>
              <w:ind w:right="39"/>
              <w:spacing w:after="0"/>
              <w:rPr>
                <w:sz w:val="20"/>
                <w:szCs w:val="20"/>
                <w:color w:val="auto"/>
              </w:rPr>
            </w:pPr>
            <w:r>
              <w:rPr>
                <w:rFonts w:ascii="Arial" w:cs="Arial" w:eastAsia="Arial" w:hAnsi="Arial"/>
                <w:sz w:val="14"/>
                <w:szCs w:val="14"/>
                <w:b w:val="1"/>
                <w:bCs w:val="1"/>
                <w:color w:val="477258"/>
              </w:rPr>
              <w:t>(60% Payment)</w:t>
            </w:r>
          </w:p>
        </w:tc>
        <w:tc>
          <w:tcPr>
            <w:tcW w:w="1420" w:type="dxa"/>
            <w:vAlign w:val="bottom"/>
            <w:tcBorders>
              <w:bottom w:val="single" w:sz="8" w:color="477258"/>
            </w:tcBorders>
          </w:tcPr>
          <w:p>
            <w:pPr>
              <w:jc w:val="right"/>
              <w:ind w:right="39"/>
              <w:spacing w:after="0"/>
              <w:rPr>
                <w:sz w:val="20"/>
                <w:szCs w:val="20"/>
                <w:color w:val="auto"/>
              </w:rPr>
            </w:pPr>
            <w:r>
              <w:rPr>
                <w:rFonts w:ascii="Arial" w:cs="Arial" w:eastAsia="Arial" w:hAnsi="Arial"/>
                <w:sz w:val="14"/>
                <w:szCs w:val="14"/>
                <w:b w:val="1"/>
                <w:bCs w:val="1"/>
                <w:color w:val="477258"/>
              </w:rPr>
              <w:t>(100% Payment)</w:t>
            </w:r>
          </w:p>
        </w:tc>
        <w:tc>
          <w:tcPr>
            <w:tcW w:w="13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(200% Payment)</w:t>
            </w:r>
          </w:p>
        </w:tc>
      </w:tr>
      <w:tr>
        <w:trPr>
          <w:trHeight w:val="214"/>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 excluding Depreciation</w:t>
            </w:r>
          </w:p>
        </w:tc>
        <w:tc>
          <w:tcPr>
            <w:tcW w:w="1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71"/>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and Amortization</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$4.360 billion</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$4.863 billion</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$5.366 billion</w:t>
            </w:r>
          </w:p>
        </w:tc>
      </w:tr>
      <w:tr>
        <w:trPr>
          <w:trHeight w:val="257"/>
        </w:trPr>
        <w:tc>
          <w:tcPr>
            <w:tcW w:w="4780" w:type="dxa"/>
            <w:vAlign w:val="bottom"/>
            <w:tcBorders>
              <w:top w:val="single" w:sz="8" w:color="477258"/>
              <w:bottom w:val="single" w:sz="8" w:color="477258"/>
            </w:tcBorders>
          </w:tcPr>
          <w:p>
            <w:pPr>
              <w:ind w:left="40"/>
              <w:spacing w:after="0"/>
              <w:rPr>
                <w:sz w:val="20"/>
                <w:szCs w:val="20"/>
                <w:color w:val="auto"/>
              </w:rPr>
            </w:pPr>
            <w:r>
              <w:rPr>
                <w:rFonts w:ascii="Arial" w:cs="Arial" w:eastAsia="Arial" w:hAnsi="Arial"/>
                <w:sz w:val="18"/>
                <w:szCs w:val="18"/>
                <w:b w:val="1"/>
                <w:bCs w:val="1"/>
                <w:color w:val="auto"/>
              </w:rPr>
              <w:t>Income from Operations Margin</w:t>
            </w:r>
          </w:p>
        </w:tc>
        <w:tc>
          <w:tcPr>
            <w:tcW w:w="1480" w:type="dxa"/>
            <w:vAlign w:val="bottom"/>
            <w:tcBorders>
              <w:top w:val="single" w:sz="8" w:color="477258"/>
              <w:bottom w:val="single" w:sz="8" w:color="477258"/>
            </w:tcBorders>
          </w:tcPr>
          <w:p>
            <w:pPr>
              <w:jc w:val="right"/>
              <w:ind w:right="39"/>
              <w:spacing w:after="0"/>
              <w:rPr>
                <w:sz w:val="20"/>
                <w:szCs w:val="20"/>
                <w:color w:val="auto"/>
              </w:rPr>
            </w:pPr>
            <w:r>
              <w:rPr>
                <w:rFonts w:ascii="Arial" w:cs="Arial" w:eastAsia="Arial" w:hAnsi="Arial"/>
                <w:sz w:val="18"/>
                <w:szCs w:val="18"/>
                <w:color w:val="auto"/>
              </w:rPr>
              <w:t>16.0%</w:t>
            </w:r>
          </w:p>
        </w:tc>
        <w:tc>
          <w:tcPr>
            <w:tcW w:w="1420" w:type="dxa"/>
            <w:vAlign w:val="bottom"/>
            <w:tcBorders>
              <w:top w:val="single" w:sz="8" w:color="477258"/>
              <w:bottom w:val="single" w:sz="8" w:color="477258"/>
            </w:tcBorders>
          </w:tcPr>
          <w:p>
            <w:pPr>
              <w:jc w:val="right"/>
              <w:ind w:right="39"/>
              <w:spacing w:after="0"/>
              <w:rPr>
                <w:sz w:val="20"/>
                <w:szCs w:val="20"/>
                <w:color w:val="auto"/>
              </w:rPr>
            </w:pPr>
            <w:r>
              <w:rPr>
                <w:rFonts w:ascii="Arial" w:cs="Arial" w:eastAsia="Arial" w:hAnsi="Arial"/>
                <w:sz w:val="18"/>
                <w:szCs w:val="18"/>
                <w:color w:val="auto"/>
              </w:rPr>
              <w:t>17.15%</w:t>
            </w:r>
          </w:p>
        </w:tc>
        <w:tc>
          <w:tcPr>
            <w:tcW w:w="1380" w:type="dxa"/>
            <w:vAlign w:val="bottom"/>
            <w:tcBorders>
              <w:top w:val="single" w:sz="8" w:color="477258"/>
              <w:bottom w:val="single" w:sz="8" w:color="477258"/>
            </w:tcBorders>
          </w:tcPr>
          <w:p>
            <w:pPr>
              <w:jc w:val="right"/>
              <w:spacing w:after="0"/>
              <w:rPr>
                <w:sz w:val="20"/>
                <w:szCs w:val="20"/>
                <w:color w:val="auto"/>
              </w:rPr>
            </w:pPr>
            <w:r>
              <w:rPr>
                <w:rFonts w:ascii="Arial" w:cs="Arial" w:eastAsia="Arial" w:hAnsi="Arial"/>
                <w:sz w:val="18"/>
                <w:szCs w:val="18"/>
                <w:color w:val="auto"/>
              </w:rPr>
              <w:t>18.3%</w:t>
            </w:r>
          </w:p>
        </w:tc>
      </w:tr>
      <w:tr>
        <w:trPr>
          <w:trHeight w:val="27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Internal Revenue Growth</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4780" w:type="dxa"/>
            <w:vAlign w:val="bottom"/>
            <w:shd w:val="clear" w:color="auto" w:fill="477258"/>
          </w:tcPr>
          <w:p>
            <w:pPr>
              <w:spacing w:after="0" w:line="20" w:lineRule="exact"/>
              <w:rPr>
                <w:sz w:val="1"/>
                <w:szCs w:val="1"/>
                <w:color w:val="auto"/>
              </w:rPr>
            </w:pPr>
          </w:p>
        </w:tc>
        <w:tc>
          <w:tcPr>
            <w:tcW w:w="1480" w:type="dxa"/>
            <w:vAlign w:val="bottom"/>
            <w:shd w:val="clear" w:color="auto" w:fill="477258"/>
          </w:tcPr>
          <w:p>
            <w:pPr>
              <w:spacing w:after="0" w:line="20" w:lineRule="exact"/>
              <w:rPr>
                <w:sz w:val="1"/>
                <w:szCs w:val="1"/>
                <w:color w:val="auto"/>
              </w:rPr>
            </w:pPr>
          </w:p>
        </w:tc>
        <w:tc>
          <w:tcPr>
            <w:tcW w:w="1420" w:type="dxa"/>
            <w:vAlign w:val="bottom"/>
            <w:shd w:val="clear" w:color="auto" w:fill="477258"/>
          </w:tcPr>
          <w:p>
            <w:pPr>
              <w:spacing w:after="0" w:line="20" w:lineRule="exact"/>
              <w:rPr>
                <w:sz w:val="1"/>
                <w:szCs w:val="1"/>
                <w:color w:val="auto"/>
              </w:rPr>
            </w:pPr>
          </w:p>
        </w:tc>
        <w:tc>
          <w:tcPr>
            <w:tcW w:w="1380" w:type="dxa"/>
            <w:vAlign w:val="bottom"/>
            <w:shd w:val="clear" w:color="auto" w:fill="477258"/>
          </w:tcPr>
          <w:p>
            <w:pPr>
              <w:spacing w:after="0" w:line="20" w:lineRule="exact"/>
              <w:rPr>
                <w:sz w:val="1"/>
                <w:szCs w:val="1"/>
                <w:color w:val="auto"/>
              </w:rPr>
            </w:pPr>
          </w:p>
        </w:tc>
      </w:tr>
    </w:tbl>
    <w:p>
      <w:pPr>
        <w:spacing w:after="0" w:line="161" w:lineRule="exact"/>
        <w:rPr>
          <w:sz w:val="20"/>
          <w:szCs w:val="20"/>
          <w:color w:val="auto"/>
        </w:rPr>
      </w:pPr>
    </w:p>
    <w:p>
      <w:pPr>
        <w:jc w:val="both"/>
        <w:ind w:left="820"/>
        <w:spacing w:after="0" w:line="246" w:lineRule="auto"/>
        <w:rPr>
          <w:sz w:val="20"/>
          <w:szCs w:val="20"/>
          <w:color w:val="auto"/>
        </w:rPr>
      </w:pPr>
      <w:r>
        <w:rPr>
          <w:rFonts w:ascii="Arial" w:cs="Arial" w:eastAsia="Arial" w:hAnsi="Arial"/>
          <w:sz w:val="18"/>
          <w:szCs w:val="18"/>
          <w:color w:val="auto"/>
        </w:rPr>
        <w:t>The following table sets forth the Company’s performance achieved on each of the annual cash incentive performance measures and the payout earned on account of such performance.</w:t>
      </w:r>
    </w:p>
    <w:p>
      <w:pPr>
        <w:spacing w:after="0" w:line="11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477258"/>
              </w:rPr>
              <w:t>Income from Operations,</w:t>
            </w:r>
          </w:p>
        </w:tc>
        <w:tc>
          <w:tcPr>
            <w:tcW w:w="1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477258"/>
              </w:rPr>
              <w:t>Income from</w:t>
            </w:r>
          </w:p>
        </w:tc>
        <w:tc>
          <w:tcPr>
            <w:tcW w:w="1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477258"/>
              </w:rPr>
              <w:t>Internal Revenue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477258"/>
              </w:rPr>
              <w:t>excluding Depreciation</w:t>
            </w:r>
          </w:p>
        </w:tc>
        <w:tc>
          <w:tcPr>
            <w:tcW w:w="186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477258"/>
              </w:rPr>
              <w:t>Operations</w:t>
            </w:r>
          </w:p>
        </w:tc>
        <w:tc>
          <w:tcPr>
            <w:tcW w:w="1620" w:type="dxa"/>
            <w:vAlign w:val="bottom"/>
            <w:gridSpan w:val="2"/>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477258"/>
              </w:rPr>
              <w:t>and Amortization</w:t>
            </w:r>
          </w:p>
        </w:tc>
        <w:tc>
          <w:tcPr>
            <w:tcW w:w="1040" w:type="dxa"/>
            <w:vAlign w:val="bottom"/>
          </w:tcPr>
          <w:p>
            <w:pPr>
              <w:jc w:val="center"/>
              <w:ind w:left="465"/>
              <w:spacing w:after="0" w:line="135" w:lineRule="exact"/>
              <w:rPr>
                <w:sz w:val="20"/>
                <w:szCs w:val="20"/>
                <w:color w:val="auto"/>
              </w:rPr>
            </w:pPr>
            <w:r>
              <w:rPr>
                <w:rFonts w:ascii="Arial" w:cs="Arial" w:eastAsia="Arial" w:hAnsi="Arial"/>
                <w:sz w:val="14"/>
                <w:szCs w:val="14"/>
                <w:b w:val="1"/>
                <w:bCs w:val="1"/>
                <w:color w:val="477258"/>
              </w:rPr>
              <w:t>Margin</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477258"/>
              </w:rPr>
              <w:t>Growth</w:t>
            </w:r>
          </w:p>
        </w:tc>
        <w:tc>
          <w:tcPr>
            <w:tcW w:w="158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477258"/>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jc w:val="center"/>
              <w:ind w:left="525"/>
              <w:spacing w:after="0" w:line="135" w:lineRule="exact"/>
              <w:rPr>
                <w:sz w:val="20"/>
                <w:szCs w:val="20"/>
                <w:color w:val="auto"/>
              </w:rPr>
            </w:pPr>
            <w:r>
              <w:rPr>
                <w:rFonts w:ascii="Arial" w:cs="Arial" w:eastAsia="Arial" w:hAnsi="Arial"/>
                <w:sz w:val="14"/>
                <w:szCs w:val="14"/>
                <w:b w:val="1"/>
                <w:bCs w:val="1"/>
                <w:color w:val="477258"/>
              </w:rPr>
              <w:t>(weighted 50%)</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477258"/>
              </w:rPr>
              <w:t>(weighted 25%)</w:t>
            </w:r>
          </w:p>
        </w:tc>
        <w:tc>
          <w:tcPr>
            <w:tcW w:w="16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477258"/>
              </w:rPr>
              <w:t>(weighted 25%)</w:t>
            </w: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740" w:type="dxa"/>
            <w:vAlign w:val="bottom"/>
            <w:tcBorders>
              <w:bottom w:val="single" w:sz="8" w:color="477258"/>
            </w:tcBorders>
          </w:tcPr>
          <w:p>
            <w:pPr>
              <w:spacing w:after="0"/>
              <w:rPr>
                <w:sz w:val="4"/>
                <w:szCs w:val="4"/>
                <w:color w:val="auto"/>
              </w:rPr>
            </w:pPr>
          </w:p>
        </w:tc>
        <w:tc>
          <w:tcPr>
            <w:tcW w:w="580" w:type="dxa"/>
            <w:vAlign w:val="bottom"/>
            <w:tcBorders>
              <w:bottom w:val="single" w:sz="8" w:color="477258"/>
            </w:tcBorders>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Borders>
              <w:bottom w:val="single" w:sz="8" w:color="477258"/>
            </w:tcBorders>
          </w:tcPr>
          <w:p>
            <w:pPr>
              <w:spacing w:after="0"/>
              <w:rPr>
                <w:sz w:val="4"/>
                <w:szCs w:val="4"/>
                <w:color w:val="auto"/>
              </w:rPr>
            </w:pPr>
          </w:p>
        </w:tc>
        <w:tc>
          <w:tcPr>
            <w:tcW w:w="580" w:type="dxa"/>
            <w:vAlign w:val="bottom"/>
            <w:tcBorders>
              <w:bottom w:val="single" w:sz="8" w:color="477258"/>
            </w:tcBorders>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Borders>
              <w:bottom w:val="single" w:sz="8" w:color="477258"/>
            </w:tcBorders>
          </w:tcPr>
          <w:p>
            <w:pPr>
              <w:spacing w:after="0"/>
              <w:rPr>
                <w:sz w:val="4"/>
                <w:szCs w:val="4"/>
                <w:color w:val="auto"/>
              </w:rPr>
            </w:pPr>
          </w:p>
        </w:tc>
        <w:tc>
          <w:tcPr>
            <w:tcW w:w="760" w:type="dxa"/>
            <w:vAlign w:val="bottom"/>
            <w:tcBorders>
              <w:bottom w:val="single" w:sz="8" w:color="477258"/>
            </w:tcBorders>
          </w:tcPr>
          <w:p>
            <w:pPr>
              <w:spacing w:after="0"/>
              <w:rPr>
                <w:sz w:val="4"/>
                <w:szCs w:val="4"/>
                <w:color w:val="auto"/>
              </w:rPr>
            </w:pPr>
          </w:p>
        </w:tc>
        <w:tc>
          <w:tcPr>
            <w:tcW w:w="1580" w:type="dxa"/>
            <w:vAlign w:val="bottom"/>
            <w:vMerge w:val="restart"/>
          </w:tcPr>
          <w:p>
            <w:pPr>
              <w:jc w:val="right"/>
              <w:ind w:right="4"/>
              <w:spacing w:after="0" w:line="122" w:lineRule="exact"/>
              <w:rPr>
                <w:sz w:val="20"/>
                <w:szCs w:val="20"/>
                <w:color w:val="auto"/>
              </w:rPr>
            </w:pPr>
            <w:r>
              <w:rPr>
                <w:rFonts w:ascii="Arial" w:cs="Arial" w:eastAsia="Arial" w:hAnsi="Arial"/>
                <w:sz w:val="14"/>
                <w:szCs w:val="14"/>
                <w:b w:val="1"/>
                <w:bCs w:val="1"/>
                <w:color w:val="477258"/>
              </w:rPr>
              <w:t>Payout Earned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477258"/>
              </w:rPr>
              <w:t>Payout</w:t>
            </w:r>
          </w:p>
        </w:tc>
        <w:tc>
          <w:tcPr>
            <w:tcW w:w="1040" w:type="dxa"/>
            <w:vAlign w:val="bottom"/>
          </w:tcPr>
          <w:p>
            <w:pPr>
              <w:spacing w:after="0"/>
              <w:rPr>
                <w:sz w:val="4"/>
                <w:szCs w:val="4"/>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477258"/>
              </w:rPr>
              <w:t>Payout</w:t>
            </w:r>
          </w:p>
        </w:tc>
        <w:tc>
          <w:tcPr>
            <w:tcW w:w="860" w:type="dxa"/>
            <w:vAlign w:val="bottom"/>
          </w:tcPr>
          <w:p>
            <w:pPr>
              <w:spacing w:after="0"/>
              <w:rPr>
                <w:sz w:val="4"/>
                <w:szCs w:val="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477258"/>
              </w:rPr>
              <w:t>Payout</w:t>
            </w: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vMerge w:val="restart"/>
          </w:tcPr>
          <w:p>
            <w:pPr>
              <w:spacing w:after="0"/>
              <w:rPr>
                <w:sz w:val="20"/>
                <w:szCs w:val="20"/>
                <w:color w:val="auto"/>
              </w:rPr>
            </w:pPr>
            <w:r>
              <w:rPr>
                <w:rFonts w:ascii="Arial" w:cs="Arial" w:eastAsia="Arial" w:hAnsi="Arial"/>
                <w:sz w:val="14"/>
                <w:szCs w:val="14"/>
                <w:b w:val="1"/>
                <w:bCs w:val="1"/>
                <w:color w:val="477258"/>
              </w:rPr>
              <w:t>Actual</w:t>
            </w:r>
          </w:p>
        </w:tc>
        <w:tc>
          <w:tcPr>
            <w:tcW w:w="820" w:type="dxa"/>
            <w:vAlign w:val="bottom"/>
            <w:gridSpan w:val="2"/>
            <w:vMerge w:val="continue"/>
          </w:tcPr>
          <w:p>
            <w:pPr>
              <w:spacing w:after="0"/>
              <w:rPr>
                <w:sz w:val="11"/>
                <w:szCs w:val="11"/>
                <w:color w:val="auto"/>
              </w:rPr>
            </w:pPr>
          </w:p>
        </w:tc>
        <w:tc>
          <w:tcPr>
            <w:tcW w:w="1040" w:type="dxa"/>
            <w:vAlign w:val="bottom"/>
            <w:vMerge w:val="restart"/>
          </w:tcPr>
          <w:p>
            <w:pPr>
              <w:jc w:val="right"/>
              <w:ind w:right="485"/>
              <w:spacing w:after="0"/>
              <w:rPr>
                <w:sz w:val="20"/>
                <w:szCs w:val="20"/>
                <w:color w:val="auto"/>
              </w:rPr>
            </w:pPr>
            <w:r>
              <w:rPr>
                <w:rFonts w:ascii="Arial" w:cs="Arial" w:eastAsia="Arial" w:hAnsi="Arial"/>
                <w:sz w:val="14"/>
                <w:szCs w:val="14"/>
                <w:b w:val="1"/>
                <w:bCs w:val="1"/>
                <w:color w:val="477258"/>
              </w:rPr>
              <w:t>Actual</w:t>
            </w:r>
          </w:p>
        </w:tc>
        <w:tc>
          <w:tcPr>
            <w:tcW w:w="820" w:type="dxa"/>
            <w:vAlign w:val="bottom"/>
            <w:gridSpan w:val="2"/>
            <w:vMerge w:val="continue"/>
          </w:tcPr>
          <w:p>
            <w:pPr>
              <w:spacing w:after="0"/>
              <w:rPr>
                <w:sz w:val="11"/>
                <w:szCs w:val="11"/>
                <w:color w:val="auto"/>
              </w:rPr>
            </w:pPr>
          </w:p>
        </w:tc>
        <w:tc>
          <w:tcPr>
            <w:tcW w:w="86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477258"/>
              </w:rPr>
              <w:t>Actual</w:t>
            </w:r>
          </w:p>
        </w:tc>
        <w:tc>
          <w:tcPr>
            <w:tcW w:w="760" w:type="dxa"/>
            <w:vAlign w:val="bottom"/>
            <w:vMerge w:val="continue"/>
          </w:tcPr>
          <w:p>
            <w:pPr>
              <w:spacing w:after="0"/>
              <w:rPr>
                <w:sz w:val="11"/>
                <w:szCs w:val="11"/>
                <w:color w:val="auto"/>
              </w:rPr>
            </w:pPr>
          </w:p>
        </w:tc>
        <w:tc>
          <w:tcPr>
            <w:tcW w:w="1580" w:type="dxa"/>
            <w:vAlign w:val="bottom"/>
          </w:tcPr>
          <w:p>
            <w:pPr>
              <w:jc w:val="right"/>
              <w:ind w:right="4"/>
              <w:spacing w:after="0" w:line="135" w:lineRule="exact"/>
              <w:rPr>
                <w:sz w:val="20"/>
                <w:szCs w:val="20"/>
                <w:color w:val="auto"/>
              </w:rPr>
            </w:pPr>
            <w:r>
              <w:rPr>
                <w:rFonts w:ascii="Arial" w:cs="Arial" w:eastAsia="Arial" w:hAnsi="Arial"/>
                <w:sz w:val="14"/>
                <w:szCs w:val="14"/>
                <w:b w:val="1"/>
                <w:bCs w:val="1"/>
                <w:color w:val="477258"/>
              </w:rPr>
              <w:t>(as a percentage</w:t>
            </w:r>
          </w:p>
        </w:tc>
        <w:tc>
          <w:tcPr>
            <w:tcW w:w="0" w:type="dxa"/>
            <w:vAlign w:val="bottom"/>
          </w:tcPr>
          <w:p>
            <w:pPr>
              <w:spacing w:after="0"/>
              <w:rPr>
                <w:sz w:val="1"/>
                <w:szCs w:val="1"/>
                <w:color w:val="auto"/>
              </w:rPr>
            </w:pPr>
          </w:p>
        </w:tc>
      </w:tr>
      <w:tr>
        <w:trPr>
          <w:trHeight w:val="189"/>
        </w:trPr>
        <w:tc>
          <w:tcPr>
            <w:tcW w:w="20" w:type="dxa"/>
            <w:vAlign w:val="bottom"/>
            <w:tcBorders>
              <w:bottom w:val="single" w:sz="8" w:color="477258"/>
            </w:tcBorders>
          </w:tcPr>
          <w:p>
            <w:pPr>
              <w:spacing w:after="0"/>
              <w:rPr>
                <w:sz w:val="16"/>
                <w:szCs w:val="16"/>
                <w:color w:val="auto"/>
              </w:rPr>
            </w:pPr>
          </w:p>
        </w:tc>
        <w:tc>
          <w:tcPr>
            <w:tcW w:w="1740" w:type="dxa"/>
            <w:vAlign w:val="bottom"/>
            <w:tcBorders>
              <w:bottom w:val="single" w:sz="8" w:color="477258"/>
            </w:tcBorders>
            <w:vMerge w:val="continue"/>
          </w:tcPr>
          <w:p>
            <w:pPr>
              <w:spacing w:after="0"/>
              <w:rPr>
                <w:sz w:val="16"/>
                <w:szCs w:val="16"/>
                <w:color w:val="auto"/>
              </w:rPr>
            </w:pPr>
          </w:p>
        </w:tc>
        <w:tc>
          <w:tcPr>
            <w:tcW w:w="820" w:type="dxa"/>
            <w:vAlign w:val="bottom"/>
            <w:tcBorders>
              <w:bottom w:val="single" w:sz="8" w:color="477258"/>
            </w:tcBorders>
            <w:gridSpan w:val="2"/>
          </w:tcPr>
          <w:p>
            <w:pPr>
              <w:jc w:val="right"/>
              <w:ind w:right="260"/>
              <w:spacing w:after="0"/>
              <w:rPr>
                <w:sz w:val="20"/>
                <w:szCs w:val="20"/>
                <w:color w:val="auto"/>
              </w:rPr>
            </w:pPr>
            <w:r>
              <w:rPr>
                <w:rFonts w:ascii="Arial" w:cs="Arial" w:eastAsia="Arial" w:hAnsi="Arial"/>
                <w:sz w:val="14"/>
                <w:szCs w:val="14"/>
                <w:b w:val="1"/>
                <w:bCs w:val="1"/>
                <w:color w:val="477258"/>
              </w:rPr>
              <w:t>Earned</w:t>
            </w:r>
          </w:p>
        </w:tc>
        <w:tc>
          <w:tcPr>
            <w:tcW w:w="1040" w:type="dxa"/>
            <w:vAlign w:val="bottom"/>
            <w:tcBorders>
              <w:bottom w:val="single" w:sz="8" w:color="477258"/>
            </w:tcBorders>
            <w:vMerge w:val="continue"/>
          </w:tcPr>
          <w:p>
            <w:pPr>
              <w:spacing w:after="0"/>
              <w:rPr>
                <w:sz w:val="16"/>
                <w:szCs w:val="16"/>
                <w:color w:val="auto"/>
              </w:rPr>
            </w:pPr>
          </w:p>
        </w:tc>
        <w:tc>
          <w:tcPr>
            <w:tcW w:w="820" w:type="dxa"/>
            <w:vAlign w:val="bottom"/>
            <w:tcBorders>
              <w:bottom w:val="single" w:sz="8" w:color="477258"/>
            </w:tcBorders>
            <w:gridSpan w:val="2"/>
          </w:tcPr>
          <w:p>
            <w:pPr>
              <w:jc w:val="right"/>
              <w:ind w:right="260"/>
              <w:spacing w:after="0"/>
              <w:rPr>
                <w:sz w:val="20"/>
                <w:szCs w:val="20"/>
                <w:color w:val="auto"/>
              </w:rPr>
            </w:pPr>
            <w:r>
              <w:rPr>
                <w:rFonts w:ascii="Arial" w:cs="Arial" w:eastAsia="Arial" w:hAnsi="Arial"/>
                <w:sz w:val="14"/>
                <w:szCs w:val="14"/>
                <w:b w:val="1"/>
                <w:bCs w:val="1"/>
                <w:color w:val="477258"/>
              </w:rPr>
              <w:t>Earned</w:t>
            </w:r>
          </w:p>
        </w:tc>
        <w:tc>
          <w:tcPr>
            <w:tcW w:w="860" w:type="dxa"/>
            <w:vAlign w:val="bottom"/>
            <w:tcBorders>
              <w:bottom w:val="single" w:sz="8" w:color="477258"/>
            </w:tcBorders>
            <w:vMerge w:val="continue"/>
          </w:tcPr>
          <w:p>
            <w:pPr>
              <w:spacing w:after="0"/>
              <w:rPr>
                <w:sz w:val="16"/>
                <w:szCs w:val="16"/>
                <w:color w:val="auto"/>
              </w:rPr>
            </w:pPr>
          </w:p>
        </w:tc>
        <w:tc>
          <w:tcPr>
            <w:tcW w:w="76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Earned</w:t>
            </w:r>
          </w:p>
        </w:tc>
        <w:tc>
          <w:tcPr>
            <w:tcW w:w="15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of Target)</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$4.371 billion</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w:t>
            </w:r>
          </w:p>
        </w:tc>
        <w:tc>
          <w:tcPr>
            <w:tcW w:w="104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8"/>
                <w:szCs w:val="18"/>
                <w:color w:val="auto"/>
              </w:rPr>
              <w:t>17.70%</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150.5%</w:t>
            </w:r>
          </w:p>
        </w:tc>
        <w:tc>
          <w:tcPr>
            <w:tcW w:w="8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8"/>
                <w:szCs w:val="18"/>
                <w:color w:val="auto"/>
              </w:rPr>
              <w:t>(3.00)%</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0%</w:t>
            </w:r>
          </w:p>
        </w:tc>
        <w:tc>
          <w:tcPr>
            <w:tcW w:w="158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20" w:type="dxa"/>
            <w:vAlign w:val="bottom"/>
            <w:shd w:val="clear" w:color="auto" w:fill="477258"/>
          </w:tcPr>
          <w:p>
            <w:pPr>
              <w:spacing w:after="0" w:line="20" w:lineRule="exact"/>
              <w:rPr>
                <w:sz w:val="1"/>
                <w:szCs w:val="1"/>
                <w:color w:val="auto"/>
              </w:rPr>
            </w:pPr>
          </w:p>
        </w:tc>
        <w:tc>
          <w:tcPr>
            <w:tcW w:w="1740" w:type="dxa"/>
            <w:vAlign w:val="bottom"/>
            <w:shd w:val="clear" w:color="auto" w:fill="477258"/>
          </w:tcPr>
          <w:p>
            <w:pPr>
              <w:spacing w:after="0" w:line="20" w:lineRule="exact"/>
              <w:rPr>
                <w:sz w:val="1"/>
                <w:szCs w:val="1"/>
                <w:color w:val="auto"/>
              </w:rPr>
            </w:pPr>
          </w:p>
        </w:tc>
        <w:tc>
          <w:tcPr>
            <w:tcW w:w="580" w:type="dxa"/>
            <w:vAlign w:val="bottom"/>
            <w:shd w:val="clear" w:color="auto" w:fill="477258"/>
          </w:tcPr>
          <w:p>
            <w:pPr>
              <w:spacing w:after="0" w:line="20" w:lineRule="exact"/>
              <w:rPr>
                <w:sz w:val="1"/>
                <w:szCs w:val="1"/>
                <w:color w:val="auto"/>
              </w:rPr>
            </w:pPr>
          </w:p>
        </w:tc>
        <w:tc>
          <w:tcPr>
            <w:tcW w:w="240" w:type="dxa"/>
            <w:vAlign w:val="bottom"/>
            <w:shd w:val="clear" w:color="auto" w:fill="477258"/>
          </w:tcPr>
          <w:p>
            <w:pPr>
              <w:spacing w:after="0" w:line="20" w:lineRule="exact"/>
              <w:rPr>
                <w:sz w:val="1"/>
                <w:szCs w:val="1"/>
                <w:color w:val="auto"/>
              </w:rPr>
            </w:pPr>
          </w:p>
        </w:tc>
        <w:tc>
          <w:tcPr>
            <w:tcW w:w="1040" w:type="dxa"/>
            <w:vAlign w:val="bottom"/>
            <w:shd w:val="clear" w:color="auto" w:fill="477258"/>
          </w:tcPr>
          <w:p>
            <w:pPr>
              <w:spacing w:after="0" w:line="20" w:lineRule="exact"/>
              <w:rPr>
                <w:sz w:val="1"/>
                <w:szCs w:val="1"/>
                <w:color w:val="auto"/>
              </w:rPr>
            </w:pPr>
          </w:p>
        </w:tc>
        <w:tc>
          <w:tcPr>
            <w:tcW w:w="580" w:type="dxa"/>
            <w:vAlign w:val="bottom"/>
            <w:shd w:val="clear" w:color="auto" w:fill="477258"/>
          </w:tcPr>
          <w:p>
            <w:pPr>
              <w:spacing w:after="0" w:line="20" w:lineRule="exact"/>
              <w:rPr>
                <w:sz w:val="1"/>
                <w:szCs w:val="1"/>
                <w:color w:val="auto"/>
              </w:rPr>
            </w:pPr>
          </w:p>
        </w:tc>
        <w:tc>
          <w:tcPr>
            <w:tcW w:w="240" w:type="dxa"/>
            <w:vAlign w:val="bottom"/>
            <w:shd w:val="clear" w:color="auto" w:fill="477258"/>
          </w:tcPr>
          <w:p>
            <w:pPr>
              <w:spacing w:after="0" w:line="20" w:lineRule="exact"/>
              <w:rPr>
                <w:sz w:val="1"/>
                <w:szCs w:val="1"/>
                <w:color w:val="auto"/>
              </w:rPr>
            </w:pPr>
          </w:p>
        </w:tc>
        <w:tc>
          <w:tcPr>
            <w:tcW w:w="860" w:type="dxa"/>
            <w:vAlign w:val="bottom"/>
            <w:shd w:val="clear" w:color="auto" w:fill="477258"/>
          </w:tcPr>
          <w:p>
            <w:pPr>
              <w:spacing w:after="0" w:line="20" w:lineRule="exact"/>
              <w:rPr>
                <w:sz w:val="1"/>
                <w:szCs w:val="1"/>
                <w:color w:val="auto"/>
              </w:rPr>
            </w:pPr>
          </w:p>
        </w:tc>
        <w:tc>
          <w:tcPr>
            <w:tcW w:w="760" w:type="dxa"/>
            <w:vAlign w:val="bottom"/>
            <w:shd w:val="clear" w:color="auto" w:fill="477258"/>
          </w:tcPr>
          <w:p>
            <w:pPr>
              <w:spacing w:after="0" w:line="20" w:lineRule="exact"/>
              <w:rPr>
                <w:sz w:val="1"/>
                <w:szCs w:val="1"/>
                <w:color w:val="auto"/>
              </w:rPr>
            </w:pPr>
          </w:p>
        </w:tc>
        <w:tc>
          <w:tcPr>
            <w:tcW w:w="1580" w:type="dxa"/>
            <w:vAlign w:val="bottom"/>
            <w:shd w:val="clear" w:color="auto" w:fill="4772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As discussed above, the MD&amp;C Committee has discretion to adjust the performance calculations in line with its policy on calculation adjustments. The calculation of 2020 annual cash incentive performance measures was generally made on a basis consistent with the Company’s reporting of its 2020 financial results and excluded $155 million in costs related to the acquisition and integration of Advanced Disposal. Additionally, the performance calculations exclude $46 million in costs incurred in connection with the COVID-19 pandemic, primarily to transition employees to remote work environments while maintaining continuity of operations, and $27 million in costs related to our strategic customer service digitalization initiative. This initiative was accelerated in light of the COVID-19 pandemic and the increased emphasis on the quality and ease of electronic interactions with our customers. In both cases, these expenditures were not contemplated at the time that the annual cash incentive performance targets were developed, but were appropriate and beneficial responses to external conditions.</w:t>
      </w:r>
    </w:p>
    <w:p>
      <w:pPr>
        <w:spacing w:after="0" w:line="261"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Target annual cash incentives are a specified percentage of the executives’ base salary. The following table shows each named executive’s target percentage of base salary for 2020 and annual cash incentive for 2020 paid in March 2021.</w:t>
      </w:r>
    </w:p>
    <w:p>
      <w:pPr>
        <w:spacing w:after="0" w:line="109" w:lineRule="exact"/>
        <w:rPr>
          <w:sz w:val="20"/>
          <w:szCs w:val="20"/>
          <w:color w:val="auto"/>
        </w:rPr>
      </w:pPr>
    </w:p>
    <w:tbl>
      <w:tblPr>
        <w:tblLayout w:type="fixed"/>
        <w:tblInd w:w="1520" w:type="dxa"/>
        <w:tblCellMar>
          <w:top w:w="0" w:type="dxa"/>
          <w:left w:w="0" w:type="dxa"/>
          <w:bottom w:w="0" w:type="dxa"/>
          <w:right w:w="0" w:type="dxa"/>
        </w:tblCellMar>
      </w:tblPr>
      <w:tr>
        <w:trPr>
          <w:trHeight w:val="175"/>
        </w:trPr>
        <w:tc>
          <w:tcPr>
            <w:tcW w:w="3080" w:type="dxa"/>
            <w:vAlign w:val="bottom"/>
            <w:vMerge w:val="restart"/>
          </w:tcPr>
          <w:p>
            <w:pPr>
              <w:ind w:left="60"/>
              <w:spacing w:after="0"/>
              <w:rPr>
                <w:sz w:val="20"/>
                <w:szCs w:val="20"/>
                <w:color w:val="auto"/>
              </w:rPr>
            </w:pPr>
            <w:r>
              <w:rPr>
                <w:rFonts w:ascii="Arial" w:cs="Arial" w:eastAsia="Arial" w:hAnsi="Arial"/>
                <w:sz w:val="14"/>
                <w:szCs w:val="14"/>
                <w:b w:val="1"/>
                <w:bCs w:val="1"/>
                <w:color w:val="477258"/>
              </w:rPr>
              <w:t>Named Executive Officer</w:t>
            </w:r>
          </w:p>
        </w:tc>
        <w:tc>
          <w:tcPr>
            <w:tcW w:w="2660" w:type="dxa"/>
            <w:vAlign w:val="bottom"/>
          </w:tcPr>
          <w:p>
            <w:pPr>
              <w:jc w:val="right"/>
              <w:ind w:right="55"/>
              <w:spacing w:after="0"/>
              <w:rPr>
                <w:sz w:val="20"/>
                <w:szCs w:val="20"/>
                <w:color w:val="auto"/>
              </w:rPr>
            </w:pPr>
            <w:r>
              <w:rPr>
                <w:rFonts w:ascii="Arial" w:cs="Arial" w:eastAsia="Arial" w:hAnsi="Arial"/>
                <w:sz w:val="14"/>
                <w:szCs w:val="14"/>
                <w:b w:val="1"/>
                <w:bCs w:val="1"/>
                <w:color w:val="477258"/>
              </w:rPr>
              <w:t>Target Percentage</w:t>
            </w:r>
          </w:p>
        </w:tc>
        <w:tc>
          <w:tcPr>
            <w:tcW w:w="19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477258"/>
              </w:rPr>
              <w:t>Annual Cash Incentive</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477258"/>
            </w:tcBorders>
            <w:vMerge w:val="continue"/>
          </w:tcPr>
          <w:p>
            <w:pPr>
              <w:spacing w:after="0"/>
              <w:rPr>
                <w:sz w:val="16"/>
                <w:szCs w:val="16"/>
                <w:color w:val="auto"/>
              </w:rPr>
            </w:pPr>
          </w:p>
        </w:tc>
        <w:tc>
          <w:tcPr>
            <w:tcW w:w="2660" w:type="dxa"/>
            <w:vAlign w:val="bottom"/>
            <w:tcBorders>
              <w:bottom w:val="single" w:sz="8" w:color="477258"/>
            </w:tcBorders>
          </w:tcPr>
          <w:p>
            <w:pPr>
              <w:jc w:val="right"/>
              <w:ind w:right="15"/>
              <w:spacing w:after="0"/>
              <w:rPr>
                <w:sz w:val="20"/>
                <w:szCs w:val="20"/>
                <w:color w:val="auto"/>
              </w:rPr>
            </w:pPr>
            <w:r>
              <w:rPr>
                <w:rFonts w:ascii="Arial" w:cs="Arial" w:eastAsia="Arial" w:hAnsi="Arial"/>
                <w:sz w:val="14"/>
                <w:szCs w:val="14"/>
                <w:b w:val="1"/>
                <w:bCs w:val="1"/>
                <w:color w:val="477258"/>
              </w:rPr>
              <w:t>of Base Salary</w:t>
            </w:r>
          </w:p>
        </w:tc>
        <w:tc>
          <w:tcPr>
            <w:tcW w:w="620" w:type="dxa"/>
            <w:vAlign w:val="bottom"/>
            <w:tcBorders>
              <w:bottom w:val="single" w:sz="8" w:color="477258"/>
            </w:tcBorders>
          </w:tcPr>
          <w:p>
            <w:pPr>
              <w:spacing w:after="0"/>
              <w:rPr>
                <w:sz w:val="16"/>
                <w:szCs w:val="16"/>
                <w:color w:val="auto"/>
              </w:rPr>
            </w:pPr>
          </w:p>
        </w:tc>
        <w:tc>
          <w:tcPr>
            <w:tcW w:w="128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14"/>
                <w:szCs w:val="14"/>
                <w:b w:val="1"/>
                <w:bCs w:val="1"/>
                <w:color w:val="477258"/>
              </w:rPr>
              <w:t>For 2020</w:t>
            </w:r>
            <w:r>
              <w:rPr>
                <w:rFonts w:ascii="Arial" w:cs="Arial" w:eastAsia="Arial" w:hAnsi="Arial"/>
                <w:sz w:val="21"/>
                <w:szCs w:val="21"/>
                <w:b w:val="1"/>
                <w:bCs w:val="1"/>
                <w:color w:val="477258"/>
                <w:vertAlign w:val="superscript"/>
              </w:rPr>
              <w:t>(1)</w:t>
            </w:r>
          </w:p>
        </w:tc>
        <w:tc>
          <w:tcPr>
            <w:tcW w:w="0" w:type="dxa"/>
            <w:vAlign w:val="bottom"/>
          </w:tcPr>
          <w:p>
            <w:pPr>
              <w:spacing w:after="0"/>
              <w:rPr>
                <w:sz w:val="1"/>
                <w:szCs w:val="1"/>
                <w:color w:val="auto"/>
              </w:rPr>
            </w:pPr>
          </w:p>
        </w:tc>
      </w:tr>
      <w:tr>
        <w:trPr>
          <w:trHeight w:val="257"/>
        </w:trPr>
        <w:tc>
          <w:tcPr>
            <w:tcW w:w="308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Fish</w:t>
            </w:r>
          </w:p>
        </w:tc>
        <w:tc>
          <w:tcPr>
            <w:tcW w:w="2660" w:type="dxa"/>
            <w:vAlign w:val="bottom"/>
            <w:tcBorders>
              <w:bottom w:val="single" w:sz="8" w:color="477258"/>
            </w:tcBorders>
            <w:shd w:val="clear" w:color="auto" w:fill="CCEEFF"/>
          </w:tcPr>
          <w:p>
            <w:pPr>
              <w:jc w:val="right"/>
              <w:ind w:right="555"/>
              <w:spacing w:after="0"/>
              <w:rPr>
                <w:sz w:val="20"/>
                <w:szCs w:val="20"/>
                <w:color w:val="auto"/>
              </w:rPr>
            </w:pPr>
            <w:r>
              <w:rPr>
                <w:rFonts w:ascii="Arial" w:cs="Arial" w:eastAsia="Arial" w:hAnsi="Arial"/>
                <w:sz w:val="18"/>
                <w:szCs w:val="18"/>
                <w:color w:val="auto"/>
              </w:rPr>
              <w:t>150</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77258"/>
            </w:tcBorders>
            <w:shd w:val="clear" w:color="auto" w:fill="CCEEFF"/>
          </w:tcPr>
          <w:p>
            <w:pPr>
              <w:jc w:val="right"/>
              <w:ind w:right="313"/>
              <w:spacing w:after="0"/>
              <w:rPr>
                <w:sz w:val="20"/>
                <w:szCs w:val="20"/>
                <w:color w:val="auto"/>
              </w:rPr>
            </w:pPr>
            <w:r>
              <w:rPr>
                <w:rFonts w:ascii="Arial" w:cs="Arial" w:eastAsia="Arial" w:hAnsi="Arial"/>
                <w:sz w:val="18"/>
                <w:szCs w:val="18"/>
                <w:color w:val="auto"/>
              </w:rPr>
              <w:t>1,277,922</w:t>
            </w:r>
          </w:p>
        </w:tc>
        <w:tc>
          <w:tcPr>
            <w:tcW w:w="0" w:type="dxa"/>
            <w:vAlign w:val="bottom"/>
          </w:tcPr>
          <w:p>
            <w:pPr>
              <w:spacing w:after="0"/>
              <w:rPr>
                <w:sz w:val="1"/>
                <w:szCs w:val="1"/>
                <w:color w:val="auto"/>
              </w:rPr>
            </w:pPr>
          </w:p>
        </w:tc>
      </w:tr>
      <w:tr>
        <w:trPr>
          <w:trHeight w:val="263"/>
        </w:trPr>
        <w:tc>
          <w:tcPr>
            <w:tcW w:w="308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Rankin</w:t>
            </w:r>
          </w:p>
        </w:tc>
        <w:tc>
          <w:tcPr>
            <w:tcW w:w="2660" w:type="dxa"/>
            <w:vAlign w:val="bottom"/>
            <w:tcBorders>
              <w:bottom w:val="single" w:sz="8" w:color="477258"/>
            </w:tcBorders>
          </w:tcPr>
          <w:p>
            <w:pPr>
              <w:jc w:val="right"/>
              <w:ind w:right="555"/>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77258"/>
            </w:tcBorders>
          </w:tcPr>
          <w:p>
            <w:pPr>
              <w:jc w:val="right"/>
              <w:ind w:right="313"/>
              <w:spacing w:after="0"/>
              <w:rPr>
                <w:sz w:val="20"/>
                <w:szCs w:val="20"/>
                <w:color w:val="auto"/>
              </w:rPr>
            </w:pPr>
            <w:r>
              <w:rPr>
                <w:rFonts w:ascii="Arial" w:cs="Arial" w:eastAsia="Arial" w:hAnsi="Arial"/>
                <w:sz w:val="18"/>
                <w:szCs w:val="18"/>
                <w:color w:val="auto"/>
              </w:rPr>
              <w:t>456,597</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Morris</w:t>
            </w:r>
          </w:p>
        </w:tc>
        <w:tc>
          <w:tcPr>
            <w:tcW w:w="2660" w:type="dxa"/>
            <w:vAlign w:val="bottom"/>
            <w:tcBorders>
              <w:bottom w:val="single" w:sz="8" w:color="477258"/>
            </w:tcBorders>
            <w:shd w:val="clear" w:color="auto" w:fill="CCEEFF"/>
          </w:tcPr>
          <w:p>
            <w:pPr>
              <w:jc w:val="right"/>
              <w:ind w:right="555"/>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77258"/>
            </w:tcBorders>
            <w:shd w:val="clear" w:color="auto" w:fill="CCEEFF"/>
          </w:tcPr>
          <w:p>
            <w:pPr>
              <w:jc w:val="right"/>
              <w:ind w:right="313"/>
              <w:spacing w:after="0"/>
              <w:rPr>
                <w:sz w:val="20"/>
                <w:szCs w:val="20"/>
                <w:color w:val="auto"/>
              </w:rPr>
            </w:pPr>
            <w:r>
              <w:rPr>
                <w:rFonts w:ascii="Arial" w:cs="Arial" w:eastAsia="Arial" w:hAnsi="Arial"/>
                <w:sz w:val="18"/>
                <w:szCs w:val="18"/>
                <w:color w:val="auto"/>
              </w:rPr>
              <w:t>479,777</w:t>
            </w:r>
          </w:p>
        </w:tc>
        <w:tc>
          <w:tcPr>
            <w:tcW w:w="0" w:type="dxa"/>
            <w:vAlign w:val="bottom"/>
          </w:tcPr>
          <w:p>
            <w:pPr>
              <w:spacing w:after="0"/>
              <w:rPr>
                <w:sz w:val="1"/>
                <w:szCs w:val="1"/>
                <w:color w:val="auto"/>
              </w:rPr>
            </w:pPr>
          </w:p>
        </w:tc>
      </w:tr>
      <w:tr>
        <w:trPr>
          <w:trHeight w:val="263"/>
        </w:trPr>
        <w:tc>
          <w:tcPr>
            <w:tcW w:w="308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Hemmer</w:t>
            </w:r>
          </w:p>
        </w:tc>
        <w:tc>
          <w:tcPr>
            <w:tcW w:w="2660" w:type="dxa"/>
            <w:vAlign w:val="bottom"/>
            <w:tcBorders>
              <w:bottom w:val="single" w:sz="8" w:color="477258"/>
            </w:tcBorders>
          </w:tcPr>
          <w:p>
            <w:pPr>
              <w:jc w:val="right"/>
              <w:ind w:right="555"/>
              <w:spacing w:after="0"/>
              <w:rPr>
                <w:sz w:val="20"/>
                <w:szCs w:val="20"/>
                <w:color w:val="auto"/>
              </w:rPr>
            </w:pPr>
            <w:r>
              <w:rPr>
                <w:rFonts w:ascii="Arial" w:cs="Arial" w:eastAsia="Arial" w:hAnsi="Arial"/>
                <w:sz w:val="18"/>
                <w:szCs w:val="18"/>
                <w:color w:val="auto"/>
              </w:rPr>
              <w:t>90</w:t>
            </w:r>
          </w:p>
        </w:tc>
        <w:tc>
          <w:tcPr>
            <w:tcW w:w="6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77258"/>
            </w:tcBorders>
          </w:tcPr>
          <w:p>
            <w:pPr>
              <w:jc w:val="right"/>
              <w:ind w:right="313"/>
              <w:spacing w:after="0"/>
              <w:rPr>
                <w:sz w:val="20"/>
                <w:szCs w:val="20"/>
                <w:color w:val="auto"/>
              </w:rPr>
            </w:pPr>
            <w:r>
              <w:rPr>
                <w:rFonts w:ascii="Arial" w:cs="Arial" w:eastAsia="Arial" w:hAnsi="Arial"/>
                <w:sz w:val="18"/>
                <w:szCs w:val="18"/>
                <w:color w:val="auto"/>
              </w:rPr>
              <w:t>347,774</w:t>
            </w:r>
          </w:p>
        </w:tc>
        <w:tc>
          <w:tcPr>
            <w:tcW w:w="0" w:type="dxa"/>
            <w:vAlign w:val="bottom"/>
          </w:tcPr>
          <w:p>
            <w:pPr>
              <w:spacing w:after="0"/>
              <w:rPr>
                <w:sz w:val="1"/>
                <w:szCs w:val="1"/>
                <w:color w:val="auto"/>
              </w:rPr>
            </w:pPr>
          </w:p>
        </w:tc>
      </w:tr>
      <w:tr>
        <w:trPr>
          <w:trHeight w:val="277"/>
        </w:trPr>
        <w:tc>
          <w:tcPr>
            <w:tcW w:w="3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Batchelor</w:t>
            </w:r>
          </w:p>
        </w:tc>
        <w:tc>
          <w:tcPr>
            <w:tcW w:w="2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90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347,774</w:t>
            </w:r>
          </w:p>
        </w:tc>
        <w:tc>
          <w:tcPr>
            <w:tcW w:w="0" w:type="dxa"/>
            <w:vAlign w:val="bottom"/>
          </w:tcPr>
          <w:p>
            <w:pPr>
              <w:spacing w:after="0"/>
              <w:rPr>
                <w:sz w:val="1"/>
                <w:szCs w:val="1"/>
                <w:color w:val="auto"/>
              </w:rPr>
            </w:pPr>
          </w:p>
        </w:tc>
      </w:tr>
      <w:tr>
        <w:trPr>
          <w:trHeight w:val="20"/>
        </w:trPr>
        <w:tc>
          <w:tcPr>
            <w:tcW w:w="3080" w:type="dxa"/>
            <w:vAlign w:val="bottom"/>
            <w:shd w:val="clear" w:color="auto" w:fill="477258"/>
          </w:tcPr>
          <w:p>
            <w:pPr>
              <w:spacing w:after="0" w:line="20" w:lineRule="exact"/>
              <w:rPr>
                <w:sz w:val="1"/>
                <w:szCs w:val="1"/>
                <w:color w:val="auto"/>
              </w:rPr>
            </w:pPr>
          </w:p>
        </w:tc>
        <w:tc>
          <w:tcPr>
            <w:tcW w:w="2660" w:type="dxa"/>
            <w:vAlign w:val="bottom"/>
            <w:shd w:val="clear" w:color="auto" w:fill="477258"/>
          </w:tcPr>
          <w:p>
            <w:pPr>
              <w:spacing w:after="0" w:line="20" w:lineRule="exact"/>
              <w:rPr>
                <w:sz w:val="1"/>
                <w:szCs w:val="1"/>
                <w:color w:val="auto"/>
              </w:rPr>
            </w:pPr>
          </w:p>
        </w:tc>
        <w:tc>
          <w:tcPr>
            <w:tcW w:w="620" w:type="dxa"/>
            <w:vAlign w:val="bottom"/>
            <w:shd w:val="clear" w:color="auto" w:fill="477258"/>
          </w:tcPr>
          <w:p>
            <w:pPr>
              <w:spacing w:after="0" w:line="20" w:lineRule="exact"/>
              <w:rPr>
                <w:sz w:val="1"/>
                <w:szCs w:val="1"/>
                <w:color w:val="auto"/>
              </w:rPr>
            </w:pPr>
          </w:p>
        </w:tc>
        <w:tc>
          <w:tcPr>
            <w:tcW w:w="1280" w:type="dxa"/>
            <w:vAlign w:val="bottom"/>
            <w:shd w:val="clear" w:color="auto" w:fill="4772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1900" w:hanging="364"/>
        <w:spacing w:after="0" w:line="254" w:lineRule="auto"/>
        <w:tabs>
          <w:tab w:leader="none" w:pos="1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Calculations of annual cash incentive payouts, as a percentage of base salary, were made using the named executive’s actual base salary received in 2020. Such amounts are lower than if calculated using the 2020 base salaries in the table above due to the timing of when base salary increases take effect.</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139" w:lineRule="exact"/>
        <w:rPr>
          <w:sz w:val="20"/>
          <w:szCs w:val="20"/>
          <w:color w:val="auto"/>
        </w:rPr>
      </w:pPr>
    </w:p>
    <w:p>
      <w:pPr>
        <w:jc w:val="both"/>
        <w:ind w:left="820"/>
        <w:spacing w:after="0" w:line="237" w:lineRule="auto"/>
        <w:rPr>
          <w:sz w:val="20"/>
          <w:szCs w:val="20"/>
          <w:color w:val="auto"/>
        </w:rPr>
      </w:pPr>
      <w:r>
        <w:rPr>
          <w:rFonts w:ascii="Arial" w:cs="Arial" w:eastAsia="Arial" w:hAnsi="Arial"/>
          <w:sz w:val="18"/>
          <w:szCs w:val="18"/>
          <w:color w:val="auto"/>
        </w:rPr>
        <w:t>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2020 annual long-term incentive award, the MD&amp;C Committee decided to</w:t>
      </w:r>
    </w:p>
    <w:p>
      <w:pPr>
        <w:spacing w:after="0" w:line="237"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-149860</wp:posOffset>
            </wp:positionV>
            <wp:extent cx="45466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4660" cy="12890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168275</wp:posOffset>
            </wp:positionV>
            <wp:extent cx="57607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99"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jc w:val="both"/>
        <w:ind w:left="820"/>
        <w:spacing w:after="0" w:line="251" w:lineRule="auto"/>
        <w:rPr>
          <w:sz w:val="20"/>
          <w:szCs w:val="20"/>
          <w:color w:val="auto"/>
        </w:rPr>
      </w:pPr>
      <w:r>
        <w:rPr>
          <w:rFonts w:ascii="Arial" w:cs="Arial" w:eastAsia="Arial" w:hAnsi="Arial"/>
          <w:sz w:val="18"/>
          <w:szCs w:val="18"/>
          <w:color w:val="auto"/>
        </w:rPr>
        <w:t>grant both PSUs comprising 80% of each named executive’s award and stock options comprising 20% of each named executive’s award, consistent with prior years. Half of each named executives’ PSUs granted in 2020 are Cash Flow PSUs and the remaining half are TSR PSUs. Meanwhile, stock options encourage focus on increasing the market value of our stock. Before determining the actual number of PSUs and stock options that were granted to each of the named executives in 2020, the MD&amp;C Committee established a target dollar amount for each named executive’s annual total long-term equity incentive award. The values chosen were based primarily on the comparison information for the competitive market and consideration of the named executives’ responsibility for meeting the Company’s strategic objectives. Target dollar amounts for equity incentive awards will vary from grant date fair values calculated for accounting purposes.</w:t>
      </w:r>
    </w:p>
    <w:p>
      <w:pPr>
        <w:spacing w:after="0" w:line="32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000" w:type="dxa"/>
            <w:vAlign w:val="bottom"/>
            <w:gridSpan w:val="2"/>
          </w:tcPr>
          <w:p>
            <w:pPr>
              <w:ind w:left="2320"/>
              <w:spacing w:after="0"/>
              <w:rPr>
                <w:sz w:val="20"/>
                <w:szCs w:val="20"/>
                <w:color w:val="auto"/>
              </w:rPr>
            </w:pPr>
            <w:r>
              <w:rPr>
                <w:rFonts w:ascii="Arial" w:cs="Arial" w:eastAsia="Arial" w:hAnsi="Arial"/>
                <w:sz w:val="14"/>
                <w:szCs w:val="14"/>
                <w:b w:val="1"/>
                <w:bCs w:val="1"/>
                <w:color w:val="477258"/>
              </w:rPr>
              <w:t>Dollar Values of 2020</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4000" w:type="dxa"/>
            <w:vAlign w:val="bottom"/>
            <w:gridSpan w:val="2"/>
          </w:tcPr>
          <w:p>
            <w:pPr>
              <w:ind w:left="1740"/>
              <w:spacing w:after="0" w:line="135" w:lineRule="exact"/>
              <w:rPr>
                <w:sz w:val="20"/>
                <w:szCs w:val="20"/>
                <w:color w:val="auto"/>
              </w:rPr>
            </w:pPr>
            <w:r>
              <w:rPr>
                <w:rFonts w:ascii="Arial" w:cs="Arial" w:eastAsia="Arial" w:hAnsi="Arial"/>
                <w:sz w:val="14"/>
                <w:szCs w:val="14"/>
                <w:b w:val="1"/>
                <w:bCs w:val="1"/>
                <w:color w:val="477258"/>
              </w:rPr>
              <w:t>Long-Term Equity Incentives</w:t>
            </w:r>
          </w:p>
        </w:tc>
        <w:tc>
          <w:tcPr>
            <w:tcW w:w="0" w:type="dxa"/>
            <w:vAlign w:val="bottom"/>
          </w:tcPr>
          <w:p>
            <w:pPr>
              <w:spacing w:after="0"/>
              <w:rPr>
                <w:sz w:val="1"/>
                <w:szCs w:val="1"/>
                <w:color w:val="auto"/>
              </w:rPr>
            </w:pPr>
          </w:p>
        </w:tc>
      </w:tr>
      <w:tr>
        <w:trPr>
          <w:trHeight w:val="135"/>
        </w:trPr>
        <w:tc>
          <w:tcPr>
            <w:tcW w:w="3640" w:type="dxa"/>
            <w:vAlign w:val="bottom"/>
            <w:vMerge w:val="restart"/>
          </w:tcPr>
          <w:p>
            <w:pPr>
              <w:ind w:left="60"/>
              <w:spacing w:after="0"/>
              <w:rPr>
                <w:sz w:val="20"/>
                <w:szCs w:val="20"/>
                <w:color w:val="auto"/>
              </w:rPr>
            </w:pPr>
            <w:r>
              <w:rPr>
                <w:rFonts w:ascii="Arial" w:cs="Arial" w:eastAsia="Arial" w:hAnsi="Arial"/>
                <w:sz w:val="14"/>
                <w:szCs w:val="14"/>
                <w:b w:val="1"/>
                <w:bCs w:val="1"/>
                <w:color w:val="477258"/>
              </w:rPr>
              <w:t>Named Executive Officer</w:t>
            </w:r>
          </w:p>
        </w:tc>
        <w:tc>
          <w:tcPr>
            <w:tcW w:w="4000" w:type="dxa"/>
            <w:vAlign w:val="bottom"/>
            <w:gridSpan w:val="2"/>
          </w:tcPr>
          <w:p>
            <w:pPr>
              <w:ind w:left="2280"/>
              <w:spacing w:after="0" w:line="135" w:lineRule="exact"/>
              <w:rPr>
                <w:sz w:val="20"/>
                <w:szCs w:val="20"/>
                <w:color w:val="auto"/>
              </w:rPr>
            </w:pPr>
            <w:r>
              <w:rPr>
                <w:rFonts w:ascii="Arial" w:cs="Arial" w:eastAsia="Arial" w:hAnsi="Arial"/>
                <w:sz w:val="14"/>
                <w:szCs w:val="14"/>
                <w:b w:val="1"/>
                <w:bCs w:val="1"/>
                <w:color w:val="477258"/>
              </w:rPr>
              <w:t>Set by the Committee</w:t>
            </w:r>
          </w:p>
        </w:tc>
        <w:tc>
          <w:tcPr>
            <w:tcW w:w="0" w:type="dxa"/>
            <w:vAlign w:val="bottom"/>
          </w:tcPr>
          <w:p>
            <w:pPr>
              <w:spacing w:after="0"/>
              <w:rPr>
                <w:sz w:val="1"/>
                <w:szCs w:val="1"/>
                <w:color w:val="auto"/>
              </w:rPr>
            </w:pPr>
          </w:p>
        </w:tc>
      </w:tr>
      <w:tr>
        <w:trPr>
          <w:trHeight w:val="189"/>
        </w:trPr>
        <w:tc>
          <w:tcPr>
            <w:tcW w:w="3640" w:type="dxa"/>
            <w:vAlign w:val="bottom"/>
            <w:tcBorders>
              <w:bottom w:val="single" w:sz="8" w:color="477258"/>
            </w:tcBorders>
            <w:vMerge w:val="continue"/>
          </w:tcPr>
          <w:p>
            <w:pPr>
              <w:spacing w:after="0"/>
              <w:rPr>
                <w:sz w:val="16"/>
                <w:szCs w:val="16"/>
                <w:color w:val="auto"/>
              </w:rPr>
            </w:pPr>
          </w:p>
        </w:tc>
        <w:tc>
          <w:tcPr>
            <w:tcW w:w="2500" w:type="dxa"/>
            <w:vAlign w:val="bottom"/>
            <w:tcBorders>
              <w:bottom w:val="single" w:sz="8" w:color="477258"/>
            </w:tcBorders>
          </w:tcPr>
          <w:p>
            <w:pPr>
              <w:spacing w:after="0"/>
              <w:rPr>
                <w:sz w:val="16"/>
                <w:szCs w:val="16"/>
                <w:color w:val="auto"/>
              </w:rPr>
            </w:pPr>
          </w:p>
        </w:tc>
        <w:tc>
          <w:tcPr>
            <w:tcW w:w="150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(at Target)</w:t>
            </w:r>
          </w:p>
        </w:tc>
        <w:tc>
          <w:tcPr>
            <w:tcW w:w="0" w:type="dxa"/>
            <w:vAlign w:val="bottom"/>
          </w:tcPr>
          <w:p>
            <w:pPr>
              <w:spacing w:after="0"/>
              <w:rPr>
                <w:sz w:val="1"/>
                <w:szCs w:val="1"/>
                <w:color w:val="auto"/>
              </w:rPr>
            </w:pPr>
          </w:p>
        </w:tc>
      </w:tr>
      <w:tr>
        <w:trPr>
          <w:trHeight w:val="257"/>
        </w:trPr>
        <w:tc>
          <w:tcPr>
            <w:tcW w:w="364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Fish</w:t>
            </w:r>
          </w:p>
        </w:tc>
        <w:tc>
          <w:tcPr>
            <w:tcW w:w="2500" w:type="dxa"/>
            <w:vAlign w:val="bottom"/>
            <w:tcBorders>
              <w:bottom w:val="single" w:sz="8" w:color="477258"/>
            </w:tcBorders>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477258"/>
            </w:tcBorders>
            <w:shd w:val="clear" w:color="auto" w:fill="CCEEFF"/>
          </w:tcPr>
          <w:p>
            <w:pPr>
              <w:jc w:val="right"/>
              <w:ind w:right="553"/>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Rankin</w:t>
            </w:r>
          </w:p>
        </w:tc>
        <w:tc>
          <w:tcPr>
            <w:tcW w:w="2500" w:type="dxa"/>
            <w:vAlign w:val="bottom"/>
            <w:tcBorders>
              <w:bottom w:val="single" w:sz="8" w:color="477258"/>
            </w:tcBorders>
          </w:tcPr>
          <w:p>
            <w:pPr>
              <w:ind w:left="2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477258"/>
            </w:tcBorders>
          </w:tcPr>
          <w:p>
            <w:pPr>
              <w:jc w:val="right"/>
              <w:ind w:right="553"/>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Morris</w:t>
            </w:r>
          </w:p>
        </w:tc>
        <w:tc>
          <w:tcPr>
            <w:tcW w:w="2500" w:type="dxa"/>
            <w:vAlign w:val="bottom"/>
            <w:tcBorders>
              <w:bottom w:val="single" w:sz="8" w:color="477258"/>
            </w:tcBorders>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477258"/>
            </w:tcBorders>
            <w:shd w:val="clear" w:color="auto" w:fill="CCEEFF"/>
          </w:tcPr>
          <w:p>
            <w:pPr>
              <w:jc w:val="right"/>
              <w:ind w:right="553"/>
              <w:spacing w:after="0"/>
              <w:rPr>
                <w:sz w:val="20"/>
                <w:szCs w:val="20"/>
                <w:color w:val="auto"/>
              </w:rPr>
            </w:pPr>
            <w:r>
              <w:rPr>
                <w:rFonts w:ascii="Arial" w:cs="Arial" w:eastAsia="Arial" w:hAnsi="Arial"/>
                <w:sz w:val="18"/>
                <w:szCs w:val="18"/>
                <w:color w:val="auto"/>
              </w:rPr>
              <w:t>2,200,000</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Hemmer</w:t>
            </w:r>
          </w:p>
        </w:tc>
        <w:tc>
          <w:tcPr>
            <w:tcW w:w="2500" w:type="dxa"/>
            <w:vAlign w:val="bottom"/>
            <w:tcBorders>
              <w:bottom w:val="single" w:sz="8" w:color="477258"/>
            </w:tcBorders>
          </w:tcPr>
          <w:p>
            <w:pPr>
              <w:ind w:left="2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477258"/>
            </w:tcBorders>
          </w:tcPr>
          <w:p>
            <w:pPr>
              <w:jc w:val="right"/>
              <w:ind w:right="553"/>
              <w:spacing w:after="0"/>
              <w:rPr>
                <w:sz w:val="20"/>
                <w:szCs w:val="20"/>
                <w:color w:val="auto"/>
              </w:rPr>
            </w:pPr>
            <w:r>
              <w:rPr>
                <w:rFonts w:ascii="Arial" w:cs="Arial" w:eastAsia="Arial" w:hAnsi="Arial"/>
                <w:sz w:val="18"/>
                <w:szCs w:val="18"/>
                <w:color w:val="auto"/>
              </w:rPr>
              <w:t>1,650,000</w:t>
            </w: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Batchelor</w:t>
            </w:r>
          </w:p>
        </w:tc>
        <w:tc>
          <w:tcPr>
            <w:tcW w:w="250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rPr>
              <w:t>1,650,000</w:t>
            </w:r>
          </w:p>
        </w:tc>
        <w:tc>
          <w:tcPr>
            <w:tcW w:w="0" w:type="dxa"/>
            <w:vAlign w:val="bottom"/>
          </w:tcPr>
          <w:p>
            <w:pPr>
              <w:spacing w:after="0"/>
              <w:rPr>
                <w:sz w:val="1"/>
                <w:szCs w:val="1"/>
                <w:color w:val="auto"/>
              </w:rPr>
            </w:pPr>
          </w:p>
        </w:tc>
      </w:tr>
      <w:tr>
        <w:trPr>
          <w:trHeight w:val="20"/>
        </w:trPr>
        <w:tc>
          <w:tcPr>
            <w:tcW w:w="3640" w:type="dxa"/>
            <w:vAlign w:val="bottom"/>
            <w:shd w:val="clear" w:color="auto" w:fill="477258"/>
          </w:tcPr>
          <w:p>
            <w:pPr>
              <w:spacing w:after="0" w:line="20" w:lineRule="exact"/>
              <w:rPr>
                <w:sz w:val="1"/>
                <w:szCs w:val="1"/>
                <w:color w:val="auto"/>
              </w:rPr>
            </w:pPr>
          </w:p>
        </w:tc>
        <w:tc>
          <w:tcPr>
            <w:tcW w:w="2500" w:type="dxa"/>
            <w:vAlign w:val="bottom"/>
            <w:shd w:val="clear" w:color="auto" w:fill="477258"/>
          </w:tcPr>
          <w:p>
            <w:pPr>
              <w:spacing w:after="0" w:line="20" w:lineRule="exact"/>
              <w:rPr>
                <w:sz w:val="1"/>
                <w:szCs w:val="1"/>
                <w:color w:val="auto"/>
              </w:rPr>
            </w:pPr>
          </w:p>
        </w:tc>
        <w:tc>
          <w:tcPr>
            <w:tcW w:w="1500" w:type="dxa"/>
            <w:vAlign w:val="bottom"/>
            <w:shd w:val="clear" w:color="auto" w:fill="4772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820"/>
        <w:spacing w:after="0"/>
        <w:rPr>
          <w:sz w:val="20"/>
          <w:szCs w:val="20"/>
          <w:color w:val="auto"/>
        </w:rPr>
      </w:pPr>
      <w:r>
        <w:rPr>
          <w:rFonts w:ascii="Arial" w:cs="Arial" w:eastAsia="Arial" w:hAnsi="Arial"/>
          <w:sz w:val="18"/>
          <w:szCs w:val="18"/>
          <w:i w:val="1"/>
          <w:iCs w:val="1"/>
          <w:u w:val="single" w:color="auto"/>
          <w:color w:val="auto"/>
        </w:rPr>
        <w:t>Overview of Performance Share Units.</w:t>
      </w:r>
    </w:p>
    <w:p>
      <w:pPr>
        <w:spacing w:after="0" w:line="117" w:lineRule="exact"/>
        <w:rPr>
          <w:sz w:val="20"/>
          <w:szCs w:val="20"/>
          <w:color w:val="auto"/>
        </w:rPr>
      </w:pPr>
    </w:p>
    <w:p>
      <w:pPr>
        <w:jc w:val="both"/>
        <w:ind w:left="1360" w:hanging="184"/>
        <w:spacing w:after="0" w:line="266" w:lineRule="auto"/>
        <w:tabs>
          <w:tab w:leader="none" w:pos="1360" w:val="left"/>
        </w:tabs>
        <w:numPr>
          <w:ilvl w:val="0"/>
          <w:numId w:val="37"/>
        </w:numPr>
        <w:rPr>
          <w:rFonts w:ascii="Arial" w:cs="Arial" w:eastAsia="Arial" w:hAnsi="Arial"/>
          <w:sz w:val="18"/>
          <w:szCs w:val="18"/>
          <w:color w:val="477258"/>
        </w:rPr>
      </w:pPr>
      <w:r>
        <w:rPr>
          <w:rFonts w:ascii="Arial" w:cs="Arial" w:eastAsia="Arial" w:hAnsi="Arial"/>
          <w:sz w:val="18"/>
          <w:szCs w:val="18"/>
          <w:i w:val="1"/>
          <w:iCs w:val="1"/>
          <w:color w:val="auto"/>
        </w:rPr>
        <w:t>Named executives were granted new PSUs with a three-year performance period ending December 31, 2022. Half of each named executive’s PSUs granted in 2020 are Cash Flow PSUs and the remaining half are TSR PSUs.</w:t>
      </w:r>
    </w:p>
    <w:p>
      <w:pPr>
        <w:spacing w:after="0" w:line="67" w:lineRule="exact"/>
        <w:rPr>
          <w:rFonts w:ascii="Arial" w:cs="Arial" w:eastAsia="Arial" w:hAnsi="Arial"/>
          <w:sz w:val="18"/>
          <w:szCs w:val="18"/>
          <w:color w:val="477258"/>
        </w:rPr>
      </w:pPr>
    </w:p>
    <w:p>
      <w:pPr>
        <w:jc w:val="both"/>
        <w:ind w:left="1360" w:hanging="184"/>
        <w:spacing w:after="0" w:line="261" w:lineRule="auto"/>
        <w:tabs>
          <w:tab w:leader="none" w:pos="1360" w:val="left"/>
        </w:tabs>
        <w:numPr>
          <w:ilvl w:val="0"/>
          <w:numId w:val="37"/>
        </w:numPr>
        <w:rPr>
          <w:rFonts w:ascii="Arial" w:cs="Arial" w:eastAsia="Arial" w:hAnsi="Arial"/>
          <w:sz w:val="18"/>
          <w:szCs w:val="18"/>
          <w:color w:val="477258"/>
        </w:rPr>
      </w:pPr>
      <w:r>
        <w:rPr>
          <w:rFonts w:ascii="Arial" w:cs="Arial" w:eastAsia="Arial" w:hAnsi="Arial"/>
          <w:sz w:val="18"/>
          <w:szCs w:val="18"/>
          <w:i w:val="1"/>
          <w:iCs w:val="1"/>
          <w:color w:val="auto"/>
        </w:rPr>
        <w:t>Named executives received a payout of 186.4% of the PSUs granted in 2018 with a three-year performance period ended December 31, 2020. The Company exceeded the maximum level of performance for the Cash Flow PSUs, and the Company exceeded the threshold and neared the maximum level of performance for the TSR PSUs.</w:t>
      </w:r>
    </w:p>
    <w:p>
      <w:pPr>
        <w:spacing w:after="0" w:line="72"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i w:val="1"/>
          <w:iCs w:val="1"/>
          <w:u w:val="single" w:color="auto"/>
          <w:color w:val="auto"/>
        </w:rPr>
        <w:t>PSUs Granted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units are granted to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to align compensation with the achievement of our long-term financial goals and to increase stockholder alignment through stock ownership. PSUs provide an immediate retention benefit to the Company because there is unvested potential value at the date of grant. The number of PSUs granted to our named executive officers corresponds to an equal number of shares of Common Stock. At the end of the three- year performance period for each grant, the Company will deliver a number of shares ranging from 0% to 200% of the initial number of PSUs granted, depending on the Company’s three-year performance against pre-established targets.</w:t>
      </w:r>
    </w:p>
    <w:p>
      <w:pPr>
        <w:spacing w:after="0" w:line="315"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The MD&amp;C Committee determined the number of PSUs that were granted to each of the named executives in 2020 by taking the targeted dollar amounts established for total long-term equity incentives (set forth in the table above) and multiplying by 80%. Those values were then divided by the average of the high and low market price of our Common Stock over the 30 trading days preceding the date of the MD&amp;C Committee meeting at which the grants were approved to determine the number of PSUs granted. The number of PSUs granted in 2020 are shown in the table below.</w:t>
      </w:r>
    </w:p>
    <w:p>
      <w:pPr>
        <w:spacing w:after="0" w:line="10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420" w:type="dxa"/>
            <w:vAlign w:val="bottom"/>
            <w:vMerge w:val="restart"/>
          </w:tcPr>
          <w:p>
            <w:pPr>
              <w:ind w:left="60"/>
              <w:spacing w:after="0"/>
              <w:rPr>
                <w:sz w:val="20"/>
                <w:szCs w:val="20"/>
                <w:color w:val="auto"/>
              </w:rPr>
            </w:pPr>
            <w:r>
              <w:rPr>
                <w:rFonts w:ascii="Arial" w:cs="Arial" w:eastAsia="Arial" w:hAnsi="Arial"/>
                <w:sz w:val="14"/>
                <w:szCs w:val="14"/>
                <w:b w:val="1"/>
                <w:bCs w:val="1"/>
                <w:color w:val="477258"/>
              </w:rPr>
              <w:t>Named Executive Officer</w:t>
            </w:r>
          </w:p>
        </w:tc>
        <w:tc>
          <w:tcPr>
            <w:tcW w:w="3220" w:type="dxa"/>
            <w:vAlign w:val="bottom"/>
          </w:tcPr>
          <w:p>
            <w:pPr>
              <w:jc w:val="right"/>
              <w:ind w:right="35"/>
              <w:spacing w:after="0"/>
              <w:rPr>
                <w:sz w:val="20"/>
                <w:szCs w:val="20"/>
                <w:color w:val="auto"/>
              </w:rPr>
            </w:pPr>
            <w:r>
              <w:rPr>
                <w:rFonts w:ascii="Arial" w:cs="Arial" w:eastAsia="Arial" w:hAnsi="Arial"/>
                <w:sz w:val="14"/>
                <w:szCs w:val="14"/>
                <w:b w:val="1"/>
                <w:bCs w:val="1"/>
                <w:color w:val="477258"/>
              </w:rPr>
              <w:t>Number</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477258"/>
            </w:tcBorders>
            <w:vMerge w:val="continue"/>
          </w:tcPr>
          <w:p>
            <w:pPr>
              <w:spacing w:after="0"/>
              <w:rPr>
                <w:sz w:val="16"/>
                <w:szCs w:val="16"/>
                <w:color w:val="auto"/>
              </w:rPr>
            </w:pPr>
          </w:p>
        </w:tc>
        <w:tc>
          <w:tcPr>
            <w:tcW w:w="322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of PSUs</w:t>
            </w:r>
          </w:p>
        </w:tc>
        <w:tc>
          <w:tcPr>
            <w:tcW w:w="0" w:type="dxa"/>
            <w:vAlign w:val="bottom"/>
          </w:tcPr>
          <w:p>
            <w:pPr>
              <w:spacing w:after="0"/>
              <w:rPr>
                <w:sz w:val="1"/>
                <w:szCs w:val="1"/>
                <w:color w:val="auto"/>
              </w:rPr>
            </w:pPr>
          </w:p>
        </w:tc>
      </w:tr>
      <w:tr>
        <w:trPr>
          <w:trHeight w:val="257"/>
        </w:trPr>
        <w:tc>
          <w:tcPr>
            <w:tcW w:w="442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Fish</w:t>
            </w:r>
          </w:p>
        </w:tc>
        <w:tc>
          <w:tcPr>
            <w:tcW w:w="32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52,892</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Rankin</w:t>
            </w:r>
          </w:p>
        </w:tc>
        <w:tc>
          <w:tcPr>
            <w:tcW w:w="32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13,224</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Morris</w:t>
            </w:r>
          </w:p>
        </w:tc>
        <w:tc>
          <w:tcPr>
            <w:tcW w:w="32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14,546</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Hemmer</w:t>
            </w:r>
          </w:p>
        </w:tc>
        <w:tc>
          <w:tcPr>
            <w:tcW w:w="32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10,910</w:t>
            </w: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Batchelor</w:t>
            </w:r>
          </w:p>
        </w:tc>
        <w:tc>
          <w:tcPr>
            <w:tcW w:w="3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10,910</w:t>
            </w:r>
          </w:p>
        </w:tc>
        <w:tc>
          <w:tcPr>
            <w:tcW w:w="0" w:type="dxa"/>
            <w:vAlign w:val="bottom"/>
          </w:tcPr>
          <w:p>
            <w:pPr>
              <w:spacing w:after="0"/>
              <w:rPr>
                <w:sz w:val="1"/>
                <w:szCs w:val="1"/>
                <w:color w:val="auto"/>
              </w:rPr>
            </w:pPr>
          </w:p>
        </w:tc>
      </w:tr>
      <w:tr>
        <w:trPr>
          <w:trHeight w:val="20"/>
        </w:trPr>
        <w:tc>
          <w:tcPr>
            <w:tcW w:w="4420" w:type="dxa"/>
            <w:vAlign w:val="bottom"/>
            <w:shd w:val="clear" w:color="auto" w:fill="477258"/>
          </w:tcPr>
          <w:p>
            <w:pPr>
              <w:spacing w:after="0" w:line="20" w:lineRule="exact"/>
              <w:rPr>
                <w:sz w:val="1"/>
                <w:szCs w:val="1"/>
                <w:color w:val="auto"/>
              </w:rPr>
            </w:pPr>
          </w:p>
        </w:tc>
        <w:tc>
          <w:tcPr>
            <w:tcW w:w="3220" w:type="dxa"/>
            <w:vAlign w:val="bottom"/>
            <w:shd w:val="clear" w:color="auto" w:fill="4772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Half of each named executive’s PSUs included in the table above are Cash Flow PSUs; the cash flow generation performance measure requires focus on capital discipline and strengthens alignment with stockholders’ free cash flow expectations. For purposes of these PSUs, we define cash flow as net cash provided by operating activities, less capital expenditures, with the following adjustments:</w:t>
      </w:r>
    </w:p>
    <w:p>
      <w:pPr>
        <w:spacing w:after="0" w:line="2" w:lineRule="exact"/>
        <w:rPr>
          <w:sz w:val="20"/>
          <w:szCs w:val="20"/>
          <w:color w:val="auto"/>
        </w:rPr>
      </w:pPr>
    </w:p>
    <w:p>
      <w:pPr>
        <w:ind w:left="820" w:hanging="4"/>
        <w:spacing w:after="0" w:line="261" w:lineRule="auto"/>
        <w:tabs>
          <w:tab w:leader="none" w:pos="11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associated with labor disruptions and multiemployer plan withdrawal liabilities are excluded due to being required as a result of past labor commitments combined with changing</w:t>
      </w:r>
    </w:p>
    <w:p>
      <w:pPr>
        <w:spacing w:after="0" w:line="243"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445135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168275</wp:posOffset>
            </wp:positionV>
            <wp:extent cx="57607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economic conditions and business climate; (b) strategic acquisition, restructuring, and transformation and reorganization costs are excluded; (c) cash proceeds from the government-required divestiture of businesses and other assets in connection with our acquisition of Advanced Disposal are excluded; and (d) cash proceeds from divestiture of any other businesses and assets are included (the “2020 Cash Flow PSU Definition”). The table below shows the required achievement of the cash flow generation performance measure and the corresponding potential payouts under our Cash Flow PSUs granted in 2020.</w:t>
      </w:r>
    </w:p>
    <w:p>
      <w:pPr>
        <w:spacing w:after="0" w:line="331" w:lineRule="exact"/>
        <w:rPr>
          <w:sz w:val="20"/>
          <w:szCs w:val="20"/>
          <w:color w:val="auto"/>
        </w:rPr>
      </w:pPr>
    </w:p>
    <w:tbl>
      <w:tblPr>
        <w:tblLayout w:type="fixed"/>
        <w:tblInd w:w="82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1280" w:type="dxa"/>
            <w:vAlign w:val="bottom"/>
            <w:tcBorders>
              <w:bottom w:val="single" w:sz="8" w:color="477258"/>
            </w:tcBorders>
          </w:tcPr>
          <w:p>
            <w:pPr>
              <w:ind w:left="520"/>
              <w:spacing w:after="0"/>
              <w:rPr>
                <w:sz w:val="20"/>
                <w:szCs w:val="20"/>
                <w:color w:val="auto"/>
              </w:rPr>
            </w:pPr>
            <w:r>
              <w:rPr>
                <w:rFonts w:ascii="Arial" w:cs="Arial" w:eastAsia="Arial" w:hAnsi="Arial"/>
                <w:sz w:val="14"/>
                <w:szCs w:val="14"/>
                <w:b w:val="1"/>
                <w:bCs w:val="1"/>
                <w:color w:val="477258"/>
              </w:rPr>
              <w:t>Threshold</w:t>
            </w:r>
          </w:p>
        </w:tc>
        <w:tc>
          <w:tcPr>
            <w:tcW w:w="520" w:type="dxa"/>
            <w:vAlign w:val="bottom"/>
            <w:tcBorders>
              <w:bottom w:val="single" w:sz="8" w:color="477258"/>
            </w:tcBorders>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Borders>
              <w:bottom w:val="single" w:sz="8" w:color="477258"/>
            </w:tcBorders>
          </w:tcPr>
          <w:p>
            <w:pPr>
              <w:ind w:left="660"/>
              <w:spacing w:after="0"/>
              <w:rPr>
                <w:sz w:val="20"/>
                <w:szCs w:val="20"/>
                <w:color w:val="auto"/>
              </w:rPr>
            </w:pPr>
            <w:r>
              <w:rPr>
                <w:rFonts w:ascii="Arial" w:cs="Arial" w:eastAsia="Arial" w:hAnsi="Arial"/>
                <w:sz w:val="14"/>
                <w:szCs w:val="14"/>
                <w:b w:val="1"/>
                <w:bCs w:val="1"/>
                <w:color w:val="477258"/>
              </w:rPr>
              <w:t>Target</w:t>
            </w:r>
          </w:p>
        </w:tc>
        <w:tc>
          <w:tcPr>
            <w:tcW w:w="600" w:type="dxa"/>
            <w:vAlign w:val="bottom"/>
            <w:tcBorders>
              <w:bottom w:val="single" w:sz="8" w:color="477258"/>
            </w:tcBorders>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477258"/>
            </w:tcBorders>
          </w:tcPr>
          <w:p>
            <w:pPr>
              <w:ind w:left="560"/>
              <w:spacing w:after="0"/>
              <w:rPr>
                <w:sz w:val="20"/>
                <w:szCs w:val="20"/>
                <w:color w:val="auto"/>
              </w:rPr>
            </w:pPr>
            <w:r>
              <w:rPr>
                <w:rFonts w:ascii="Arial" w:cs="Arial" w:eastAsia="Arial" w:hAnsi="Arial"/>
                <w:sz w:val="14"/>
                <w:szCs w:val="14"/>
                <w:b w:val="1"/>
                <w:bCs w:val="1"/>
                <w:color w:val="477258"/>
              </w:rPr>
              <w:t>Maximum</w:t>
            </w:r>
          </w:p>
        </w:tc>
        <w:tc>
          <w:tcPr>
            <w:tcW w:w="560" w:type="dxa"/>
            <w:vAlign w:val="bottom"/>
            <w:tcBorders>
              <w:bottom w:val="single" w:sz="8" w:color="477258"/>
            </w:tcBorders>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3160" w:type="dxa"/>
            <w:vAlign w:val="bottom"/>
            <w:tcBorders>
              <w:bottom w:val="single" w:sz="8" w:color="477258"/>
            </w:tcBorders>
          </w:tcPr>
          <w:p>
            <w:pPr>
              <w:spacing w:after="0"/>
              <w:rPr>
                <w:sz w:val="19"/>
                <w:szCs w:val="19"/>
                <w:color w:val="auto"/>
              </w:rPr>
            </w:pPr>
          </w:p>
        </w:tc>
        <w:tc>
          <w:tcPr>
            <w:tcW w:w="1280" w:type="dxa"/>
            <w:vAlign w:val="bottom"/>
            <w:tcBorders>
              <w:bottom w:val="single" w:sz="8" w:color="477258"/>
            </w:tcBorders>
          </w:tcPr>
          <w:p>
            <w:pPr>
              <w:ind w:left="100"/>
              <w:spacing w:after="0"/>
              <w:rPr>
                <w:sz w:val="20"/>
                <w:szCs w:val="20"/>
                <w:color w:val="auto"/>
              </w:rPr>
            </w:pPr>
            <w:r>
              <w:rPr>
                <w:rFonts w:ascii="Arial" w:cs="Arial" w:eastAsia="Arial" w:hAnsi="Arial"/>
                <w:sz w:val="14"/>
                <w:szCs w:val="14"/>
                <w:b w:val="1"/>
                <w:bCs w:val="1"/>
                <w:color w:val="477258"/>
              </w:rPr>
              <w:t>Performance</w:t>
            </w:r>
          </w:p>
        </w:tc>
        <w:tc>
          <w:tcPr>
            <w:tcW w:w="720" w:type="dxa"/>
            <w:vAlign w:val="bottom"/>
            <w:tcBorders>
              <w:bottom w:val="single" w:sz="8" w:color="477258"/>
            </w:tcBorders>
            <w:gridSpan w:val="2"/>
          </w:tcPr>
          <w:p>
            <w:pPr>
              <w:jc w:val="right"/>
              <w:ind w:right="220"/>
              <w:spacing w:after="0"/>
              <w:rPr>
                <w:sz w:val="20"/>
                <w:szCs w:val="20"/>
                <w:color w:val="auto"/>
              </w:rPr>
            </w:pPr>
            <w:r>
              <w:rPr>
                <w:rFonts w:ascii="Arial" w:cs="Arial" w:eastAsia="Arial" w:hAnsi="Arial"/>
                <w:sz w:val="14"/>
                <w:szCs w:val="14"/>
                <w:b w:val="1"/>
                <w:bCs w:val="1"/>
                <w:color w:val="477258"/>
              </w:rPr>
              <w:t>Payout</w:t>
            </w:r>
          </w:p>
        </w:tc>
        <w:tc>
          <w:tcPr>
            <w:tcW w:w="1200" w:type="dxa"/>
            <w:vAlign w:val="bottom"/>
            <w:tcBorders>
              <w:bottom w:val="single" w:sz="8" w:color="477258"/>
            </w:tcBorders>
          </w:tcPr>
          <w:p>
            <w:pPr>
              <w:ind w:left="100"/>
              <w:spacing w:after="0"/>
              <w:rPr>
                <w:sz w:val="20"/>
                <w:szCs w:val="20"/>
                <w:color w:val="auto"/>
              </w:rPr>
            </w:pPr>
            <w:r>
              <w:rPr>
                <w:rFonts w:ascii="Arial" w:cs="Arial" w:eastAsia="Arial" w:hAnsi="Arial"/>
                <w:sz w:val="14"/>
                <w:szCs w:val="14"/>
                <w:b w:val="1"/>
                <w:bCs w:val="1"/>
                <w:color w:val="477258"/>
              </w:rPr>
              <w:t>Performance</w:t>
            </w:r>
          </w:p>
        </w:tc>
        <w:tc>
          <w:tcPr>
            <w:tcW w:w="820" w:type="dxa"/>
            <w:vAlign w:val="bottom"/>
            <w:tcBorders>
              <w:bottom w:val="single" w:sz="8" w:color="477258"/>
            </w:tcBorders>
            <w:gridSpan w:val="2"/>
          </w:tcPr>
          <w:p>
            <w:pPr>
              <w:jc w:val="right"/>
              <w:ind w:right="240"/>
              <w:spacing w:after="0"/>
              <w:rPr>
                <w:sz w:val="20"/>
                <w:szCs w:val="20"/>
                <w:color w:val="auto"/>
              </w:rPr>
            </w:pPr>
            <w:r>
              <w:rPr>
                <w:rFonts w:ascii="Arial" w:cs="Arial" w:eastAsia="Arial" w:hAnsi="Arial"/>
                <w:sz w:val="14"/>
                <w:szCs w:val="14"/>
                <w:b w:val="1"/>
                <w:bCs w:val="1"/>
                <w:color w:val="477258"/>
              </w:rPr>
              <w:t>Payout</w:t>
            </w:r>
          </w:p>
        </w:tc>
        <w:tc>
          <w:tcPr>
            <w:tcW w:w="1280" w:type="dxa"/>
            <w:vAlign w:val="bottom"/>
            <w:tcBorders>
              <w:bottom w:val="single" w:sz="8" w:color="477258"/>
            </w:tcBorders>
          </w:tcPr>
          <w:p>
            <w:pPr>
              <w:ind w:left="120"/>
              <w:spacing w:after="0"/>
              <w:rPr>
                <w:sz w:val="20"/>
                <w:szCs w:val="20"/>
                <w:color w:val="auto"/>
              </w:rPr>
            </w:pPr>
            <w:r>
              <w:rPr>
                <w:rFonts w:ascii="Arial" w:cs="Arial" w:eastAsia="Arial" w:hAnsi="Arial"/>
                <w:sz w:val="14"/>
                <w:szCs w:val="14"/>
                <w:b w:val="1"/>
                <w:bCs w:val="1"/>
                <w:color w:val="477258"/>
              </w:rPr>
              <w:t>Performance</w:t>
            </w:r>
          </w:p>
        </w:tc>
        <w:tc>
          <w:tcPr>
            <w:tcW w:w="600" w:type="dxa"/>
            <w:vAlign w:val="bottom"/>
            <w:tcBorders>
              <w:bottom w:val="single" w:sz="8" w:color="477258"/>
            </w:tcBorders>
            <w:gridSpan w:val="2"/>
          </w:tcPr>
          <w:p>
            <w:pPr>
              <w:jc w:val="right"/>
              <w:ind w:right="60"/>
              <w:spacing w:after="0"/>
              <w:rPr>
                <w:sz w:val="20"/>
                <w:szCs w:val="20"/>
                <w:color w:val="auto"/>
              </w:rPr>
            </w:pPr>
            <w:r>
              <w:rPr>
                <w:rFonts w:ascii="Arial" w:cs="Arial" w:eastAsia="Arial" w:hAnsi="Arial"/>
                <w:sz w:val="14"/>
                <w:szCs w:val="14"/>
                <w:b w:val="1"/>
                <w:bCs w:val="1"/>
                <w:color w:val="477258"/>
              </w:rPr>
              <w:t>Payout</w:t>
            </w:r>
          </w:p>
        </w:tc>
      </w:tr>
      <w:tr>
        <w:trPr>
          <w:trHeight w:val="27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$6.306 billion</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$6.927 billion</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$7.550 billion</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3160" w:type="dxa"/>
            <w:vAlign w:val="bottom"/>
            <w:shd w:val="clear" w:color="auto" w:fill="477258"/>
          </w:tcPr>
          <w:p>
            <w:pPr>
              <w:spacing w:after="0" w:line="20" w:lineRule="exact"/>
              <w:rPr>
                <w:sz w:val="1"/>
                <w:szCs w:val="1"/>
                <w:color w:val="auto"/>
              </w:rPr>
            </w:pPr>
          </w:p>
        </w:tc>
        <w:tc>
          <w:tcPr>
            <w:tcW w:w="1280" w:type="dxa"/>
            <w:vAlign w:val="bottom"/>
            <w:shd w:val="clear" w:color="auto" w:fill="477258"/>
          </w:tcPr>
          <w:p>
            <w:pPr>
              <w:spacing w:after="0" w:line="20" w:lineRule="exact"/>
              <w:rPr>
                <w:sz w:val="1"/>
                <w:szCs w:val="1"/>
                <w:color w:val="auto"/>
              </w:rPr>
            </w:pPr>
          </w:p>
        </w:tc>
        <w:tc>
          <w:tcPr>
            <w:tcW w:w="520" w:type="dxa"/>
            <w:vAlign w:val="bottom"/>
            <w:shd w:val="clear" w:color="auto" w:fill="477258"/>
          </w:tcPr>
          <w:p>
            <w:pPr>
              <w:spacing w:after="0" w:line="20" w:lineRule="exact"/>
              <w:rPr>
                <w:sz w:val="1"/>
                <w:szCs w:val="1"/>
                <w:color w:val="auto"/>
              </w:rPr>
            </w:pPr>
          </w:p>
        </w:tc>
        <w:tc>
          <w:tcPr>
            <w:tcW w:w="200" w:type="dxa"/>
            <w:vAlign w:val="bottom"/>
            <w:shd w:val="clear" w:color="auto" w:fill="477258"/>
          </w:tcPr>
          <w:p>
            <w:pPr>
              <w:spacing w:after="0" w:line="20" w:lineRule="exact"/>
              <w:rPr>
                <w:sz w:val="1"/>
                <w:szCs w:val="1"/>
                <w:color w:val="auto"/>
              </w:rPr>
            </w:pPr>
          </w:p>
        </w:tc>
        <w:tc>
          <w:tcPr>
            <w:tcW w:w="1200" w:type="dxa"/>
            <w:vAlign w:val="bottom"/>
            <w:shd w:val="clear" w:color="auto" w:fill="477258"/>
          </w:tcPr>
          <w:p>
            <w:pPr>
              <w:spacing w:after="0" w:line="20" w:lineRule="exact"/>
              <w:rPr>
                <w:sz w:val="1"/>
                <w:szCs w:val="1"/>
                <w:color w:val="auto"/>
              </w:rPr>
            </w:pPr>
          </w:p>
        </w:tc>
        <w:tc>
          <w:tcPr>
            <w:tcW w:w="600" w:type="dxa"/>
            <w:vAlign w:val="bottom"/>
            <w:shd w:val="clear" w:color="auto" w:fill="477258"/>
          </w:tcPr>
          <w:p>
            <w:pPr>
              <w:spacing w:after="0" w:line="20" w:lineRule="exact"/>
              <w:rPr>
                <w:sz w:val="1"/>
                <w:szCs w:val="1"/>
                <w:color w:val="auto"/>
              </w:rPr>
            </w:pPr>
          </w:p>
        </w:tc>
        <w:tc>
          <w:tcPr>
            <w:tcW w:w="220" w:type="dxa"/>
            <w:vAlign w:val="bottom"/>
            <w:shd w:val="clear" w:color="auto" w:fill="477258"/>
          </w:tcPr>
          <w:p>
            <w:pPr>
              <w:spacing w:after="0" w:line="20" w:lineRule="exact"/>
              <w:rPr>
                <w:sz w:val="1"/>
                <w:szCs w:val="1"/>
                <w:color w:val="auto"/>
              </w:rPr>
            </w:pPr>
          </w:p>
        </w:tc>
        <w:tc>
          <w:tcPr>
            <w:tcW w:w="1280" w:type="dxa"/>
            <w:vAlign w:val="bottom"/>
            <w:shd w:val="clear" w:color="auto" w:fill="477258"/>
          </w:tcPr>
          <w:p>
            <w:pPr>
              <w:spacing w:after="0" w:line="20" w:lineRule="exact"/>
              <w:rPr>
                <w:sz w:val="1"/>
                <w:szCs w:val="1"/>
                <w:color w:val="auto"/>
              </w:rPr>
            </w:pPr>
          </w:p>
        </w:tc>
        <w:tc>
          <w:tcPr>
            <w:tcW w:w="560" w:type="dxa"/>
            <w:vAlign w:val="bottom"/>
            <w:shd w:val="clear" w:color="auto" w:fill="477258"/>
          </w:tcPr>
          <w:p>
            <w:pPr>
              <w:spacing w:after="0" w:line="20" w:lineRule="exact"/>
              <w:rPr>
                <w:sz w:val="1"/>
                <w:szCs w:val="1"/>
                <w:color w:val="auto"/>
              </w:rPr>
            </w:pPr>
          </w:p>
        </w:tc>
        <w:tc>
          <w:tcPr>
            <w:tcW w:w="40" w:type="dxa"/>
            <w:vAlign w:val="bottom"/>
            <w:shd w:val="clear" w:color="auto" w:fill="477258"/>
          </w:tcPr>
          <w:p>
            <w:pPr>
              <w:spacing w:after="0" w:line="20" w:lineRule="exact"/>
              <w:rPr>
                <w:sz w:val="1"/>
                <w:szCs w:val="1"/>
                <w:color w:val="auto"/>
              </w:rPr>
            </w:pPr>
          </w:p>
        </w:tc>
      </w:tr>
    </w:tbl>
    <w:p>
      <w:pPr>
        <w:spacing w:after="0" w:line="175"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The remaining half of each named executive’s PSUs are TSR PSUs. This measure directly correlates executive compensation with creation of stockholder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TSR PSUs granted in 2020.</w:t>
      </w:r>
    </w:p>
    <w:p>
      <w:pPr>
        <w:spacing w:after="0" w:line="101" w:lineRule="exact"/>
        <w:rPr>
          <w:sz w:val="20"/>
          <w:szCs w:val="20"/>
          <w:color w:val="auto"/>
        </w:rPr>
      </w:pPr>
    </w:p>
    <w:p>
      <w:pPr>
        <w:ind w:left="3500"/>
        <w:spacing w:after="0"/>
        <w:rPr>
          <w:sz w:val="20"/>
          <w:szCs w:val="20"/>
          <w:color w:val="auto"/>
        </w:rPr>
      </w:pPr>
      <w:r>
        <w:rPr>
          <w:rFonts w:ascii="Arial" w:cs="Arial" w:eastAsia="Arial" w:hAnsi="Arial"/>
          <w:sz w:val="14"/>
          <w:szCs w:val="14"/>
          <w:b w:val="1"/>
          <w:bCs w:val="1"/>
          <w:color w:val="477258"/>
        </w:rPr>
        <w:t>Total Shareholder Return Relative to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26035</wp:posOffset>
            </wp:positionV>
            <wp:extent cx="47834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62" w:lineRule="exact"/>
        <w:rPr>
          <w:sz w:val="20"/>
          <w:szCs w:val="20"/>
          <w:color w:val="auto"/>
        </w:rPr>
      </w:pPr>
    </w:p>
    <w:tbl>
      <w:tblPr>
        <w:tblLayout w:type="fixed"/>
        <w:tblInd w:w="1520" w:type="dxa"/>
        <w:tblCellMar>
          <w:top w:w="0" w:type="dxa"/>
          <w:left w:w="0" w:type="dxa"/>
          <w:bottom w:w="0" w:type="dxa"/>
          <w:right w:w="0" w:type="dxa"/>
        </w:tblCellMar>
      </w:tblPr>
      <w:tr>
        <w:trPr>
          <w:trHeight w:val="196"/>
        </w:trPr>
        <w:tc>
          <w:tcPr>
            <w:tcW w:w="5840" w:type="dxa"/>
            <w:vAlign w:val="bottom"/>
            <w:tcBorders>
              <w:bottom w:val="single" w:sz="8" w:color="477258"/>
            </w:tcBorders>
          </w:tcPr>
          <w:p>
            <w:pPr>
              <w:jc w:val="center"/>
              <w:ind w:left="955"/>
              <w:spacing w:after="0"/>
              <w:rPr>
                <w:sz w:val="20"/>
                <w:szCs w:val="20"/>
                <w:color w:val="auto"/>
              </w:rPr>
            </w:pPr>
            <w:r>
              <w:rPr>
                <w:rFonts w:ascii="Arial" w:cs="Arial" w:eastAsia="Arial" w:hAnsi="Arial"/>
                <w:sz w:val="14"/>
                <w:szCs w:val="14"/>
                <w:b w:val="1"/>
                <w:bCs w:val="1"/>
                <w:color w:val="477258"/>
              </w:rPr>
              <w:t>Performance</w:t>
            </w:r>
          </w:p>
        </w:tc>
        <w:tc>
          <w:tcPr>
            <w:tcW w:w="180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Payout</w:t>
            </w:r>
          </w:p>
        </w:tc>
      </w:tr>
      <w:tr>
        <w:trPr>
          <w:trHeight w:val="283"/>
        </w:trPr>
        <w:tc>
          <w:tcPr>
            <w:tcW w:w="5840" w:type="dxa"/>
            <w:vAlign w:val="bottom"/>
            <w:tcBorders>
              <w:bottom w:val="single" w:sz="8" w:color="477258"/>
            </w:tcBorders>
            <w:shd w:val="clear" w:color="auto" w:fill="CCEEFF"/>
          </w:tcPr>
          <w:p>
            <w:pPr>
              <w:jc w:val="center"/>
              <w:ind w:left="955"/>
              <w:spacing w:after="0" w:line="283" w:lineRule="exact"/>
              <w:rPr>
                <w:sz w:val="20"/>
                <w:szCs w:val="20"/>
                <w:color w:val="auto"/>
              </w:rPr>
            </w:pPr>
            <w:r>
              <w:rPr>
                <w:rFonts w:ascii="Arial" w:cs="Arial" w:eastAsia="Arial" w:hAnsi="Arial"/>
                <w:sz w:val="18"/>
                <w:szCs w:val="18"/>
                <w:color w:val="auto"/>
              </w:rPr>
              <w:t>75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(Maximum)</w:t>
            </w:r>
          </w:p>
        </w:tc>
        <w:tc>
          <w:tcPr>
            <w:tcW w:w="18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77"/>
        </w:trPr>
        <w:tc>
          <w:tcPr>
            <w:tcW w:w="5840" w:type="dxa"/>
            <w:vAlign w:val="bottom"/>
            <w:tcBorders>
              <w:bottom w:val="single" w:sz="8" w:color="477258"/>
            </w:tcBorders>
          </w:tcPr>
          <w:p>
            <w:pPr>
              <w:jc w:val="center"/>
              <w:ind w:left="955"/>
              <w:spacing w:after="0" w:line="277" w:lineRule="exact"/>
              <w:rPr>
                <w:sz w:val="20"/>
                <w:szCs w:val="20"/>
                <w:color w:val="auto"/>
              </w:rPr>
            </w:pPr>
            <w:r>
              <w:rPr>
                <w:rFonts w:ascii="Arial" w:cs="Arial" w:eastAsia="Arial" w:hAnsi="Arial"/>
                <w:sz w:val="18"/>
                <w:szCs w:val="18"/>
                <w:color w:val="auto"/>
              </w:rPr>
              <w:t>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(Target)</w:t>
            </w:r>
          </w:p>
        </w:tc>
        <w:tc>
          <w:tcPr>
            <w:tcW w:w="180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100%</w:t>
            </w:r>
          </w:p>
        </w:tc>
      </w:tr>
      <w:tr>
        <w:trPr>
          <w:trHeight w:val="304"/>
        </w:trPr>
        <w:tc>
          <w:tcPr>
            <w:tcW w:w="5840" w:type="dxa"/>
            <w:vAlign w:val="bottom"/>
            <w:tcBorders>
              <w:bottom w:val="single" w:sz="8" w:color="477258"/>
            </w:tcBorders>
            <w:shd w:val="clear" w:color="auto" w:fill="CCEEFF"/>
          </w:tcPr>
          <w:p>
            <w:pPr>
              <w:jc w:val="center"/>
              <w:ind w:left="955"/>
              <w:spacing w:after="0"/>
              <w:rPr>
                <w:sz w:val="20"/>
                <w:szCs w:val="20"/>
                <w:color w:val="auto"/>
              </w:rPr>
            </w:pPr>
            <w:r>
              <w:rPr>
                <w:rFonts w:ascii="Arial" w:cs="Arial" w:eastAsia="Arial" w:hAnsi="Arial"/>
                <w:sz w:val="18"/>
                <w:szCs w:val="18"/>
                <w:color w:val="auto"/>
              </w:rPr>
              <w:t>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(Threshold)</w:t>
            </w:r>
          </w:p>
        </w:tc>
        <w:tc>
          <w:tcPr>
            <w:tcW w:w="18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94"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The different performance measure levels are determined based on an analysis of historical performance and current projections and trends. The MD&amp;C Committee uses this analysis and consideration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anticipated to affect the Company in 2020 and beyond, including general economic and market conditions and economic indicators for future periods, to align the cash flow targets with the Company’s long-range strategic plan.</w:t>
      </w:r>
    </w:p>
    <w:p>
      <w:pPr>
        <w:spacing w:after="0" w:line="297"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i w:val="1"/>
          <w:iCs w:val="1"/>
          <w:u w:val="single" w:color="auto"/>
          <w:color w:val="auto"/>
        </w:rPr>
        <w:t>Payout on PSUs for the Performance Period Ended December 31, 2020</w:t>
      </w:r>
      <w:r>
        <w:rPr>
          <w:rFonts w:ascii="Arial" w:cs="Arial" w:eastAsia="Arial" w:hAnsi="Arial"/>
          <w:sz w:val="18"/>
          <w:szCs w:val="18"/>
          <w:color w:val="auto"/>
        </w:rPr>
        <w:t>. Half of the PSUs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with the performance period ended December 31, 2020 were TSR PSUs, and the remaining half of the PSUs granted in 2018 were Cash Flow PSUs. In line with the MD&amp;C Committee’s policy on calculation adjustments discussed above, no adjustments were made to the performance calculations for these PSUs. With respect to the TSR PSUs with a three -year performance period ended December 31, 2020, the performance of the Company’s Common Stock on this measure translated into a percentile rank relative to the S&amp;P 500 of 68.21%, resulting in a 172.84% payout in shares of Common Stock that were issued in February 2021.</w:t>
      </w:r>
    </w:p>
    <w:p>
      <w:pPr>
        <w:spacing w:after="0" w:line="315" w:lineRule="exact"/>
        <w:rPr>
          <w:sz w:val="20"/>
          <w:szCs w:val="20"/>
          <w:color w:val="auto"/>
        </w:rPr>
      </w:pPr>
    </w:p>
    <w:p>
      <w:pPr>
        <w:jc w:val="both"/>
        <w:ind w:left="820"/>
        <w:spacing w:after="0" w:line="251" w:lineRule="auto"/>
        <w:rPr>
          <w:sz w:val="20"/>
          <w:szCs w:val="20"/>
          <w:color w:val="auto"/>
        </w:rPr>
      </w:pPr>
      <w:r>
        <w:rPr>
          <w:rFonts w:ascii="Arial" w:cs="Arial" w:eastAsia="Arial" w:hAnsi="Arial"/>
          <w:sz w:val="18"/>
          <w:szCs w:val="18"/>
          <w:color w:val="auto"/>
        </w:rPr>
        <w:t>For purposes of the Cash Flow PSUs with a three-year performance period ended December 31, 2020, the Company generated net cash flow from operating activities, less capital expenditures, of $7.009 billion, exceeding the maximum criteria of $6.316 billion; this performance level yielded a 200% payout in shares of Common Stock that were issued in February 2021. With respect to these Cash Flow PSUs, the underlying award agreements provide for performance to be measured using the same methodology as the 2020 Cash Flow PSU Definition set forth above, except that these 2018 awards did not exclude cash proceeds from government-required divestitures in connection with our acquisition of Advanced Disposal, as such divestiture proceeds were not anticipated at the time the awards were granted. However, the Company was able to confirm to the MD&amp;C Committee that its results on this performance measure would have exceeded maximum criteria even without the benefit of such divestiture proceeds; and as a result, the proceeds did not impact the award payout for the Cash Flow PSUs.</w:t>
      </w:r>
    </w:p>
    <w:p>
      <w:pPr>
        <w:spacing w:after="0" w:line="200" w:lineRule="exact"/>
        <w:rPr>
          <w:sz w:val="20"/>
          <w:szCs w:val="20"/>
          <w:color w:val="auto"/>
        </w:rPr>
      </w:pPr>
    </w:p>
    <w:p>
      <w:pPr>
        <w:spacing w:after="0" w:line="317" w:lineRule="exact"/>
        <w:rPr>
          <w:sz w:val="20"/>
          <w:szCs w:val="20"/>
          <w:color w:val="auto"/>
        </w:rPr>
      </w:pPr>
    </w:p>
    <w:p>
      <w:pPr>
        <w:jc w:val="both"/>
        <w:ind w:left="820"/>
        <w:spacing w:after="0" w:line="258" w:lineRule="auto"/>
        <w:rPr>
          <w:sz w:val="20"/>
          <w:szCs w:val="20"/>
          <w:color w:val="auto"/>
        </w:rPr>
      </w:pPr>
      <w:r>
        <w:rPr>
          <w:rFonts w:ascii="Arial" w:cs="Arial" w:eastAsia="Arial" w:hAnsi="Arial"/>
          <w:sz w:val="18"/>
          <w:szCs w:val="18"/>
          <w:i w:val="1"/>
          <w:iCs w:val="1"/>
          <w:u w:val="single" w:color="auto"/>
          <w:color w:val="auto"/>
        </w:rPr>
        <w:t>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believes use of stock options is appropriate to support the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element of the Company’s strategy. The grant of options made to the named executive officers in the first quarter of 2020 in connection with the annual grant of long-term equity awards was based on the targeted dollar amounts established for total long-term equity incentives (set forth in the table above) and multiplied by 20%. The actual number of stock options</w:t>
      </w:r>
    </w:p>
    <w:p>
      <w:pPr>
        <w:spacing w:after="0" w:line="247"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-158750</wp:posOffset>
            </wp:positionV>
            <wp:extent cx="454660"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4660" cy="128905"/>
                    </a:xfrm>
                    <a:prstGeom prst="rect">
                      <a:avLst/>
                    </a:prstGeom>
                    <a:noFill/>
                  </pic:spPr>
                </pic:pic>
              </a:graphicData>
            </a:graphic>
          </wp:anchor>
        </w:drawing>
      </w:r>
    </w:p>
    <w:p>
      <w:pPr>
        <w:sectPr>
          <w:pgSz w:w="11900" w:h="16838" w:orient="portrait"/>
          <w:cols w:equalWidth="0" w:num="1">
            <w:col w:w="9880"/>
          </w:cols>
          <w:pgMar w:left="580" w:top="131" w:right="1439"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99"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color w:val="auto"/>
        </w:rPr>
        <w:t>granted was determined by assigning a value to the options using an option pricing model and dividing the dollar value of target compensation by the value of an option. The resulting number of stock options are shown in the table below.</w:t>
      </w:r>
    </w:p>
    <w:p>
      <w:pPr>
        <w:spacing w:after="0" w:line="9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360" w:type="dxa"/>
            <w:vAlign w:val="bottom"/>
            <w:vMerge w:val="restart"/>
          </w:tcPr>
          <w:p>
            <w:pPr>
              <w:ind w:left="60"/>
              <w:spacing w:after="0"/>
              <w:rPr>
                <w:sz w:val="20"/>
                <w:szCs w:val="20"/>
                <w:color w:val="auto"/>
              </w:rPr>
            </w:pPr>
            <w:r>
              <w:rPr>
                <w:rFonts w:ascii="Arial" w:cs="Arial" w:eastAsia="Arial" w:hAnsi="Arial"/>
                <w:sz w:val="14"/>
                <w:szCs w:val="14"/>
                <w:b w:val="1"/>
                <w:bCs w:val="1"/>
                <w:color w:val="477258"/>
              </w:rPr>
              <w:t>Named Executive Officer</w:t>
            </w:r>
          </w:p>
        </w:tc>
        <w:tc>
          <w:tcPr>
            <w:tcW w:w="3280" w:type="dxa"/>
            <w:vAlign w:val="bottom"/>
          </w:tcPr>
          <w:p>
            <w:pPr>
              <w:jc w:val="right"/>
              <w:ind w:right="35"/>
              <w:spacing w:after="0"/>
              <w:rPr>
                <w:sz w:val="20"/>
                <w:szCs w:val="20"/>
                <w:color w:val="auto"/>
              </w:rPr>
            </w:pPr>
            <w:r>
              <w:rPr>
                <w:rFonts w:ascii="Arial" w:cs="Arial" w:eastAsia="Arial" w:hAnsi="Arial"/>
                <w:sz w:val="14"/>
                <w:szCs w:val="14"/>
                <w:b w:val="1"/>
                <w:bCs w:val="1"/>
                <w:color w:val="477258"/>
              </w:rPr>
              <w:t>Number</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477258"/>
            </w:tcBorders>
            <w:vMerge w:val="continue"/>
          </w:tcPr>
          <w:p>
            <w:pPr>
              <w:spacing w:after="0"/>
              <w:rPr>
                <w:sz w:val="16"/>
                <w:szCs w:val="16"/>
                <w:color w:val="auto"/>
              </w:rPr>
            </w:pPr>
          </w:p>
        </w:tc>
        <w:tc>
          <w:tcPr>
            <w:tcW w:w="32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of Options</w:t>
            </w:r>
          </w:p>
        </w:tc>
        <w:tc>
          <w:tcPr>
            <w:tcW w:w="0" w:type="dxa"/>
            <w:vAlign w:val="bottom"/>
          </w:tcPr>
          <w:p>
            <w:pPr>
              <w:spacing w:after="0"/>
              <w:rPr>
                <w:sz w:val="1"/>
                <w:szCs w:val="1"/>
                <w:color w:val="auto"/>
              </w:rPr>
            </w:pPr>
          </w:p>
        </w:tc>
      </w:tr>
      <w:tr>
        <w:trPr>
          <w:trHeight w:val="257"/>
        </w:trPr>
        <w:tc>
          <w:tcPr>
            <w:tcW w:w="436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Fish</w:t>
            </w:r>
          </w:p>
        </w:tc>
        <w:tc>
          <w:tcPr>
            <w:tcW w:w="32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101,138</w:t>
            </w:r>
          </w:p>
        </w:tc>
        <w:tc>
          <w:tcPr>
            <w:tcW w:w="0" w:type="dxa"/>
            <w:vAlign w:val="bottom"/>
          </w:tcPr>
          <w:p>
            <w:pPr>
              <w:spacing w:after="0"/>
              <w:rPr>
                <w:sz w:val="1"/>
                <w:szCs w:val="1"/>
                <w:color w:val="auto"/>
              </w:rPr>
            </w:pPr>
          </w:p>
        </w:tc>
      </w:tr>
      <w:tr>
        <w:trPr>
          <w:trHeight w:val="263"/>
        </w:trPr>
        <w:tc>
          <w:tcPr>
            <w:tcW w:w="436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Rankin</w:t>
            </w:r>
          </w:p>
        </w:tc>
        <w:tc>
          <w:tcPr>
            <w:tcW w:w="32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25,284</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Morris</w:t>
            </w:r>
          </w:p>
        </w:tc>
        <w:tc>
          <w:tcPr>
            <w:tcW w:w="32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27,813</w:t>
            </w:r>
          </w:p>
        </w:tc>
        <w:tc>
          <w:tcPr>
            <w:tcW w:w="0" w:type="dxa"/>
            <w:vAlign w:val="bottom"/>
          </w:tcPr>
          <w:p>
            <w:pPr>
              <w:spacing w:after="0"/>
              <w:rPr>
                <w:sz w:val="1"/>
                <w:szCs w:val="1"/>
                <w:color w:val="auto"/>
              </w:rPr>
            </w:pPr>
          </w:p>
        </w:tc>
      </w:tr>
      <w:tr>
        <w:trPr>
          <w:trHeight w:val="263"/>
        </w:trPr>
        <w:tc>
          <w:tcPr>
            <w:tcW w:w="436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Hemmer</w:t>
            </w:r>
          </w:p>
        </w:tc>
        <w:tc>
          <w:tcPr>
            <w:tcW w:w="32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20,860</w:t>
            </w:r>
          </w:p>
        </w:tc>
        <w:tc>
          <w:tcPr>
            <w:tcW w:w="0" w:type="dxa"/>
            <w:vAlign w:val="bottom"/>
          </w:tcPr>
          <w:p>
            <w:pPr>
              <w:spacing w:after="0"/>
              <w:rPr>
                <w:sz w:val="1"/>
                <w:szCs w:val="1"/>
                <w:color w:val="auto"/>
              </w:rPr>
            </w:pPr>
          </w:p>
        </w:tc>
      </w:tr>
      <w:tr>
        <w:trPr>
          <w:trHeight w:val="277"/>
        </w:trPr>
        <w:tc>
          <w:tcPr>
            <w:tcW w:w="4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Batchelor</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20,860</w:t>
            </w:r>
          </w:p>
        </w:tc>
        <w:tc>
          <w:tcPr>
            <w:tcW w:w="0" w:type="dxa"/>
            <w:vAlign w:val="bottom"/>
          </w:tcPr>
          <w:p>
            <w:pPr>
              <w:spacing w:after="0"/>
              <w:rPr>
                <w:sz w:val="1"/>
                <w:szCs w:val="1"/>
                <w:color w:val="auto"/>
              </w:rPr>
            </w:pPr>
          </w:p>
        </w:tc>
      </w:tr>
      <w:tr>
        <w:trPr>
          <w:trHeight w:val="20"/>
        </w:trPr>
        <w:tc>
          <w:tcPr>
            <w:tcW w:w="4360" w:type="dxa"/>
            <w:vAlign w:val="bottom"/>
            <w:shd w:val="clear" w:color="auto" w:fill="477258"/>
          </w:tcPr>
          <w:p>
            <w:pPr>
              <w:spacing w:after="0" w:line="20" w:lineRule="exact"/>
              <w:rPr>
                <w:sz w:val="1"/>
                <w:szCs w:val="1"/>
                <w:color w:val="auto"/>
              </w:rPr>
            </w:pPr>
          </w:p>
        </w:tc>
        <w:tc>
          <w:tcPr>
            <w:tcW w:w="3280" w:type="dxa"/>
            <w:vAlign w:val="bottom"/>
            <w:shd w:val="clear" w:color="auto" w:fill="4772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The stock options will vest in 25% increments on the first two anniversaries of the date of grant and the remaining 50% will vest on the third anniversary. The exercise price of the options granted in 2020 is $126.005, which is the average of the high and low market price of our Common Stock on the date of grant, and the options have a term of ten years. We account for our employee stock options under the fair value method of accounting using a Black-Scholes methodology to measure stock option expense at the date of grant. The fair value of the stock options at the date of grant is amortized to expense over the vesting period less expected forfeitures, except for stock options granted to retirement-eligible employees, for which expense is fully recognized at the time of grant.</w:t>
      </w:r>
    </w:p>
    <w:p>
      <w:pPr>
        <w:spacing w:after="0" w:line="297"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anticipates that grants of RSUs to named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continue to be made on a limited basis in cases such as a significant promotion and increased responsibilities and to attract new hires, and that RSUs will not be a routine component of named executive compensation. No RSUs were granted to named executives in 2020. Mr. Bachelor’s last remaining award of RSUs, granted prior to his promotion to the Senior Leadership Team, vested in February 2021. No other named executives had unvested RSUs as of December 31, 2020.</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Post-Employment and Change in Control Compensation; Clawback Policies</w:t>
      </w:r>
    </w:p>
    <w:p>
      <w:pPr>
        <w:spacing w:after="0" w:line="116"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i w:val="1"/>
          <w:iCs w:val="1"/>
          <w:u w:val="single" w:color="auto"/>
          <w:color w:val="auto"/>
        </w:rPr>
        <w:t>Severance Protection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2017, we adopted an Executive Severance Protection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“Severance Protection Plan”) and each of Messrs. Fish and Morris and Ms. Rankin entered into new or amended and restated employment agreements (the “2017 Employment Agreements”). The Severance Protection Plan covers each of our executive officers. The 2017 Employment Agreements do not contain separate severance entitlements, but instead provide for additional terms and protections relating to the respective executive’s participation in the Severance Protection Plan. The 2017 Employment Agreements are intended to transition the Company’s severance protections away from contract-based protections and onto a standardized and flexible plan-based approach. Going forward, the Company does not anticipate entering into new employment agreements with our executive officers, and neither Ms. Hemmer nor Mr. Batchelor are party to an employment agreement with the Company.</w:t>
      </w:r>
    </w:p>
    <w:p>
      <w:pPr>
        <w:spacing w:after="0" w:line="302"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i w:val="1"/>
          <w:iCs w:val="1"/>
          <w:u w:val="single" w:color="auto"/>
          <w:color w:val="auto"/>
        </w:rPr>
        <w:t>Post-Employment Covenants and Clawback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2017 Employment Agreements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noncompetition and nonsolicitation restrictions that apply during employment and for a two-year period following termination. Additionally, the Severance Protection Plan contains (a) a requirement that the individual execute a general release prior to receiving post-termination benefits and (b) a clawback feature that allows for the suspension and refund of termination benefits for subsequently discovered cause. The clawback feature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w:t>
      </w:r>
    </w:p>
    <w:p>
      <w:pPr>
        <w:spacing w:after="0" w:line="314" w:lineRule="exact"/>
        <w:rPr>
          <w:sz w:val="20"/>
          <w:szCs w:val="20"/>
          <w:color w:val="auto"/>
        </w:rPr>
      </w:pPr>
    </w:p>
    <w:p>
      <w:pPr>
        <w:jc w:val="both"/>
        <w:ind w:left="820"/>
        <w:spacing w:after="0" w:line="251" w:lineRule="auto"/>
        <w:rPr>
          <w:sz w:val="20"/>
          <w:szCs w:val="20"/>
          <w:color w:val="auto"/>
        </w:rPr>
      </w:pPr>
      <w:r>
        <w:rPr>
          <w:rFonts w:ascii="Arial" w:cs="Arial" w:eastAsia="Arial" w:hAnsi="Arial"/>
          <w:sz w:val="18"/>
          <w:szCs w:val="18"/>
          <w:color w:val="auto"/>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equity award agreements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w:t>
      </w:r>
    </w:p>
    <w:p>
      <w:pPr>
        <w:spacing w:after="0" w:line="200" w:lineRule="exact"/>
        <w:rPr>
          <w:sz w:val="20"/>
          <w:szCs w:val="20"/>
          <w:color w:val="auto"/>
        </w:rPr>
      </w:pPr>
    </w:p>
    <w:p>
      <w:pPr>
        <w:spacing w:after="0" w:line="273"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445135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2" w:right="1439" w:bottom="1128"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Clawback terms applicable to our incentive awards allow recovery within the earlier to occur of one year after discovery of misconduct and the second anniversary of the employee’s termination of employment.</w:t>
      </w:r>
    </w:p>
    <w:p>
      <w:pPr>
        <w:spacing w:after="0" w:line="383"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77258"/>
        </w:rPr>
        <w:t>Other Compensation Policies and Practices</w:t>
      </w:r>
    </w:p>
    <w:p>
      <w:pPr>
        <w:spacing w:after="0" w:line="116"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Compensation Limitation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adopted a Severance Limitation Policy that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provides that the Company may not enter into new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 The Company has also adopted its Policy Limiting Certain Compensation Practices, which generally provides that the Company will not enter into new compensation arrangements that would obligate the Company to pay a death benefit or gross-up payment to an executive officer unless such arrangement receives stockholder approval. Both of these compensation limitation policies are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 None of our executive officers are party to any employment agreement or arrangement with the Company that provides for severance, gross-up or death benefits that exceed amounts permitted by these compensation limitation policies.</w:t>
      </w:r>
    </w:p>
    <w:p>
      <w:pPr>
        <w:spacing w:after="0" w:line="243"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Stock Ownership Guidelines and Holding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stock ownership guidelines. We instituted stock ownership guidelines because we believe that ownership of Company stock demonstrates a commitment to, and confidence in, the Company’s long -term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executives to reach their ownership guidelines, the MD&amp;C Committee monitors ownership levels to confirm that executives are making sustained progress toward achievement of their ownership guidelines.</w:t>
      </w:r>
    </w:p>
    <w:p>
      <w:pPr>
        <w:spacing w:after="0" w:line="293"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Additionally, our stock ownership guidelines contain holding requirements. Executives with a title of Senior Vice President or higher, which includes all of our named executives, must hold 100% of all net shares acquired through the Company’s long-term incentive plans for at least one year, and those individuals must continue to hold 100% of all such net shares until the individual’s ownership guideline is achieved. Once achieved, the requisite stock ownership level must continue to be retained throughout the executive’s employment with the Company. Our MD&amp;C Committee believes these holding periods discourage executives from taking actions in an effort to gain from short-term increases in the market value of our stock.</w:t>
      </w:r>
    </w:p>
    <w:p>
      <w:pPr>
        <w:spacing w:after="0" w:line="279"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MD&amp;C Committee regularly reviews the ownership guidelines to ensure that the appropriate share ownership levels are in place. Guidelines are expressed as a fixed number of shares and were revised in November 2020 to account for the Company’s more recent sustained Common Stock market value since the prior revision in November 2018. The ownership requirement of Mr. Fish, our President and Chief Executive Officer, was over six times base salary, using his base salary as of December 31, 2020 and an assumed $100 per share stock price. Using the closing price of our Common Stock on March 17, 2021, the ownership requirement of our President and Chief Executive Officer is approximately 7.7 times his base salary as of December 31, 2020. Shares owned outright, vested RSUs and PSUs that have been deferred, Common Stock equivalents based on holdings in the Company’s 401(k) Retirement Savings Plan and phantom stock held in the Company’s 409A Deferral Plan count toward meeting the ownership guidelines. Stock options, PSUs, RSUs and restricted stock, if any, do not count toward meeting the ownership guidelines until they are vested or earned. The following table outlines the stock ownership guidelines and attainment for our named executive officers.</w:t>
      </w:r>
    </w:p>
    <w:p>
      <w:pPr>
        <w:spacing w:after="0" w:line="200" w:lineRule="exact"/>
        <w:rPr>
          <w:sz w:val="20"/>
          <w:szCs w:val="20"/>
          <w:color w:val="auto"/>
        </w:rPr>
      </w:pPr>
    </w:p>
    <w:p>
      <w:pPr>
        <w:spacing w:after="0" w:line="26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920" w:type="dxa"/>
            <w:vAlign w:val="bottom"/>
          </w:tcPr>
          <w:p>
            <w:pPr>
              <w:jc w:val="right"/>
              <w:ind w:right="77"/>
              <w:spacing w:after="0"/>
              <w:rPr>
                <w:sz w:val="20"/>
                <w:szCs w:val="20"/>
                <w:color w:val="auto"/>
              </w:rPr>
            </w:pPr>
            <w:r>
              <w:rPr>
                <w:rFonts w:ascii="Arial" w:cs="Arial" w:eastAsia="Arial" w:hAnsi="Arial"/>
                <w:sz w:val="14"/>
                <w:szCs w:val="14"/>
                <w:b w:val="1"/>
                <w:bCs w:val="1"/>
                <w:color w:val="477258"/>
              </w:rPr>
              <w:t>Ownership</w:t>
            </w:r>
          </w:p>
        </w:tc>
        <w:tc>
          <w:tcPr>
            <w:tcW w:w="144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477258"/>
              </w:rPr>
              <w:t>Attainment as of</w:t>
            </w:r>
          </w:p>
        </w:tc>
        <w:tc>
          <w:tcPr>
            <w:tcW w:w="0" w:type="dxa"/>
            <w:vAlign w:val="bottom"/>
          </w:tcPr>
          <w:p>
            <w:pPr>
              <w:spacing w:after="0"/>
              <w:rPr>
                <w:sz w:val="1"/>
                <w:szCs w:val="1"/>
                <w:color w:val="auto"/>
              </w:rPr>
            </w:pPr>
          </w:p>
        </w:tc>
      </w:tr>
      <w:tr>
        <w:trPr>
          <w:trHeight w:val="135"/>
        </w:trPr>
        <w:tc>
          <w:tcPr>
            <w:tcW w:w="3280" w:type="dxa"/>
            <w:vAlign w:val="bottom"/>
            <w:vMerge w:val="restart"/>
          </w:tcPr>
          <w:p>
            <w:pPr>
              <w:ind w:left="60"/>
              <w:spacing w:after="0"/>
              <w:rPr>
                <w:sz w:val="20"/>
                <w:szCs w:val="20"/>
                <w:color w:val="auto"/>
              </w:rPr>
            </w:pPr>
            <w:r>
              <w:rPr>
                <w:rFonts w:ascii="Arial" w:cs="Arial" w:eastAsia="Arial" w:hAnsi="Arial"/>
                <w:sz w:val="14"/>
                <w:szCs w:val="14"/>
                <w:b w:val="1"/>
                <w:bCs w:val="1"/>
                <w:color w:val="477258"/>
              </w:rPr>
              <w:t>Named Executive Officer</w:t>
            </w:r>
          </w:p>
        </w:tc>
        <w:tc>
          <w:tcPr>
            <w:tcW w:w="2920" w:type="dxa"/>
            <w:vAlign w:val="bottom"/>
          </w:tcPr>
          <w:p>
            <w:pPr>
              <w:jc w:val="right"/>
              <w:ind w:right="77"/>
              <w:spacing w:after="0" w:line="135" w:lineRule="exact"/>
              <w:rPr>
                <w:sz w:val="20"/>
                <w:szCs w:val="20"/>
                <w:color w:val="auto"/>
              </w:rPr>
            </w:pPr>
            <w:r>
              <w:rPr>
                <w:rFonts w:ascii="Arial" w:cs="Arial" w:eastAsia="Arial" w:hAnsi="Arial"/>
                <w:sz w:val="14"/>
                <w:szCs w:val="14"/>
                <w:b w:val="1"/>
                <w:bCs w:val="1"/>
                <w:color w:val="477258"/>
              </w:rPr>
              <w:t>Guideline (number</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80" w:type="dxa"/>
            <w:vAlign w:val="bottom"/>
            <w:tcBorders>
              <w:bottom w:val="single" w:sz="8" w:color="477258"/>
            </w:tcBorders>
            <w:vMerge w:val="continue"/>
          </w:tcPr>
          <w:p>
            <w:pPr>
              <w:spacing w:after="0"/>
              <w:rPr>
                <w:sz w:val="16"/>
                <w:szCs w:val="16"/>
                <w:color w:val="auto"/>
              </w:rPr>
            </w:pPr>
          </w:p>
        </w:tc>
        <w:tc>
          <w:tcPr>
            <w:tcW w:w="2920" w:type="dxa"/>
            <w:vAlign w:val="bottom"/>
            <w:tcBorders>
              <w:bottom w:val="single" w:sz="8" w:color="477258"/>
            </w:tcBorders>
          </w:tcPr>
          <w:p>
            <w:pPr>
              <w:jc w:val="right"/>
              <w:ind w:right="37"/>
              <w:spacing w:after="0"/>
              <w:rPr>
                <w:sz w:val="20"/>
                <w:szCs w:val="20"/>
                <w:color w:val="auto"/>
              </w:rPr>
            </w:pPr>
            <w:r>
              <w:rPr>
                <w:rFonts w:ascii="Arial" w:cs="Arial" w:eastAsia="Arial" w:hAnsi="Arial"/>
                <w:sz w:val="14"/>
                <w:szCs w:val="14"/>
                <w:b w:val="1"/>
                <w:bCs w:val="1"/>
                <w:color w:val="477258"/>
              </w:rPr>
              <w:t>of shares)</w:t>
            </w:r>
          </w:p>
        </w:tc>
        <w:tc>
          <w:tcPr>
            <w:tcW w:w="144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March 17, 2021</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Fish</w:t>
            </w:r>
          </w:p>
        </w:tc>
        <w:tc>
          <w:tcPr>
            <w:tcW w:w="2920" w:type="dxa"/>
            <w:vAlign w:val="bottom"/>
            <w:tcBorders>
              <w:bottom w:val="single" w:sz="8" w:color="477258"/>
            </w:tcBorders>
            <w:shd w:val="clear" w:color="auto" w:fill="CCEEFF"/>
          </w:tcPr>
          <w:p>
            <w:pPr>
              <w:jc w:val="right"/>
              <w:ind w:right="417"/>
              <w:spacing w:after="0"/>
              <w:rPr>
                <w:sz w:val="20"/>
                <w:szCs w:val="20"/>
                <w:color w:val="auto"/>
              </w:rPr>
            </w:pPr>
            <w:r>
              <w:rPr>
                <w:rFonts w:ascii="Arial" w:cs="Arial" w:eastAsia="Arial" w:hAnsi="Arial"/>
                <w:sz w:val="18"/>
                <w:szCs w:val="18"/>
                <w:color w:val="auto"/>
              </w:rPr>
              <w:t>82,000</w:t>
            </w:r>
          </w:p>
        </w:tc>
        <w:tc>
          <w:tcPr>
            <w:tcW w:w="1440" w:type="dxa"/>
            <w:vAlign w:val="bottom"/>
            <w:tcBorders>
              <w:bottom w:val="single" w:sz="8" w:color="477258"/>
            </w:tcBorders>
            <w:shd w:val="clear" w:color="auto" w:fill="CCEEFF"/>
          </w:tcPr>
          <w:p>
            <w:pPr>
              <w:jc w:val="right"/>
              <w:ind w:right="275"/>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64"/>
        </w:trPr>
        <w:tc>
          <w:tcPr>
            <w:tcW w:w="328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Rankin</w:t>
            </w:r>
          </w:p>
        </w:tc>
        <w:tc>
          <w:tcPr>
            <w:tcW w:w="2920" w:type="dxa"/>
            <w:vAlign w:val="bottom"/>
            <w:tcBorders>
              <w:bottom w:val="single" w:sz="8" w:color="477258"/>
            </w:tcBorders>
          </w:tcPr>
          <w:p>
            <w:pPr>
              <w:jc w:val="right"/>
              <w:ind w:right="417"/>
              <w:spacing w:after="0"/>
              <w:rPr>
                <w:sz w:val="20"/>
                <w:szCs w:val="20"/>
                <w:color w:val="auto"/>
              </w:rPr>
            </w:pPr>
            <w:r>
              <w:rPr>
                <w:rFonts w:ascii="Arial" w:cs="Arial" w:eastAsia="Arial" w:hAnsi="Arial"/>
                <w:sz w:val="18"/>
                <w:szCs w:val="18"/>
                <w:color w:val="auto"/>
              </w:rPr>
              <w:t>20,500</w:t>
            </w:r>
          </w:p>
        </w:tc>
        <w:tc>
          <w:tcPr>
            <w:tcW w:w="1440" w:type="dxa"/>
            <w:vAlign w:val="bottom"/>
            <w:tcBorders>
              <w:bottom w:val="single" w:sz="8" w:color="477258"/>
            </w:tcBorders>
          </w:tcPr>
          <w:p>
            <w:pPr>
              <w:jc w:val="right"/>
              <w:ind w:right="275"/>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Morris</w:t>
            </w:r>
          </w:p>
        </w:tc>
        <w:tc>
          <w:tcPr>
            <w:tcW w:w="2920" w:type="dxa"/>
            <w:vAlign w:val="bottom"/>
            <w:tcBorders>
              <w:bottom w:val="single" w:sz="8" w:color="477258"/>
            </w:tcBorders>
            <w:shd w:val="clear" w:color="auto" w:fill="CCEEFF"/>
          </w:tcPr>
          <w:p>
            <w:pPr>
              <w:jc w:val="right"/>
              <w:ind w:right="417"/>
              <w:spacing w:after="0"/>
              <w:rPr>
                <w:sz w:val="20"/>
                <w:szCs w:val="20"/>
                <w:color w:val="auto"/>
              </w:rPr>
            </w:pPr>
            <w:r>
              <w:rPr>
                <w:rFonts w:ascii="Arial" w:cs="Arial" w:eastAsia="Arial" w:hAnsi="Arial"/>
                <w:sz w:val="18"/>
                <w:szCs w:val="18"/>
                <w:color w:val="auto"/>
              </w:rPr>
              <w:t>21,500</w:t>
            </w:r>
          </w:p>
        </w:tc>
        <w:tc>
          <w:tcPr>
            <w:tcW w:w="1440" w:type="dxa"/>
            <w:vAlign w:val="bottom"/>
            <w:tcBorders>
              <w:bottom w:val="single" w:sz="8" w:color="477258"/>
            </w:tcBorders>
            <w:shd w:val="clear" w:color="auto" w:fill="CCEEFF"/>
          </w:tcPr>
          <w:p>
            <w:pPr>
              <w:jc w:val="right"/>
              <w:ind w:right="275"/>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64"/>
        </w:trPr>
        <w:tc>
          <w:tcPr>
            <w:tcW w:w="3280" w:type="dxa"/>
            <w:vAlign w:val="bottom"/>
            <w:tcBorders>
              <w:bottom w:val="single" w:sz="8" w:color="477258"/>
            </w:tcBorders>
          </w:tcPr>
          <w:p>
            <w:pPr>
              <w:ind w:left="60"/>
              <w:spacing w:after="0"/>
              <w:rPr>
                <w:sz w:val="20"/>
                <w:szCs w:val="20"/>
                <w:color w:val="auto"/>
              </w:rPr>
            </w:pPr>
            <w:r>
              <w:rPr>
                <w:rFonts w:ascii="Arial" w:cs="Arial" w:eastAsia="Arial" w:hAnsi="Arial"/>
                <w:sz w:val="18"/>
                <w:szCs w:val="18"/>
                <w:b w:val="1"/>
                <w:bCs w:val="1"/>
                <w:color w:val="auto"/>
              </w:rPr>
              <w:t>Ms. Hemmer</w:t>
            </w:r>
          </w:p>
        </w:tc>
        <w:tc>
          <w:tcPr>
            <w:tcW w:w="2920" w:type="dxa"/>
            <w:vAlign w:val="bottom"/>
            <w:tcBorders>
              <w:bottom w:val="single" w:sz="8" w:color="477258"/>
            </w:tcBorders>
          </w:tcPr>
          <w:p>
            <w:pPr>
              <w:jc w:val="right"/>
              <w:ind w:right="417"/>
              <w:spacing w:after="0"/>
              <w:rPr>
                <w:sz w:val="20"/>
                <w:szCs w:val="20"/>
                <w:color w:val="auto"/>
              </w:rPr>
            </w:pPr>
            <w:r>
              <w:rPr>
                <w:rFonts w:ascii="Arial" w:cs="Arial" w:eastAsia="Arial" w:hAnsi="Arial"/>
                <w:sz w:val="18"/>
                <w:szCs w:val="18"/>
                <w:color w:val="auto"/>
              </w:rPr>
              <w:t>11,000</w:t>
            </w:r>
          </w:p>
        </w:tc>
        <w:tc>
          <w:tcPr>
            <w:tcW w:w="1440" w:type="dxa"/>
            <w:vAlign w:val="bottom"/>
            <w:tcBorders>
              <w:bottom w:val="single" w:sz="8" w:color="477258"/>
            </w:tcBorders>
          </w:tcPr>
          <w:p>
            <w:pPr>
              <w:jc w:val="right"/>
              <w:ind w:right="275"/>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7"/>
        </w:trPr>
        <w:tc>
          <w:tcPr>
            <w:tcW w:w="3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Mr. Batchelor</w:t>
            </w:r>
          </w:p>
        </w:tc>
        <w:tc>
          <w:tcPr>
            <w:tcW w:w="292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8"/>
                <w:szCs w:val="18"/>
                <w:color w:val="auto"/>
              </w:rPr>
              <w:t>11,000</w:t>
            </w:r>
          </w:p>
        </w:tc>
        <w:tc>
          <w:tcPr>
            <w:tcW w:w="144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3280" w:type="dxa"/>
            <w:vAlign w:val="bottom"/>
            <w:shd w:val="clear" w:color="auto" w:fill="477258"/>
          </w:tcPr>
          <w:p>
            <w:pPr>
              <w:spacing w:after="0" w:line="20" w:lineRule="exact"/>
              <w:rPr>
                <w:sz w:val="1"/>
                <w:szCs w:val="1"/>
                <w:color w:val="auto"/>
              </w:rPr>
            </w:pPr>
          </w:p>
        </w:tc>
        <w:tc>
          <w:tcPr>
            <w:tcW w:w="2920" w:type="dxa"/>
            <w:vAlign w:val="bottom"/>
            <w:shd w:val="clear" w:color="auto" w:fill="477258"/>
          </w:tcPr>
          <w:p>
            <w:pPr>
              <w:spacing w:after="0" w:line="20" w:lineRule="exact"/>
              <w:rPr>
                <w:sz w:val="1"/>
                <w:szCs w:val="1"/>
                <w:color w:val="auto"/>
              </w:rPr>
            </w:pPr>
          </w:p>
        </w:tc>
        <w:tc>
          <w:tcPr>
            <w:tcW w:w="1440" w:type="dxa"/>
            <w:vAlign w:val="bottom"/>
            <w:shd w:val="clear" w:color="auto" w:fill="4772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80"/>
          </w:cols>
          <w:pgMar w:left="580" w:top="132" w:right="1439" w:bottom="1440" w:gutter="0" w:footer="0" w:header="0"/>
        </w:sectPr>
      </w:pPr>
    </w:p>
    <w:p>
      <w:pPr>
        <w:spacing w:after="0" w:line="142"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-158750</wp:posOffset>
            </wp:positionV>
            <wp:extent cx="454660"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4660" cy="12890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color w:val="auto"/>
        </w:rPr>
        <w:t>As discussed under “Director and Officer Stock Ownership,” the MD&amp;C Committee also establishes ownership guidelines for the independent directors and performs regular reviews to ensure all independent directors are in compliance or are showing sustained progress toward achievement of their ownership guideline.</w:t>
      </w:r>
    </w:p>
    <w:p>
      <w:pPr>
        <w:spacing w:after="0" w:line="292"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i w:val="1"/>
          <w:iCs w:val="1"/>
          <w:u w:val="single" w:color="auto"/>
          <w:color w:val="auto"/>
        </w:rPr>
        <w:t>Insider Trading; Prohibition of Hedging and Pledging Company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Insider</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Policy prohibits directors, executive officers and other “designated insiders” from engaging in most transactions involving the Company’s Common Stock during periods, determined by the Company, that those individuals are most likely to be aware of material, non-public information. Directors, executive officers and other designated insiders subject to stock ownership guidelines must clear all their transactions in our Common Stock with the Company’s office of 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The Company’s Insider Trading Policy also provides that directors and executive officers may not pledge Company securities or hold Company securities in a margin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EXECUTIVE COMPENSATION TABLES</w:t>
      </w:r>
    </w:p>
    <w:p>
      <w:pPr>
        <w:spacing w:after="0" w:line="130"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 xml:space="preserve">We are required to present compensation information in the tabular format prescribed by the SEC. This format, including the tables’ column headings, may be different from the way we describe or consider elements and components of compensation internally.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contains a discussion that should be read in conjunction with these tables to gain a complete</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of our executive compensation philosophy, programs and decisions.</w:t>
      </w:r>
    </w:p>
    <w:p>
      <w:pPr>
        <w:spacing w:after="0" w:line="199" w:lineRule="exact"/>
        <w:rPr>
          <w:sz w:val="20"/>
          <w:szCs w:val="20"/>
          <w:color w:val="auto"/>
        </w:rPr>
      </w:pPr>
    </w:p>
    <w:p>
      <w:pPr>
        <w:ind w:left="820"/>
        <w:spacing w:after="0"/>
        <w:rPr>
          <w:sz w:val="20"/>
          <w:szCs w:val="20"/>
          <w:color w:val="auto"/>
        </w:rPr>
      </w:pPr>
      <w:r>
        <w:rPr>
          <w:rFonts w:ascii="Arial" w:cs="Arial" w:eastAsia="Arial" w:hAnsi="Arial"/>
          <w:sz w:val="22"/>
          <w:szCs w:val="22"/>
          <w:color w:val="477258"/>
        </w:rPr>
        <w:t>SUMMARY COMPENSATION TABLE</w:t>
      </w:r>
    </w:p>
    <w:p>
      <w:pPr>
        <w:spacing w:after="0" w:line="106"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477258"/>
              </w:rPr>
              <w:t>Stock</w:t>
            </w:r>
          </w:p>
        </w:tc>
        <w:tc>
          <w:tcPr>
            <w:tcW w:w="82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477258"/>
              </w:rPr>
              <w:t>Option</w:t>
            </w:r>
          </w:p>
        </w:tc>
        <w:tc>
          <w:tcPr>
            <w:tcW w:w="1240" w:type="dxa"/>
            <w:vAlign w:val="bottom"/>
          </w:tcPr>
          <w:p>
            <w:pPr>
              <w:jc w:val="right"/>
              <w:ind w:right="25"/>
              <w:spacing w:after="0"/>
              <w:rPr>
                <w:sz w:val="20"/>
                <w:szCs w:val="20"/>
                <w:color w:val="auto"/>
              </w:rPr>
            </w:pPr>
            <w:r>
              <w:rPr>
                <w:rFonts w:ascii="Arial" w:cs="Arial" w:eastAsia="Arial" w:hAnsi="Arial"/>
                <w:sz w:val="14"/>
                <w:szCs w:val="14"/>
                <w:b w:val="1"/>
                <w:bCs w:val="1"/>
                <w:color w:val="477258"/>
              </w:rPr>
              <w:t>Non-Equity</w:t>
            </w:r>
          </w:p>
        </w:tc>
        <w:tc>
          <w:tcPr>
            <w:tcW w:w="126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477258"/>
              </w:rPr>
              <w:t>All Other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02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477258"/>
              </w:rPr>
              <w:t>Salary</w:t>
            </w:r>
          </w:p>
        </w:tc>
        <w:tc>
          <w:tcPr>
            <w:tcW w:w="7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240" w:type="dxa"/>
            <w:vAlign w:val="bottom"/>
          </w:tcPr>
          <w:p>
            <w:pPr>
              <w:jc w:val="right"/>
              <w:ind w:right="25"/>
              <w:spacing w:after="0" w:line="135" w:lineRule="exact"/>
              <w:rPr>
                <w:sz w:val="20"/>
                <w:szCs w:val="20"/>
                <w:color w:val="auto"/>
              </w:rPr>
            </w:pPr>
            <w:r>
              <w:rPr>
                <w:rFonts w:ascii="Arial" w:cs="Arial" w:eastAsia="Arial" w:hAnsi="Arial"/>
                <w:sz w:val="14"/>
                <w:szCs w:val="14"/>
                <w:b w:val="1"/>
                <w:bCs w:val="1"/>
                <w:color w:val="477258"/>
              </w:rPr>
              <w:t>Incentive Plan</w:t>
            </w:r>
          </w:p>
        </w:tc>
        <w:tc>
          <w:tcPr>
            <w:tcW w:w="1260" w:type="dxa"/>
            <w:vAlign w:val="bottom"/>
            <w:vMerge w:val="continue"/>
          </w:tcPr>
          <w:p>
            <w:pPr>
              <w:spacing w:after="0"/>
              <w:rPr>
                <w:sz w:val="11"/>
                <w:szCs w:val="11"/>
                <w:color w:val="auto"/>
              </w:rPr>
            </w:pPr>
          </w:p>
        </w:tc>
        <w:tc>
          <w:tcPr>
            <w:tcW w:w="88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477258"/>
              </w:rPr>
              <w:t>Total</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780" w:type="dxa"/>
            <w:vAlign w:val="bottom"/>
          </w:tcPr>
          <w:p>
            <w:pPr>
              <w:jc w:val="right"/>
              <w:ind w:right="44"/>
              <w:spacing w:after="0" w:line="135" w:lineRule="exact"/>
              <w:rPr>
                <w:sz w:val="20"/>
                <w:szCs w:val="20"/>
                <w:color w:val="auto"/>
              </w:rPr>
            </w:pPr>
            <w:r>
              <w:rPr>
                <w:rFonts w:ascii="Arial" w:cs="Arial" w:eastAsia="Arial" w:hAnsi="Arial"/>
                <w:sz w:val="14"/>
                <w:szCs w:val="14"/>
                <w:b w:val="1"/>
                <w:bCs w:val="1"/>
                <w:color w:val="477258"/>
              </w:rPr>
              <w:t>Awards</w:t>
            </w:r>
          </w:p>
        </w:tc>
        <w:tc>
          <w:tcPr>
            <w:tcW w:w="820" w:type="dxa"/>
            <w:vAlign w:val="bottom"/>
          </w:tcPr>
          <w:p>
            <w:pPr>
              <w:jc w:val="right"/>
              <w:ind w:right="44"/>
              <w:spacing w:after="0" w:line="135" w:lineRule="exact"/>
              <w:rPr>
                <w:sz w:val="20"/>
                <w:szCs w:val="20"/>
                <w:color w:val="auto"/>
              </w:rPr>
            </w:pPr>
            <w:r>
              <w:rPr>
                <w:rFonts w:ascii="Arial" w:cs="Arial" w:eastAsia="Arial" w:hAnsi="Arial"/>
                <w:sz w:val="14"/>
                <w:szCs w:val="14"/>
                <w:b w:val="1"/>
                <w:bCs w:val="1"/>
                <w:color w:val="477258"/>
              </w:rPr>
              <w:t>Awards</w:t>
            </w:r>
          </w:p>
        </w:tc>
        <w:tc>
          <w:tcPr>
            <w:tcW w:w="1240" w:type="dxa"/>
            <w:vAlign w:val="bottom"/>
          </w:tcPr>
          <w:p>
            <w:pPr>
              <w:jc w:val="right"/>
              <w:ind w:right="25"/>
              <w:spacing w:after="0" w:line="135" w:lineRule="exact"/>
              <w:rPr>
                <w:sz w:val="20"/>
                <w:szCs w:val="20"/>
                <w:color w:val="auto"/>
              </w:rPr>
            </w:pPr>
            <w:r>
              <w:rPr>
                <w:rFonts w:ascii="Arial" w:cs="Arial" w:eastAsia="Arial" w:hAnsi="Arial"/>
                <w:sz w:val="14"/>
                <w:szCs w:val="14"/>
                <w:b w:val="1"/>
                <w:bCs w:val="1"/>
                <w:color w:val="477258"/>
              </w:rPr>
              <w:t>Compensation</w:t>
            </w:r>
          </w:p>
        </w:tc>
        <w:tc>
          <w:tcPr>
            <w:tcW w:w="1260" w:type="dxa"/>
            <w:vAlign w:val="bottom"/>
          </w:tcPr>
          <w:p>
            <w:pPr>
              <w:jc w:val="right"/>
              <w:ind w:right="44"/>
              <w:spacing w:after="0" w:line="135" w:lineRule="exact"/>
              <w:rPr>
                <w:sz w:val="20"/>
                <w:szCs w:val="20"/>
                <w:color w:val="auto"/>
              </w:rPr>
            </w:pPr>
            <w:r>
              <w:rPr>
                <w:rFonts w:ascii="Arial" w:cs="Arial" w:eastAsia="Arial" w:hAnsi="Arial"/>
                <w:sz w:val="14"/>
                <w:szCs w:val="14"/>
                <w:b w:val="1"/>
                <w:bCs w:val="1"/>
                <w:color w:val="477258"/>
              </w:rPr>
              <w:t>Compensation</w:t>
            </w: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60" w:type="dxa"/>
            <w:vAlign w:val="bottom"/>
            <w:tcBorders>
              <w:bottom w:val="single" w:sz="8" w:color="477258"/>
            </w:tcBorders>
          </w:tcPr>
          <w:p>
            <w:pPr>
              <w:ind w:left="40"/>
              <w:spacing w:after="0"/>
              <w:rPr>
                <w:sz w:val="20"/>
                <w:szCs w:val="20"/>
                <w:color w:val="auto"/>
              </w:rPr>
            </w:pPr>
            <w:r>
              <w:rPr>
                <w:rFonts w:ascii="Arial" w:cs="Arial" w:eastAsia="Arial" w:hAnsi="Arial"/>
                <w:sz w:val="14"/>
                <w:szCs w:val="14"/>
                <w:b w:val="1"/>
                <w:bCs w:val="1"/>
                <w:color w:val="477258"/>
              </w:rPr>
              <w:t>Year</w:t>
            </w:r>
          </w:p>
        </w:tc>
        <w:tc>
          <w:tcPr>
            <w:tcW w:w="1020" w:type="dxa"/>
            <w:vAlign w:val="bottom"/>
            <w:tcBorders>
              <w:bottom w:val="single" w:sz="8" w:color="477258"/>
            </w:tcBorders>
          </w:tcPr>
          <w:p>
            <w:pPr>
              <w:jc w:val="right"/>
              <w:ind w:right="104"/>
              <w:spacing w:after="0"/>
              <w:rPr>
                <w:sz w:val="20"/>
                <w:szCs w:val="20"/>
                <w:color w:val="auto"/>
              </w:rPr>
            </w:pPr>
            <w:r>
              <w:rPr>
                <w:rFonts w:ascii="Arial" w:cs="Arial" w:eastAsia="Arial" w:hAnsi="Arial"/>
                <w:sz w:val="14"/>
                <w:szCs w:val="14"/>
                <w:b w:val="1"/>
                <w:bCs w:val="1"/>
                <w:color w:val="477258"/>
              </w:rPr>
              <w:t>($)</w:t>
            </w:r>
          </w:p>
        </w:tc>
        <w:tc>
          <w:tcPr>
            <w:tcW w:w="780" w:type="dxa"/>
            <w:vAlign w:val="bottom"/>
            <w:tcBorders>
              <w:bottom w:val="single" w:sz="8" w:color="477258"/>
            </w:tcBorders>
          </w:tcPr>
          <w:p>
            <w:pPr>
              <w:jc w:val="right"/>
              <w:ind w:right="4"/>
              <w:spacing w:after="0" w:line="216" w:lineRule="exact"/>
              <w:rPr>
                <w:sz w:val="20"/>
                <w:szCs w:val="20"/>
                <w:color w:val="auto"/>
              </w:rPr>
            </w:pPr>
            <w:r>
              <w:rPr>
                <w:rFonts w:ascii="Arial" w:cs="Arial" w:eastAsia="Arial" w:hAnsi="Arial"/>
                <w:sz w:val="14"/>
                <w:szCs w:val="14"/>
                <w:b w:val="1"/>
                <w:bCs w:val="1"/>
                <w:color w:val="477258"/>
              </w:rPr>
              <w:t>($)</w:t>
            </w:r>
            <w:r>
              <w:rPr>
                <w:rFonts w:ascii="Arial" w:cs="Arial" w:eastAsia="Arial" w:hAnsi="Arial"/>
                <w:sz w:val="21"/>
                <w:szCs w:val="21"/>
                <w:b w:val="1"/>
                <w:bCs w:val="1"/>
                <w:color w:val="477258"/>
                <w:vertAlign w:val="superscript"/>
              </w:rPr>
              <w:t>(1)</w:t>
            </w:r>
          </w:p>
        </w:tc>
        <w:tc>
          <w:tcPr>
            <w:tcW w:w="820" w:type="dxa"/>
            <w:vAlign w:val="bottom"/>
            <w:tcBorders>
              <w:bottom w:val="single" w:sz="8" w:color="477258"/>
            </w:tcBorders>
          </w:tcPr>
          <w:p>
            <w:pPr>
              <w:jc w:val="right"/>
              <w:ind w:right="4"/>
              <w:spacing w:after="0" w:line="216" w:lineRule="exact"/>
              <w:rPr>
                <w:sz w:val="20"/>
                <w:szCs w:val="20"/>
                <w:color w:val="auto"/>
              </w:rPr>
            </w:pPr>
            <w:r>
              <w:rPr>
                <w:rFonts w:ascii="Arial" w:cs="Arial" w:eastAsia="Arial" w:hAnsi="Arial"/>
                <w:sz w:val="14"/>
                <w:szCs w:val="14"/>
                <w:b w:val="1"/>
                <w:bCs w:val="1"/>
                <w:color w:val="477258"/>
              </w:rPr>
              <w:t>($)</w:t>
            </w:r>
            <w:r>
              <w:rPr>
                <w:rFonts w:ascii="Arial" w:cs="Arial" w:eastAsia="Arial" w:hAnsi="Arial"/>
                <w:sz w:val="21"/>
                <w:szCs w:val="21"/>
                <w:b w:val="1"/>
                <w:bCs w:val="1"/>
                <w:color w:val="477258"/>
                <w:vertAlign w:val="superscript"/>
              </w:rPr>
              <w:t>(2)</w:t>
            </w:r>
          </w:p>
        </w:tc>
        <w:tc>
          <w:tcPr>
            <w:tcW w:w="1240" w:type="dxa"/>
            <w:vAlign w:val="bottom"/>
            <w:tcBorders>
              <w:bottom w:val="single" w:sz="8" w:color="477258"/>
            </w:tcBorders>
          </w:tcPr>
          <w:p>
            <w:pPr>
              <w:jc w:val="right"/>
              <w:spacing w:after="0" w:line="216" w:lineRule="exact"/>
              <w:rPr>
                <w:sz w:val="20"/>
                <w:szCs w:val="20"/>
                <w:color w:val="auto"/>
              </w:rPr>
            </w:pPr>
            <w:r>
              <w:rPr>
                <w:rFonts w:ascii="Arial" w:cs="Arial" w:eastAsia="Arial" w:hAnsi="Arial"/>
                <w:sz w:val="14"/>
                <w:szCs w:val="14"/>
                <w:b w:val="1"/>
                <w:bCs w:val="1"/>
                <w:color w:val="477258"/>
              </w:rPr>
              <w:t>($)</w:t>
            </w:r>
            <w:r>
              <w:rPr>
                <w:rFonts w:ascii="Arial" w:cs="Arial" w:eastAsia="Arial" w:hAnsi="Arial"/>
                <w:sz w:val="21"/>
                <w:szCs w:val="21"/>
                <w:b w:val="1"/>
                <w:bCs w:val="1"/>
                <w:color w:val="477258"/>
                <w:vertAlign w:val="superscript"/>
              </w:rPr>
              <w:t>(3)</w:t>
            </w:r>
          </w:p>
        </w:tc>
        <w:tc>
          <w:tcPr>
            <w:tcW w:w="1260" w:type="dxa"/>
            <w:vAlign w:val="bottom"/>
            <w:tcBorders>
              <w:bottom w:val="single" w:sz="8" w:color="477258"/>
            </w:tcBorders>
          </w:tcPr>
          <w:p>
            <w:pPr>
              <w:jc w:val="right"/>
              <w:ind w:right="4"/>
              <w:spacing w:after="0" w:line="216" w:lineRule="exact"/>
              <w:rPr>
                <w:sz w:val="20"/>
                <w:szCs w:val="20"/>
                <w:color w:val="auto"/>
              </w:rPr>
            </w:pPr>
            <w:r>
              <w:rPr>
                <w:rFonts w:ascii="Arial" w:cs="Arial" w:eastAsia="Arial" w:hAnsi="Arial"/>
                <w:sz w:val="14"/>
                <w:szCs w:val="14"/>
                <w:b w:val="1"/>
                <w:bCs w:val="1"/>
                <w:color w:val="477258"/>
              </w:rPr>
              <w:t>($)</w:t>
            </w:r>
            <w:r>
              <w:rPr>
                <w:rFonts w:ascii="Arial" w:cs="Arial" w:eastAsia="Arial" w:hAnsi="Arial"/>
                <w:sz w:val="21"/>
                <w:szCs w:val="21"/>
                <w:b w:val="1"/>
                <w:bCs w:val="1"/>
                <w:color w:val="477258"/>
                <w:vertAlign w:val="superscript"/>
              </w:rPr>
              <w:t>(4)</w:t>
            </w:r>
          </w:p>
        </w:tc>
        <w:tc>
          <w:tcPr>
            <w:tcW w:w="8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w:t>
            </w:r>
          </w:p>
        </w:tc>
        <w:tc>
          <w:tcPr>
            <w:tcW w:w="0" w:type="dxa"/>
            <w:vAlign w:val="bottom"/>
          </w:tcPr>
          <w:p>
            <w:pPr>
              <w:spacing w:after="0"/>
              <w:rPr>
                <w:sz w:val="1"/>
                <w:szCs w:val="1"/>
                <w:color w:val="auto"/>
              </w:rPr>
            </w:pPr>
          </w:p>
        </w:tc>
      </w:tr>
      <w:tr>
        <w:trPr>
          <w:trHeight w:val="169"/>
        </w:trPr>
        <w:tc>
          <w:tcPr>
            <w:tcW w:w="3060" w:type="dxa"/>
            <w:vAlign w:val="bottom"/>
            <w:shd w:val="clear" w:color="auto" w:fill="CCEEFF"/>
          </w:tcPr>
          <w:p>
            <w:pPr>
              <w:ind w:left="40"/>
              <w:spacing w:after="0" w:line="169" w:lineRule="exact"/>
              <w:rPr>
                <w:sz w:val="20"/>
                <w:szCs w:val="20"/>
                <w:color w:val="auto"/>
              </w:rPr>
            </w:pPr>
            <w:r>
              <w:rPr>
                <w:rFonts w:ascii="Arial" w:cs="Arial" w:eastAsia="Arial" w:hAnsi="Arial"/>
                <w:sz w:val="15"/>
                <w:szCs w:val="15"/>
                <w:b w:val="1"/>
                <w:bCs w:val="1"/>
                <w:color w:val="auto"/>
              </w:rPr>
              <w:t>James C. Fish, Jr.</w:t>
            </w:r>
          </w:p>
        </w:tc>
        <w:tc>
          <w:tcPr>
            <w:tcW w:w="10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ind w:left="40"/>
              <w:spacing w:after="0" w:line="149" w:lineRule="exact"/>
              <w:rPr>
                <w:sz w:val="20"/>
                <w:szCs w:val="20"/>
                <w:color w:val="auto"/>
              </w:rPr>
            </w:pPr>
            <w:r>
              <w:rPr>
                <w:rFonts w:ascii="Arial" w:cs="Arial" w:eastAsia="Arial" w:hAnsi="Arial"/>
                <w:sz w:val="15"/>
                <w:szCs w:val="15"/>
                <w:b w:val="1"/>
                <w:bCs w:val="1"/>
                <w:color w:val="auto"/>
              </w:rPr>
              <w:t>President and Chief Executive</w:t>
            </w:r>
          </w:p>
        </w:tc>
        <w:tc>
          <w:tcPr>
            <w:tcW w:w="10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6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Officer</w:t>
            </w:r>
          </w:p>
        </w:tc>
        <w:tc>
          <w:tcPr>
            <w:tcW w:w="102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spacing w:after="0"/>
              <w:rPr>
                <w:sz w:val="18"/>
                <w:szCs w:val="18"/>
                <w:color w:val="auto"/>
              </w:rPr>
            </w:pPr>
          </w:p>
        </w:tc>
        <w:tc>
          <w:tcPr>
            <w:tcW w:w="1240" w:type="dxa"/>
            <w:vAlign w:val="bottom"/>
            <w:tcBorders>
              <w:bottom w:val="single" w:sz="8" w:color="477258"/>
            </w:tcBorders>
            <w:shd w:val="clear" w:color="auto" w:fill="CCEEFF"/>
          </w:tcPr>
          <w:p>
            <w:pPr>
              <w:spacing w:after="0"/>
              <w:rPr>
                <w:sz w:val="18"/>
                <w:szCs w:val="18"/>
                <w:color w:val="auto"/>
              </w:rPr>
            </w:pPr>
          </w:p>
        </w:tc>
        <w:tc>
          <w:tcPr>
            <w:tcW w:w="1260" w:type="dxa"/>
            <w:vAlign w:val="bottom"/>
            <w:tcBorders>
              <w:bottom w:val="single" w:sz="8" w:color="477258"/>
            </w:tcBorders>
            <w:shd w:val="clear" w:color="auto" w:fill="CCEEFF"/>
          </w:tcPr>
          <w:p>
            <w:pPr>
              <w:spacing w:after="0"/>
              <w:rPr>
                <w:sz w:val="18"/>
                <w:szCs w:val="18"/>
                <w:color w:val="auto"/>
              </w:rPr>
            </w:pPr>
          </w:p>
        </w:tc>
        <w:tc>
          <w:tcPr>
            <w:tcW w:w="880" w:type="dxa"/>
            <w:vAlign w:val="bottom"/>
            <w:tcBorders>
              <w:bottom w:val="single" w:sz="8" w:color="477258"/>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60" w:type="dxa"/>
            <w:vAlign w:val="bottom"/>
            <w:tcBorders>
              <w:bottom w:val="single" w:sz="8" w:color="477258"/>
            </w:tcBorders>
          </w:tcPr>
          <w:p>
            <w:pPr>
              <w:ind w:left="40"/>
              <w:spacing w:after="0"/>
              <w:rPr>
                <w:sz w:val="20"/>
                <w:szCs w:val="20"/>
                <w:color w:val="auto"/>
              </w:rPr>
            </w:pPr>
            <w:r>
              <w:rPr>
                <w:rFonts w:ascii="Arial" w:cs="Arial" w:eastAsia="Arial" w:hAnsi="Arial"/>
                <w:sz w:val="15"/>
                <w:szCs w:val="15"/>
                <w:color w:val="auto"/>
              </w:rPr>
              <w:t>2020</w:t>
            </w:r>
          </w:p>
        </w:tc>
        <w:tc>
          <w:tcPr>
            <w:tcW w:w="1020" w:type="dxa"/>
            <w:vAlign w:val="bottom"/>
            <w:tcBorders>
              <w:bottom w:val="single" w:sz="8" w:color="477258"/>
            </w:tcBorders>
          </w:tcPr>
          <w:p>
            <w:pPr>
              <w:jc w:val="right"/>
              <w:spacing w:after="0" w:line="243" w:lineRule="exact"/>
              <w:rPr>
                <w:sz w:val="20"/>
                <w:szCs w:val="20"/>
                <w:color w:val="auto"/>
              </w:rPr>
            </w:pPr>
            <w:r>
              <w:rPr>
                <w:rFonts w:ascii="Arial" w:cs="Arial" w:eastAsia="Arial" w:hAnsi="Arial"/>
                <w:sz w:val="15"/>
                <w:szCs w:val="15"/>
                <w:color w:val="auto"/>
              </w:rPr>
              <w:t>1,269,231</w:t>
            </w:r>
            <w:r>
              <w:rPr>
                <w:rFonts w:ascii="Arial" w:cs="Arial" w:eastAsia="Arial" w:hAnsi="Arial"/>
                <w:sz w:val="23"/>
                <w:szCs w:val="23"/>
                <w:color w:val="auto"/>
                <w:vertAlign w:val="superscript"/>
              </w:rPr>
              <w:t>(6)</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8,110,592</w:t>
            </w:r>
          </w:p>
        </w:tc>
        <w:tc>
          <w:tcPr>
            <w:tcW w:w="82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1,600,003</w:t>
            </w:r>
          </w:p>
        </w:tc>
        <w:tc>
          <w:tcPr>
            <w:tcW w:w="1240" w:type="dxa"/>
            <w:vAlign w:val="bottom"/>
            <w:tcBorders>
              <w:bottom w:val="single" w:sz="8" w:color="477258"/>
            </w:tcBorders>
          </w:tcPr>
          <w:p>
            <w:pPr>
              <w:jc w:val="right"/>
              <w:ind w:right="145"/>
              <w:spacing w:after="0"/>
              <w:rPr>
                <w:sz w:val="20"/>
                <w:szCs w:val="20"/>
                <w:color w:val="auto"/>
              </w:rPr>
            </w:pPr>
            <w:r>
              <w:rPr>
                <w:rFonts w:ascii="Arial" w:cs="Arial" w:eastAsia="Arial" w:hAnsi="Arial"/>
                <w:sz w:val="15"/>
                <w:szCs w:val="15"/>
                <w:color w:val="auto"/>
              </w:rPr>
              <w:t>1,277,922</w:t>
            </w:r>
          </w:p>
        </w:tc>
        <w:tc>
          <w:tcPr>
            <w:tcW w:w="1260" w:type="dxa"/>
            <w:vAlign w:val="bottom"/>
            <w:tcBorders>
              <w:bottom w:val="single" w:sz="8" w:color="477258"/>
            </w:tcBorders>
          </w:tcPr>
          <w:p>
            <w:pPr>
              <w:jc w:val="right"/>
              <w:ind w:right="244"/>
              <w:spacing w:after="0"/>
              <w:rPr>
                <w:sz w:val="20"/>
                <w:szCs w:val="20"/>
                <w:color w:val="auto"/>
              </w:rPr>
            </w:pPr>
            <w:r>
              <w:rPr>
                <w:rFonts w:ascii="Arial" w:cs="Arial" w:eastAsia="Arial" w:hAnsi="Arial"/>
                <w:sz w:val="15"/>
                <w:szCs w:val="15"/>
                <w:color w:val="auto"/>
              </w:rPr>
              <w:t>116,177</w:t>
            </w:r>
          </w:p>
        </w:tc>
        <w:tc>
          <w:tcPr>
            <w:tcW w:w="8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12,373,925</w:t>
            </w:r>
          </w:p>
        </w:tc>
        <w:tc>
          <w:tcPr>
            <w:tcW w:w="0" w:type="dxa"/>
            <w:vAlign w:val="bottom"/>
          </w:tcPr>
          <w:p>
            <w:pPr>
              <w:spacing w:after="0"/>
              <w:rPr>
                <w:sz w:val="1"/>
                <w:szCs w:val="1"/>
                <w:color w:val="auto"/>
              </w:rPr>
            </w:pPr>
          </w:p>
        </w:tc>
      </w:tr>
      <w:tr>
        <w:trPr>
          <w:trHeight w:val="236"/>
        </w:trPr>
        <w:tc>
          <w:tcPr>
            <w:tcW w:w="306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5"/>
                <w:szCs w:val="15"/>
                <w:color w:val="auto"/>
              </w:rPr>
              <w:t>2019</w:t>
            </w:r>
          </w:p>
        </w:tc>
        <w:tc>
          <w:tcPr>
            <w:tcW w:w="1020" w:type="dxa"/>
            <w:vAlign w:val="bottom"/>
            <w:tcBorders>
              <w:bottom w:val="single" w:sz="8" w:color="477258"/>
            </w:tcBorders>
            <w:shd w:val="clear" w:color="auto" w:fill="CCEEFF"/>
          </w:tcPr>
          <w:p>
            <w:pPr>
              <w:jc w:val="right"/>
              <w:spacing w:after="0" w:line="236" w:lineRule="exact"/>
              <w:rPr>
                <w:sz w:val="20"/>
                <w:szCs w:val="20"/>
                <w:color w:val="auto"/>
              </w:rPr>
            </w:pPr>
            <w:r>
              <w:rPr>
                <w:rFonts w:ascii="Arial" w:cs="Arial" w:eastAsia="Arial" w:hAnsi="Arial"/>
                <w:sz w:val="15"/>
                <w:szCs w:val="15"/>
                <w:color w:val="auto"/>
              </w:rPr>
              <w:t>1,232,788</w:t>
            </w:r>
            <w:r>
              <w:rPr>
                <w:rFonts w:ascii="Arial" w:cs="Arial" w:eastAsia="Arial" w:hAnsi="Arial"/>
                <w:sz w:val="23"/>
                <w:szCs w:val="23"/>
                <w:color w:val="auto"/>
                <w:vertAlign w:val="superscript"/>
              </w:rPr>
              <w:t>(6)</w:t>
            </w:r>
          </w:p>
        </w:tc>
        <w:tc>
          <w:tcPr>
            <w:tcW w:w="7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6,853,530</w:t>
            </w:r>
          </w:p>
        </w:tc>
        <w:tc>
          <w:tcPr>
            <w:tcW w:w="8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1,399,997</w:t>
            </w:r>
          </w:p>
        </w:tc>
        <w:tc>
          <w:tcPr>
            <w:tcW w:w="1240" w:type="dxa"/>
            <w:vAlign w:val="bottom"/>
            <w:tcBorders>
              <w:bottom w:val="single" w:sz="8" w:color="477258"/>
            </w:tcBorders>
            <w:shd w:val="clear" w:color="auto" w:fill="CCEEFF"/>
          </w:tcPr>
          <w:p>
            <w:pPr>
              <w:jc w:val="right"/>
              <w:ind w:right="145"/>
              <w:spacing w:after="0"/>
              <w:rPr>
                <w:sz w:val="20"/>
                <w:szCs w:val="20"/>
                <w:color w:val="auto"/>
              </w:rPr>
            </w:pPr>
            <w:r>
              <w:rPr>
                <w:rFonts w:ascii="Arial" w:cs="Arial" w:eastAsia="Arial" w:hAnsi="Arial"/>
                <w:sz w:val="15"/>
                <w:szCs w:val="15"/>
                <w:color w:val="auto"/>
              </w:rPr>
              <w:t>1,704,132</w:t>
            </w:r>
          </w:p>
        </w:tc>
        <w:tc>
          <w:tcPr>
            <w:tcW w:w="1260" w:type="dxa"/>
            <w:vAlign w:val="bottom"/>
            <w:tcBorders>
              <w:bottom w:val="single" w:sz="8" w:color="477258"/>
            </w:tcBorders>
            <w:shd w:val="clear" w:color="auto" w:fill="CCEEFF"/>
          </w:tcPr>
          <w:p>
            <w:pPr>
              <w:jc w:val="right"/>
              <w:ind w:right="244"/>
              <w:spacing w:after="0"/>
              <w:rPr>
                <w:sz w:val="20"/>
                <w:szCs w:val="20"/>
                <w:color w:val="auto"/>
              </w:rPr>
            </w:pPr>
            <w:r>
              <w:rPr>
                <w:rFonts w:ascii="Arial" w:cs="Arial" w:eastAsia="Arial" w:hAnsi="Arial"/>
                <w:sz w:val="15"/>
                <w:szCs w:val="15"/>
                <w:color w:val="auto"/>
              </w:rPr>
              <w:t>107,654</w:t>
            </w:r>
          </w:p>
        </w:tc>
        <w:tc>
          <w:tcPr>
            <w:tcW w:w="8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5"/>
                <w:szCs w:val="15"/>
                <w:color w:val="auto"/>
              </w:rPr>
              <w:t>11,298,101</w:t>
            </w:r>
          </w:p>
        </w:tc>
        <w:tc>
          <w:tcPr>
            <w:tcW w:w="0" w:type="dxa"/>
            <w:vAlign w:val="bottom"/>
          </w:tcPr>
          <w:p>
            <w:pPr>
              <w:spacing w:after="0"/>
              <w:rPr>
                <w:sz w:val="1"/>
                <w:szCs w:val="1"/>
                <w:color w:val="auto"/>
              </w:rPr>
            </w:pPr>
          </w:p>
        </w:tc>
      </w:tr>
      <w:tr>
        <w:trPr>
          <w:trHeight w:val="237"/>
        </w:trPr>
        <w:tc>
          <w:tcPr>
            <w:tcW w:w="3060" w:type="dxa"/>
            <w:vAlign w:val="bottom"/>
            <w:tcBorders>
              <w:bottom w:val="single" w:sz="8" w:color="477258"/>
            </w:tcBorders>
          </w:tcPr>
          <w:p>
            <w:pPr>
              <w:ind w:left="40"/>
              <w:spacing w:after="0"/>
              <w:rPr>
                <w:sz w:val="20"/>
                <w:szCs w:val="20"/>
                <w:color w:val="auto"/>
              </w:rPr>
            </w:pPr>
            <w:r>
              <w:rPr>
                <w:rFonts w:ascii="Arial" w:cs="Arial" w:eastAsia="Arial" w:hAnsi="Arial"/>
                <w:sz w:val="15"/>
                <w:szCs w:val="15"/>
                <w:color w:val="auto"/>
              </w:rPr>
              <w:t>2018</w:t>
            </w:r>
          </w:p>
        </w:tc>
        <w:tc>
          <w:tcPr>
            <w:tcW w:w="1020" w:type="dxa"/>
            <w:vAlign w:val="bottom"/>
            <w:tcBorders>
              <w:bottom w:val="single" w:sz="8" w:color="477258"/>
            </w:tcBorders>
          </w:tcPr>
          <w:p>
            <w:pPr>
              <w:jc w:val="right"/>
              <w:spacing w:after="0" w:line="236" w:lineRule="exact"/>
              <w:rPr>
                <w:sz w:val="20"/>
                <w:szCs w:val="20"/>
                <w:color w:val="auto"/>
              </w:rPr>
            </w:pPr>
            <w:r>
              <w:rPr>
                <w:rFonts w:ascii="Arial" w:cs="Arial" w:eastAsia="Arial" w:hAnsi="Arial"/>
                <w:sz w:val="15"/>
                <w:szCs w:val="15"/>
                <w:color w:val="auto"/>
              </w:rPr>
              <w:t>1,157,692</w:t>
            </w:r>
            <w:r>
              <w:rPr>
                <w:rFonts w:ascii="Arial" w:cs="Arial" w:eastAsia="Arial" w:hAnsi="Arial"/>
                <w:sz w:val="23"/>
                <w:szCs w:val="23"/>
                <w:color w:val="auto"/>
                <w:vertAlign w:val="superscript"/>
              </w:rPr>
              <w:t>(6)</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5,431,408</w:t>
            </w:r>
          </w:p>
        </w:tc>
        <w:tc>
          <w:tcPr>
            <w:tcW w:w="82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1,199,997</w:t>
            </w:r>
          </w:p>
        </w:tc>
        <w:tc>
          <w:tcPr>
            <w:tcW w:w="1240" w:type="dxa"/>
            <w:vAlign w:val="bottom"/>
            <w:tcBorders>
              <w:bottom w:val="single" w:sz="8" w:color="477258"/>
            </w:tcBorders>
          </w:tcPr>
          <w:p>
            <w:pPr>
              <w:jc w:val="right"/>
              <w:ind w:right="145"/>
              <w:spacing w:after="0"/>
              <w:rPr>
                <w:sz w:val="20"/>
                <w:szCs w:val="20"/>
                <w:color w:val="auto"/>
              </w:rPr>
            </w:pPr>
            <w:r>
              <w:rPr>
                <w:rFonts w:ascii="Arial" w:cs="Arial" w:eastAsia="Arial" w:hAnsi="Arial"/>
                <w:sz w:val="15"/>
                <w:szCs w:val="15"/>
                <w:color w:val="auto"/>
              </w:rPr>
              <w:t>1,169,293</w:t>
            </w:r>
          </w:p>
        </w:tc>
        <w:tc>
          <w:tcPr>
            <w:tcW w:w="1260" w:type="dxa"/>
            <w:vAlign w:val="bottom"/>
            <w:tcBorders>
              <w:bottom w:val="single" w:sz="8" w:color="477258"/>
            </w:tcBorders>
          </w:tcPr>
          <w:p>
            <w:pPr>
              <w:jc w:val="right"/>
              <w:ind w:right="244"/>
              <w:spacing w:after="0"/>
              <w:rPr>
                <w:sz w:val="20"/>
                <w:szCs w:val="20"/>
                <w:color w:val="auto"/>
              </w:rPr>
            </w:pPr>
            <w:r>
              <w:rPr>
                <w:rFonts w:ascii="Arial" w:cs="Arial" w:eastAsia="Arial" w:hAnsi="Arial"/>
                <w:sz w:val="15"/>
                <w:szCs w:val="15"/>
                <w:color w:val="auto"/>
              </w:rPr>
              <w:t>166,891</w:t>
            </w:r>
          </w:p>
        </w:tc>
        <w:tc>
          <w:tcPr>
            <w:tcW w:w="880" w:type="dxa"/>
            <w:vAlign w:val="bottom"/>
            <w:tcBorders>
              <w:bottom w:val="single" w:sz="8" w:color="477258"/>
            </w:tcBorders>
          </w:tcPr>
          <w:p>
            <w:pPr>
              <w:jc w:val="right"/>
              <w:spacing w:after="0"/>
              <w:rPr>
                <w:sz w:val="20"/>
                <w:szCs w:val="20"/>
                <w:color w:val="auto"/>
              </w:rPr>
            </w:pPr>
            <w:r>
              <w:rPr>
                <w:rFonts w:ascii="Arial" w:cs="Arial" w:eastAsia="Arial" w:hAnsi="Arial"/>
                <w:sz w:val="15"/>
                <w:szCs w:val="15"/>
                <w:color w:val="auto"/>
              </w:rPr>
              <w:t>9,125,281</w:t>
            </w:r>
          </w:p>
        </w:tc>
        <w:tc>
          <w:tcPr>
            <w:tcW w:w="0" w:type="dxa"/>
            <w:vAlign w:val="bottom"/>
          </w:tcPr>
          <w:p>
            <w:pPr>
              <w:spacing w:after="0"/>
              <w:rPr>
                <w:sz w:val="1"/>
                <w:szCs w:val="1"/>
                <w:color w:val="auto"/>
              </w:rPr>
            </w:pPr>
          </w:p>
        </w:tc>
      </w:tr>
      <w:tr>
        <w:trPr>
          <w:trHeight w:val="169"/>
        </w:trPr>
        <w:tc>
          <w:tcPr>
            <w:tcW w:w="3060" w:type="dxa"/>
            <w:vAlign w:val="bottom"/>
            <w:shd w:val="clear" w:color="auto" w:fill="CCEEFF"/>
          </w:tcPr>
          <w:p>
            <w:pPr>
              <w:ind w:left="40"/>
              <w:spacing w:after="0" w:line="169" w:lineRule="exact"/>
              <w:rPr>
                <w:sz w:val="20"/>
                <w:szCs w:val="20"/>
                <w:color w:val="auto"/>
              </w:rPr>
            </w:pPr>
            <w:r>
              <w:rPr>
                <w:rFonts w:ascii="Arial" w:cs="Arial" w:eastAsia="Arial" w:hAnsi="Arial"/>
                <w:sz w:val="15"/>
                <w:szCs w:val="15"/>
                <w:b w:val="1"/>
                <w:bCs w:val="1"/>
                <w:color w:val="auto"/>
              </w:rPr>
              <w:t>Devina A. Rankin</w:t>
            </w:r>
          </w:p>
        </w:tc>
        <w:tc>
          <w:tcPr>
            <w:tcW w:w="10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ind w:left="40"/>
              <w:spacing w:after="0" w:line="149" w:lineRule="exact"/>
              <w:rPr>
                <w:sz w:val="20"/>
                <w:szCs w:val="20"/>
                <w:color w:val="auto"/>
              </w:rPr>
            </w:pPr>
            <w:r>
              <w:rPr>
                <w:rFonts w:ascii="Arial" w:cs="Arial" w:eastAsia="Arial" w:hAnsi="Arial"/>
                <w:sz w:val="15"/>
                <w:szCs w:val="15"/>
                <w:b w:val="1"/>
                <w:bCs w:val="1"/>
                <w:color w:val="auto"/>
              </w:rPr>
              <w:t>Executive Vice President and Chief</w:t>
            </w:r>
          </w:p>
        </w:tc>
        <w:tc>
          <w:tcPr>
            <w:tcW w:w="10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6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Financial Officer</w:t>
            </w:r>
          </w:p>
        </w:tc>
        <w:tc>
          <w:tcPr>
            <w:tcW w:w="102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spacing w:after="0"/>
              <w:rPr>
                <w:sz w:val="18"/>
                <w:szCs w:val="18"/>
                <w:color w:val="auto"/>
              </w:rPr>
            </w:pPr>
          </w:p>
        </w:tc>
        <w:tc>
          <w:tcPr>
            <w:tcW w:w="1240" w:type="dxa"/>
            <w:vAlign w:val="bottom"/>
            <w:tcBorders>
              <w:bottom w:val="single" w:sz="8" w:color="477258"/>
            </w:tcBorders>
            <w:shd w:val="clear" w:color="auto" w:fill="CCEEFF"/>
          </w:tcPr>
          <w:p>
            <w:pPr>
              <w:spacing w:after="0"/>
              <w:rPr>
                <w:sz w:val="18"/>
                <w:szCs w:val="18"/>
                <w:color w:val="auto"/>
              </w:rPr>
            </w:pPr>
          </w:p>
        </w:tc>
        <w:tc>
          <w:tcPr>
            <w:tcW w:w="1260" w:type="dxa"/>
            <w:vAlign w:val="bottom"/>
            <w:tcBorders>
              <w:bottom w:val="single" w:sz="8" w:color="477258"/>
            </w:tcBorders>
            <w:shd w:val="clear" w:color="auto" w:fill="CCEEFF"/>
          </w:tcPr>
          <w:p>
            <w:pPr>
              <w:spacing w:after="0"/>
              <w:rPr>
                <w:sz w:val="18"/>
                <w:szCs w:val="18"/>
                <w:color w:val="auto"/>
              </w:rPr>
            </w:pPr>
          </w:p>
        </w:tc>
        <w:tc>
          <w:tcPr>
            <w:tcW w:w="880" w:type="dxa"/>
            <w:vAlign w:val="bottom"/>
            <w:tcBorders>
              <w:bottom w:val="single" w:sz="8" w:color="477258"/>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40"/>
              <w:spacing w:after="0"/>
              <w:rPr>
                <w:sz w:val="20"/>
                <w:szCs w:val="20"/>
                <w:color w:val="auto"/>
              </w:rPr>
            </w:pPr>
            <w:r>
              <w:rPr>
                <w:rFonts w:ascii="Arial" w:cs="Arial" w:eastAsia="Arial" w:hAnsi="Arial"/>
                <w:sz w:val="15"/>
                <w:szCs w:val="15"/>
                <w:color w:val="auto"/>
              </w:rPr>
              <w:t>2020</w:t>
            </w:r>
          </w:p>
        </w:tc>
        <w:tc>
          <w:tcPr>
            <w:tcW w:w="1020" w:type="dxa"/>
            <w:vAlign w:val="bottom"/>
          </w:tcPr>
          <w:p>
            <w:pPr>
              <w:jc w:val="right"/>
              <w:ind w:right="84"/>
              <w:spacing w:after="0"/>
              <w:rPr>
                <w:sz w:val="20"/>
                <w:szCs w:val="20"/>
                <w:color w:val="auto"/>
              </w:rPr>
            </w:pPr>
            <w:r>
              <w:rPr>
                <w:rFonts w:ascii="Arial" w:cs="Arial" w:eastAsia="Arial" w:hAnsi="Arial"/>
                <w:sz w:val="15"/>
                <w:szCs w:val="15"/>
                <w:color w:val="auto"/>
              </w:rPr>
              <w:t>677,061</w:t>
            </w:r>
          </w:p>
        </w:tc>
        <w:tc>
          <w:tcPr>
            <w:tcW w:w="780" w:type="dxa"/>
            <w:vAlign w:val="bottom"/>
          </w:tcPr>
          <w:p>
            <w:pPr>
              <w:jc w:val="right"/>
              <w:spacing w:after="0"/>
              <w:rPr>
                <w:sz w:val="20"/>
                <w:szCs w:val="20"/>
                <w:color w:val="auto"/>
              </w:rPr>
            </w:pPr>
            <w:r>
              <w:rPr>
                <w:rFonts w:ascii="Arial" w:cs="Arial" w:eastAsia="Arial" w:hAnsi="Arial"/>
                <w:sz w:val="15"/>
                <w:szCs w:val="15"/>
                <w:color w:val="auto"/>
              </w:rPr>
              <w:t>2,027,801</w:t>
            </w:r>
          </w:p>
        </w:tc>
        <w:tc>
          <w:tcPr>
            <w:tcW w:w="820" w:type="dxa"/>
            <w:vAlign w:val="bottom"/>
          </w:tcPr>
          <w:p>
            <w:pPr>
              <w:jc w:val="right"/>
              <w:spacing w:after="0"/>
              <w:rPr>
                <w:sz w:val="20"/>
                <w:szCs w:val="20"/>
                <w:color w:val="auto"/>
              </w:rPr>
            </w:pPr>
            <w:r>
              <w:rPr>
                <w:rFonts w:ascii="Arial" w:cs="Arial" w:eastAsia="Arial" w:hAnsi="Arial"/>
                <w:sz w:val="15"/>
                <w:szCs w:val="15"/>
                <w:color w:val="auto"/>
              </w:rPr>
              <w:t>399,993</w:t>
            </w:r>
          </w:p>
        </w:tc>
        <w:tc>
          <w:tcPr>
            <w:tcW w:w="1240" w:type="dxa"/>
            <w:vAlign w:val="bottom"/>
          </w:tcPr>
          <w:p>
            <w:pPr>
              <w:jc w:val="right"/>
              <w:ind w:right="145"/>
              <w:spacing w:after="0"/>
              <w:rPr>
                <w:sz w:val="20"/>
                <w:szCs w:val="20"/>
                <w:color w:val="auto"/>
              </w:rPr>
            </w:pPr>
            <w:r>
              <w:rPr>
                <w:rFonts w:ascii="Arial" w:cs="Arial" w:eastAsia="Arial" w:hAnsi="Arial"/>
                <w:sz w:val="15"/>
                <w:szCs w:val="15"/>
                <w:color w:val="auto"/>
              </w:rPr>
              <w:t>456,597</w:t>
            </w:r>
          </w:p>
        </w:tc>
        <w:tc>
          <w:tcPr>
            <w:tcW w:w="1260" w:type="dxa"/>
            <w:vAlign w:val="bottom"/>
          </w:tcPr>
          <w:p>
            <w:pPr>
              <w:jc w:val="right"/>
              <w:ind w:right="244"/>
              <w:spacing w:after="0"/>
              <w:rPr>
                <w:sz w:val="20"/>
                <w:szCs w:val="20"/>
                <w:color w:val="auto"/>
              </w:rPr>
            </w:pPr>
            <w:r>
              <w:rPr>
                <w:rFonts w:ascii="Arial" w:cs="Arial" w:eastAsia="Arial" w:hAnsi="Arial"/>
                <w:sz w:val="15"/>
                <w:szCs w:val="15"/>
                <w:color w:val="auto"/>
              </w:rPr>
              <w:t>60,493</w:t>
            </w:r>
          </w:p>
        </w:tc>
        <w:tc>
          <w:tcPr>
            <w:tcW w:w="880" w:type="dxa"/>
            <w:vAlign w:val="bottom"/>
          </w:tcPr>
          <w:p>
            <w:pPr>
              <w:jc w:val="right"/>
              <w:spacing w:after="0"/>
              <w:rPr>
                <w:sz w:val="20"/>
                <w:szCs w:val="20"/>
                <w:color w:val="auto"/>
              </w:rPr>
            </w:pPr>
            <w:r>
              <w:rPr>
                <w:rFonts w:ascii="Arial" w:cs="Arial" w:eastAsia="Arial" w:hAnsi="Arial"/>
                <w:sz w:val="15"/>
                <w:szCs w:val="15"/>
                <w:color w:val="auto"/>
              </w:rPr>
              <w:t>3,621,945</w:t>
            </w:r>
          </w:p>
        </w:tc>
        <w:tc>
          <w:tcPr>
            <w:tcW w:w="0" w:type="dxa"/>
            <w:vAlign w:val="bottom"/>
          </w:tcPr>
          <w:p>
            <w:pPr>
              <w:spacing w:after="0"/>
              <w:rPr>
                <w:sz w:val="1"/>
                <w:szCs w:val="1"/>
                <w:color w:val="auto"/>
              </w:rPr>
            </w:pPr>
          </w:p>
        </w:tc>
      </w:tr>
      <w:tr>
        <w:trPr>
          <w:trHeight w:val="22"/>
        </w:trPr>
        <w:tc>
          <w:tcPr>
            <w:tcW w:w="3060" w:type="dxa"/>
            <w:vAlign w:val="bottom"/>
            <w:tcBorders>
              <w:bottom w:val="single" w:sz="8" w:color="477258"/>
            </w:tcBorders>
          </w:tcPr>
          <w:p>
            <w:pPr>
              <w:spacing w:after="0" w:line="20" w:lineRule="exact"/>
              <w:rPr>
                <w:sz w:val="1"/>
                <w:szCs w:val="1"/>
                <w:color w:val="auto"/>
              </w:rPr>
            </w:pPr>
          </w:p>
        </w:tc>
        <w:tc>
          <w:tcPr>
            <w:tcW w:w="1020" w:type="dxa"/>
            <w:vAlign w:val="bottom"/>
            <w:tcBorders>
              <w:bottom w:val="single" w:sz="8" w:color="477258"/>
            </w:tcBorders>
          </w:tcPr>
          <w:p>
            <w:pPr>
              <w:spacing w:after="0" w:line="20" w:lineRule="exact"/>
              <w:rPr>
                <w:sz w:val="1"/>
                <w:szCs w:val="1"/>
                <w:color w:val="auto"/>
              </w:rPr>
            </w:pPr>
          </w:p>
        </w:tc>
        <w:tc>
          <w:tcPr>
            <w:tcW w:w="780" w:type="dxa"/>
            <w:vAlign w:val="bottom"/>
            <w:tcBorders>
              <w:bottom w:val="single" w:sz="8" w:color="477258"/>
            </w:tcBorders>
          </w:tcPr>
          <w:p>
            <w:pPr>
              <w:spacing w:after="0" w:line="20" w:lineRule="exact"/>
              <w:rPr>
                <w:sz w:val="1"/>
                <w:szCs w:val="1"/>
                <w:color w:val="auto"/>
              </w:rPr>
            </w:pPr>
          </w:p>
        </w:tc>
        <w:tc>
          <w:tcPr>
            <w:tcW w:w="820" w:type="dxa"/>
            <w:vAlign w:val="bottom"/>
            <w:tcBorders>
              <w:bottom w:val="single" w:sz="8" w:color="477258"/>
            </w:tcBorders>
          </w:tcPr>
          <w:p>
            <w:pPr>
              <w:spacing w:after="0" w:line="20" w:lineRule="exact"/>
              <w:rPr>
                <w:sz w:val="1"/>
                <w:szCs w:val="1"/>
                <w:color w:val="auto"/>
              </w:rPr>
            </w:pPr>
          </w:p>
        </w:tc>
        <w:tc>
          <w:tcPr>
            <w:tcW w:w="1240" w:type="dxa"/>
            <w:vAlign w:val="bottom"/>
            <w:tcBorders>
              <w:bottom w:val="single" w:sz="8" w:color="477258"/>
            </w:tcBorders>
          </w:tcPr>
          <w:p>
            <w:pPr>
              <w:spacing w:after="0" w:line="20" w:lineRule="exact"/>
              <w:rPr>
                <w:sz w:val="1"/>
                <w:szCs w:val="1"/>
                <w:color w:val="auto"/>
              </w:rPr>
            </w:pPr>
          </w:p>
        </w:tc>
        <w:tc>
          <w:tcPr>
            <w:tcW w:w="1260" w:type="dxa"/>
            <w:vAlign w:val="bottom"/>
            <w:tcBorders>
              <w:bottom w:val="single" w:sz="8" w:color="477258"/>
            </w:tcBorders>
          </w:tcPr>
          <w:p>
            <w:pPr>
              <w:spacing w:after="0" w:line="20" w:lineRule="exact"/>
              <w:rPr>
                <w:sz w:val="1"/>
                <w:szCs w:val="1"/>
                <w:color w:val="auto"/>
              </w:rPr>
            </w:pPr>
          </w:p>
        </w:tc>
        <w:tc>
          <w:tcPr>
            <w:tcW w:w="880" w:type="dxa"/>
            <w:vAlign w:val="bottom"/>
            <w:tcBorders>
              <w:bottom w:val="single" w:sz="8" w:color="4772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2019</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618,208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1,958,118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399,997</w:t>
            </w:r>
          </w:p>
        </w:tc>
        <w:tc>
          <w:tcPr>
            <w:tcW w:w="124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rPr>
              <w:t>578,516</w:t>
            </w:r>
          </w:p>
        </w:tc>
        <w:tc>
          <w:tcPr>
            <w:tcW w:w="126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5"/>
                <w:szCs w:val="15"/>
                <w:color w:val="auto"/>
              </w:rPr>
              <w:t>68,575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3,623,414</w:t>
            </w:r>
          </w:p>
        </w:tc>
        <w:tc>
          <w:tcPr>
            <w:tcW w:w="0" w:type="dxa"/>
            <w:vAlign w:val="bottom"/>
          </w:tcPr>
          <w:p>
            <w:pPr>
              <w:spacing w:after="0"/>
              <w:rPr>
                <w:sz w:val="1"/>
                <w:szCs w:val="1"/>
                <w:color w:val="auto"/>
              </w:rPr>
            </w:pPr>
          </w:p>
        </w:tc>
      </w:tr>
      <w:tr>
        <w:trPr>
          <w:trHeight w:val="215"/>
        </w:trPr>
        <w:tc>
          <w:tcPr>
            <w:tcW w:w="3060" w:type="dxa"/>
            <w:vAlign w:val="bottom"/>
            <w:tcBorders>
              <w:top w:val="single" w:sz="8" w:color="477258"/>
            </w:tcBorders>
          </w:tcPr>
          <w:p>
            <w:pPr>
              <w:ind w:left="40"/>
              <w:spacing w:after="0"/>
              <w:rPr>
                <w:sz w:val="20"/>
                <w:szCs w:val="20"/>
                <w:color w:val="auto"/>
              </w:rPr>
            </w:pPr>
            <w:r>
              <w:rPr>
                <w:rFonts w:ascii="Arial" w:cs="Arial" w:eastAsia="Arial" w:hAnsi="Arial"/>
                <w:sz w:val="15"/>
                <w:szCs w:val="15"/>
                <w:color w:val="auto"/>
              </w:rPr>
              <w:t>2018</w:t>
            </w:r>
          </w:p>
        </w:tc>
        <w:tc>
          <w:tcPr>
            <w:tcW w:w="1020" w:type="dxa"/>
            <w:vAlign w:val="bottom"/>
            <w:tcBorders>
              <w:top w:val="single" w:sz="8" w:color="477258"/>
            </w:tcBorders>
          </w:tcPr>
          <w:p>
            <w:pPr>
              <w:jc w:val="right"/>
              <w:ind w:right="84"/>
              <w:spacing w:after="0"/>
              <w:rPr>
                <w:sz w:val="20"/>
                <w:szCs w:val="20"/>
                <w:color w:val="auto"/>
              </w:rPr>
            </w:pPr>
            <w:r>
              <w:rPr>
                <w:rFonts w:ascii="Arial" w:cs="Arial" w:eastAsia="Arial" w:hAnsi="Arial"/>
                <w:sz w:val="15"/>
                <w:szCs w:val="15"/>
                <w:color w:val="auto"/>
              </w:rPr>
              <w:t>539,923</w:t>
            </w:r>
          </w:p>
        </w:tc>
        <w:tc>
          <w:tcPr>
            <w:tcW w:w="780" w:type="dxa"/>
            <w:vAlign w:val="bottom"/>
            <w:tcBorders>
              <w:top w:val="single" w:sz="8" w:color="477258"/>
            </w:tcBorders>
          </w:tcPr>
          <w:p>
            <w:pPr>
              <w:jc w:val="right"/>
              <w:spacing w:after="0"/>
              <w:rPr>
                <w:sz w:val="20"/>
                <w:szCs w:val="20"/>
                <w:color w:val="auto"/>
              </w:rPr>
            </w:pPr>
            <w:r>
              <w:rPr>
                <w:rFonts w:ascii="Arial" w:cs="Arial" w:eastAsia="Arial" w:hAnsi="Arial"/>
                <w:sz w:val="15"/>
                <w:szCs w:val="15"/>
                <w:color w:val="auto"/>
              </w:rPr>
              <w:t>1,538,892</w:t>
            </w:r>
          </w:p>
        </w:tc>
        <w:tc>
          <w:tcPr>
            <w:tcW w:w="820" w:type="dxa"/>
            <w:vAlign w:val="bottom"/>
            <w:tcBorders>
              <w:top w:val="single" w:sz="8" w:color="477258"/>
            </w:tcBorders>
          </w:tcPr>
          <w:p>
            <w:pPr>
              <w:jc w:val="right"/>
              <w:spacing w:after="0"/>
              <w:rPr>
                <w:sz w:val="20"/>
                <w:szCs w:val="20"/>
                <w:color w:val="auto"/>
              </w:rPr>
            </w:pPr>
            <w:r>
              <w:rPr>
                <w:rFonts w:ascii="Arial" w:cs="Arial" w:eastAsia="Arial" w:hAnsi="Arial"/>
                <w:sz w:val="15"/>
                <w:szCs w:val="15"/>
                <w:color w:val="auto"/>
              </w:rPr>
              <w:t>340,006</w:t>
            </w:r>
          </w:p>
        </w:tc>
        <w:tc>
          <w:tcPr>
            <w:tcW w:w="1240" w:type="dxa"/>
            <w:vAlign w:val="bottom"/>
            <w:tcBorders>
              <w:top w:val="single" w:sz="8" w:color="477258"/>
            </w:tcBorders>
          </w:tcPr>
          <w:p>
            <w:pPr>
              <w:jc w:val="right"/>
              <w:ind w:right="145"/>
              <w:spacing w:after="0"/>
              <w:rPr>
                <w:sz w:val="20"/>
                <w:szCs w:val="20"/>
                <w:color w:val="auto"/>
              </w:rPr>
            </w:pPr>
            <w:r>
              <w:rPr>
                <w:rFonts w:ascii="Arial" w:cs="Arial" w:eastAsia="Arial" w:hAnsi="Arial"/>
                <w:sz w:val="15"/>
                <w:szCs w:val="15"/>
                <w:color w:val="auto"/>
              </w:rPr>
              <w:t>379,541</w:t>
            </w:r>
          </w:p>
        </w:tc>
        <w:tc>
          <w:tcPr>
            <w:tcW w:w="1260" w:type="dxa"/>
            <w:vAlign w:val="bottom"/>
            <w:tcBorders>
              <w:top w:val="single" w:sz="8" w:color="477258"/>
            </w:tcBorders>
          </w:tcPr>
          <w:p>
            <w:pPr>
              <w:jc w:val="right"/>
              <w:ind w:right="244"/>
              <w:spacing w:after="0"/>
              <w:rPr>
                <w:sz w:val="20"/>
                <w:szCs w:val="20"/>
                <w:color w:val="auto"/>
              </w:rPr>
            </w:pPr>
            <w:r>
              <w:rPr>
                <w:rFonts w:ascii="Arial" w:cs="Arial" w:eastAsia="Arial" w:hAnsi="Arial"/>
                <w:sz w:val="15"/>
                <w:szCs w:val="15"/>
                <w:color w:val="auto"/>
              </w:rPr>
              <w:t>53,956</w:t>
            </w:r>
          </w:p>
        </w:tc>
        <w:tc>
          <w:tcPr>
            <w:tcW w:w="880" w:type="dxa"/>
            <w:vAlign w:val="bottom"/>
            <w:tcBorders>
              <w:top w:val="single" w:sz="8" w:color="477258"/>
            </w:tcBorders>
          </w:tcPr>
          <w:p>
            <w:pPr>
              <w:jc w:val="right"/>
              <w:spacing w:after="0"/>
              <w:rPr>
                <w:sz w:val="20"/>
                <w:szCs w:val="20"/>
                <w:color w:val="auto"/>
              </w:rPr>
            </w:pPr>
            <w:r>
              <w:rPr>
                <w:rFonts w:ascii="Arial" w:cs="Arial" w:eastAsia="Arial" w:hAnsi="Arial"/>
                <w:sz w:val="15"/>
                <w:szCs w:val="15"/>
                <w:color w:val="auto"/>
              </w:rPr>
              <w:t>2,852,318</w:t>
            </w:r>
          </w:p>
        </w:tc>
        <w:tc>
          <w:tcPr>
            <w:tcW w:w="0" w:type="dxa"/>
            <w:vAlign w:val="bottom"/>
          </w:tcPr>
          <w:p>
            <w:pPr>
              <w:spacing w:after="0"/>
              <w:rPr>
                <w:sz w:val="1"/>
                <w:szCs w:val="1"/>
                <w:color w:val="auto"/>
              </w:rPr>
            </w:pPr>
          </w:p>
        </w:tc>
      </w:tr>
      <w:tr>
        <w:trPr>
          <w:trHeight w:val="22"/>
        </w:trPr>
        <w:tc>
          <w:tcPr>
            <w:tcW w:w="3060" w:type="dxa"/>
            <w:vAlign w:val="bottom"/>
            <w:tcBorders>
              <w:bottom w:val="single" w:sz="8" w:color="477258"/>
            </w:tcBorders>
          </w:tcPr>
          <w:p>
            <w:pPr>
              <w:spacing w:after="0" w:line="20" w:lineRule="exact"/>
              <w:rPr>
                <w:sz w:val="1"/>
                <w:szCs w:val="1"/>
                <w:color w:val="auto"/>
              </w:rPr>
            </w:pPr>
          </w:p>
        </w:tc>
        <w:tc>
          <w:tcPr>
            <w:tcW w:w="1020" w:type="dxa"/>
            <w:vAlign w:val="bottom"/>
            <w:tcBorders>
              <w:bottom w:val="single" w:sz="8" w:color="477258"/>
            </w:tcBorders>
          </w:tcPr>
          <w:p>
            <w:pPr>
              <w:spacing w:after="0" w:line="20" w:lineRule="exact"/>
              <w:rPr>
                <w:sz w:val="1"/>
                <w:szCs w:val="1"/>
                <w:color w:val="auto"/>
              </w:rPr>
            </w:pPr>
          </w:p>
        </w:tc>
        <w:tc>
          <w:tcPr>
            <w:tcW w:w="780" w:type="dxa"/>
            <w:vAlign w:val="bottom"/>
            <w:tcBorders>
              <w:bottom w:val="single" w:sz="8" w:color="477258"/>
            </w:tcBorders>
          </w:tcPr>
          <w:p>
            <w:pPr>
              <w:spacing w:after="0" w:line="20" w:lineRule="exact"/>
              <w:rPr>
                <w:sz w:val="1"/>
                <w:szCs w:val="1"/>
                <w:color w:val="auto"/>
              </w:rPr>
            </w:pPr>
          </w:p>
        </w:tc>
        <w:tc>
          <w:tcPr>
            <w:tcW w:w="820" w:type="dxa"/>
            <w:vAlign w:val="bottom"/>
            <w:tcBorders>
              <w:bottom w:val="single" w:sz="8" w:color="477258"/>
            </w:tcBorders>
          </w:tcPr>
          <w:p>
            <w:pPr>
              <w:spacing w:after="0" w:line="20" w:lineRule="exact"/>
              <w:rPr>
                <w:sz w:val="1"/>
                <w:szCs w:val="1"/>
                <w:color w:val="auto"/>
              </w:rPr>
            </w:pPr>
          </w:p>
        </w:tc>
        <w:tc>
          <w:tcPr>
            <w:tcW w:w="1240" w:type="dxa"/>
            <w:vAlign w:val="bottom"/>
            <w:tcBorders>
              <w:bottom w:val="single" w:sz="8" w:color="477258"/>
            </w:tcBorders>
          </w:tcPr>
          <w:p>
            <w:pPr>
              <w:spacing w:after="0" w:line="20" w:lineRule="exact"/>
              <w:rPr>
                <w:sz w:val="1"/>
                <w:szCs w:val="1"/>
                <w:color w:val="auto"/>
              </w:rPr>
            </w:pPr>
          </w:p>
        </w:tc>
        <w:tc>
          <w:tcPr>
            <w:tcW w:w="1260" w:type="dxa"/>
            <w:vAlign w:val="bottom"/>
            <w:tcBorders>
              <w:bottom w:val="single" w:sz="8" w:color="477258"/>
            </w:tcBorders>
          </w:tcPr>
          <w:p>
            <w:pPr>
              <w:spacing w:after="0" w:line="20" w:lineRule="exact"/>
              <w:rPr>
                <w:sz w:val="1"/>
                <w:szCs w:val="1"/>
                <w:color w:val="auto"/>
              </w:rPr>
            </w:pPr>
          </w:p>
        </w:tc>
        <w:tc>
          <w:tcPr>
            <w:tcW w:w="880" w:type="dxa"/>
            <w:vAlign w:val="bottom"/>
            <w:tcBorders>
              <w:bottom w:val="single" w:sz="8" w:color="4772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060" w:type="dxa"/>
            <w:vAlign w:val="bottom"/>
            <w:shd w:val="clear" w:color="auto" w:fill="CCEEFF"/>
          </w:tcPr>
          <w:p>
            <w:pPr>
              <w:ind w:left="40"/>
              <w:spacing w:after="0" w:line="169" w:lineRule="exact"/>
              <w:rPr>
                <w:sz w:val="20"/>
                <w:szCs w:val="20"/>
                <w:color w:val="auto"/>
              </w:rPr>
            </w:pPr>
            <w:r>
              <w:rPr>
                <w:rFonts w:ascii="Arial" w:cs="Arial" w:eastAsia="Arial" w:hAnsi="Arial"/>
                <w:sz w:val="15"/>
                <w:szCs w:val="15"/>
                <w:b w:val="1"/>
                <w:bCs w:val="1"/>
                <w:color w:val="auto"/>
              </w:rPr>
              <w:t>John J. Morris, Jr.</w:t>
            </w:r>
          </w:p>
        </w:tc>
        <w:tc>
          <w:tcPr>
            <w:tcW w:w="10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ind w:left="40"/>
              <w:spacing w:after="0" w:line="149" w:lineRule="exact"/>
              <w:rPr>
                <w:sz w:val="20"/>
                <w:szCs w:val="20"/>
                <w:color w:val="auto"/>
              </w:rPr>
            </w:pPr>
            <w:r>
              <w:rPr>
                <w:rFonts w:ascii="Arial" w:cs="Arial" w:eastAsia="Arial" w:hAnsi="Arial"/>
                <w:sz w:val="15"/>
                <w:szCs w:val="15"/>
                <w:b w:val="1"/>
                <w:bCs w:val="1"/>
                <w:color w:val="auto"/>
              </w:rPr>
              <w:t>Executive Vice President and Chief</w:t>
            </w:r>
          </w:p>
        </w:tc>
        <w:tc>
          <w:tcPr>
            <w:tcW w:w="10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6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Operating Officer</w:t>
            </w:r>
          </w:p>
        </w:tc>
        <w:tc>
          <w:tcPr>
            <w:tcW w:w="102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spacing w:after="0"/>
              <w:rPr>
                <w:sz w:val="18"/>
                <w:szCs w:val="18"/>
                <w:color w:val="auto"/>
              </w:rPr>
            </w:pPr>
          </w:p>
        </w:tc>
        <w:tc>
          <w:tcPr>
            <w:tcW w:w="1240" w:type="dxa"/>
            <w:vAlign w:val="bottom"/>
            <w:tcBorders>
              <w:bottom w:val="single" w:sz="8" w:color="477258"/>
            </w:tcBorders>
            <w:shd w:val="clear" w:color="auto" w:fill="CCEEFF"/>
          </w:tcPr>
          <w:p>
            <w:pPr>
              <w:spacing w:after="0"/>
              <w:rPr>
                <w:sz w:val="18"/>
                <w:szCs w:val="18"/>
                <w:color w:val="auto"/>
              </w:rPr>
            </w:pPr>
          </w:p>
        </w:tc>
        <w:tc>
          <w:tcPr>
            <w:tcW w:w="1260" w:type="dxa"/>
            <w:vAlign w:val="bottom"/>
            <w:tcBorders>
              <w:bottom w:val="single" w:sz="8" w:color="477258"/>
            </w:tcBorders>
            <w:shd w:val="clear" w:color="auto" w:fill="CCEEFF"/>
          </w:tcPr>
          <w:p>
            <w:pPr>
              <w:spacing w:after="0"/>
              <w:rPr>
                <w:sz w:val="18"/>
                <w:szCs w:val="18"/>
                <w:color w:val="auto"/>
              </w:rPr>
            </w:pPr>
          </w:p>
        </w:tc>
        <w:tc>
          <w:tcPr>
            <w:tcW w:w="880" w:type="dxa"/>
            <w:vAlign w:val="bottom"/>
            <w:tcBorders>
              <w:bottom w:val="single" w:sz="8" w:color="477258"/>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60" w:type="dxa"/>
            <w:vAlign w:val="bottom"/>
          </w:tcPr>
          <w:p>
            <w:pPr>
              <w:ind w:left="40"/>
              <w:spacing w:after="0"/>
              <w:rPr>
                <w:sz w:val="20"/>
                <w:szCs w:val="20"/>
                <w:color w:val="auto"/>
              </w:rPr>
            </w:pPr>
            <w:r>
              <w:rPr>
                <w:rFonts w:ascii="Arial" w:cs="Arial" w:eastAsia="Arial" w:hAnsi="Arial"/>
                <w:sz w:val="15"/>
                <w:szCs w:val="15"/>
                <w:color w:val="auto"/>
              </w:rPr>
              <w:t>2020</w:t>
            </w:r>
          </w:p>
        </w:tc>
        <w:tc>
          <w:tcPr>
            <w:tcW w:w="1020" w:type="dxa"/>
            <w:vAlign w:val="bottom"/>
          </w:tcPr>
          <w:p>
            <w:pPr>
              <w:jc w:val="right"/>
              <w:ind w:right="84"/>
              <w:spacing w:after="0"/>
              <w:rPr>
                <w:sz w:val="20"/>
                <w:szCs w:val="20"/>
                <w:color w:val="auto"/>
              </w:rPr>
            </w:pPr>
            <w:r>
              <w:rPr>
                <w:rFonts w:ascii="Arial" w:cs="Arial" w:eastAsia="Arial" w:hAnsi="Arial"/>
                <w:sz w:val="15"/>
                <w:szCs w:val="15"/>
                <w:color w:val="auto"/>
              </w:rPr>
              <w:t>712,115</w:t>
            </w:r>
          </w:p>
        </w:tc>
        <w:tc>
          <w:tcPr>
            <w:tcW w:w="780" w:type="dxa"/>
            <w:vAlign w:val="bottom"/>
          </w:tcPr>
          <w:p>
            <w:pPr>
              <w:jc w:val="right"/>
              <w:spacing w:after="0"/>
              <w:rPr>
                <w:sz w:val="20"/>
                <w:szCs w:val="20"/>
                <w:color w:val="auto"/>
              </w:rPr>
            </w:pPr>
            <w:r>
              <w:rPr>
                <w:rFonts w:ascii="Arial" w:cs="Arial" w:eastAsia="Arial" w:hAnsi="Arial"/>
                <w:sz w:val="15"/>
                <w:szCs w:val="15"/>
                <w:color w:val="auto"/>
              </w:rPr>
              <w:t>2,230,520</w:t>
            </w:r>
          </w:p>
        </w:tc>
        <w:tc>
          <w:tcPr>
            <w:tcW w:w="820" w:type="dxa"/>
            <w:vAlign w:val="bottom"/>
          </w:tcPr>
          <w:p>
            <w:pPr>
              <w:jc w:val="right"/>
              <w:spacing w:after="0"/>
              <w:rPr>
                <w:sz w:val="20"/>
                <w:szCs w:val="20"/>
                <w:color w:val="auto"/>
              </w:rPr>
            </w:pPr>
            <w:r>
              <w:rPr>
                <w:rFonts w:ascii="Arial" w:cs="Arial" w:eastAsia="Arial" w:hAnsi="Arial"/>
                <w:sz w:val="15"/>
                <w:szCs w:val="15"/>
                <w:color w:val="auto"/>
              </w:rPr>
              <w:t>440,002</w:t>
            </w:r>
          </w:p>
        </w:tc>
        <w:tc>
          <w:tcPr>
            <w:tcW w:w="1240" w:type="dxa"/>
            <w:vAlign w:val="bottom"/>
          </w:tcPr>
          <w:p>
            <w:pPr>
              <w:jc w:val="right"/>
              <w:ind w:right="145"/>
              <w:spacing w:after="0"/>
              <w:rPr>
                <w:sz w:val="20"/>
                <w:szCs w:val="20"/>
                <w:color w:val="auto"/>
              </w:rPr>
            </w:pPr>
            <w:r>
              <w:rPr>
                <w:rFonts w:ascii="Arial" w:cs="Arial" w:eastAsia="Arial" w:hAnsi="Arial"/>
                <w:sz w:val="15"/>
                <w:szCs w:val="15"/>
                <w:color w:val="auto"/>
              </w:rPr>
              <w:t>479,777</w:t>
            </w:r>
          </w:p>
        </w:tc>
        <w:tc>
          <w:tcPr>
            <w:tcW w:w="1260" w:type="dxa"/>
            <w:vAlign w:val="bottom"/>
          </w:tcPr>
          <w:p>
            <w:pPr>
              <w:jc w:val="right"/>
              <w:ind w:right="244"/>
              <w:spacing w:after="0"/>
              <w:rPr>
                <w:sz w:val="20"/>
                <w:szCs w:val="20"/>
                <w:color w:val="auto"/>
              </w:rPr>
            </w:pPr>
            <w:r>
              <w:rPr>
                <w:rFonts w:ascii="Arial" w:cs="Arial" w:eastAsia="Arial" w:hAnsi="Arial"/>
                <w:sz w:val="15"/>
                <w:szCs w:val="15"/>
                <w:color w:val="auto"/>
              </w:rPr>
              <w:t>99,517</w:t>
            </w:r>
          </w:p>
        </w:tc>
        <w:tc>
          <w:tcPr>
            <w:tcW w:w="880" w:type="dxa"/>
            <w:vAlign w:val="bottom"/>
          </w:tcPr>
          <w:p>
            <w:pPr>
              <w:jc w:val="right"/>
              <w:spacing w:after="0"/>
              <w:rPr>
                <w:sz w:val="20"/>
                <w:szCs w:val="20"/>
                <w:color w:val="auto"/>
              </w:rPr>
            </w:pPr>
            <w:r>
              <w:rPr>
                <w:rFonts w:ascii="Arial" w:cs="Arial" w:eastAsia="Arial" w:hAnsi="Arial"/>
                <w:sz w:val="15"/>
                <w:szCs w:val="15"/>
                <w:color w:val="auto"/>
              </w:rPr>
              <w:t>3,961,930</w:t>
            </w:r>
          </w:p>
        </w:tc>
        <w:tc>
          <w:tcPr>
            <w:tcW w:w="0" w:type="dxa"/>
            <w:vAlign w:val="bottom"/>
          </w:tcPr>
          <w:p>
            <w:pPr>
              <w:spacing w:after="0"/>
              <w:rPr>
                <w:sz w:val="1"/>
                <w:szCs w:val="1"/>
                <w:color w:val="auto"/>
              </w:rPr>
            </w:pPr>
          </w:p>
        </w:tc>
      </w:tr>
      <w:tr>
        <w:trPr>
          <w:trHeight w:val="22"/>
        </w:trPr>
        <w:tc>
          <w:tcPr>
            <w:tcW w:w="3060" w:type="dxa"/>
            <w:vAlign w:val="bottom"/>
            <w:tcBorders>
              <w:bottom w:val="single" w:sz="8" w:color="477258"/>
            </w:tcBorders>
          </w:tcPr>
          <w:p>
            <w:pPr>
              <w:spacing w:after="0" w:line="20" w:lineRule="exact"/>
              <w:rPr>
                <w:sz w:val="1"/>
                <w:szCs w:val="1"/>
                <w:color w:val="auto"/>
              </w:rPr>
            </w:pPr>
          </w:p>
        </w:tc>
        <w:tc>
          <w:tcPr>
            <w:tcW w:w="1020" w:type="dxa"/>
            <w:vAlign w:val="bottom"/>
            <w:tcBorders>
              <w:bottom w:val="single" w:sz="8" w:color="477258"/>
            </w:tcBorders>
          </w:tcPr>
          <w:p>
            <w:pPr>
              <w:spacing w:after="0" w:line="20" w:lineRule="exact"/>
              <w:rPr>
                <w:sz w:val="1"/>
                <w:szCs w:val="1"/>
                <w:color w:val="auto"/>
              </w:rPr>
            </w:pPr>
          </w:p>
        </w:tc>
        <w:tc>
          <w:tcPr>
            <w:tcW w:w="780" w:type="dxa"/>
            <w:vAlign w:val="bottom"/>
            <w:tcBorders>
              <w:bottom w:val="single" w:sz="8" w:color="477258"/>
            </w:tcBorders>
          </w:tcPr>
          <w:p>
            <w:pPr>
              <w:spacing w:after="0" w:line="20" w:lineRule="exact"/>
              <w:rPr>
                <w:sz w:val="1"/>
                <w:szCs w:val="1"/>
                <w:color w:val="auto"/>
              </w:rPr>
            </w:pPr>
          </w:p>
        </w:tc>
        <w:tc>
          <w:tcPr>
            <w:tcW w:w="820" w:type="dxa"/>
            <w:vAlign w:val="bottom"/>
            <w:tcBorders>
              <w:bottom w:val="single" w:sz="8" w:color="477258"/>
            </w:tcBorders>
          </w:tcPr>
          <w:p>
            <w:pPr>
              <w:spacing w:after="0" w:line="20" w:lineRule="exact"/>
              <w:rPr>
                <w:sz w:val="1"/>
                <w:szCs w:val="1"/>
                <w:color w:val="auto"/>
              </w:rPr>
            </w:pPr>
          </w:p>
        </w:tc>
        <w:tc>
          <w:tcPr>
            <w:tcW w:w="1240" w:type="dxa"/>
            <w:vAlign w:val="bottom"/>
            <w:tcBorders>
              <w:bottom w:val="single" w:sz="8" w:color="477258"/>
            </w:tcBorders>
          </w:tcPr>
          <w:p>
            <w:pPr>
              <w:spacing w:after="0" w:line="20" w:lineRule="exact"/>
              <w:rPr>
                <w:sz w:val="1"/>
                <w:szCs w:val="1"/>
                <w:color w:val="auto"/>
              </w:rPr>
            </w:pPr>
          </w:p>
        </w:tc>
        <w:tc>
          <w:tcPr>
            <w:tcW w:w="1260" w:type="dxa"/>
            <w:vAlign w:val="bottom"/>
            <w:tcBorders>
              <w:bottom w:val="single" w:sz="8" w:color="477258"/>
            </w:tcBorders>
          </w:tcPr>
          <w:p>
            <w:pPr>
              <w:spacing w:after="0" w:line="20" w:lineRule="exact"/>
              <w:rPr>
                <w:sz w:val="1"/>
                <w:szCs w:val="1"/>
                <w:color w:val="auto"/>
              </w:rPr>
            </w:pPr>
          </w:p>
        </w:tc>
        <w:tc>
          <w:tcPr>
            <w:tcW w:w="880" w:type="dxa"/>
            <w:vAlign w:val="bottom"/>
            <w:tcBorders>
              <w:bottom w:val="single" w:sz="8" w:color="4772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2019</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699,807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2,153,907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440,006</w:t>
            </w:r>
          </w:p>
        </w:tc>
        <w:tc>
          <w:tcPr>
            <w:tcW w:w="124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rPr>
              <w:t>661,476</w:t>
            </w:r>
          </w:p>
        </w:tc>
        <w:tc>
          <w:tcPr>
            <w:tcW w:w="126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5"/>
                <w:szCs w:val="15"/>
                <w:color w:val="auto"/>
              </w:rPr>
              <w:t>86,046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4,041,242</w:t>
            </w:r>
          </w:p>
        </w:tc>
        <w:tc>
          <w:tcPr>
            <w:tcW w:w="0" w:type="dxa"/>
            <w:vAlign w:val="bottom"/>
          </w:tcPr>
          <w:p>
            <w:pPr>
              <w:spacing w:after="0"/>
              <w:rPr>
                <w:sz w:val="1"/>
                <w:szCs w:val="1"/>
                <w:color w:val="auto"/>
              </w:rPr>
            </w:pPr>
          </w:p>
        </w:tc>
      </w:tr>
      <w:tr>
        <w:trPr>
          <w:trHeight w:val="215"/>
        </w:trPr>
        <w:tc>
          <w:tcPr>
            <w:tcW w:w="3060" w:type="dxa"/>
            <w:vAlign w:val="bottom"/>
            <w:tcBorders>
              <w:top w:val="single" w:sz="8" w:color="477258"/>
            </w:tcBorders>
          </w:tcPr>
          <w:p>
            <w:pPr>
              <w:ind w:left="40"/>
              <w:spacing w:after="0"/>
              <w:rPr>
                <w:sz w:val="20"/>
                <w:szCs w:val="20"/>
                <w:color w:val="auto"/>
              </w:rPr>
            </w:pPr>
            <w:r>
              <w:rPr>
                <w:rFonts w:ascii="Arial" w:cs="Arial" w:eastAsia="Arial" w:hAnsi="Arial"/>
                <w:sz w:val="15"/>
                <w:szCs w:val="15"/>
                <w:color w:val="auto"/>
              </w:rPr>
              <w:t>2018</w:t>
            </w:r>
          </w:p>
        </w:tc>
        <w:tc>
          <w:tcPr>
            <w:tcW w:w="1020" w:type="dxa"/>
            <w:vAlign w:val="bottom"/>
            <w:tcBorders>
              <w:top w:val="single" w:sz="8" w:color="477258"/>
            </w:tcBorders>
          </w:tcPr>
          <w:p>
            <w:pPr>
              <w:jc w:val="right"/>
              <w:ind w:right="84"/>
              <w:spacing w:after="0"/>
              <w:rPr>
                <w:sz w:val="20"/>
                <w:szCs w:val="20"/>
                <w:color w:val="auto"/>
              </w:rPr>
            </w:pPr>
            <w:r>
              <w:rPr>
                <w:rFonts w:ascii="Arial" w:cs="Arial" w:eastAsia="Arial" w:hAnsi="Arial"/>
                <w:sz w:val="15"/>
                <w:szCs w:val="15"/>
                <w:color w:val="auto"/>
              </w:rPr>
              <w:t>646,192</w:t>
            </w:r>
          </w:p>
        </w:tc>
        <w:tc>
          <w:tcPr>
            <w:tcW w:w="780" w:type="dxa"/>
            <w:vAlign w:val="bottom"/>
            <w:tcBorders>
              <w:top w:val="single" w:sz="8" w:color="477258"/>
            </w:tcBorders>
          </w:tcPr>
          <w:p>
            <w:pPr>
              <w:jc w:val="right"/>
              <w:spacing w:after="0"/>
              <w:rPr>
                <w:sz w:val="20"/>
                <w:szCs w:val="20"/>
                <w:color w:val="auto"/>
              </w:rPr>
            </w:pPr>
            <w:r>
              <w:rPr>
                <w:rFonts w:ascii="Arial" w:cs="Arial" w:eastAsia="Arial" w:hAnsi="Arial"/>
                <w:sz w:val="15"/>
                <w:szCs w:val="15"/>
                <w:color w:val="auto"/>
              </w:rPr>
              <w:t>1,629,462</w:t>
            </w:r>
          </w:p>
        </w:tc>
        <w:tc>
          <w:tcPr>
            <w:tcW w:w="820" w:type="dxa"/>
            <w:vAlign w:val="bottom"/>
            <w:tcBorders>
              <w:top w:val="single" w:sz="8" w:color="477258"/>
            </w:tcBorders>
          </w:tcPr>
          <w:p>
            <w:pPr>
              <w:jc w:val="right"/>
              <w:spacing w:after="0"/>
              <w:rPr>
                <w:sz w:val="20"/>
                <w:szCs w:val="20"/>
                <w:color w:val="auto"/>
              </w:rPr>
            </w:pPr>
            <w:r>
              <w:rPr>
                <w:rFonts w:ascii="Arial" w:cs="Arial" w:eastAsia="Arial" w:hAnsi="Arial"/>
                <w:sz w:val="15"/>
                <w:szCs w:val="15"/>
                <w:color w:val="auto"/>
              </w:rPr>
              <w:t>359,997</w:t>
            </w:r>
          </w:p>
        </w:tc>
        <w:tc>
          <w:tcPr>
            <w:tcW w:w="1240" w:type="dxa"/>
            <w:vAlign w:val="bottom"/>
            <w:tcBorders>
              <w:top w:val="single" w:sz="8" w:color="477258"/>
            </w:tcBorders>
          </w:tcPr>
          <w:p>
            <w:pPr>
              <w:jc w:val="right"/>
              <w:ind w:right="145"/>
              <w:spacing w:after="0"/>
              <w:rPr>
                <w:sz w:val="20"/>
                <w:szCs w:val="20"/>
                <w:color w:val="auto"/>
              </w:rPr>
            </w:pPr>
            <w:r>
              <w:rPr>
                <w:rFonts w:ascii="Arial" w:cs="Arial" w:eastAsia="Arial" w:hAnsi="Arial"/>
                <w:sz w:val="15"/>
                <w:szCs w:val="15"/>
                <w:color w:val="auto"/>
              </w:rPr>
              <w:t>435,053</w:t>
            </w:r>
          </w:p>
        </w:tc>
        <w:tc>
          <w:tcPr>
            <w:tcW w:w="1260" w:type="dxa"/>
            <w:vAlign w:val="bottom"/>
            <w:tcBorders>
              <w:top w:val="single" w:sz="8" w:color="477258"/>
            </w:tcBorders>
          </w:tcPr>
          <w:p>
            <w:pPr>
              <w:jc w:val="right"/>
              <w:ind w:right="244"/>
              <w:spacing w:after="0"/>
              <w:rPr>
                <w:sz w:val="20"/>
                <w:szCs w:val="20"/>
                <w:color w:val="auto"/>
              </w:rPr>
            </w:pPr>
            <w:r>
              <w:rPr>
                <w:rFonts w:ascii="Arial" w:cs="Arial" w:eastAsia="Arial" w:hAnsi="Arial"/>
                <w:sz w:val="15"/>
                <w:szCs w:val="15"/>
                <w:color w:val="auto"/>
              </w:rPr>
              <w:t>116,032</w:t>
            </w:r>
          </w:p>
        </w:tc>
        <w:tc>
          <w:tcPr>
            <w:tcW w:w="880" w:type="dxa"/>
            <w:vAlign w:val="bottom"/>
            <w:tcBorders>
              <w:top w:val="single" w:sz="8" w:color="477258"/>
            </w:tcBorders>
          </w:tcPr>
          <w:p>
            <w:pPr>
              <w:jc w:val="right"/>
              <w:spacing w:after="0"/>
              <w:rPr>
                <w:sz w:val="20"/>
                <w:szCs w:val="20"/>
                <w:color w:val="auto"/>
              </w:rPr>
            </w:pPr>
            <w:r>
              <w:rPr>
                <w:rFonts w:ascii="Arial" w:cs="Arial" w:eastAsia="Arial" w:hAnsi="Arial"/>
                <w:sz w:val="15"/>
                <w:szCs w:val="15"/>
                <w:color w:val="auto"/>
              </w:rPr>
              <w:t>3,186,736</w:t>
            </w:r>
          </w:p>
        </w:tc>
        <w:tc>
          <w:tcPr>
            <w:tcW w:w="0" w:type="dxa"/>
            <w:vAlign w:val="bottom"/>
          </w:tcPr>
          <w:p>
            <w:pPr>
              <w:spacing w:after="0"/>
              <w:rPr>
                <w:sz w:val="1"/>
                <w:szCs w:val="1"/>
                <w:color w:val="auto"/>
              </w:rPr>
            </w:pPr>
          </w:p>
        </w:tc>
      </w:tr>
      <w:tr>
        <w:trPr>
          <w:trHeight w:val="22"/>
        </w:trPr>
        <w:tc>
          <w:tcPr>
            <w:tcW w:w="3060" w:type="dxa"/>
            <w:vAlign w:val="bottom"/>
            <w:tcBorders>
              <w:bottom w:val="single" w:sz="8" w:color="477258"/>
            </w:tcBorders>
          </w:tcPr>
          <w:p>
            <w:pPr>
              <w:spacing w:after="0" w:line="20" w:lineRule="exact"/>
              <w:rPr>
                <w:sz w:val="1"/>
                <w:szCs w:val="1"/>
                <w:color w:val="auto"/>
              </w:rPr>
            </w:pPr>
          </w:p>
        </w:tc>
        <w:tc>
          <w:tcPr>
            <w:tcW w:w="1020" w:type="dxa"/>
            <w:vAlign w:val="bottom"/>
            <w:tcBorders>
              <w:bottom w:val="single" w:sz="8" w:color="477258"/>
            </w:tcBorders>
          </w:tcPr>
          <w:p>
            <w:pPr>
              <w:spacing w:after="0" w:line="20" w:lineRule="exact"/>
              <w:rPr>
                <w:sz w:val="1"/>
                <w:szCs w:val="1"/>
                <w:color w:val="auto"/>
              </w:rPr>
            </w:pPr>
          </w:p>
        </w:tc>
        <w:tc>
          <w:tcPr>
            <w:tcW w:w="780" w:type="dxa"/>
            <w:vAlign w:val="bottom"/>
            <w:tcBorders>
              <w:bottom w:val="single" w:sz="8" w:color="477258"/>
            </w:tcBorders>
          </w:tcPr>
          <w:p>
            <w:pPr>
              <w:spacing w:after="0" w:line="20" w:lineRule="exact"/>
              <w:rPr>
                <w:sz w:val="1"/>
                <w:szCs w:val="1"/>
                <w:color w:val="auto"/>
              </w:rPr>
            </w:pPr>
          </w:p>
        </w:tc>
        <w:tc>
          <w:tcPr>
            <w:tcW w:w="820" w:type="dxa"/>
            <w:vAlign w:val="bottom"/>
            <w:tcBorders>
              <w:bottom w:val="single" w:sz="8" w:color="477258"/>
            </w:tcBorders>
          </w:tcPr>
          <w:p>
            <w:pPr>
              <w:spacing w:after="0" w:line="20" w:lineRule="exact"/>
              <w:rPr>
                <w:sz w:val="1"/>
                <w:szCs w:val="1"/>
                <w:color w:val="auto"/>
              </w:rPr>
            </w:pPr>
          </w:p>
        </w:tc>
        <w:tc>
          <w:tcPr>
            <w:tcW w:w="1240" w:type="dxa"/>
            <w:vAlign w:val="bottom"/>
            <w:tcBorders>
              <w:bottom w:val="single" w:sz="8" w:color="477258"/>
            </w:tcBorders>
          </w:tcPr>
          <w:p>
            <w:pPr>
              <w:spacing w:after="0" w:line="20" w:lineRule="exact"/>
              <w:rPr>
                <w:sz w:val="1"/>
                <w:szCs w:val="1"/>
                <w:color w:val="auto"/>
              </w:rPr>
            </w:pPr>
          </w:p>
        </w:tc>
        <w:tc>
          <w:tcPr>
            <w:tcW w:w="1260" w:type="dxa"/>
            <w:vAlign w:val="bottom"/>
            <w:tcBorders>
              <w:bottom w:val="single" w:sz="8" w:color="477258"/>
            </w:tcBorders>
          </w:tcPr>
          <w:p>
            <w:pPr>
              <w:spacing w:after="0" w:line="20" w:lineRule="exact"/>
              <w:rPr>
                <w:sz w:val="1"/>
                <w:szCs w:val="1"/>
                <w:color w:val="auto"/>
              </w:rPr>
            </w:pPr>
          </w:p>
        </w:tc>
        <w:tc>
          <w:tcPr>
            <w:tcW w:w="880" w:type="dxa"/>
            <w:vAlign w:val="bottom"/>
            <w:tcBorders>
              <w:bottom w:val="single" w:sz="8" w:color="4772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40"/>
              <w:spacing w:after="0" w:line="175" w:lineRule="exact"/>
              <w:rPr>
                <w:sz w:val="20"/>
                <w:szCs w:val="20"/>
                <w:color w:val="auto"/>
              </w:rPr>
            </w:pPr>
            <w:r>
              <w:rPr>
                <w:rFonts w:ascii="Arial" w:cs="Arial" w:eastAsia="Arial" w:hAnsi="Arial"/>
                <w:sz w:val="14"/>
                <w:szCs w:val="14"/>
                <w:b w:val="1"/>
                <w:bCs w:val="1"/>
                <w:color w:val="auto"/>
              </w:rPr>
              <w:t>Tara J. Hemmer</w:t>
            </w:r>
            <w:r>
              <w:rPr>
                <w:rFonts w:ascii="Arial" w:cs="Arial" w:eastAsia="Arial" w:hAnsi="Arial"/>
                <w:sz w:val="20"/>
                <w:szCs w:val="20"/>
                <w:color w:val="auto"/>
                <w:vertAlign w:val="superscript"/>
              </w:rPr>
              <w:t>(5)</w:t>
            </w:r>
          </w:p>
        </w:tc>
        <w:tc>
          <w:tcPr>
            <w:tcW w:w="10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Senior Vice President — Operations</w:t>
            </w:r>
          </w:p>
        </w:tc>
        <w:tc>
          <w:tcPr>
            <w:tcW w:w="10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tcBorders>
              <w:top w:val="single" w:sz="8" w:color="477258"/>
            </w:tcBorders>
          </w:tcPr>
          <w:p>
            <w:pPr>
              <w:ind w:left="40"/>
              <w:spacing w:after="0"/>
              <w:rPr>
                <w:sz w:val="20"/>
                <w:szCs w:val="20"/>
                <w:color w:val="auto"/>
              </w:rPr>
            </w:pPr>
            <w:r>
              <w:rPr>
                <w:rFonts w:ascii="Arial" w:cs="Arial" w:eastAsia="Arial" w:hAnsi="Arial"/>
                <w:sz w:val="15"/>
                <w:szCs w:val="15"/>
                <w:color w:val="auto"/>
              </w:rPr>
              <w:t>2020</w:t>
            </w:r>
          </w:p>
        </w:tc>
        <w:tc>
          <w:tcPr>
            <w:tcW w:w="1020" w:type="dxa"/>
            <w:vAlign w:val="bottom"/>
            <w:tcBorders>
              <w:top w:val="single" w:sz="8" w:color="477258"/>
            </w:tcBorders>
          </w:tcPr>
          <w:p>
            <w:pPr>
              <w:jc w:val="right"/>
              <w:ind w:right="84"/>
              <w:spacing w:after="0"/>
              <w:rPr>
                <w:sz w:val="20"/>
                <w:szCs w:val="20"/>
                <w:color w:val="auto"/>
              </w:rPr>
            </w:pPr>
            <w:r>
              <w:rPr>
                <w:rFonts w:ascii="Arial" w:cs="Arial" w:eastAsia="Arial" w:hAnsi="Arial"/>
                <w:sz w:val="15"/>
                <w:szCs w:val="15"/>
                <w:color w:val="auto"/>
              </w:rPr>
              <w:t>567,062</w:t>
            </w:r>
          </w:p>
        </w:tc>
        <w:tc>
          <w:tcPr>
            <w:tcW w:w="780" w:type="dxa"/>
            <w:vAlign w:val="bottom"/>
            <w:tcBorders>
              <w:top w:val="single" w:sz="8" w:color="477258"/>
            </w:tcBorders>
          </w:tcPr>
          <w:p>
            <w:pPr>
              <w:jc w:val="right"/>
              <w:spacing w:after="0"/>
              <w:rPr>
                <w:sz w:val="20"/>
                <w:szCs w:val="20"/>
                <w:color w:val="auto"/>
              </w:rPr>
            </w:pPr>
            <w:r>
              <w:rPr>
                <w:rFonts w:ascii="Arial" w:cs="Arial" w:eastAsia="Arial" w:hAnsi="Arial"/>
                <w:sz w:val="15"/>
                <w:szCs w:val="15"/>
                <w:color w:val="auto"/>
              </w:rPr>
              <w:t>1,672,967</w:t>
            </w:r>
          </w:p>
        </w:tc>
        <w:tc>
          <w:tcPr>
            <w:tcW w:w="820" w:type="dxa"/>
            <w:vAlign w:val="bottom"/>
            <w:tcBorders>
              <w:top w:val="single" w:sz="8" w:color="477258"/>
            </w:tcBorders>
          </w:tcPr>
          <w:p>
            <w:pPr>
              <w:jc w:val="right"/>
              <w:spacing w:after="0"/>
              <w:rPr>
                <w:sz w:val="20"/>
                <w:szCs w:val="20"/>
                <w:color w:val="auto"/>
              </w:rPr>
            </w:pPr>
            <w:r>
              <w:rPr>
                <w:rFonts w:ascii="Arial" w:cs="Arial" w:eastAsia="Arial" w:hAnsi="Arial"/>
                <w:sz w:val="15"/>
                <w:szCs w:val="15"/>
                <w:color w:val="auto"/>
              </w:rPr>
              <w:t>330,005</w:t>
            </w:r>
          </w:p>
        </w:tc>
        <w:tc>
          <w:tcPr>
            <w:tcW w:w="1240" w:type="dxa"/>
            <w:vAlign w:val="bottom"/>
            <w:tcBorders>
              <w:top w:val="single" w:sz="8" w:color="477258"/>
            </w:tcBorders>
          </w:tcPr>
          <w:p>
            <w:pPr>
              <w:jc w:val="right"/>
              <w:ind w:right="145"/>
              <w:spacing w:after="0"/>
              <w:rPr>
                <w:sz w:val="20"/>
                <w:szCs w:val="20"/>
                <w:color w:val="auto"/>
              </w:rPr>
            </w:pPr>
            <w:r>
              <w:rPr>
                <w:rFonts w:ascii="Arial" w:cs="Arial" w:eastAsia="Arial" w:hAnsi="Arial"/>
                <w:sz w:val="15"/>
                <w:szCs w:val="15"/>
                <w:color w:val="auto"/>
              </w:rPr>
              <w:t>347,774</w:t>
            </w:r>
          </w:p>
        </w:tc>
        <w:tc>
          <w:tcPr>
            <w:tcW w:w="1260" w:type="dxa"/>
            <w:vAlign w:val="bottom"/>
            <w:tcBorders>
              <w:top w:val="single" w:sz="8" w:color="477258"/>
            </w:tcBorders>
          </w:tcPr>
          <w:p>
            <w:pPr>
              <w:jc w:val="right"/>
              <w:ind w:right="244"/>
              <w:spacing w:after="0"/>
              <w:rPr>
                <w:sz w:val="20"/>
                <w:szCs w:val="20"/>
                <w:color w:val="auto"/>
              </w:rPr>
            </w:pPr>
            <w:r>
              <w:rPr>
                <w:rFonts w:ascii="Arial" w:cs="Arial" w:eastAsia="Arial" w:hAnsi="Arial"/>
                <w:sz w:val="15"/>
                <w:szCs w:val="15"/>
                <w:color w:val="auto"/>
              </w:rPr>
              <w:t>57,125</w:t>
            </w:r>
          </w:p>
        </w:tc>
        <w:tc>
          <w:tcPr>
            <w:tcW w:w="880" w:type="dxa"/>
            <w:vAlign w:val="bottom"/>
            <w:tcBorders>
              <w:top w:val="single" w:sz="8" w:color="477258"/>
            </w:tcBorders>
          </w:tcPr>
          <w:p>
            <w:pPr>
              <w:jc w:val="right"/>
              <w:spacing w:after="0"/>
              <w:rPr>
                <w:sz w:val="20"/>
                <w:szCs w:val="20"/>
                <w:color w:val="auto"/>
              </w:rPr>
            </w:pPr>
            <w:r>
              <w:rPr>
                <w:rFonts w:ascii="Arial" w:cs="Arial" w:eastAsia="Arial" w:hAnsi="Arial"/>
                <w:sz w:val="15"/>
                <w:szCs w:val="15"/>
                <w:color w:val="auto"/>
              </w:rPr>
              <w:t>2,974,933</w:t>
            </w:r>
          </w:p>
        </w:tc>
        <w:tc>
          <w:tcPr>
            <w:tcW w:w="0" w:type="dxa"/>
            <w:vAlign w:val="bottom"/>
          </w:tcPr>
          <w:p>
            <w:pPr>
              <w:spacing w:after="0"/>
              <w:rPr>
                <w:sz w:val="1"/>
                <w:szCs w:val="1"/>
                <w:color w:val="auto"/>
              </w:rPr>
            </w:pPr>
          </w:p>
        </w:tc>
      </w:tr>
      <w:tr>
        <w:trPr>
          <w:trHeight w:val="22"/>
        </w:trPr>
        <w:tc>
          <w:tcPr>
            <w:tcW w:w="3060" w:type="dxa"/>
            <w:vAlign w:val="bottom"/>
            <w:tcBorders>
              <w:bottom w:val="single" w:sz="8" w:color="477258"/>
            </w:tcBorders>
          </w:tcPr>
          <w:p>
            <w:pPr>
              <w:spacing w:after="0" w:line="20" w:lineRule="exact"/>
              <w:rPr>
                <w:sz w:val="1"/>
                <w:szCs w:val="1"/>
                <w:color w:val="auto"/>
              </w:rPr>
            </w:pPr>
          </w:p>
        </w:tc>
        <w:tc>
          <w:tcPr>
            <w:tcW w:w="1020" w:type="dxa"/>
            <w:vAlign w:val="bottom"/>
            <w:tcBorders>
              <w:bottom w:val="single" w:sz="8" w:color="477258"/>
            </w:tcBorders>
          </w:tcPr>
          <w:p>
            <w:pPr>
              <w:spacing w:after="0" w:line="20" w:lineRule="exact"/>
              <w:rPr>
                <w:sz w:val="1"/>
                <w:szCs w:val="1"/>
                <w:color w:val="auto"/>
              </w:rPr>
            </w:pPr>
          </w:p>
        </w:tc>
        <w:tc>
          <w:tcPr>
            <w:tcW w:w="780" w:type="dxa"/>
            <w:vAlign w:val="bottom"/>
            <w:tcBorders>
              <w:bottom w:val="single" w:sz="8" w:color="477258"/>
            </w:tcBorders>
          </w:tcPr>
          <w:p>
            <w:pPr>
              <w:spacing w:after="0" w:line="20" w:lineRule="exact"/>
              <w:rPr>
                <w:sz w:val="1"/>
                <w:szCs w:val="1"/>
                <w:color w:val="auto"/>
              </w:rPr>
            </w:pPr>
          </w:p>
        </w:tc>
        <w:tc>
          <w:tcPr>
            <w:tcW w:w="820" w:type="dxa"/>
            <w:vAlign w:val="bottom"/>
            <w:tcBorders>
              <w:bottom w:val="single" w:sz="8" w:color="477258"/>
            </w:tcBorders>
          </w:tcPr>
          <w:p>
            <w:pPr>
              <w:spacing w:after="0" w:line="20" w:lineRule="exact"/>
              <w:rPr>
                <w:sz w:val="1"/>
                <w:szCs w:val="1"/>
                <w:color w:val="auto"/>
              </w:rPr>
            </w:pPr>
          </w:p>
        </w:tc>
        <w:tc>
          <w:tcPr>
            <w:tcW w:w="1240" w:type="dxa"/>
            <w:vAlign w:val="bottom"/>
            <w:tcBorders>
              <w:bottom w:val="single" w:sz="8" w:color="477258"/>
            </w:tcBorders>
          </w:tcPr>
          <w:p>
            <w:pPr>
              <w:spacing w:after="0" w:line="20" w:lineRule="exact"/>
              <w:rPr>
                <w:sz w:val="1"/>
                <w:szCs w:val="1"/>
                <w:color w:val="auto"/>
              </w:rPr>
            </w:pPr>
          </w:p>
        </w:tc>
        <w:tc>
          <w:tcPr>
            <w:tcW w:w="1260" w:type="dxa"/>
            <w:vAlign w:val="bottom"/>
            <w:tcBorders>
              <w:bottom w:val="single" w:sz="8" w:color="477258"/>
            </w:tcBorders>
          </w:tcPr>
          <w:p>
            <w:pPr>
              <w:spacing w:after="0" w:line="20" w:lineRule="exact"/>
              <w:rPr>
                <w:sz w:val="1"/>
                <w:szCs w:val="1"/>
                <w:color w:val="auto"/>
              </w:rPr>
            </w:pPr>
          </w:p>
        </w:tc>
        <w:tc>
          <w:tcPr>
            <w:tcW w:w="880" w:type="dxa"/>
            <w:vAlign w:val="bottom"/>
            <w:tcBorders>
              <w:bottom w:val="single" w:sz="8" w:color="4772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2019</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535,670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1,615,372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330,001</w:t>
            </w:r>
          </w:p>
        </w:tc>
        <w:tc>
          <w:tcPr>
            <w:tcW w:w="124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rPr>
              <w:t>479,828</w:t>
            </w:r>
          </w:p>
        </w:tc>
        <w:tc>
          <w:tcPr>
            <w:tcW w:w="126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5"/>
                <w:szCs w:val="15"/>
                <w:color w:val="auto"/>
              </w:rPr>
              <w:t>38,502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2,999,373</w:t>
            </w:r>
          </w:p>
        </w:tc>
        <w:tc>
          <w:tcPr>
            <w:tcW w:w="0" w:type="dxa"/>
            <w:vAlign w:val="bottom"/>
          </w:tcPr>
          <w:p>
            <w:pPr>
              <w:spacing w:after="0"/>
              <w:rPr>
                <w:sz w:val="1"/>
                <w:szCs w:val="1"/>
                <w:color w:val="auto"/>
              </w:rPr>
            </w:pPr>
          </w:p>
        </w:tc>
      </w:tr>
      <w:tr>
        <w:trPr>
          <w:trHeight w:val="175"/>
        </w:trPr>
        <w:tc>
          <w:tcPr>
            <w:tcW w:w="3060" w:type="dxa"/>
            <w:vAlign w:val="bottom"/>
            <w:tcBorders>
              <w:top w:val="single" w:sz="8" w:color="477258"/>
            </w:tcBorders>
          </w:tcPr>
          <w:p>
            <w:pPr>
              <w:ind w:left="40"/>
              <w:spacing w:after="0" w:line="175" w:lineRule="exact"/>
              <w:rPr>
                <w:sz w:val="20"/>
                <w:szCs w:val="20"/>
                <w:color w:val="auto"/>
              </w:rPr>
            </w:pPr>
            <w:r>
              <w:rPr>
                <w:rFonts w:ascii="Arial" w:cs="Arial" w:eastAsia="Arial" w:hAnsi="Arial"/>
                <w:sz w:val="14"/>
                <w:szCs w:val="14"/>
                <w:b w:val="1"/>
                <w:bCs w:val="1"/>
                <w:color w:val="auto"/>
              </w:rPr>
              <w:t>Steven R. Batchelor</w:t>
            </w:r>
            <w:r>
              <w:rPr>
                <w:rFonts w:ascii="Arial" w:cs="Arial" w:eastAsia="Arial" w:hAnsi="Arial"/>
                <w:sz w:val="20"/>
                <w:szCs w:val="20"/>
                <w:color w:val="auto"/>
                <w:vertAlign w:val="superscript"/>
              </w:rPr>
              <w:t>(5)</w:t>
            </w:r>
          </w:p>
        </w:tc>
        <w:tc>
          <w:tcPr>
            <w:tcW w:w="1020" w:type="dxa"/>
            <w:vAlign w:val="bottom"/>
            <w:tcBorders>
              <w:top w:val="single" w:sz="8" w:color="477258"/>
            </w:tcBorders>
          </w:tcPr>
          <w:p>
            <w:pPr>
              <w:spacing w:after="0"/>
              <w:rPr>
                <w:sz w:val="15"/>
                <w:szCs w:val="15"/>
                <w:color w:val="auto"/>
              </w:rPr>
            </w:pPr>
          </w:p>
        </w:tc>
        <w:tc>
          <w:tcPr>
            <w:tcW w:w="780" w:type="dxa"/>
            <w:vAlign w:val="bottom"/>
            <w:tcBorders>
              <w:top w:val="single" w:sz="8" w:color="477258"/>
            </w:tcBorders>
          </w:tcPr>
          <w:p>
            <w:pPr>
              <w:spacing w:after="0"/>
              <w:rPr>
                <w:sz w:val="15"/>
                <w:szCs w:val="15"/>
                <w:color w:val="auto"/>
              </w:rPr>
            </w:pPr>
          </w:p>
        </w:tc>
        <w:tc>
          <w:tcPr>
            <w:tcW w:w="820" w:type="dxa"/>
            <w:vAlign w:val="bottom"/>
            <w:tcBorders>
              <w:top w:val="single" w:sz="8" w:color="477258"/>
            </w:tcBorders>
          </w:tcPr>
          <w:p>
            <w:pPr>
              <w:spacing w:after="0"/>
              <w:rPr>
                <w:sz w:val="15"/>
                <w:szCs w:val="15"/>
                <w:color w:val="auto"/>
              </w:rPr>
            </w:pPr>
          </w:p>
        </w:tc>
        <w:tc>
          <w:tcPr>
            <w:tcW w:w="1240" w:type="dxa"/>
            <w:vAlign w:val="bottom"/>
            <w:tcBorders>
              <w:top w:val="single" w:sz="8" w:color="477258"/>
            </w:tcBorders>
          </w:tcPr>
          <w:p>
            <w:pPr>
              <w:spacing w:after="0"/>
              <w:rPr>
                <w:sz w:val="15"/>
                <w:szCs w:val="15"/>
                <w:color w:val="auto"/>
              </w:rPr>
            </w:pPr>
          </w:p>
        </w:tc>
        <w:tc>
          <w:tcPr>
            <w:tcW w:w="1260" w:type="dxa"/>
            <w:vAlign w:val="bottom"/>
            <w:tcBorders>
              <w:top w:val="single" w:sz="8" w:color="477258"/>
            </w:tcBorders>
          </w:tcPr>
          <w:p>
            <w:pPr>
              <w:spacing w:after="0"/>
              <w:rPr>
                <w:sz w:val="15"/>
                <w:szCs w:val="15"/>
                <w:color w:val="auto"/>
              </w:rPr>
            </w:pPr>
          </w:p>
        </w:tc>
        <w:tc>
          <w:tcPr>
            <w:tcW w:w="880" w:type="dxa"/>
            <w:vAlign w:val="bottom"/>
            <w:tcBorders>
              <w:top w:val="single" w:sz="8" w:color="477258"/>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40"/>
              <w:spacing w:after="0"/>
              <w:rPr>
                <w:sz w:val="20"/>
                <w:szCs w:val="20"/>
                <w:color w:val="auto"/>
              </w:rPr>
            </w:pPr>
            <w:r>
              <w:rPr>
                <w:rFonts w:ascii="Arial" w:cs="Arial" w:eastAsia="Arial" w:hAnsi="Arial"/>
                <w:sz w:val="15"/>
                <w:szCs w:val="15"/>
                <w:b w:val="1"/>
                <w:bCs w:val="1"/>
                <w:color w:val="auto"/>
              </w:rPr>
              <w:t>Senior Vice President — Operations</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060" w:type="dxa"/>
            <w:vAlign w:val="bottom"/>
            <w:tcBorders>
              <w:bottom w:val="single" w:sz="8" w:color="477258"/>
            </w:tcBorders>
          </w:tcPr>
          <w:p>
            <w:pPr>
              <w:spacing w:after="0" w:line="20" w:lineRule="exact"/>
              <w:rPr>
                <w:sz w:val="1"/>
                <w:szCs w:val="1"/>
                <w:color w:val="auto"/>
              </w:rPr>
            </w:pPr>
          </w:p>
        </w:tc>
        <w:tc>
          <w:tcPr>
            <w:tcW w:w="1020" w:type="dxa"/>
            <w:vAlign w:val="bottom"/>
            <w:tcBorders>
              <w:bottom w:val="single" w:sz="8" w:color="477258"/>
            </w:tcBorders>
          </w:tcPr>
          <w:p>
            <w:pPr>
              <w:spacing w:after="0" w:line="20" w:lineRule="exact"/>
              <w:rPr>
                <w:sz w:val="1"/>
                <w:szCs w:val="1"/>
                <w:color w:val="auto"/>
              </w:rPr>
            </w:pPr>
          </w:p>
        </w:tc>
        <w:tc>
          <w:tcPr>
            <w:tcW w:w="780" w:type="dxa"/>
            <w:vAlign w:val="bottom"/>
            <w:tcBorders>
              <w:bottom w:val="single" w:sz="8" w:color="477258"/>
            </w:tcBorders>
          </w:tcPr>
          <w:p>
            <w:pPr>
              <w:spacing w:after="0" w:line="20" w:lineRule="exact"/>
              <w:rPr>
                <w:sz w:val="1"/>
                <w:szCs w:val="1"/>
                <w:color w:val="auto"/>
              </w:rPr>
            </w:pPr>
          </w:p>
        </w:tc>
        <w:tc>
          <w:tcPr>
            <w:tcW w:w="820" w:type="dxa"/>
            <w:vAlign w:val="bottom"/>
            <w:tcBorders>
              <w:bottom w:val="single" w:sz="8" w:color="477258"/>
            </w:tcBorders>
          </w:tcPr>
          <w:p>
            <w:pPr>
              <w:spacing w:after="0" w:line="20" w:lineRule="exact"/>
              <w:rPr>
                <w:sz w:val="1"/>
                <w:szCs w:val="1"/>
                <w:color w:val="auto"/>
              </w:rPr>
            </w:pPr>
          </w:p>
        </w:tc>
        <w:tc>
          <w:tcPr>
            <w:tcW w:w="1240" w:type="dxa"/>
            <w:vAlign w:val="bottom"/>
            <w:tcBorders>
              <w:bottom w:val="single" w:sz="8" w:color="477258"/>
            </w:tcBorders>
          </w:tcPr>
          <w:p>
            <w:pPr>
              <w:spacing w:after="0" w:line="20" w:lineRule="exact"/>
              <w:rPr>
                <w:sz w:val="1"/>
                <w:szCs w:val="1"/>
                <w:color w:val="auto"/>
              </w:rPr>
            </w:pPr>
          </w:p>
        </w:tc>
        <w:tc>
          <w:tcPr>
            <w:tcW w:w="1260" w:type="dxa"/>
            <w:vAlign w:val="bottom"/>
            <w:tcBorders>
              <w:bottom w:val="single" w:sz="8" w:color="477258"/>
            </w:tcBorders>
          </w:tcPr>
          <w:p>
            <w:pPr>
              <w:spacing w:after="0" w:line="20" w:lineRule="exact"/>
              <w:rPr>
                <w:sz w:val="1"/>
                <w:szCs w:val="1"/>
                <w:color w:val="auto"/>
              </w:rPr>
            </w:pPr>
          </w:p>
        </w:tc>
        <w:tc>
          <w:tcPr>
            <w:tcW w:w="880" w:type="dxa"/>
            <w:vAlign w:val="bottom"/>
            <w:tcBorders>
              <w:bottom w:val="single" w:sz="8" w:color="47725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2020</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rPr>
              <w:t>567,062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1,672,967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330,005</w:t>
            </w:r>
          </w:p>
        </w:tc>
        <w:tc>
          <w:tcPr>
            <w:tcW w:w="124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rPr>
              <w:t>347,774</w:t>
            </w:r>
          </w:p>
        </w:tc>
        <w:tc>
          <w:tcPr>
            <w:tcW w:w="126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5"/>
                <w:szCs w:val="15"/>
                <w:color w:val="auto"/>
              </w:rPr>
              <w:t>13,841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2,931,649</w:t>
            </w:r>
          </w:p>
        </w:tc>
        <w:tc>
          <w:tcPr>
            <w:tcW w:w="0" w:type="dxa"/>
            <w:vAlign w:val="bottom"/>
          </w:tcPr>
          <w:p>
            <w:pPr>
              <w:spacing w:after="0"/>
              <w:rPr>
                <w:sz w:val="1"/>
                <w:szCs w:val="1"/>
                <w:color w:val="auto"/>
              </w:rPr>
            </w:pPr>
          </w:p>
        </w:tc>
      </w:tr>
      <w:tr>
        <w:trPr>
          <w:trHeight w:val="215"/>
        </w:trPr>
        <w:tc>
          <w:tcPr>
            <w:tcW w:w="3060" w:type="dxa"/>
            <w:vAlign w:val="bottom"/>
            <w:tcBorders>
              <w:top w:val="single" w:sz="8" w:color="477258"/>
            </w:tcBorders>
          </w:tcPr>
          <w:p>
            <w:pPr>
              <w:ind w:left="40"/>
              <w:spacing w:after="0"/>
              <w:rPr>
                <w:sz w:val="20"/>
                <w:szCs w:val="20"/>
                <w:color w:val="auto"/>
              </w:rPr>
            </w:pPr>
            <w:r>
              <w:rPr>
                <w:rFonts w:ascii="Arial" w:cs="Arial" w:eastAsia="Arial" w:hAnsi="Arial"/>
                <w:sz w:val="15"/>
                <w:szCs w:val="15"/>
                <w:color w:val="auto"/>
              </w:rPr>
              <w:t>2019</w:t>
            </w:r>
          </w:p>
        </w:tc>
        <w:tc>
          <w:tcPr>
            <w:tcW w:w="1020" w:type="dxa"/>
            <w:vAlign w:val="bottom"/>
            <w:tcBorders>
              <w:top w:val="single" w:sz="8" w:color="477258"/>
            </w:tcBorders>
          </w:tcPr>
          <w:p>
            <w:pPr>
              <w:jc w:val="right"/>
              <w:ind w:right="84"/>
              <w:spacing w:after="0"/>
              <w:rPr>
                <w:sz w:val="20"/>
                <w:szCs w:val="20"/>
                <w:color w:val="auto"/>
              </w:rPr>
            </w:pPr>
            <w:r>
              <w:rPr>
                <w:rFonts w:ascii="Arial" w:cs="Arial" w:eastAsia="Arial" w:hAnsi="Arial"/>
                <w:sz w:val="15"/>
                <w:szCs w:val="15"/>
                <w:color w:val="auto"/>
              </w:rPr>
              <w:t>535,397</w:t>
            </w:r>
          </w:p>
        </w:tc>
        <w:tc>
          <w:tcPr>
            <w:tcW w:w="780" w:type="dxa"/>
            <w:vAlign w:val="bottom"/>
            <w:tcBorders>
              <w:top w:val="single" w:sz="8" w:color="477258"/>
            </w:tcBorders>
          </w:tcPr>
          <w:p>
            <w:pPr>
              <w:jc w:val="right"/>
              <w:spacing w:after="0"/>
              <w:rPr>
                <w:sz w:val="20"/>
                <w:szCs w:val="20"/>
                <w:color w:val="auto"/>
              </w:rPr>
            </w:pPr>
            <w:r>
              <w:rPr>
                <w:rFonts w:ascii="Arial" w:cs="Arial" w:eastAsia="Arial" w:hAnsi="Arial"/>
                <w:sz w:val="15"/>
                <w:szCs w:val="15"/>
                <w:color w:val="auto"/>
              </w:rPr>
              <w:t>1,615,372</w:t>
            </w:r>
          </w:p>
        </w:tc>
        <w:tc>
          <w:tcPr>
            <w:tcW w:w="820" w:type="dxa"/>
            <w:vAlign w:val="bottom"/>
            <w:tcBorders>
              <w:top w:val="single" w:sz="8" w:color="477258"/>
            </w:tcBorders>
          </w:tcPr>
          <w:p>
            <w:pPr>
              <w:jc w:val="right"/>
              <w:spacing w:after="0"/>
              <w:rPr>
                <w:sz w:val="20"/>
                <w:szCs w:val="20"/>
                <w:color w:val="auto"/>
              </w:rPr>
            </w:pPr>
            <w:r>
              <w:rPr>
                <w:rFonts w:ascii="Arial" w:cs="Arial" w:eastAsia="Arial" w:hAnsi="Arial"/>
                <w:sz w:val="15"/>
                <w:szCs w:val="15"/>
                <w:color w:val="auto"/>
              </w:rPr>
              <w:t>330,001</w:t>
            </w:r>
          </w:p>
        </w:tc>
        <w:tc>
          <w:tcPr>
            <w:tcW w:w="1240" w:type="dxa"/>
            <w:vAlign w:val="bottom"/>
            <w:tcBorders>
              <w:top w:val="single" w:sz="8" w:color="477258"/>
            </w:tcBorders>
          </w:tcPr>
          <w:p>
            <w:pPr>
              <w:jc w:val="right"/>
              <w:ind w:right="145"/>
              <w:spacing w:after="0"/>
              <w:rPr>
                <w:sz w:val="20"/>
                <w:szCs w:val="20"/>
                <w:color w:val="auto"/>
              </w:rPr>
            </w:pPr>
            <w:r>
              <w:rPr>
                <w:rFonts w:ascii="Arial" w:cs="Arial" w:eastAsia="Arial" w:hAnsi="Arial"/>
                <w:sz w:val="15"/>
                <w:szCs w:val="15"/>
                <w:color w:val="auto"/>
              </w:rPr>
              <w:t>479,828</w:t>
            </w:r>
          </w:p>
        </w:tc>
        <w:tc>
          <w:tcPr>
            <w:tcW w:w="1260" w:type="dxa"/>
            <w:vAlign w:val="bottom"/>
            <w:tcBorders>
              <w:top w:val="single" w:sz="8" w:color="477258"/>
            </w:tcBorders>
          </w:tcPr>
          <w:p>
            <w:pPr>
              <w:jc w:val="right"/>
              <w:ind w:right="244"/>
              <w:spacing w:after="0"/>
              <w:rPr>
                <w:sz w:val="20"/>
                <w:szCs w:val="20"/>
                <w:color w:val="auto"/>
              </w:rPr>
            </w:pPr>
            <w:r>
              <w:rPr>
                <w:rFonts w:ascii="Arial" w:cs="Arial" w:eastAsia="Arial" w:hAnsi="Arial"/>
                <w:sz w:val="15"/>
                <w:szCs w:val="15"/>
                <w:color w:val="auto"/>
              </w:rPr>
              <w:t>29,157</w:t>
            </w:r>
          </w:p>
        </w:tc>
        <w:tc>
          <w:tcPr>
            <w:tcW w:w="880" w:type="dxa"/>
            <w:vAlign w:val="bottom"/>
            <w:tcBorders>
              <w:top w:val="single" w:sz="8" w:color="477258"/>
            </w:tcBorders>
          </w:tcPr>
          <w:p>
            <w:pPr>
              <w:jc w:val="right"/>
              <w:spacing w:after="0"/>
              <w:rPr>
                <w:sz w:val="20"/>
                <w:szCs w:val="20"/>
                <w:color w:val="auto"/>
              </w:rPr>
            </w:pPr>
            <w:r>
              <w:rPr>
                <w:rFonts w:ascii="Arial" w:cs="Arial" w:eastAsia="Arial" w:hAnsi="Arial"/>
                <w:sz w:val="15"/>
                <w:szCs w:val="15"/>
                <w:color w:val="auto"/>
              </w:rPr>
              <w:t>2,989,755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31115</wp:posOffset>
            </wp:positionV>
            <wp:extent cx="57607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95" w:lineRule="exact"/>
        <w:rPr>
          <w:sz w:val="20"/>
          <w:szCs w:val="20"/>
          <w:color w:val="auto"/>
        </w:rPr>
      </w:pPr>
    </w:p>
    <w:p>
      <w:pPr>
        <w:jc w:val="both"/>
        <w:ind w:left="1180" w:hanging="364"/>
        <w:spacing w:after="0" w:line="251"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PSUs granted to all named executives annually. The grant date fair values were calculated in accordance with ASC Topic 718, as further described in Note 15 in the Notes to the Consolidated Financial Statements in our 2020 Annual Report on Form 10-K. The grant date fair value of a TSR PSU granted in 2020, based on a Monte Carlo valuation, is $180.68, and because total shareholder return is a market condition, projected achievement is embedded in the grant date fair value. The grant date fair value of a Cash Flow PSU granted in 2020 is $126.005, which is the average of the high and low market price of our Common Stock on the date of the grant, in accordance with our 2014 Stock Incentive Plan. The table below shows (a) the aggregate grant date fair value of Cash Flow PSUs assuming target level of performance is achieved (this is the amount included in the Stock Awards column in the Summary Compensation Table) and (b) the aggregate grant date fair value of the same PSUs assuming the Company will reach the highest level of achievement for this performance measure and maximum payouts will be earned.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-149860</wp:posOffset>
            </wp:positionV>
            <wp:extent cx="454660" cy="1200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54660" cy="12001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60" w:type="dxa"/>
            <w:vAlign w:val="bottom"/>
          </w:tcPr>
          <w:p>
            <w:pPr>
              <w:jc w:val="right"/>
              <w:ind w:right="56"/>
              <w:spacing w:after="0"/>
              <w:rPr>
                <w:sz w:val="20"/>
                <w:szCs w:val="20"/>
                <w:color w:val="auto"/>
              </w:rPr>
            </w:pPr>
            <w:r>
              <w:rPr>
                <w:rFonts w:ascii="Arial" w:cs="Arial" w:eastAsia="Arial" w:hAnsi="Arial"/>
                <w:sz w:val="14"/>
                <w:szCs w:val="14"/>
                <w:b w:val="1"/>
                <w:bCs w:val="1"/>
                <w:color w:val="477258"/>
              </w:rPr>
              <w:t>Aggregate Grant Date</w:t>
            </w:r>
          </w:p>
        </w:tc>
        <w:tc>
          <w:tcPr>
            <w:tcW w:w="1840" w:type="dxa"/>
            <w:vAlign w:val="bottom"/>
          </w:tcPr>
          <w:p>
            <w:pPr>
              <w:jc w:val="right"/>
              <w:ind w:right="16"/>
              <w:spacing w:after="0"/>
              <w:rPr>
                <w:sz w:val="20"/>
                <w:szCs w:val="20"/>
                <w:color w:val="auto"/>
              </w:rPr>
            </w:pPr>
            <w:r>
              <w:rPr>
                <w:rFonts w:ascii="Arial" w:cs="Arial" w:eastAsia="Arial" w:hAnsi="Arial"/>
                <w:sz w:val="14"/>
                <w:szCs w:val="14"/>
                <w:b w:val="1"/>
                <w:bCs w:val="1"/>
                <w:color w:val="477258"/>
              </w:rPr>
              <w:t>Aggregate Grant Date</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477258"/>
              </w:rPr>
              <w:t>Fair Value of Cash</w:t>
            </w:r>
          </w:p>
        </w:tc>
        <w:tc>
          <w:tcPr>
            <w:tcW w:w="1840" w:type="dxa"/>
            <w:vAlign w:val="bottom"/>
          </w:tcPr>
          <w:p>
            <w:pPr>
              <w:jc w:val="right"/>
              <w:ind w:right="16"/>
              <w:spacing w:after="0" w:line="135" w:lineRule="exact"/>
              <w:rPr>
                <w:sz w:val="20"/>
                <w:szCs w:val="20"/>
                <w:color w:val="auto"/>
              </w:rPr>
            </w:pPr>
            <w:r>
              <w:rPr>
                <w:rFonts w:ascii="Arial" w:cs="Arial" w:eastAsia="Arial" w:hAnsi="Arial"/>
                <w:sz w:val="14"/>
                <w:szCs w:val="14"/>
                <w:b w:val="1"/>
                <w:bCs w:val="1"/>
                <w:color w:val="477258"/>
              </w:rPr>
              <w:t>Fair Value of Cash</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477258"/>
              </w:rPr>
              <w:t>Flow PSUs</w:t>
            </w:r>
          </w:p>
        </w:tc>
        <w:tc>
          <w:tcPr>
            <w:tcW w:w="1840" w:type="dxa"/>
            <w:vAlign w:val="bottom"/>
          </w:tcPr>
          <w:p>
            <w:pPr>
              <w:jc w:val="right"/>
              <w:ind w:right="16"/>
              <w:spacing w:after="0" w:line="135" w:lineRule="exact"/>
              <w:rPr>
                <w:sz w:val="20"/>
                <w:szCs w:val="20"/>
                <w:color w:val="auto"/>
              </w:rPr>
            </w:pPr>
            <w:r>
              <w:rPr>
                <w:rFonts w:ascii="Arial" w:cs="Arial" w:eastAsia="Arial" w:hAnsi="Arial"/>
                <w:sz w:val="14"/>
                <w:szCs w:val="14"/>
                <w:b w:val="1"/>
                <w:bCs w:val="1"/>
                <w:color w:val="477258"/>
              </w:rPr>
              <w:t>Flow PSUs</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477258"/>
              </w:rPr>
              <w:t>Assuming Target</w:t>
            </w:r>
          </w:p>
        </w:tc>
        <w:tc>
          <w:tcPr>
            <w:tcW w:w="1840" w:type="dxa"/>
            <w:vAlign w:val="bottom"/>
          </w:tcPr>
          <w:p>
            <w:pPr>
              <w:jc w:val="right"/>
              <w:ind w:right="16"/>
              <w:spacing w:after="0" w:line="135" w:lineRule="exact"/>
              <w:rPr>
                <w:sz w:val="20"/>
                <w:szCs w:val="20"/>
                <w:color w:val="auto"/>
              </w:rPr>
            </w:pPr>
            <w:r>
              <w:rPr>
                <w:rFonts w:ascii="Arial" w:cs="Arial" w:eastAsia="Arial" w:hAnsi="Arial"/>
                <w:sz w:val="14"/>
                <w:szCs w:val="14"/>
                <w:b w:val="1"/>
                <w:bCs w:val="1"/>
                <w:color w:val="477258"/>
              </w:rPr>
              <w:t>Assuming Highest</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2280" w:type="dxa"/>
            <w:vAlign w:val="bottom"/>
            <w:vMerge w:val="restart"/>
          </w:tcPr>
          <w:p>
            <w:pPr>
              <w:jc w:val="center"/>
              <w:ind w:left="1631"/>
              <w:spacing w:after="0"/>
              <w:rPr>
                <w:sz w:val="20"/>
                <w:szCs w:val="20"/>
                <w:color w:val="auto"/>
              </w:rPr>
            </w:pPr>
            <w:r>
              <w:rPr>
                <w:rFonts w:ascii="Arial" w:cs="Arial" w:eastAsia="Arial" w:hAnsi="Arial"/>
                <w:sz w:val="14"/>
                <w:szCs w:val="14"/>
                <w:b w:val="1"/>
                <w:bCs w:val="1"/>
                <w:color w:val="477258"/>
              </w:rPr>
              <w:t>Year</w:t>
            </w:r>
          </w:p>
        </w:tc>
        <w:tc>
          <w:tcPr>
            <w:tcW w:w="186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477258"/>
              </w:rPr>
              <w:t>Level of Performance</w:t>
            </w:r>
          </w:p>
        </w:tc>
        <w:tc>
          <w:tcPr>
            <w:tcW w:w="1840" w:type="dxa"/>
            <w:vAlign w:val="bottom"/>
          </w:tcPr>
          <w:p>
            <w:pPr>
              <w:jc w:val="right"/>
              <w:ind w:right="16"/>
              <w:spacing w:after="0" w:line="135" w:lineRule="exact"/>
              <w:rPr>
                <w:sz w:val="20"/>
                <w:szCs w:val="20"/>
                <w:color w:val="auto"/>
              </w:rPr>
            </w:pPr>
            <w:r>
              <w:rPr>
                <w:rFonts w:ascii="Arial" w:cs="Arial" w:eastAsia="Arial" w:hAnsi="Arial"/>
                <w:sz w:val="14"/>
                <w:szCs w:val="14"/>
                <w:b w:val="1"/>
                <w:bCs w:val="1"/>
                <w:color w:val="477258"/>
              </w:rPr>
              <w:t>Level of Performance</w:t>
            </w:r>
          </w:p>
        </w:tc>
        <w:tc>
          <w:tcPr>
            <w:tcW w:w="0" w:type="dxa"/>
            <w:vAlign w:val="bottom"/>
          </w:tcPr>
          <w:p>
            <w:pPr>
              <w:spacing w:after="0"/>
              <w:rPr>
                <w:sz w:val="1"/>
                <w:szCs w:val="1"/>
                <w:color w:val="auto"/>
              </w:rPr>
            </w:pPr>
          </w:p>
        </w:tc>
      </w:tr>
      <w:tr>
        <w:trPr>
          <w:trHeight w:val="176"/>
        </w:trPr>
        <w:tc>
          <w:tcPr>
            <w:tcW w:w="3080" w:type="dxa"/>
            <w:vAlign w:val="bottom"/>
            <w:tcBorders>
              <w:bottom w:val="single" w:sz="8" w:color="477258"/>
            </w:tcBorders>
          </w:tcPr>
          <w:p>
            <w:pPr>
              <w:spacing w:after="0"/>
              <w:rPr>
                <w:sz w:val="15"/>
                <w:szCs w:val="15"/>
                <w:color w:val="auto"/>
              </w:rPr>
            </w:pPr>
          </w:p>
        </w:tc>
        <w:tc>
          <w:tcPr>
            <w:tcW w:w="2280" w:type="dxa"/>
            <w:vAlign w:val="bottom"/>
            <w:tcBorders>
              <w:bottom w:val="single" w:sz="8" w:color="477258"/>
            </w:tcBorders>
            <w:vMerge w:val="continue"/>
          </w:tcPr>
          <w:p>
            <w:pPr>
              <w:spacing w:after="0"/>
              <w:rPr>
                <w:sz w:val="15"/>
                <w:szCs w:val="15"/>
                <w:color w:val="auto"/>
              </w:rPr>
            </w:pPr>
          </w:p>
        </w:tc>
        <w:tc>
          <w:tcPr>
            <w:tcW w:w="1860" w:type="dxa"/>
            <w:vAlign w:val="bottom"/>
            <w:tcBorders>
              <w:bottom w:val="single" w:sz="8" w:color="477258"/>
            </w:tcBorders>
          </w:tcPr>
          <w:p>
            <w:pPr>
              <w:jc w:val="right"/>
              <w:ind w:right="16"/>
              <w:spacing w:after="0"/>
              <w:rPr>
                <w:sz w:val="20"/>
                <w:szCs w:val="20"/>
                <w:color w:val="auto"/>
              </w:rPr>
            </w:pPr>
            <w:r>
              <w:rPr>
                <w:rFonts w:ascii="Arial" w:cs="Arial" w:eastAsia="Arial" w:hAnsi="Arial"/>
                <w:sz w:val="14"/>
                <w:szCs w:val="14"/>
                <w:b w:val="1"/>
                <w:bCs w:val="1"/>
                <w:color w:val="477258"/>
              </w:rPr>
              <w:t>Achieved ($)</w:t>
            </w:r>
          </w:p>
        </w:tc>
        <w:tc>
          <w:tcPr>
            <w:tcW w:w="184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Achieved ($)</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Mr. Fish</w:t>
            </w:r>
          </w:p>
        </w:tc>
        <w:tc>
          <w:tcPr>
            <w:tcW w:w="2280" w:type="dxa"/>
            <w:vAlign w:val="bottom"/>
            <w:tcBorders>
              <w:bottom w:val="single" w:sz="8" w:color="477258"/>
            </w:tcBorders>
            <w:shd w:val="clear" w:color="auto" w:fill="CCEEFF"/>
          </w:tcPr>
          <w:p>
            <w:pPr>
              <w:jc w:val="center"/>
              <w:ind w:left="1591"/>
              <w:spacing w:after="0"/>
              <w:rPr>
                <w:sz w:val="20"/>
                <w:szCs w:val="20"/>
                <w:color w:val="auto"/>
              </w:rPr>
            </w:pPr>
            <w:r>
              <w:rPr>
                <w:rFonts w:ascii="Arial" w:cs="Arial" w:eastAsia="Arial" w:hAnsi="Arial"/>
                <w:sz w:val="18"/>
                <w:szCs w:val="18"/>
                <w:color w:val="auto"/>
                <w:w w:val="99"/>
              </w:rPr>
              <w:t>2020</w:t>
            </w:r>
          </w:p>
        </w:tc>
        <w:tc>
          <w:tcPr>
            <w:tcW w:w="1860" w:type="dxa"/>
            <w:vAlign w:val="bottom"/>
            <w:tcBorders>
              <w:bottom w:val="single" w:sz="8" w:color="477258"/>
            </w:tcBorders>
            <w:shd w:val="clear" w:color="auto" w:fill="CCEEFF"/>
          </w:tcPr>
          <w:p>
            <w:pPr>
              <w:jc w:val="right"/>
              <w:ind w:right="376"/>
              <w:spacing w:after="0"/>
              <w:rPr>
                <w:sz w:val="20"/>
                <w:szCs w:val="20"/>
                <w:color w:val="auto"/>
              </w:rPr>
            </w:pPr>
            <w:r>
              <w:rPr>
                <w:rFonts w:ascii="Arial" w:cs="Arial" w:eastAsia="Arial" w:hAnsi="Arial"/>
                <w:sz w:val="18"/>
                <w:szCs w:val="18"/>
                <w:color w:val="auto"/>
              </w:rPr>
              <w:t>3,332,328</w:t>
            </w:r>
          </w:p>
        </w:tc>
        <w:tc>
          <w:tcPr>
            <w:tcW w:w="1840" w:type="dxa"/>
            <w:vAlign w:val="bottom"/>
            <w:tcBorders>
              <w:bottom w:val="single" w:sz="8" w:color="477258"/>
            </w:tcBorders>
            <w:shd w:val="clear" w:color="auto" w:fill="CCEEFF"/>
          </w:tcPr>
          <w:p>
            <w:pPr>
              <w:jc w:val="right"/>
              <w:ind w:right="336"/>
              <w:spacing w:after="0"/>
              <w:rPr>
                <w:sz w:val="20"/>
                <w:szCs w:val="20"/>
                <w:color w:val="auto"/>
              </w:rPr>
            </w:pPr>
            <w:r>
              <w:rPr>
                <w:rFonts w:ascii="Arial" w:cs="Arial" w:eastAsia="Arial" w:hAnsi="Arial"/>
                <w:sz w:val="18"/>
                <w:szCs w:val="18"/>
                <w:color w:val="auto"/>
              </w:rPr>
              <w:t>6,664,656</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477258"/>
            </w:tcBorders>
          </w:tcPr>
          <w:p>
            <w:pPr>
              <w:spacing w:after="0"/>
              <w:rPr>
                <w:sz w:val="18"/>
                <w:szCs w:val="18"/>
                <w:color w:val="auto"/>
              </w:rPr>
            </w:pPr>
          </w:p>
        </w:tc>
        <w:tc>
          <w:tcPr>
            <w:tcW w:w="2280" w:type="dxa"/>
            <w:vAlign w:val="bottom"/>
            <w:tcBorders>
              <w:bottom w:val="single" w:sz="8" w:color="477258"/>
            </w:tcBorders>
          </w:tcPr>
          <w:p>
            <w:pPr>
              <w:jc w:val="center"/>
              <w:ind w:left="1591"/>
              <w:spacing w:after="0"/>
              <w:rPr>
                <w:sz w:val="20"/>
                <w:szCs w:val="20"/>
                <w:color w:val="auto"/>
              </w:rPr>
            </w:pPr>
            <w:r>
              <w:rPr>
                <w:rFonts w:ascii="Arial" w:cs="Arial" w:eastAsia="Arial" w:hAnsi="Arial"/>
                <w:sz w:val="18"/>
                <w:szCs w:val="18"/>
                <w:color w:val="auto"/>
                <w:w w:val="99"/>
              </w:rPr>
              <w:t>2019</w:t>
            </w:r>
          </w:p>
        </w:tc>
        <w:tc>
          <w:tcPr>
            <w:tcW w:w="1860" w:type="dxa"/>
            <w:vAlign w:val="bottom"/>
            <w:tcBorders>
              <w:bottom w:val="single" w:sz="8" w:color="477258"/>
            </w:tcBorders>
          </w:tcPr>
          <w:p>
            <w:pPr>
              <w:jc w:val="right"/>
              <w:ind w:right="376"/>
              <w:spacing w:after="0"/>
              <w:rPr>
                <w:sz w:val="20"/>
                <w:szCs w:val="20"/>
                <w:color w:val="auto"/>
              </w:rPr>
            </w:pPr>
            <w:r>
              <w:rPr>
                <w:rFonts w:ascii="Arial" w:cs="Arial" w:eastAsia="Arial" w:hAnsi="Arial"/>
                <w:sz w:val="18"/>
                <w:szCs w:val="18"/>
                <w:color w:val="auto"/>
              </w:rPr>
              <w:t>2,914,920</w:t>
            </w:r>
          </w:p>
        </w:tc>
        <w:tc>
          <w:tcPr>
            <w:tcW w:w="1840" w:type="dxa"/>
            <w:vAlign w:val="bottom"/>
            <w:tcBorders>
              <w:bottom w:val="single" w:sz="8" w:color="477258"/>
            </w:tcBorders>
          </w:tcPr>
          <w:p>
            <w:pPr>
              <w:jc w:val="right"/>
              <w:ind w:right="336"/>
              <w:spacing w:after="0"/>
              <w:rPr>
                <w:sz w:val="20"/>
                <w:szCs w:val="20"/>
                <w:color w:val="auto"/>
              </w:rPr>
            </w:pPr>
            <w:r>
              <w:rPr>
                <w:rFonts w:ascii="Arial" w:cs="Arial" w:eastAsia="Arial" w:hAnsi="Arial"/>
                <w:sz w:val="18"/>
                <w:szCs w:val="18"/>
                <w:color w:val="auto"/>
              </w:rPr>
              <w:t>5,829,840</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477258"/>
            </w:tcBorders>
            <w:shd w:val="clear" w:color="auto" w:fill="CCEEFF"/>
          </w:tcPr>
          <w:p>
            <w:pPr>
              <w:spacing w:after="0"/>
              <w:rPr>
                <w:sz w:val="18"/>
                <w:szCs w:val="18"/>
                <w:color w:val="auto"/>
              </w:rPr>
            </w:pPr>
          </w:p>
        </w:tc>
        <w:tc>
          <w:tcPr>
            <w:tcW w:w="2280" w:type="dxa"/>
            <w:vAlign w:val="bottom"/>
            <w:tcBorders>
              <w:bottom w:val="single" w:sz="8" w:color="477258"/>
            </w:tcBorders>
            <w:shd w:val="clear" w:color="auto" w:fill="CCEEFF"/>
          </w:tcPr>
          <w:p>
            <w:pPr>
              <w:jc w:val="center"/>
              <w:ind w:left="1591"/>
              <w:spacing w:after="0"/>
              <w:rPr>
                <w:sz w:val="20"/>
                <w:szCs w:val="20"/>
                <w:color w:val="auto"/>
              </w:rPr>
            </w:pPr>
            <w:r>
              <w:rPr>
                <w:rFonts w:ascii="Arial" w:cs="Arial" w:eastAsia="Arial" w:hAnsi="Arial"/>
                <w:sz w:val="18"/>
                <w:szCs w:val="18"/>
                <w:color w:val="auto"/>
                <w:w w:val="99"/>
              </w:rPr>
              <w:t>2018</w:t>
            </w:r>
          </w:p>
        </w:tc>
        <w:tc>
          <w:tcPr>
            <w:tcW w:w="1860" w:type="dxa"/>
            <w:vAlign w:val="bottom"/>
            <w:tcBorders>
              <w:bottom w:val="single" w:sz="8" w:color="477258"/>
            </w:tcBorders>
            <w:shd w:val="clear" w:color="auto" w:fill="CCEEFF"/>
          </w:tcPr>
          <w:p>
            <w:pPr>
              <w:jc w:val="right"/>
              <w:ind w:right="376"/>
              <w:spacing w:after="0"/>
              <w:rPr>
                <w:sz w:val="20"/>
                <w:szCs w:val="20"/>
                <w:color w:val="auto"/>
              </w:rPr>
            </w:pPr>
            <w:r>
              <w:rPr>
                <w:rFonts w:ascii="Arial" w:cs="Arial" w:eastAsia="Arial" w:hAnsi="Arial"/>
                <w:sz w:val="18"/>
                <w:szCs w:val="18"/>
                <w:color w:val="auto"/>
              </w:rPr>
              <w:t>2,354,189</w:t>
            </w:r>
          </w:p>
        </w:tc>
        <w:tc>
          <w:tcPr>
            <w:tcW w:w="1840" w:type="dxa"/>
            <w:vAlign w:val="bottom"/>
            <w:tcBorders>
              <w:bottom w:val="single" w:sz="8" w:color="477258"/>
            </w:tcBorders>
            <w:shd w:val="clear" w:color="auto" w:fill="CCEEFF"/>
          </w:tcPr>
          <w:p>
            <w:pPr>
              <w:jc w:val="right"/>
              <w:ind w:right="336"/>
              <w:spacing w:after="0"/>
              <w:rPr>
                <w:sz w:val="20"/>
                <w:szCs w:val="20"/>
                <w:color w:val="auto"/>
              </w:rPr>
            </w:pPr>
            <w:r>
              <w:rPr>
                <w:rFonts w:ascii="Arial" w:cs="Arial" w:eastAsia="Arial" w:hAnsi="Arial"/>
                <w:sz w:val="18"/>
                <w:szCs w:val="18"/>
                <w:color w:val="auto"/>
              </w:rPr>
              <w:t>4,708,378</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color w:val="auto"/>
              </w:rPr>
              <w:t>Ms. Rankin</w:t>
            </w:r>
          </w:p>
        </w:tc>
        <w:tc>
          <w:tcPr>
            <w:tcW w:w="2280" w:type="dxa"/>
            <w:vAlign w:val="bottom"/>
            <w:tcBorders>
              <w:bottom w:val="single" w:sz="8" w:color="477258"/>
            </w:tcBorders>
          </w:tcPr>
          <w:p>
            <w:pPr>
              <w:jc w:val="center"/>
              <w:ind w:left="1591"/>
              <w:spacing w:after="0"/>
              <w:rPr>
                <w:sz w:val="20"/>
                <w:szCs w:val="20"/>
                <w:color w:val="auto"/>
              </w:rPr>
            </w:pPr>
            <w:r>
              <w:rPr>
                <w:rFonts w:ascii="Arial" w:cs="Arial" w:eastAsia="Arial" w:hAnsi="Arial"/>
                <w:sz w:val="18"/>
                <w:szCs w:val="18"/>
                <w:color w:val="auto"/>
                <w:w w:val="99"/>
              </w:rPr>
              <w:t>2020</w:t>
            </w:r>
          </w:p>
        </w:tc>
        <w:tc>
          <w:tcPr>
            <w:tcW w:w="1860" w:type="dxa"/>
            <w:vAlign w:val="bottom"/>
            <w:tcBorders>
              <w:bottom w:val="single" w:sz="8" w:color="477258"/>
            </w:tcBorders>
          </w:tcPr>
          <w:p>
            <w:pPr>
              <w:jc w:val="right"/>
              <w:ind w:right="376"/>
              <w:spacing w:after="0"/>
              <w:rPr>
                <w:sz w:val="20"/>
                <w:szCs w:val="20"/>
                <w:color w:val="auto"/>
              </w:rPr>
            </w:pPr>
            <w:r>
              <w:rPr>
                <w:rFonts w:ascii="Arial" w:cs="Arial" w:eastAsia="Arial" w:hAnsi="Arial"/>
                <w:sz w:val="18"/>
                <w:szCs w:val="18"/>
                <w:color w:val="auto"/>
              </w:rPr>
              <w:t>833,145</w:t>
            </w:r>
          </w:p>
        </w:tc>
        <w:tc>
          <w:tcPr>
            <w:tcW w:w="1840" w:type="dxa"/>
            <w:vAlign w:val="bottom"/>
            <w:tcBorders>
              <w:bottom w:val="single" w:sz="8" w:color="477258"/>
            </w:tcBorders>
          </w:tcPr>
          <w:p>
            <w:pPr>
              <w:jc w:val="right"/>
              <w:ind w:right="336"/>
              <w:spacing w:after="0"/>
              <w:rPr>
                <w:sz w:val="20"/>
                <w:szCs w:val="20"/>
                <w:color w:val="auto"/>
              </w:rPr>
            </w:pPr>
            <w:r>
              <w:rPr>
                <w:rFonts w:ascii="Arial" w:cs="Arial" w:eastAsia="Arial" w:hAnsi="Arial"/>
                <w:sz w:val="18"/>
                <w:szCs w:val="18"/>
                <w:color w:val="auto"/>
              </w:rPr>
              <w:t>1,666,290</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477258"/>
            </w:tcBorders>
            <w:shd w:val="clear" w:color="auto" w:fill="CCEEFF"/>
          </w:tcPr>
          <w:p>
            <w:pPr>
              <w:spacing w:after="0"/>
              <w:rPr>
                <w:sz w:val="18"/>
                <w:szCs w:val="18"/>
                <w:color w:val="auto"/>
              </w:rPr>
            </w:pPr>
          </w:p>
        </w:tc>
        <w:tc>
          <w:tcPr>
            <w:tcW w:w="2280" w:type="dxa"/>
            <w:vAlign w:val="bottom"/>
            <w:tcBorders>
              <w:bottom w:val="single" w:sz="8" w:color="477258"/>
            </w:tcBorders>
            <w:shd w:val="clear" w:color="auto" w:fill="CCEEFF"/>
          </w:tcPr>
          <w:p>
            <w:pPr>
              <w:jc w:val="center"/>
              <w:ind w:left="1591"/>
              <w:spacing w:after="0"/>
              <w:rPr>
                <w:sz w:val="20"/>
                <w:szCs w:val="20"/>
                <w:color w:val="auto"/>
              </w:rPr>
            </w:pPr>
            <w:r>
              <w:rPr>
                <w:rFonts w:ascii="Arial" w:cs="Arial" w:eastAsia="Arial" w:hAnsi="Arial"/>
                <w:sz w:val="18"/>
                <w:szCs w:val="18"/>
                <w:color w:val="auto"/>
                <w:w w:val="99"/>
              </w:rPr>
              <w:t>2019</w:t>
            </w:r>
          </w:p>
        </w:tc>
        <w:tc>
          <w:tcPr>
            <w:tcW w:w="1860" w:type="dxa"/>
            <w:vAlign w:val="bottom"/>
            <w:tcBorders>
              <w:bottom w:val="single" w:sz="8" w:color="477258"/>
            </w:tcBorders>
            <w:shd w:val="clear" w:color="auto" w:fill="CCEEFF"/>
          </w:tcPr>
          <w:p>
            <w:pPr>
              <w:jc w:val="right"/>
              <w:ind w:right="376"/>
              <w:spacing w:after="0"/>
              <w:rPr>
                <w:sz w:val="20"/>
                <w:szCs w:val="20"/>
                <w:color w:val="auto"/>
              </w:rPr>
            </w:pPr>
            <w:r>
              <w:rPr>
                <w:rFonts w:ascii="Arial" w:cs="Arial" w:eastAsia="Arial" w:hAnsi="Arial"/>
                <w:sz w:val="18"/>
                <w:szCs w:val="18"/>
                <w:color w:val="auto"/>
              </w:rPr>
              <w:t>832,820</w:t>
            </w:r>
          </w:p>
        </w:tc>
        <w:tc>
          <w:tcPr>
            <w:tcW w:w="1840" w:type="dxa"/>
            <w:vAlign w:val="bottom"/>
            <w:tcBorders>
              <w:bottom w:val="single" w:sz="8" w:color="477258"/>
            </w:tcBorders>
            <w:shd w:val="clear" w:color="auto" w:fill="CCEEFF"/>
          </w:tcPr>
          <w:p>
            <w:pPr>
              <w:jc w:val="right"/>
              <w:ind w:right="336"/>
              <w:spacing w:after="0"/>
              <w:rPr>
                <w:sz w:val="20"/>
                <w:szCs w:val="20"/>
                <w:color w:val="auto"/>
              </w:rPr>
            </w:pPr>
            <w:r>
              <w:rPr>
                <w:rFonts w:ascii="Arial" w:cs="Arial" w:eastAsia="Arial" w:hAnsi="Arial"/>
                <w:sz w:val="18"/>
                <w:szCs w:val="18"/>
                <w:color w:val="auto"/>
              </w:rPr>
              <w:t>1,665,640</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477258"/>
            </w:tcBorders>
          </w:tcPr>
          <w:p>
            <w:pPr>
              <w:spacing w:after="0"/>
              <w:rPr>
                <w:sz w:val="18"/>
                <w:szCs w:val="18"/>
                <w:color w:val="auto"/>
              </w:rPr>
            </w:pPr>
          </w:p>
        </w:tc>
        <w:tc>
          <w:tcPr>
            <w:tcW w:w="2280" w:type="dxa"/>
            <w:vAlign w:val="bottom"/>
            <w:tcBorders>
              <w:bottom w:val="single" w:sz="8" w:color="477258"/>
            </w:tcBorders>
          </w:tcPr>
          <w:p>
            <w:pPr>
              <w:jc w:val="center"/>
              <w:ind w:left="1591"/>
              <w:spacing w:after="0"/>
              <w:rPr>
                <w:sz w:val="20"/>
                <w:szCs w:val="20"/>
                <w:color w:val="auto"/>
              </w:rPr>
            </w:pPr>
            <w:r>
              <w:rPr>
                <w:rFonts w:ascii="Arial" w:cs="Arial" w:eastAsia="Arial" w:hAnsi="Arial"/>
                <w:sz w:val="18"/>
                <w:szCs w:val="18"/>
                <w:color w:val="auto"/>
                <w:w w:val="99"/>
              </w:rPr>
              <w:t>2018</w:t>
            </w:r>
          </w:p>
        </w:tc>
        <w:tc>
          <w:tcPr>
            <w:tcW w:w="1860" w:type="dxa"/>
            <w:vAlign w:val="bottom"/>
            <w:tcBorders>
              <w:bottom w:val="single" w:sz="8" w:color="477258"/>
            </w:tcBorders>
          </w:tcPr>
          <w:p>
            <w:pPr>
              <w:jc w:val="right"/>
              <w:ind w:right="376"/>
              <w:spacing w:after="0"/>
              <w:rPr>
                <w:sz w:val="20"/>
                <w:szCs w:val="20"/>
                <w:color w:val="auto"/>
              </w:rPr>
            </w:pPr>
            <w:r>
              <w:rPr>
                <w:rFonts w:ascii="Arial" w:cs="Arial" w:eastAsia="Arial" w:hAnsi="Arial"/>
                <w:sz w:val="18"/>
                <w:szCs w:val="18"/>
                <w:color w:val="auto"/>
              </w:rPr>
              <w:t>667,017</w:t>
            </w:r>
          </w:p>
        </w:tc>
        <w:tc>
          <w:tcPr>
            <w:tcW w:w="1840" w:type="dxa"/>
            <w:vAlign w:val="bottom"/>
            <w:tcBorders>
              <w:bottom w:val="single" w:sz="8" w:color="477258"/>
            </w:tcBorders>
          </w:tcPr>
          <w:p>
            <w:pPr>
              <w:jc w:val="right"/>
              <w:ind w:right="336"/>
              <w:spacing w:after="0"/>
              <w:rPr>
                <w:sz w:val="20"/>
                <w:szCs w:val="20"/>
                <w:color w:val="auto"/>
              </w:rPr>
            </w:pPr>
            <w:r>
              <w:rPr>
                <w:rFonts w:ascii="Arial" w:cs="Arial" w:eastAsia="Arial" w:hAnsi="Arial"/>
                <w:sz w:val="18"/>
                <w:szCs w:val="18"/>
                <w:color w:val="auto"/>
              </w:rPr>
              <w:t>1,334,034</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Mr. Morris</w:t>
            </w:r>
          </w:p>
        </w:tc>
        <w:tc>
          <w:tcPr>
            <w:tcW w:w="2280" w:type="dxa"/>
            <w:vAlign w:val="bottom"/>
            <w:tcBorders>
              <w:bottom w:val="single" w:sz="8" w:color="477258"/>
            </w:tcBorders>
            <w:shd w:val="clear" w:color="auto" w:fill="CCEEFF"/>
          </w:tcPr>
          <w:p>
            <w:pPr>
              <w:jc w:val="center"/>
              <w:ind w:left="1591"/>
              <w:spacing w:after="0"/>
              <w:rPr>
                <w:sz w:val="20"/>
                <w:szCs w:val="20"/>
                <w:color w:val="auto"/>
              </w:rPr>
            </w:pPr>
            <w:r>
              <w:rPr>
                <w:rFonts w:ascii="Arial" w:cs="Arial" w:eastAsia="Arial" w:hAnsi="Arial"/>
                <w:sz w:val="18"/>
                <w:szCs w:val="18"/>
                <w:color w:val="auto"/>
                <w:w w:val="99"/>
              </w:rPr>
              <w:t>2020</w:t>
            </w:r>
          </w:p>
        </w:tc>
        <w:tc>
          <w:tcPr>
            <w:tcW w:w="1860" w:type="dxa"/>
            <w:vAlign w:val="bottom"/>
            <w:tcBorders>
              <w:bottom w:val="single" w:sz="8" w:color="477258"/>
            </w:tcBorders>
            <w:shd w:val="clear" w:color="auto" w:fill="CCEEFF"/>
          </w:tcPr>
          <w:p>
            <w:pPr>
              <w:jc w:val="right"/>
              <w:ind w:right="376"/>
              <w:spacing w:after="0"/>
              <w:rPr>
                <w:sz w:val="20"/>
                <w:szCs w:val="20"/>
                <w:color w:val="auto"/>
              </w:rPr>
            </w:pPr>
            <w:r>
              <w:rPr>
                <w:rFonts w:ascii="Arial" w:cs="Arial" w:eastAsia="Arial" w:hAnsi="Arial"/>
                <w:sz w:val="18"/>
                <w:szCs w:val="18"/>
                <w:color w:val="auto"/>
              </w:rPr>
              <w:t>916,434</w:t>
            </w:r>
          </w:p>
        </w:tc>
        <w:tc>
          <w:tcPr>
            <w:tcW w:w="1840" w:type="dxa"/>
            <w:vAlign w:val="bottom"/>
            <w:tcBorders>
              <w:bottom w:val="single" w:sz="8" w:color="477258"/>
            </w:tcBorders>
            <w:shd w:val="clear" w:color="auto" w:fill="CCEEFF"/>
          </w:tcPr>
          <w:p>
            <w:pPr>
              <w:jc w:val="right"/>
              <w:ind w:right="336"/>
              <w:spacing w:after="0"/>
              <w:rPr>
                <w:sz w:val="20"/>
                <w:szCs w:val="20"/>
                <w:color w:val="auto"/>
              </w:rPr>
            </w:pPr>
            <w:r>
              <w:rPr>
                <w:rFonts w:ascii="Arial" w:cs="Arial" w:eastAsia="Arial" w:hAnsi="Arial"/>
                <w:sz w:val="18"/>
                <w:szCs w:val="18"/>
                <w:color w:val="auto"/>
              </w:rPr>
              <w:t>1,832,869</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477258"/>
            </w:tcBorders>
          </w:tcPr>
          <w:p>
            <w:pPr>
              <w:spacing w:after="0"/>
              <w:rPr>
                <w:sz w:val="18"/>
                <w:szCs w:val="18"/>
                <w:color w:val="auto"/>
              </w:rPr>
            </w:pPr>
          </w:p>
        </w:tc>
        <w:tc>
          <w:tcPr>
            <w:tcW w:w="2280" w:type="dxa"/>
            <w:vAlign w:val="bottom"/>
            <w:tcBorders>
              <w:bottom w:val="single" w:sz="8" w:color="477258"/>
            </w:tcBorders>
          </w:tcPr>
          <w:p>
            <w:pPr>
              <w:jc w:val="center"/>
              <w:ind w:left="1591"/>
              <w:spacing w:after="0"/>
              <w:rPr>
                <w:sz w:val="20"/>
                <w:szCs w:val="20"/>
                <w:color w:val="auto"/>
              </w:rPr>
            </w:pPr>
            <w:r>
              <w:rPr>
                <w:rFonts w:ascii="Arial" w:cs="Arial" w:eastAsia="Arial" w:hAnsi="Arial"/>
                <w:sz w:val="18"/>
                <w:szCs w:val="18"/>
                <w:color w:val="auto"/>
                <w:w w:val="99"/>
              </w:rPr>
              <w:t>2019</w:t>
            </w:r>
          </w:p>
        </w:tc>
        <w:tc>
          <w:tcPr>
            <w:tcW w:w="1860" w:type="dxa"/>
            <w:vAlign w:val="bottom"/>
            <w:tcBorders>
              <w:bottom w:val="single" w:sz="8" w:color="477258"/>
            </w:tcBorders>
          </w:tcPr>
          <w:p>
            <w:pPr>
              <w:jc w:val="right"/>
              <w:ind w:right="376"/>
              <w:spacing w:after="0"/>
              <w:rPr>
                <w:sz w:val="20"/>
                <w:szCs w:val="20"/>
                <w:color w:val="auto"/>
              </w:rPr>
            </w:pPr>
            <w:r>
              <w:rPr>
                <w:rFonts w:ascii="Arial" w:cs="Arial" w:eastAsia="Arial" w:hAnsi="Arial"/>
                <w:sz w:val="18"/>
                <w:szCs w:val="18"/>
                <w:color w:val="auto"/>
              </w:rPr>
              <w:t>916,092</w:t>
            </w:r>
          </w:p>
        </w:tc>
        <w:tc>
          <w:tcPr>
            <w:tcW w:w="1840" w:type="dxa"/>
            <w:vAlign w:val="bottom"/>
            <w:tcBorders>
              <w:bottom w:val="single" w:sz="8" w:color="477258"/>
            </w:tcBorders>
          </w:tcPr>
          <w:p>
            <w:pPr>
              <w:jc w:val="right"/>
              <w:ind w:right="336"/>
              <w:spacing w:after="0"/>
              <w:rPr>
                <w:sz w:val="20"/>
                <w:szCs w:val="20"/>
                <w:color w:val="auto"/>
              </w:rPr>
            </w:pPr>
            <w:r>
              <w:rPr>
                <w:rFonts w:ascii="Arial" w:cs="Arial" w:eastAsia="Arial" w:hAnsi="Arial"/>
                <w:sz w:val="18"/>
                <w:szCs w:val="18"/>
                <w:color w:val="auto"/>
              </w:rPr>
              <w:t>1,832,184</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477258"/>
            </w:tcBorders>
            <w:shd w:val="clear" w:color="auto" w:fill="CCEEFF"/>
          </w:tcPr>
          <w:p>
            <w:pPr>
              <w:spacing w:after="0"/>
              <w:rPr>
                <w:sz w:val="18"/>
                <w:szCs w:val="18"/>
                <w:color w:val="auto"/>
              </w:rPr>
            </w:pPr>
          </w:p>
        </w:tc>
        <w:tc>
          <w:tcPr>
            <w:tcW w:w="2280" w:type="dxa"/>
            <w:vAlign w:val="bottom"/>
            <w:tcBorders>
              <w:bottom w:val="single" w:sz="8" w:color="477258"/>
            </w:tcBorders>
            <w:shd w:val="clear" w:color="auto" w:fill="CCEEFF"/>
          </w:tcPr>
          <w:p>
            <w:pPr>
              <w:jc w:val="center"/>
              <w:ind w:left="1591"/>
              <w:spacing w:after="0"/>
              <w:rPr>
                <w:sz w:val="20"/>
                <w:szCs w:val="20"/>
                <w:color w:val="auto"/>
              </w:rPr>
            </w:pPr>
            <w:r>
              <w:rPr>
                <w:rFonts w:ascii="Arial" w:cs="Arial" w:eastAsia="Arial" w:hAnsi="Arial"/>
                <w:sz w:val="18"/>
                <w:szCs w:val="18"/>
                <w:color w:val="auto"/>
                <w:w w:val="99"/>
              </w:rPr>
              <w:t>2018</w:t>
            </w:r>
          </w:p>
        </w:tc>
        <w:tc>
          <w:tcPr>
            <w:tcW w:w="1860" w:type="dxa"/>
            <w:vAlign w:val="bottom"/>
            <w:tcBorders>
              <w:bottom w:val="single" w:sz="8" w:color="477258"/>
            </w:tcBorders>
            <w:shd w:val="clear" w:color="auto" w:fill="CCEEFF"/>
          </w:tcPr>
          <w:p>
            <w:pPr>
              <w:jc w:val="right"/>
              <w:ind w:right="376"/>
              <w:spacing w:after="0"/>
              <w:rPr>
                <w:sz w:val="20"/>
                <w:szCs w:val="20"/>
                <w:color w:val="auto"/>
              </w:rPr>
            </w:pPr>
            <w:r>
              <w:rPr>
                <w:rFonts w:ascii="Arial" w:cs="Arial" w:eastAsia="Arial" w:hAnsi="Arial"/>
                <w:sz w:val="18"/>
                <w:szCs w:val="18"/>
                <w:color w:val="auto"/>
              </w:rPr>
              <w:t>706,274</w:t>
            </w:r>
          </w:p>
        </w:tc>
        <w:tc>
          <w:tcPr>
            <w:tcW w:w="1840" w:type="dxa"/>
            <w:vAlign w:val="bottom"/>
            <w:tcBorders>
              <w:bottom w:val="single" w:sz="8" w:color="477258"/>
            </w:tcBorders>
            <w:shd w:val="clear" w:color="auto" w:fill="CCEEFF"/>
          </w:tcPr>
          <w:p>
            <w:pPr>
              <w:jc w:val="right"/>
              <w:ind w:right="336"/>
              <w:spacing w:after="0"/>
              <w:rPr>
                <w:sz w:val="20"/>
                <w:szCs w:val="20"/>
                <w:color w:val="auto"/>
              </w:rPr>
            </w:pPr>
            <w:r>
              <w:rPr>
                <w:rFonts w:ascii="Arial" w:cs="Arial" w:eastAsia="Arial" w:hAnsi="Arial"/>
                <w:sz w:val="18"/>
                <w:szCs w:val="18"/>
                <w:color w:val="auto"/>
              </w:rPr>
              <w:t>1,412,548</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color w:val="auto"/>
              </w:rPr>
              <w:t>Ms. Hemmer</w:t>
            </w:r>
          </w:p>
        </w:tc>
        <w:tc>
          <w:tcPr>
            <w:tcW w:w="2280" w:type="dxa"/>
            <w:vAlign w:val="bottom"/>
            <w:tcBorders>
              <w:bottom w:val="single" w:sz="8" w:color="477258"/>
            </w:tcBorders>
          </w:tcPr>
          <w:p>
            <w:pPr>
              <w:jc w:val="center"/>
              <w:ind w:left="1591"/>
              <w:spacing w:after="0"/>
              <w:rPr>
                <w:sz w:val="20"/>
                <w:szCs w:val="20"/>
                <w:color w:val="auto"/>
              </w:rPr>
            </w:pPr>
            <w:r>
              <w:rPr>
                <w:rFonts w:ascii="Arial" w:cs="Arial" w:eastAsia="Arial" w:hAnsi="Arial"/>
                <w:sz w:val="18"/>
                <w:szCs w:val="18"/>
                <w:color w:val="auto"/>
                <w:w w:val="99"/>
              </w:rPr>
              <w:t>2020</w:t>
            </w:r>
          </w:p>
        </w:tc>
        <w:tc>
          <w:tcPr>
            <w:tcW w:w="1860" w:type="dxa"/>
            <w:vAlign w:val="bottom"/>
            <w:tcBorders>
              <w:bottom w:val="single" w:sz="8" w:color="477258"/>
            </w:tcBorders>
          </w:tcPr>
          <w:p>
            <w:pPr>
              <w:jc w:val="right"/>
              <w:ind w:right="376"/>
              <w:spacing w:after="0"/>
              <w:rPr>
                <w:sz w:val="20"/>
                <w:szCs w:val="20"/>
                <w:color w:val="auto"/>
              </w:rPr>
            </w:pPr>
            <w:r>
              <w:rPr>
                <w:rFonts w:ascii="Arial" w:cs="Arial" w:eastAsia="Arial" w:hAnsi="Arial"/>
                <w:sz w:val="18"/>
                <w:szCs w:val="18"/>
                <w:color w:val="auto"/>
              </w:rPr>
              <w:t>687,357</w:t>
            </w:r>
          </w:p>
        </w:tc>
        <w:tc>
          <w:tcPr>
            <w:tcW w:w="1840" w:type="dxa"/>
            <w:vAlign w:val="bottom"/>
            <w:tcBorders>
              <w:bottom w:val="single" w:sz="8" w:color="477258"/>
            </w:tcBorders>
          </w:tcPr>
          <w:p>
            <w:pPr>
              <w:jc w:val="right"/>
              <w:ind w:right="336"/>
              <w:spacing w:after="0"/>
              <w:rPr>
                <w:sz w:val="20"/>
                <w:szCs w:val="20"/>
                <w:color w:val="auto"/>
              </w:rPr>
            </w:pPr>
            <w:r>
              <w:rPr>
                <w:rFonts w:ascii="Arial" w:cs="Arial" w:eastAsia="Arial" w:hAnsi="Arial"/>
                <w:sz w:val="18"/>
                <w:szCs w:val="18"/>
                <w:color w:val="auto"/>
              </w:rPr>
              <w:t>1,374,715</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477258"/>
            </w:tcBorders>
            <w:shd w:val="clear" w:color="auto" w:fill="CCEEFF"/>
          </w:tcPr>
          <w:p>
            <w:pPr>
              <w:spacing w:after="0"/>
              <w:rPr>
                <w:sz w:val="18"/>
                <w:szCs w:val="18"/>
                <w:color w:val="auto"/>
              </w:rPr>
            </w:pPr>
          </w:p>
        </w:tc>
        <w:tc>
          <w:tcPr>
            <w:tcW w:w="2280" w:type="dxa"/>
            <w:vAlign w:val="bottom"/>
            <w:tcBorders>
              <w:bottom w:val="single" w:sz="8" w:color="477258"/>
            </w:tcBorders>
            <w:shd w:val="clear" w:color="auto" w:fill="CCEEFF"/>
          </w:tcPr>
          <w:p>
            <w:pPr>
              <w:jc w:val="center"/>
              <w:ind w:left="1591"/>
              <w:spacing w:after="0"/>
              <w:rPr>
                <w:sz w:val="20"/>
                <w:szCs w:val="20"/>
                <w:color w:val="auto"/>
              </w:rPr>
            </w:pPr>
            <w:r>
              <w:rPr>
                <w:rFonts w:ascii="Arial" w:cs="Arial" w:eastAsia="Arial" w:hAnsi="Arial"/>
                <w:sz w:val="18"/>
                <w:szCs w:val="18"/>
                <w:color w:val="auto"/>
                <w:w w:val="99"/>
              </w:rPr>
              <w:t>2019</w:t>
            </w:r>
          </w:p>
        </w:tc>
        <w:tc>
          <w:tcPr>
            <w:tcW w:w="1860" w:type="dxa"/>
            <w:vAlign w:val="bottom"/>
            <w:tcBorders>
              <w:bottom w:val="single" w:sz="8" w:color="477258"/>
            </w:tcBorders>
            <w:shd w:val="clear" w:color="auto" w:fill="CCEEFF"/>
          </w:tcPr>
          <w:p>
            <w:pPr>
              <w:jc w:val="right"/>
              <w:ind w:right="376"/>
              <w:spacing w:after="0"/>
              <w:rPr>
                <w:sz w:val="20"/>
                <w:szCs w:val="20"/>
                <w:color w:val="auto"/>
              </w:rPr>
            </w:pPr>
            <w:r>
              <w:rPr>
                <w:rFonts w:ascii="Arial" w:cs="Arial" w:eastAsia="Arial" w:hAnsi="Arial"/>
                <w:sz w:val="18"/>
                <w:szCs w:val="18"/>
                <w:color w:val="auto"/>
              </w:rPr>
              <w:t>687,044</w:t>
            </w:r>
          </w:p>
        </w:tc>
        <w:tc>
          <w:tcPr>
            <w:tcW w:w="1840" w:type="dxa"/>
            <w:vAlign w:val="bottom"/>
            <w:tcBorders>
              <w:bottom w:val="single" w:sz="8" w:color="477258"/>
            </w:tcBorders>
            <w:shd w:val="clear" w:color="auto" w:fill="CCEEFF"/>
          </w:tcPr>
          <w:p>
            <w:pPr>
              <w:jc w:val="right"/>
              <w:ind w:right="336"/>
              <w:spacing w:after="0"/>
              <w:rPr>
                <w:sz w:val="20"/>
                <w:szCs w:val="20"/>
                <w:color w:val="auto"/>
              </w:rPr>
            </w:pPr>
            <w:r>
              <w:rPr>
                <w:rFonts w:ascii="Arial" w:cs="Arial" w:eastAsia="Arial" w:hAnsi="Arial"/>
                <w:sz w:val="18"/>
                <w:szCs w:val="18"/>
                <w:color w:val="auto"/>
              </w:rPr>
              <w:t>1,374,088</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color w:val="auto"/>
              </w:rPr>
              <w:t>Mr. Batchelor</w:t>
            </w:r>
          </w:p>
        </w:tc>
        <w:tc>
          <w:tcPr>
            <w:tcW w:w="2280" w:type="dxa"/>
            <w:vAlign w:val="bottom"/>
            <w:tcBorders>
              <w:bottom w:val="single" w:sz="8" w:color="477258"/>
            </w:tcBorders>
          </w:tcPr>
          <w:p>
            <w:pPr>
              <w:jc w:val="center"/>
              <w:ind w:left="1591"/>
              <w:spacing w:after="0"/>
              <w:rPr>
                <w:sz w:val="20"/>
                <w:szCs w:val="20"/>
                <w:color w:val="auto"/>
              </w:rPr>
            </w:pPr>
            <w:r>
              <w:rPr>
                <w:rFonts w:ascii="Arial" w:cs="Arial" w:eastAsia="Arial" w:hAnsi="Arial"/>
                <w:sz w:val="18"/>
                <w:szCs w:val="18"/>
                <w:color w:val="auto"/>
                <w:w w:val="99"/>
              </w:rPr>
              <w:t>2020</w:t>
            </w:r>
          </w:p>
        </w:tc>
        <w:tc>
          <w:tcPr>
            <w:tcW w:w="1860" w:type="dxa"/>
            <w:vAlign w:val="bottom"/>
            <w:tcBorders>
              <w:bottom w:val="single" w:sz="8" w:color="477258"/>
            </w:tcBorders>
          </w:tcPr>
          <w:p>
            <w:pPr>
              <w:jc w:val="right"/>
              <w:ind w:right="376"/>
              <w:spacing w:after="0"/>
              <w:rPr>
                <w:sz w:val="20"/>
                <w:szCs w:val="20"/>
                <w:color w:val="auto"/>
              </w:rPr>
            </w:pPr>
            <w:r>
              <w:rPr>
                <w:rFonts w:ascii="Arial" w:cs="Arial" w:eastAsia="Arial" w:hAnsi="Arial"/>
                <w:sz w:val="18"/>
                <w:szCs w:val="18"/>
                <w:color w:val="auto"/>
              </w:rPr>
              <w:t>687,357</w:t>
            </w:r>
          </w:p>
        </w:tc>
        <w:tc>
          <w:tcPr>
            <w:tcW w:w="1840" w:type="dxa"/>
            <w:vAlign w:val="bottom"/>
            <w:tcBorders>
              <w:bottom w:val="single" w:sz="8" w:color="477258"/>
            </w:tcBorders>
          </w:tcPr>
          <w:p>
            <w:pPr>
              <w:jc w:val="right"/>
              <w:ind w:right="336"/>
              <w:spacing w:after="0"/>
              <w:rPr>
                <w:sz w:val="20"/>
                <w:szCs w:val="20"/>
                <w:color w:val="auto"/>
              </w:rPr>
            </w:pPr>
            <w:r>
              <w:rPr>
                <w:rFonts w:ascii="Arial" w:cs="Arial" w:eastAsia="Arial" w:hAnsi="Arial"/>
                <w:sz w:val="18"/>
                <w:szCs w:val="18"/>
                <w:color w:val="auto"/>
              </w:rPr>
              <w:t>1,374,715</w:t>
            </w: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ind w:left="1591"/>
              <w:spacing w:after="0"/>
              <w:rPr>
                <w:sz w:val="20"/>
                <w:szCs w:val="20"/>
                <w:color w:val="auto"/>
              </w:rPr>
            </w:pPr>
            <w:r>
              <w:rPr>
                <w:rFonts w:ascii="Arial" w:cs="Arial" w:eastAsia="Arial" w:hAnsi="Arial"/>
                <w:sz w:val="18"/>
                <w:szCs w:val="18"/>
                <w:color w:val="auto"/>
                <w:w w:val="99"/>
              </w:rPr>
              <w:t>2019</w:t>
            </w:r>
          </w:p>
        </w:tc>
        <w:tc>
          <w:tcPr>
            <w:tcW w:w="186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rPr>
              <w:t>687,044</w:t>
            </w:r>
          </w:p>
        </w:tc>
        <w:tc>
          <w:tcPr>
            <w:tcW w:w="18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1,374,088</w:t>
            </w:r>
          </w:p>
        </w:tc>
        <w:tc>
          <w:tcPr>
            <w:tcW w:w="0" w:type="dxa"/>
            <w:vAlign w:val="bottom"/>
          </w:tcPr>
          <w:p>
            <w:pPr>
              <w:spacing w:after="0"/>
              <w:rPr>
                <w:sz w:val="1"/>
                <w:szCs w:val="1"/>
                <w:color w:val="auto"/>
              </w:rPr>
            </w:pPr>
          </w:p>
        </w:tc>
      </w:tr>
      <w:tr>
        <w:trPr>
          <w:trHeight w:val="20"/>
        </w:trPr>
        <w:tc>
          <w:tcPr>
            <w:tcW w:w="3080" w:type="dxa"/>
            <w:vAlign w:val="bottom"/>
            <w:shd w:val="clear" w:color="auto" w:fill="477258"/>
          </w:tcPr>
          <w:p>
            <w:pPr>
              <w:spacing w:after="0" w:line="20" w:lineRule="exact"/>
              <w:rPr>
                <w:sz w:val="1"/>
                <w:szCs w:val="1"/>
                <w:color w:val="auto"/>
              </w:rPr>
            </w:pPr>
          </w:p>
        </w:tc>
        <w:tc>
          <w:tcPr>
            <w:tcW w:w="2280" w:type="dxa"/>
            <w:vAlign w:val="bottom"/>
            <w:shd w:val="clear" w:color="auto" w:fill="477258"/>
          </w:tcPr>
          <w:p>
            <w:pPr>
              <w:spacing w:after="0" w:line="20" w:lineRule="exact"/>
              <w:rPr>
                <w:sz w:val="1"/>
                <w:szCs w:val="1"/>
                <w:color w:val="auto"/>
              </w:rPr>
            </w:pPr>
          </w:p>
        </w:tc>
        <w:tc>
          <w:tcPr>
            <w:tcW w:w="1860" w:type="dxa"/>
            <w:vAlign w:val="bottom"/>
            <w:shd w:val="clear" w:color="auto" w:fill="477258"/>
          </w:tcPr>
          <w:p>
            <w:pPr>
              <w:spacing w:after="0" w:line="20" w:lineRule="exact"/>
              <w:rPr>
                <w:sz w:val="1"/>
                <w:szCs w:val="1"/>
                <w:color w:val="auto"/>
              </w:rPr>
            </w:pPr>
          </w:p>
        </w:tc>
        <w:tc>
          <w:tcPr>
            <w:tcW w:w="1840" w:type="dxa"/>
            <w:vAlign w:val="bottom"/>
            <w:shd w:val="clear" w:color="auto" w:fill="4772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1180" w:hanging="364"/>
        <w:spacing w:after="0" w:line="253"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options granted annually, in accordance with ASC Topic 718. The grant date fair value of the options granted in 2020, estimated using the Black-Scholes option pricing model, is $15.82 per option. The assumptions made in determining the grant date fair values of options are disclosed in Note 15 in the Notes to the Consolidated Financial Statements in our 2020 Annual Report on Form 10-K.</w:t>
      </w:r>
    </w:p>
    <w:p>
      <w:pPr>
        <w:spacing w:after="0" w:line="29" w:lineRule="exact"/>
        <w:rPr>
          <w:rFonts w:ascii="Arial" w:cs="Arial" w:eastAsia="Arial" w:hAnsi="Arial"/>
          <w:sz w:val="18"/>
          <w:szCs w:val="18"/>
          <w:color w:val="auto"/>
        </w:rPr>
      </w:pPr>
    </w:p>
    <w:p>
      <w:pPr>
        <w:jc w:val="both"/>
        <w:ind w:left="1180" w:hanging="364"/>
        <w:spacing w:after="0" w:line="256"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in this column represent cash incentive awards earned and paid based on the achievement of performance criteria. See “Compensation Discussion and Analysis — Named Executive’s 2020 Compensation Program and Results — Annual Cash Incentive” for additional information.</w:t>
      </w:r>
    </w:p>
    <w:p>
      <w:pPr>
        <w:spacing w:after="0" w:line="255" w:lineRule="exact"/>
        <w:rPr>
          <w:rFonts w:ascii="Arial" w:cs="Arial" w:eastAsia="Arial" w:hAnsi="Arial"/>
          <w:sz w:val="18"/>
          <w:szCs w:val="18"/>
          <w:color w:val="auto"/>
        </w:rPr>
      </w:pPr>
    </w:p>
    <w:p>
      <w:pPr>
        <w:ind w:left="1180" w:hanging="364"/>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included in “All Other Compensation” for 2020 are shown below (in dollars):</w:t>
      </w:r>
    </w:p>
    <w:p>
      <w:pPr>
        <w:spacing w:after="0" w:line="6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Pr>
          <w:p>
            <w:pPr>
              <w:jc w:val="right"/>
              <w:ind w:right="59"/>
              <w:spacing w:after="0"/>
              <w:rPr>
                <w:sz w:val="20"/>
                <w:szCs w:val="20"/>
                <w:color w:val="auto"/>
              </w:rPr>
            </w:pPr>
            <w:r>
              <w:rPr>
                <w:rFonts w:ascii="Arial" w:cs="Arial" w:eastAsia="Arial" w:hAnsi="Arial"/>
                <w:sz w:val="14"/>
                <w:szCs w:val="14"/>
                <w:b w:val="1"/>
                <w:bCs w:val="1"/>
                <w:color w:val="477258"/>
              </w:rPr>
              <w:t>409A</w:t>
            </w:r>
          </w:p>
        </w:tc>
        <w:tc>
          <w:tcPr>
            <w:tcW w:w="1300" w:type="dxa"/>
            <w:vAlign w:val="bottom"/>
          </w:tcPr>
          <w:p>
            <w:pPr>
              <w:spacing w:after="0"/>
              <w:rPr>
                <w:sz w:val="14"/>
                <w:szCs w:val="14"/>
                <w:color w:val="auto"/>
              </w:rPr>
            </w:pPr>
          </w:p>
        </w:tc>
        <w:tc>
          <w:tcPr>
            <w:tcW w:w="104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477258"/>
              </w:rPr>
              <w:t>Perquisites</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98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477258"/>
              </w:rPr>
              <w:t>401(k)</w:t>
            </w:r>
          </w:p>
        </w:tc>
        <w:tc>
          <w:tcPr>
            <w:tcW w:w="122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Deferral</w:t>
            </w:r>
          </w:p>
        </w:tc>
        <w:tc>
          <w:tcPr>
            <w:tcW w:w="13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220" w:type="dxa"/>
            <w:vAlign w:val="bottom"/>
          </w:tcPr>
          <w:p>
            <w:pPr>
              <w:jc w:val="right"/>
              <w:ind w:right="99"/>
              <w:spacing w:after="0" w:line="135" w:lineRule="exact"/>
              <w:rPr>
                <w:sz w:val="20"/>
                <w:szCs w:val="20"/>
                <w:color w:val="auto"/>
              </w:rPr>
            </w:pPr>
            <w:r>
              <w:rPr>
                <w:rFonts w:ascii="Arial" w:cs="Arial" w:eastAsia="Arial" w:hAnsi="Arial"/>
                <w:sz w:val="14"/>
                <w:szCs w:val="14"/>
                <w:b w:val="1"/>
                <w:bCs w:val="1"/>
                <w:color w:val="477258"/>
              </w:rPr>
              <w:t>Plan</w:t>
            </w:r>
          </w:p>
        </w:tc>
        <w:tc>
          <w:tcPr>
            <w:tcW w:w="1300" w:type="dxa"/>
            <w:vAlign w:val="bottom"/>
            <w:vMerge w:val="restart"/>
          </w:tcPr>
          <w:p>
            <w:pPr>
              <w:ind w:left="100"/>
              <w:spacing w:after="0"/>
              <w:rPr>
                <w:sz w:val="20"/>
                <w:szCs w:val="20"/>
                <w:color w:val="auto"/>
              </w:rPr>
            </w:pPr>
            <w:r>
              <w:rPr>
                <w:rFonts w:ascii="Arial" w:cs="Arial" w:eastAsia="Arial" w:hAnsi="Arial"/>
                <w:sz w:val="14"/>
                <w:szCs w:val="14"/>
                <w:b w:val="1"/>
                <w:bCs w:val="1"/>
                <w:color w:val="477258"/>
              </w:rPr>
              <w:t>Life Insurance</w:t>
            </w:r>
          </w:p>
        </w:tc>
        <w:tc>
          <w:tcPr>
            <w:tcW w:w="1040" w:type="dxa"/>
            <w:vAlign w:val="bottom"/>
          </w:tcPr>
          <w:p>
            <w:pPr>
              <w:jc w:val="right"/>
              <w:ind w:right="18"/>
              <w:spacing w:after="0" w:line="135" w:lineRule="exact"/>
              <w:rPr>
                <w:sz w:val="20"/>
                <w:szCs w:val="20"/>
                <w:color w:val="auto"/>
              </w:rPr>
            </w:pPr>
            <w:r>
              <w:rPr>
                <w:rFonts w:ascii="Arial" w:cs="Arial" w:eastAsia="Arial" w:hAnsi="Arial"/>
                <w:sz w:val="14"/>
                <w:szCs w:val="14"/>
                <w:b w:val="1"/>
                <w:bCs w:val="1"/>
                <w:color w:val="477258"/>
              </w:rPr>
              <w:t>and Other</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98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477258"/>
              </w:rPr>
              <w:t>Plan Matching</w:t>
            </w:r>
          </w:p>
        </w:tc>
        <w:tc>
          <w:tcPr>
            <w:tcW w:w="122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Matching</w:t>
            </w:r>
          </w:p>
        </w:tc>
        <w:tc>
          <w:tcPr>
            <w:tcW w:w="1300" w:type="dxa"/>
            <w:vAlign w:val="bottom"/>
            <w:vMerge w:val="continue"/>
          </w:tcPr>
          <w:p>
            <w:pPr>
              <w:spacing w:after="0"/>
              <w:rPr>
                <w:sz w:val="11"/>
                <w:szCs w:val="11"/>
                <w:color w:val="auto"/>
              </w:rPr>
            </w:pPr>
          </w:p>
        </w:tc>
        <w:tc>
          <w:tcPr>
            <w:tcW w:w="1040" w:type="dxa"/>
            <w:vAlign w:val="bottom"/>
          </w:tcPr>
          <w:p>
            <w:pPr>
              <w:jc w:val="right"/>
              <w:ind w:right="18"/>
              <w:spacing w:after="0" w:line="135" w:lineRule="exact"/>
              <w:rPr>
                <w:sz w:val="20"/>
                <w:szCs w:val="20"/>
                <w:color w:val="auto"/>
              </w:rPr>
            </w:pPr>
            <w:r>
              <w:rPr>
                <w:rFonts w:ascii="Arial" w:cs="Arial" w:eastAsia="Arial" w:hAnsi="Arial"/>
                <w:sz w:val="14"/>
                <w:szCs w:val="14"/>
                <w:b w:val="1"/>
                <w:bCs w:val="1"/>
                <w:color w:val="477258"/>
              </w:rPr>
              <w:t>Personal</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477258"/>
            </w:tcBorders>
          </w:tcPr>
          <w:p>
            <w:pPr>
              <w:spacing w:after="0"/>
              <w:rPr>
                <w:sz w:val="16"/>
                <w:szCs w:val="16"/>
                <w:color w:val="auto"/>
              </w:rPr>
            </w:pPr>
          </w:p>
        </w:tc>
        <w:tc>
          <w:tcPr>
            <w:tcW w:w="1980" w:type="dxa"/>
            <w:vAlign w:val="bottom"/>
            <w:tcBorders>
              <w:bottom w:val="single" w:sz="8" w:color="477258"/>
            </w:tcBorders>
          </w:tcPr>
          <w:p>
            <w:pPr>
              <w:jc w:val="center"/>
              <w:ind w:left="697"/>
              <w:spacing w:after="0"/>
              <w:rPr>
                <w:sz w:val="20"/>
                <w:szCs w:val="20"/>
                <w:color w:val="auto"/>
              </w:rPr>
            </w:pPr>
            <w:r>
              <w:rPr>
                <w:rFonts w:ascii="Arial" w:cs="Arial" w:eastAsia="Arial" w:hAnsi="Arial"/>
                <w:sz w:val="14"/>
                <w:szCs w:val="14"/>
                <w:b w:val="1"/>
                <w:bCs w:val="1"/>
                <w:color w:val="477258"/>
              </w:rPr>
              <w:t>Contributions</w:t>
            </w:r>
          </w:p>
        </w:tc>
        <w:tc>
          <w:tcPr>
            <w:tcW w:w="122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Contributions</w:t>
            </w:r>
          </w:p>
        </w:tc>
        <w:tc>
          <w:tcPr>
            <w:tcW w:w="1300" w:type="dxa"/>
            <w:vAlign w:val="bottom"/>
            <w:tcBorders>
              <w:bottom w:val="single" w:sz="8" w:color="477258"/>
            </w:tcBorders>
          </w:tcPr>
          <w:p>
            <w:pPr>
              <w:ind w:left="460"/>
              <w:spacing w:after="0"/>
              <w:rPr>
                <w:sz w:val="20"/>
                <w:szCs w:val="20"/>
                <w:color w:val="auto"/>
              </w:rPr>
            </w:pPr>
            <w:r>
              <w:rPr>
                <w:rFonts w:ascii="Arial" w:cs="Arial" w:eastAsia="Arial" w:hAnsi="Arial"/>
                <w:sz w:val="14"/>
                <w:szCs w:val="14"/>
                <w:b w:val="1"/>
                <w:bCs w:val="1"/>
                <w:color w:val="477258"/>
              </w:rPr>
              <w:t>Premiums</w:t>
            </w:r>
          </w:p>
        </w:tc>
        <w:tc>
          <w:tcPr>
            <w:tcW w:w="104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14"/>
                <w:szCs w:val="14"/>
                <w:b w:val="1"/>
                <w:bCs w:val="1"/>
                <w:color w:val="477258"/>
              </w:rPr>
              <w:t>Benefits</w:t>
            </w:r>
            <w:r>
              <w:rPr>
                <w:rFonts w:ascii="Arial" w:cs="Arial" w:eastAsia="Arial" w:hAnsi="Arial"/>
                <w:sz w:val="21"/>
                <w:szCs w:val="21"/>
                <w:b w:val="1"/>
                <w:bCs w:val="1"/>
                <w:color w:val="477258"/>
                <w:vertAlign w:val="superscript"/>
              </w:rPr>
              <w:t>(a)</w:t>
            </w:r>
          </w:p>
        </w:tc>
        <w:tc>
          <w:tcPr>
            <w:tcW w:w="0" w:type="dxa"/>
            <w:vAlign w:val="bottom"/>
          </w:tcPr>
          <w:p>
            <w:pPr>
              <w:spacing w:after="0"/>
              <w:rPr>
                <w:sz w:val="1"/>
                <w:szCs w:val="1"/>
                <w:color w:val="auto"/>
              </w:rPr>
            </w:pPr>
          </w:p>
        </w:tc>
      </w:tr>
      <w:tr>
        <w:trPr>
          <w:trHeight w:val="257"/>
        </w:trPr>
        <w:tc>
          <w:tcPr>
            <w:tcW w:w="210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Mr. Fish</w:t>
            </w:r>
          </w:p>
        </w:tc>
        <w:tc>
          <w:tcPr>
            <w:tcW w:w="1980" w:type="dxa"/>
            <w:vAlign w:val="bottom"/>
            <w:tcBorders>
              <w:bottom w:val="single" w:sz="8" w:color="477258"/>
            </w:tcBorders>
            <w:shd w:val="clear" w:color="auto" w:fill="CCEEFF"/>
          </w:tcPr>
          <w:p>
            <w:pPr>
              <w:jc w:val="center"/>
              <w:ind w:left="717"/>
              <w:spacing w:after="0"/>
              <w:rPr>
                <w:sz w:val="20"/>
                <w:szCs w:val="20"/>
                <w:color w:val="auto"/>
              </w:rPr>
            </w:pPr>
            <w:r>
              <w:rPr>
                <w:rFonts w:ascii="Arial" w:cs="Arial" w:eastAsia="Arial" w:hAnsi="Arial"/>
                <w:sz w:val="18"/>
                <w:szCs w:val="18"/>
                <w:color w:val="auto"/>
                <w:w w:val="98"/>
              </w:rPr>
              <w:t>12,825</w:t>
            </w:r>
          </w:p>
        </w:tc>
        <w:tc>
          <w:tcPr>
            <w:tcW w:w="1220" w:type="dxa"/>
            <w:vAlign w:val="bottom"/>
            <w:tcBorders>
              <w:bottom w:val="single" w:sz="8" w:color="477258"/>
            </w:tcBorders>
            <w:shd w:val="clear" w:color="auto" w:fill="CCEEFF"/>
          </w:tcPr>
          <w:p>
            <w:pPr>
              <w:jc w:val="right"/>
              <w:ind w:right="199"/>
              <w:spacing w:after="0"/>
              <w:rPr>
                <w:sz w:val="20"/>
                <w:szCs w:val="20"/>
                <w:color w:val="auto"/>
              </w:rPr>
            </w:pPr>
            <w:r>
              <w:rPr>
                <w:rFonts w:ascii="Arial" w:cs="Arial" w:eastAsia="Arial" w:hAnsi="Arial"/>
                <w:sz w:val="18"/>
                <w:szCs w:val="18"/>
                <w:color w:val="auto"/>
              </w:rPr>
              <w:t>78,676</w:t>
            </w:r>
          </w:p>
        </w:tc>
        <w:tc>
          <w:tcPr>
            <w:tcW w:w="1300" w:type="dxa"/>
            <w:vAlign w:val="bottom"/>
            <w:tcBorders>
              <w:bottom w:val="single" w:sz="8" w:color="477258"/>
            </w:tcBorders>
            <w:shd w:val="clear" w:color="auto" w:fill="CCEEFF"/>
          </w:tcPr>
          <w:p>
            <w:pPr>
              <w:ind w:left="460"/>
              <w:spacing w:after="0"/>
              <w:rPr>
                <w:sz w:val="20"/>
                <w:szCs w:val="20"/>
                <w:color w:val="auto"/>
              </w:rPr>
            </w:pPr>
            <w:r>
              <w:rPr>
                <w:rFonts w:ascii="Arial" w:cs="Arial" w:eastAsia="Arial" w:hAnsi="Arial"/>
                <w:sz w:val="18"/>
                <w:szCs w:val="18"/>
                <w:color w:val="auto"/>
              </w:rPr>
              <w:t>2,201</w:t>
            </w:r>
          </w:p>
        </w:tc>
        <w:tc>
          <w:tcPr>
            <w:tcW w:w="1040" w:type="dxa"/>
            <w:vAlign w:val="bottom"/>
            <w:tcBorders>
              <w:bottom w:val="single" w:sz="8" w:color="477258"/>
            </w:tcBorders>
            <w:shd w:val="clear" w:color="auto" w:fill="CCEEFF"/>
          </w:tcPr>
          <w:p>
            <w:pPr>
              <w:jc w:val="right"/>
              <w:ind w:right="98"/>
              <w:spacing w:after="0"/>
              <w:rPr>
                <w:sz w:val="20"/>
                <w:szCs w:val="20"/>
                <w:color w:val="auto"/>
              </w:rPr>
            </w:pPr>
            <w:r>
              <w:rPr>
                <w:rFonts w:ascii="Arial" w:cs="Arial" w:eastAsia="Arial" w:hAnsi="Arial"/>
                <w:sz w:val="18"/>
                <w:szCs w:val="18"/>
                <w:color w:val="auto"/>
              </w:rPr>
              <w:t>22,475</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color w:val="auto"/>
              </w:rPr>
              <w:t>Ms. Rankin</w:t>
            </w:r>
          </w:p>
        </w:tc>
        <w:tc>
          <w:tcPr>
            <w:tcW w:w="1980" w:type="dxa"/>
            <w:vAlign w:val="bottom"/>
            <w:tcBorders>
              <w:bottom w:val="single" w:sz="8" w:color="477258"/>
            </w:tcBorders>
          </w:tcPr>
          <w:p>
            <w:pPr>
              <w:jc w:val="center"/>
              <w:ind w:left="717"/>
              <w:spacing w:after="0"/>
              <w:rPr>
                <w:sz w:val="20"/>
                <w:szCs w:val="20"/>
                <w:color w:val="auto"/>
              </w:rPr>
            </w:pPr>
            <w:r>
              <w:rPr>
                <w:rFonts w:ascii="Arial" w:cs="Arial" w:eastAsia="Arial" w:hAnsi="Arial"/>
                <w:sz w:val="18"/>
                <w:szCs w:val="18"/>
                <w:color w:val="auto"/>
                <w:w w:val="98"/>
              </w:rPr>
              <w:t>12,825</w:t>
            </w:r>
          </w:p>
        </w:tc>
        <w:tc>
          <w:tcPr>
            <w:tcW w:w="1220" w:type="dxa"/>
            <w:vAlign w:val="bottom"/>
            <w:tcBorders>
              <w:bottom w:val="single" w:sz="8" w:color="477258"/>
            </w:tcBorders>
          </w:tcPr>
          <w:p>
            <w:pPr>
              <w:jc w:val="right"/>
              <w:ind w:right="199"/>
              <w:spacing w:after="0"/>
              <w:rPr>
                <w:sz w:val="20"/>
                <w:szCs w:val="20"/>
                <w:color w:val="auto"/>
              </w:rPr>
            </w:pPr>
            <w:r>
              <w:rPr>
                <w:rFonts w:ascii="Arial" w:cs="Arial" w:eastAsia="Arial" w:hAnsi="Arial"/>
                <w:sz w:val="18"/>
                <w:szCs w:val="18"/>
                <w:color w:val="auto"/>
              </w:rPr>
              <w:t>46,479</w:t>
            </w:r>
          </w:p>
        </w:tc>
        <w:tc>
          <w:tcPr>
            <w:tcW w:w="1300" w:type="dxa"/>
            <w:vAlign w:val="bottom"/>
            <w:tcBorders>
              <w:bottom w:val="single" w:sz="8" w:color="477258"/>
            </w:tcBorders>
          </w:tcPr>
          <w:p>
            <w:pPr>
              <w:ind w:left="460"/>
              <w:spacing w:after="0"/>
              <w:rPr>
                <w:sz w:val="20"/>
                <w:szCs w:val="20"/>
                <w:color w:val="auto"/>
              </w:rPr>
            </w:pPr>
            <w:r>
              <w:rPr>
                <w:rFonts w:ascii="Arial" w:cs="Arial" w:eastAsia="Arial" w:hAnsi="Arial"/>
                <w:sz w:val="18"/>
                <w:szCs w:val="18"/>
                <w:color w:val="auto"/>
              </w:rPr>
              <w:t>1,189</w:t>
            </w:r>
          </w:p>
        </w:tc>
        <w:tc>
          <w:tcPr>
            <w:tcW w:w="1040" w:type="dxa"/>
            <w:vAlign w:val="bottom"/>
            <w:tcBorders>
              <w:bottom w:val="single" w:sz="8" w:color="477258"/>
            </w:tcBorders>
          </w:tcPr>
          <w:p>
            <w:pPr>
              <w:jc w:val="right"/>
              <w:ind w:right="9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10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Mr. Morris</w:t>
            </w:r>
          </w:p>
        </w:tc>
        <w:tc>
          <w:tcPr>
            <w:tcW w:w="1980" w:type="dxa"/>
            <w:vAlign w:val="bottom"/>
            <w:tcBorders>
              <w:bottom w:val="single" w:sz="8" w:color="477258"/>
            </w:tcBorders>
            <w:shd w:val="clear" w:color="auto" w:fill="CCEEFF"/>
          </w:tcPr>
          <w:p>
            <w:pPr>
              <w:jc w:val="center"/>
              <w:ind w:left="717"/>
              <w:spacing w:after="0"/>
              <w:rPr>
                <w:sz w:val="20"/>
                <w:szCs w:val="20"/>
                <w:color w:val="auto"/>
              </w:rPr>
            </w:pPr>
            <w:r>
              <w:rPr>
                <w:rFonts w:ascii="Arial" w:cs="Arial" w:eastAsia="Arial" w:hAnsi="Arial"/>
                <w:sz w:val="18"/>
                <w:szCs w:val="18"/>
                <w:color w:val="auto"/>
                <w:w w:val="98"/>
              </w:rPr>
              <w:t>12,825</w:t>
            </w:r>
          </w:p>
        </w:tc>
        <w:tc>
          <w:tcPr>
            <w:tcW w:w="1220" w:type="dxa"/>
            <w:vAlign w:val="bottom"/>
            <w:tcBorders>
              <w:bottom w:val="single" w:sz="8" w:color="477258"/>
            </w:tcBorders>
            <w:shd w:val="clear" w:color="auto" w:fill="CCEEFF"/>
          </w:tcPr>
          <w:p>
            <w:pPr>
              <w:jc w:val="right"/>
              <w:ind w:right="199"/>
              <w:spacing w:after="0"/>
              <w:rPr>
                <w:sz w:val="20"/>
                <w:szCs w:val="20"/>
                <w:color w:val="auto"/>
              </w:rPr>
            </w:pPr>
            <w:r>
              <w:rPr>
                <w:rFonts w:ascii="Arial" w:cs="Arial" w:eastAsia="Arial" w:hAnsi="Arial"/>
                <w:sz w:val="18"/>
                <w:szCs w:val="18"/>
                <w:color w:val="auto"/>
              </w:rPr>
              <w:t>25,659</w:t>
            </w:r>
          </w:p>
        </w:tc>
        <w:tc>
          <w:tcPr>
            <w:tcW w:w="1300" w:type="dxa"/>
            <w:vAlign w:val="bottom"/>
            <w:tcBorders>
              <w:bottom w:val="single" w:sz="8" w:color="477258"/>
            </w:tcBorders>
            <w:shd w:val="clear" w:color="auto" w:fill="CCEEFF"/>
          </w:tcPr>
          <w:p>
            <w:pPr>
              <w:ind w:left="460"/>
              <w:spacing w:after="0"/>
              <w:rPr>
                <w:sz w:val="20"/>
                <w:szCs w:val="20"/>
                <w:color w:val="auto"/>
              </w:rPr>
            </w:pPr>
            <w:r>
              <w:rPr>
                <w:rFonts w:ascii="Arial" w:cs="Arial" w:eastAsia="Arial" w:hAnsi="Arial"/>
                <w:sz w:val="18"/>
                <w:szCs w:val="18"/>
                <w:color w:val="auto"/>
              </w:rPr>
              <w:t>1,318</w:t>
            </w:r>
          </w:p>
        </w:tc>
        <w:tc>
          <w:tcPr>
            <w:tcW w:w="1040" w:type="dxa"/>
            <w:vAlign w:val="bottom"/>
            <w:tcBorders>
              <w:bottom w:val="single" w:sz="8" w:color="477258"/>
            </w:tcBorders>
            <w:shd w:val="clear" w:color="auto" w:fill="CCEEFF"/>
          </w:tcPr>
          <w:p>
            <w:pPr>
              <w:jc w:val="right"/>
              <w:ind w:right="98"/>
              <w:spacing w:after="0"/>
              <w:rPr>
                <w:sz w:val="20"/>
                <w:szCs w:val="20"/>
                <w:color w:val="auto"/>
              </w:rPr>
            </w:pPr>
            <w:r>
              <w:rPr>
                <w:rFonts w:ascii="Arial" w:cs="Arial" w:eastAsia="Arial" w:hAnsi="Arial"/>
                <w:sz w:val="18"/>
                <w:szCs w:val="18"/>
                <w:color w:val="auto"/>
              </w:rPr>
              <w:t>59,715</w:t>
            </w:r>
          </w:p>
        </w:tc>
        <w:tc>
          <w:tcPr>
            <w:tcW w:w="0" w:type="dxa"/>
            <w:vAlign w:val="bottom"/>
          </w:tcPr>
          <w:p>
            <w:pPr>
              <w:spacing w:after="0"/>
              <w:rPr>
                <w:sz w:val="1"/>
                <w:szCs w:val="1"/>
                <w:color w:val="auto"/>
              </w:rPr>
            </w:pPr>
          </w:p>
        </w:tc>
      </w:tr>
      <w:tr>
        <w:trPr>
          <w:trHeight w:val="263"/>
        </w:trPr>
        <w:tc>
          <w:tcPr>
            <w:tcW w:w="210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color w:val="auto"/>
              </w:rPr>
              <w:t>Ms. Hemmer</w:t>
            </w:r>
          </w:p>
        </w:tc>
        <w:tc>
          <w:tcPr>
            <w:tcW w:w="1980" w:type="dxa"/>
            <w:vAlign w:val="bottom"/>
            <w:tcBorders>
              <w:bottom w:val="single" w:sz="8" w:color="477258"/>
            </w:tcBorders>
          </w:tcPr>
          <w:p>
            <w:pPr>
              <w:jc w:val="center"/>
              <w:ind w:left="717"/>
              <w:spacing w:after="0"/>
              <w:rPr>
                <w:sz w:val="20"/>
                <w:szCs w:val="20"/>
                <w:color w:val="auto"/>
              </w:rPr>
            </w:pPr>
            <w:r>
              <w:rPr>
                <w:rFonts w:ascii="Arial" w:cs="Arial" w:eastAsia="Arial" w:hAnsi="Arial"/>
                <w:sz w:val="18"/>
                <w:szCs w:val="18"/>
                <w:color w:val="auto"/>
                <w:w w:val="98"/>
              </w:rPr>
              <w:t>12,825</w:t>
            </w:r>
          </w:p>
        </w:tc>
        <w:tc>
          <w:tcPr>
            <w:tcW w:w="1220" w:type="dxa"/>
            <w:vAlign w:val="bottom"/>
            <w:tcBorders>
              <w:bottom w:val="single" w:sz="8" w:color="477258"/>
            </w:tcBorders>
          </w:tcPr>
          <w:p>
            <w:pPr>
              <w:jc w:val="right"/>
              <w:ind w:right="199"/>
              <w:spacing w:after="0"/>
              <w:rPr>
                <w:sz w:val="20"/>
                <w:szCs w:val="20"/>
                <w:color w:val="auto"/>
              </w:rPr>
            </w:pPr>
            <w:r>
              <w:rPr>
                <w:rFonts w:ascii="Arial" w:cs="Arial" w:eastAsia="Arial" w:hAnsi="Arial"/>
                <w:sz w:val="18"/>
                <w:szCs w:val="18"/>
                <w:color w:val="auto"/>
              </w:rPr>
              <w:t>43,284</w:t>
            </w:r>
          </w:p>
        </w:tc>
        <w:tc>
          <w:tcPr>
            <w:tcW w:w="1300" w:type="dxa"/>
            <w:vAlign w:val="bottom"/>
            <w:tcBorders>
              <w:bottom w:val="single" w:sz="8" w:color="477258"/>
            </w:tcBorders>
          </w:tcPr>
          <w:p>
            <w:pPr>
              <w:ind w:left="460"/>
              <w:spacing w:after="0"/>
              <w:rPr>
                <w:sz w:val="20"/>
                <w:szCs w:val="20"/>
                <w:color w:val="auto"/>
              </w:rPr>
            </w:pPr>
            <w:r>
              <w:rPr>
                <w:rFonts w:ascii="Arial" w:cs="Arial" w:eastAsia="Arial" w:hAnsi="Arial"/>
                <w:sz w:val="18"/>
                <w:szCs w:val="18"/>
                <w:color w:val="auto"/>
              </w:rPr>
              <w:t>1,017</w:t>
            </w:r>
          </w:p>
        </w:tc>
        <w:tc>
          <w:tcPr>
            <w:tcW w:w="1040" w:type="dxa"/>
            <w:vAlign w:val="bottom"/>
            <w:tcBorders>
              <w:bottom w:val="single" w:sz="8" w:color="477258"/>
            </w:tcBorders>
          </w:tcPr>
          <w:p>
            <w:pPr>
              <w:jc w:val="right"/>
              <w:ind w:right="9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Mr. Batchelor</w:t>
            </w:r>
          </w:p>
        </w:tc>
        <w:tc>
          <w:tcPr>
            <w:tcW w:w="1980" w:type="dxa"/>
            <w:vAlign w:val="bottom"/>
            <w:tcBorders>
              <w:bottom w:val="single" w:sz="8" w:color="CCEEFF"/>
            </w:tcBorders>
            <w:shd w:val="clear" w:color="auto" w:fill="CCEEFF"/>
          </w:tcPr>
          <w:p>
            <w:pPr>
              <w:jc w:val="center"/>
              <w:ind w:left="717"/>
              <w:spacing w:after="0"/>
              <w:rPr>
                <w:sz w:val="20"/>
                <w:szCs w:val="20"/>
                <w:color w:val="auto"/>
              </w:rPr>
            </w:pPr>
            <w:r>
              <w:rPr>
                <w:rFonts w:ascii="Arial" w:cs="Arial" w:eastAsia="Arial" w:hAnsi="Arial"/>
                <w:sz w:val="18"/>
                <w:szCs w:val="18"/>
                <w:color w:val="auto"/>
                <w:w w:val="98"/>
              </w:rPr>
              <w:t>12,825</w:t>
            </w:r>
          </w:p>
        </w:tc>
        <w:tc>
          <w:tcPr>
            <w:tcW w:w="12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1,017</w:t>
            </w:r>
          </w:p>
        </w:tc>
        <w:tc>
          <w:tcPr>
            <w:tcW w:w="10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77258"/>
          </w:tcPr>
          <w:p>
            <w:pPr>
              <w:spacing w:after="0" w:line="20" w:lineRule="exact"/>
              <w:rPr>
                <w:sz w:val="1"/>
                <w:szCs w:val="1"/>
                <w:color w:val="auto"/>
              </w:rPr>
            </w:pPr>
          </w:p>
        </w:tc>
        <w:tc>
          <w:tcPr>
            <w:tcW w:w="1980" w:type="dxa"/>
            <w:vAlign w:val="bottom"/>
            <w:shd w:val="clear" w:color="auto" w:fill="477258"/>
          </w:tcPr>
          <w:p>
            <w:pPr>
              <w:spacing w:after="0" w:line="20" w:lineRule="exact"/>
              <w:rPr>
                <w:sz w:val="1"/>
                <w:szCs w:val="1"/>
                <w:color w:val="auto"/>
              </w:rPr>
            </w:pPr>
          </w:p>
        </w:tc>
        <w:tc>
          <w:tcPr>
            <w:tcW w:w="1220" w:type="dxa"/>
            <w:vAlign w:val="bottom"/>
            <w:shd w:val="clear" w:color="auto" w:fill="477258"/>
          </w:tcPr>
          <w:p>
            <w:pPr>
              <w:spacing w:after="0" w:line="20" w:lineRule="exact"/>
              <w:rPr>
                <w:sz w:val="1"/>
                <w:szCs w:val="1"/>
                <w:color w:val="auto"/>
              </w:rPr>
            </w:pPr>
          </w:p>
        </w:tc>
        <w:tc>
          <w:tcPr>
            <w:tcW w:w="1300" w:type="dxa"/>
            <w:vAlign w:val="bottom"/>
            <w:shd w:val="clear" w:color="auto" w:fill="477258"/>
          </w:tcPr>
          <w:p>
            <w:pPr>
              <w:spacing w:after="0" w:line="20" w:lineRule="exact"/>
              <w:rPr>
                <w:sz w:val="1"/>
                <w:szCs w:val="1"/>
                <w:color w:val="auto"/>
              </w:rPr>
            </w:pPr>
          </w:p>
        </w:tc>
        <w:tc>
          <w:tcPr>
            <w:tcW w:w="1040" w:type="dxa"/>
            <w:vAlign w:val="bottom"/>
            <w:shd w:val="clear" w:color="auto" w:fill="4772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1900" w:hanging="364"/>
        <w:spacing w:after="0" w:line="251" w:lineRule="auto"/>
        <w:tabs>
          <w:tab w:leader="none" w:pos="1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column includes incremental cost to us for personal use of Company aircraft. Annually, we calculate an hourly direct operating cost for Company aircraft using industry standard measurements of costs for fuel, catering, telecommunications, maintenance, landing and hangar fees, flight plans and permits, and crew. We then allocate incremental cost to the named executive based on the amount of aircraft time required for the personal use, multiplied by the direct operating cost. For example, the majority of Mr. Morris’ personal aircraft use reported above resulted from deviations from business travel flight plans to pick up or drop off the executive in another location where he was working remotely during the COVID-19 pandemic; in such case, we calculate the time difference resulting from the flight plan deviation and multiply it by the direct operating cost. We also allocate incremental cost to the named executive for any deadhead flights required to position the aircraft to serve personal needs. We own and operate our aircraft primarily for business use; therefore, we do not include purchase costs or other fixed costs associated with the ownership or operation of our aircraft in the direct operating cost.</w:t>
      </w:r>
    </w:p>
    <w:p>
      <w:pPr>
        <w:spacing w:after="0" w:line="317" w:lineRule="exact"/>
        <w:rPr>
          <w:rFonts w:ascii="Arial" w:cs="Arial" w:eastAsia="Arial" w:hAnsi="Arial"/>
          <w:sz w:val="18"/>
          <w:szCs w:val="18"/>
          <w:color w:val="auto"/>
        </w:rPr>
      </w:pPr>
    </w:p>
    <w:p>
      <w:pPr>
        <w:ind w:left="1180" w:right="380" w:hanging="364"/>
        <w:spacing w:after="0" w:line="250"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Ms. Hemmer and Mr. Batchelor were promoted to their current positions on January 1, 2019.</w:t>
      </w:r>
    </w:p>
    <w:p>
      <w:pPr>
        <w:spacing w:after="0" w:line="310" w:lineRule="exact"/>
        <w:rPr>
          <w:rFonts w:ascii="Arial" w:cs="Arial" w:eastAsia="Arial" w:hAnsi="Arial"/>
          <w:sz w:val="18"/>
          <w:szCs w:val="18"/>
          <w:color w:val="auto"/>
        </w:rPr>
      </w:pPr>
    </w:p>
    <w:p>
      <w:pPr>
        <w:jc w:val="both"/>
        <w:ind w:left="1180" w:hanging="364"/>
        <w:spacing w:after="0" w:line="261"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$100,000 in 2020, $75,000 in 2019 and $50,000 in 2018 of base salary to which Mr. Fish was entitled but voluntarily relinquished to fund a scholarship program for children of Company employees.</w:t>
      </w:r>
    </w:p>
    <w:p>
      <w:pPr>
        <w:spacing w:after="0" w:line="200" w:lineRule="exact"/>
        <w:rPr>
          <w:sz w:val="20"/>
          <w:szCs w:val="20"/>
          <w:color w:val="auto"/>
        </w:rPr>
      </w:pPr>
    </w:p>
    <w:p>
      <w:pPr>
        <w:spacing w:after="0" w:line="25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445135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GRANT OF PLAN-BASED AWARDS IN 2020</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4"/>
                <w:szCs w:val="14"/>
                <w:b w:val="1"/>
                <w:bCs w:val="1"/>
                <w:color w:val="477258"/>
              </w:rPr>
              <w:t>All other</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477258"/>
              </w:rPr>
              <w:t>Grant</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2500" w:type="dxa"/>
            <w:vAlign w:val="bottom"/>
            <w:gridSpan w:val="3"/>
          </w:tcPr>
          <w:p>
            <w:pPr>
              <w:ind w:left="160"/>
              <w:spacing w:after="0"/>
              <w:rPr>
                <w:sz w:val="20"/>
                <w:szCs w:val="20"/>
                <w:color w:val="auto"/>
              </w:rPr>
            </w:pPr>
            <w:r>
              <w:rPr>
                <w:rFonts w:ascii="Arial" w:cs="Arial" w:eastAsia="Arial" w:hAnsi="Arial"/>
                <w:sz w:val="14"/>
                <w:szCs w:val="14"/>
                <w:b w:val="1"/>
                <w:bCs w:val="1"/>
                <w:color w:val="477258"/>
              </w:rPr>
              <w:t>Estimated Possible Payouts</w:t>
            </w:r>
          </w:p>
        </w:tc>
        <w:tc>
          <w:tcPr>
            <w:tcW w:w="2120" w:type="dxa"/>
            <w:vAlign w:val="bottom"/>
            <w:gridSpan w:val="3"/>
          </w:tcPr>
          <w:p>
            <w:pPr>
              <w:jc w:val="center"/>
              <w:ind w:right="15"/>
              <w:spacing w:after="0"/>
              <w:rPr>
                <w:sz w:val="20"/>
                <w:szCs w:val="20"/>
                <w:color w:val="auto"/>
              </w:rPr>
            </w:pPr>
            <w:r>
              <w:rPr>
                <w:rFonts w:ascii="Arial" w:cs="Arial" w:eastAsia="Arial" w:hAnsi="Arial"/>
                <w:sz w:val="14"/>
                <w:szCs w:val="14"/>
                <w:b w:val="1"/>
                <w:bCs w:val="1"/>
                <w:color w:val="477258"/>
              </w:rPr>
              <w:t>Estimated Future Payouts</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477258"/>
              </w:rPr>
              <w:t>Option Exercise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477258"/>
              </w:rPr>
              <w:t>Closing</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477258"/>
              </w:rPr>
              <w:t>Date Fair</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2500" w:type="dxa"/>
            <w:vAlign w:val="bottom"/>
            <w:gridSpan w:val="3"/>
          </w:tcPr>
          <w:p>
            <w:pPr>
              <w:ind w:left="180"/>
              <w:spacing w:after="0" w:line="135" w:lineRule="exact"/>
              <w:rPr>
                <w:sz w:val="20"/>
                <w:szCs w:val="20"/>
                <w:color w:val="auto"/>
              </w:rPr>
            </w:pPr>
            <w:r>
              <w:rPr>
                <w:rFonts w:ascii="Arial" w:cs="Arial" w:eastAsia="Arial" w:hAnsi="Arial"/>
                <w:sz w:val="14"/>
                <w:szCs w:val="14"/>
                <w:b w:val="1"/>
                <w:bCs w:val="1"/>
                <w:color w:val="477258"/>
              </w:rPr>
              <w:t>Under Non-Equity Incentive</w:t>
            </w:r>
          </w:p>
        </w:tc>
        <w:tc>
          <w:tcPr>
            <w:tcW w:w="21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477258"/>
              </w:rPr>
              <w:t>Under Equity Incentive</w:t>
            </w:r>
          </w:p>
        </w:tc>
        <w:tc>
          <w:tcPr>
            <w:tcW w:w="980" w:type="dxa"/>
            <w:vAlign w:val="bottom"/>
          </w:tcPr>
          <w:p>
            <w:pPr>
              <w:jc w:val="right"/>
              <w:ind w:right="3"/>
              <w:spacing w:after="0" w:line="135" w:lineRule="exact"/>
              <w:rPr>
                <w:sz w:val="20"/>
                <w:szCs w:val="20"/>
                <w:color w:val="auto"/>
              </w:rPr>
            </w:pPr>
            <w:r>
              <w:rPr>
                <w:rFonts w:ascii="Arial" w:cs="Arial" w:eastAsia="Arial" w:hAnsi="Arial"/>
                <w:sz w:val="14"/>
                <w:szCs w:val="14"/>
                <w:b w:val="1"/>
                <w:bCs w:val="1"/>
                <w:color w:val="477258"/>
              </w:rPr>
              <w:t>Awards:</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477258"/>
              </w:rPr>
              <w:t>or Base</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Market</w:t>
            </w:r>
          </w:p>
        </w:tc>
        <w:tc>
          <w:tcPr>
            <w:tcW w:w="82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Value of</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2500" w:type="dxa"/>
            <w:vAlign w:val="bottom"/>
            <w:gridSpan w:val="3"/>
          </w:tcPr>
          <w:p>
            <w:pPr>
              <w:ind w:left="700"/>
              <w:spacing w:after="0" w:line="135" w:lineRule="exact"/>
              <w:rPr>
                <w:sz w:val="20"/>
                <w:szCs w:val="20"/>
                <w:color w:val="auto"/>
              </w:rPr>
            </w:pPr>
            <w:r>
              <w:rPr>
                <w:rFonts w:ascii="Arial" w:cs="Arial" w:eastAsia="Arial" w:hAnsi="Arial"/>
                <w:sz w:val="11"/>
                <w:szCs w:val="11"/>
                <w:b w:val="1"/>
                <w:bCs w:val="1"/>
                <w:color w:val="477258"/>
              </w:rPr>
              <w:t>Plan Awards</w:t>
            </w:r>
            <w:r>
              <w:rPr>
                <w:rFonts w:ascii="Arial" w:cs="Arial" w:eastAsia="Arial" w:hAnsi="Arial"/>
                <w:sz w:val="15"/>
                <w:szCs w:val="15"/>
                <w:b w:val="1"/>
                <w:bCs w:val="1"/>
                <w:color w:val="477258"/>
                <w:vertAlign w:val="superscript"/>
              </w:rPr>
              <w:t>(1)</w:t>
            </w:r>
          </w:p>
        </w:tc>
        <w:tc>
          <w:tcPr>
            <w:tcW w:w="2120" w:type="dxa"/>
            <w:vAlign w:val="bottom"/>
            <w:gridSpan w:val="3"/>
          </w:tcPr>
          <w:p>
            <w:pPr>
              <w:jc w:val="center"/>
              <w:spacing w:after="0" w:line="135" w:lineRule="exact"/>
              <w:rPr>
                <w:sz w:val="20"/>
                <w:szCs w:val="20"/>
                <w:color w:val="auto"/>
              </w:rPr>
            </w:pPr>
            <w:r>
              <w:rPr>
                <w:rFonts w:ascii="Arial" w:cs="Arial" w:eastAsia="Arial" w:hAnsi="Arial"/>
                <w:sz w:val="11"/>
                <w:szCs w:val="11"/>
                <w:b w:val="1"/>
                <w:bCs w:val="1"/>
                <w:color w:val="477258"/>
              </w:rPr>
              <w:t>Plan Awards</w:t>
            </w:r>
            <w:r>
              <w:rPr>
                <w:rFonts w:ascii="Arial" w:cs="Arial" w:eastAsia="Arial" w:hAnsi="Arial"/>
                <w:sz w:val="15"/>
                <w:szCs w:val="15"/>
                <w:b w:val="1"/>
                <w:bCs w:val="1"/>
                <w:color w:val="477258"/>
                <w:vertAlign w:val="superscript"/>
              </w:rPr>
              <w:t>(2)</w:t>
            </w:r>
          </w:p>
        </w:tc>
        <w:tc>
          <w:tcPr>
            <w:tcW w:w="980" w:type="dxa"/>
            <w:vAlign w:val="bottom"/>
          </w:tcPr>
          <w:p>
            <w:pPr>
              <w:jc w:val="right"/>
              <w:ind w:right="3"/>
              <w:spacing w:after="0" w:line="135" w:lineRule="exact"/>
              <w:rPr>
                <w:sz w:val="20"/>
                <w:szCs w:val="20"/>
                <w:color w:val="auto"/>
              </w:rPr>
            </w:pPr>
            <w:r>
              <w:rPr>
                <w:rFonts w:ascii="Arial" w:cs="Arial" w:eastAsia="Arial" w:hAnsi="Arial"/>
                <w:sz w:val="14"/>
                <w:szCs w:val="14"/>
                <w:b w:val="1"/>
                <w:bCs w:val="1"/>
                <w:color w:val="477258"/>
              </w:rPr>
              <w:t>Number of</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477258"/>
              </w:rPr>
              <w:t>Price of</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Price on</w:t>
            </w:r>
          </w:p>
        </w:tc>
        <w:tc>
          <w:tcPr>
            <w:tcW w:w="82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Stock and</w:t>
            </w:r>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900" w:type="dxa"/>
            <w:vAlign w:val="bottom"/>
            <w:tcBorders>
              <w:bottom w:val="single" w:sz="8" w:color="477258"/>
            </w:tcBorders>
          </w:tcPr>
          <w:p>
            <w:pPr>
              <w:spacing w:after="0"/>
              <w:rPr>
                <w:sz w:val="5"/>
                <w:szCs w:val="5"/>
                <w:color w:val="auto"/>
              </w:rPr>
            </w:pPr>
          </w:p>
        </w:tc>
        <w:tc>
          <w:tcPr>
            <w:tcW w:w="760" w:type="dxa"/>
            <w:vAlign w:val="bottom"/>
            <w:tcBorders>
              <w:bottom w:val="single" w:sz="8" w:color="477258"/>
            </w:tcBorders>
          </w:tcPr>
          <w:p>
            <w:pPr>
              <w:spacing w:after="0"/>
              <w:rPr>
                <w:sz w:val="5"/>
                <w:szCs w:val="5"/>
                <w:color w:val="auto"/>
              </w:rPr>
            </w:pPr>
          </w:p>
        </w:tc>
        <w:tc>
          <w:tcPr>
            <w:tcW w:w="840" w:type="dxa"/>
            <w:vAlign w:val="bottom"/>
            <w:tcBorders>
              <w:bottom w:val="single" w:sz="8" w:color="477258"/>
            </w:tcBorders>
          </w:tcPr>
          <w:p>
            <w:pPr>
              <w:spacing w:after="0"/>
              <w:rPr>
                <w:sz w:val="5"/>
                <w:szCs w:val="5"/>
                <w:color w:val="auto"/>
              </w:rPr>
            </w:pPr>
          </w:p>
        </w:tc>
        <w:tc>
          <w:tcPr>
            <w:tcW w:w="780" w:type="dxa"/>
            <w:vAlign w:val="bottom"/>
            <w:tcBorders>
              <w:bottom w:val="single" w:sz="8" w:color="477258"/>
            </w:tcBorders>
          </w:tcPr>
          <w:p>
            <w:pPr>
              <w:spacing w:after="0"/>
              <w:rPr>
                <w:sz w:val="5"/>
                <w:szCs w:val="5"/>
                <w:color w:val="auto"/>
              </w:rPr>
            </w:pPr>
          </w:p>
        </w:tc>
        <w:tc>
          <w:tcPr>
            <w:tcW w:w="620" w:type="dxa"/>
            <w:vAlign w:val="bottom"/>
            <w:tcBorders>
              <w:bottom w:val="single" w:sz="8" w:color="477258"/>
            </w:tcBorders>
          </w:tcPr>
          <w:p>
            <w:pPr>
              <w:spacing w:after="0"/>
              <w:rPr>
                <w:sz w:val="5"/>
                <w:szCs w:val="5"/>
                <w:color w:val="auto"/>
              </w:rPr>
            </w:pPr>
          </w:p>
        </w:tc>
        <w:tc>
          <w:tcPr>
            <w:tcW w:w="720" w:type="dxa"/>
            <w:vAlign w:val="bottom"/>
            <w:tcBorders>
              <w:bottom w:val="single" w:sz="8" w:color="477258"/>
            </w:tcBorders>
          </w:tcPr>
          <w:p>
            <w:pPr>
              <w:spacing w:after="0"/>
              <w:rPr>
                <w:sz w:val="5"/>
                <w:szCs w:val="5"/>
                <w:color w:val="auto"/>
              </w:rPr>
            </w:pPr>
          </w:p>
        </w:tc>
        <w:tc>
          <w:tcPr>
            <w:tcW w:w="980" w:type="dxa"/>
            <w:vAlign w:val="bottom"/>
          </w:tcPr>
          <w:p>
            <w:pPr>
              <w:jc w:val="right"/>
              <w:ind w:right="3"/>
              <w:spacing w:after="0" w:line="68" w:lineRule="exact"/>
              <w:rPr>
                <w:sz w:val="20"/>
                <w:szCs w:val="20"/>
                <w:color w:val="auto"/>
              </w:rPr>
            </w:pPr>
            <w:r>
              <w:rPr>
                <w:rFonts w:ascii="Arial" w:cs="Arial" w:eastAsia="Arial" w:hAnsi="Arial"/>
                <w:sz w:val="7"/>
                <w:szCs w:val="7"/>
                <w:b w:val="1"/>
                <w:bCs w:val="1"/>
                <w:color w:val="477258"/>
              </w:rPr>
              <w:t>Securities</w:t>
            </w:r>
          </w:p>
        </w:tc>
        <w:tc>
          <w:tcPr>
            <w:tcW w:w="680" w:type="dxa"/>
            <w:vAlign w:val="bottom"/>
          </w:tcPr>
          <w:p>
            <w:pPr>
              <w:jc w:val="right"/>
              <w:spacing w:after="0" w:line="68" w:lineRule="exact"/>
              <w:rPr>
                <w:sz w:val="20"/>
                <w:szCs w:val="20"/>
                <w:color w:val="auto"/>
              </w:rPr>
            </w:pPr>
            <w:r>
              <w:rPr>
                <w:rFonts w:ascii="Arial" w:cs="Arial" w:eastAsia="Arial" w:hAnsi="Arial"/>
                <w:sz w:val="7"/>
                <w:szCs w:val="7"/>
                <w:b w:val="1"/>
                <w:bCs w:val="1"/>
                <w:color w:val="477258"/>
              </w:rPr>
              <w:t>Option</w:t>
            </w:r>
          </w:p>
        </w:tc>
        <w:tc>
          <w:tcPr>
            <w:tcW w:w="680" w:type="dxa"/>
            <w:vAlign w:val="bottom"/>
          </w:tcPr>
          <w:p>
            <w:pPr>
              <w:jc w:val="right"/>
              <w:spacing w:after="0" w:line="68" w:lineRule="exact"/>
              <w:rPr>
                <w:sz w:val="20"/>
                <w:szCs w:val="20"/>
                <w:color w:val="auto"/>
              </w:rPr>
            </w:pPr>
            <w:r>
              <w:rPr>
                <w:rFonts w:ascii="Arial" w:cs="Arial" w:eastAsia="Arial" w:hAnsi="Arial"/>
                <w:sz w:val="7"/>
                <w:szCs w:val="7"/>
                <w:b w:val="1"/>
                <w:bCs w:val="1"/>
                <w:color w:val="477258"/>
              </w:rPr>
              <w:t>Date of</w:t>
            </w:r>
          </w:p>
        </w:tc>
        <w:tc>
          <w:tcPr>
            <w:tcW w:w="820" w:type="dxa"/>
            <w:vAlign w:val="bottom"/>
          </w:tcPr>
          <w:p>
            <w:pPr>
              <w:jc w:val="right"/>
              <w:spacing w:after="0" w:line="68" w:lineRule="exact"/>
              <w:rPr>
                <w:sz w:val="20"/>
                <w:szCs w:val="20"/>
                <w:color w:val="auto"/>
              </w:rPr>
            </w:pPr>
            <w:r>
              <w:rPr>
                <w:rFonts w:ascii="Arial" w:cs="Arial" w:eastAsia="Arial" w:hAnsi="Arial"/>
                <w:sz w:val="7"/>
                <w:szCs w:val="7"/>
                <w:b w:val="1"/>
                <w:bCs w:val="1"/>
                <w:color w:val="477258"/>
              </w:rPr>
              <w:t>Option</w:t>
            </w:r>
          </w:p>
        </w:tc>
        <w:tc>
          <w:tcPr>
            <w:tcW w:w="0" w:type="dxa"/>
            <w:vAlign w:val="bottom"/>
          </w:tcPr>
          <w:p>
            <w:pPr>
              <w:spacing w:after="0"/>
              <w:rPr>
                <w:sz w:val="1"/>
                <w:szCs w:val="1"/>
                <w:color w:val="auto"/>
              </w:rPr>
            </w:pPr>
          </w:p>
        </w:tc>
      </w:tr>
      <w:tr>
        <w:trPr>
          <w:trHeight w:val="156"/>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477258"/>
              </w:rPr>
              <w:t>Grant Date</w:t>
            </w:r>
          </w:p>
        </w:tc>
        <w:tc>
          <w:tcPr>
            <w:tcW w:w="900" w:type="dxa"/>
            <w:vAlign w:val="bottom"/>
          </w:tcPr>
          <w:p>
            <w:pPr>
              <w:ind w:left="20"/>
              <w:spacing w:after="0" w:line="155" w:lineRule="exact"/>
              <w:rPr>
                <w:sz w:val="20"/>
                <w:szCs w:val="20"/>
                <w:color w:val="auto"/>
              </w:rPr>
            </w:pPr>
            <w:r>
              <w:rPr>
                <w:rFonts w:ascii="Arial" w:cs="Arial" w:eastAsia="Arial" w:hAnsi="Arial"/>
                <w:sz w:val="14"/>
                <w:szCs w:val="14"/>
                <w:b w:val="1"/>
                <w:bCs w:val="1"/>
                <w:color w:val="477258"/>
              </w:rPr>
              <w:t>Threshold</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477258"/>
              </w:rPr>
              <w:t>Target</w:t>
            </w:r>
          </w:p>
        </w:tc>
        <w:tc>
          <w:tcPr>
            <w:tcW w:w="16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477258"/>
              </w:rPr>
              <w:t>Maximum Threshold</w:t>
            </w:r>
          </w:p>
        </w:tc>
        <w:tc>
          <w:tcPr>
            <w:tcW w:w="13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477258"/>
              </w:rPr>
              <w:t>Target Maximum</w:t>
            </w:r>
          </w:p>
        </w:tc>
        <w:tc>
          <w:tcPr>
            <w:tcW w:w="980" w:type="dxa"/>
            <w:vAlign w:val="bottom"/>
          </w:tcPr>
          <w:p>
            <w:pPr>
              <w:jc w:val="right"/>
              <w:ind w:right="3"/>
              <w:spacing w:after="0" w:line="155" w:lineRule="exact"/>
              <w:rPr>
                <w:sz w:val="20"/>
                <w:szCs w:val="20"/>
                <w:color w:val="auto"/>
              </w:rPr>
            </w:pPr>
            <w:r>
              <w:rPr>
                <w:rFonts w:ascii="Arial" w:cs="Arial" w:eastAsia="Arial" w:hAnsi="Arial"/>
                <w:sz w:val="14"/>
                <w:szCs w:val="14"/>
                <w:b w:val="1"/>
                <w:bCs w:val="1"/>
                <w:color w:val="477258"/>
              </w:rPr>
              <w:t>Underlying</w:t>
            </w:r>
          </w:p>
        </w:tc>
        <w:tc>
          <w:tcPr>
            <w:tcW w:w="680" w:type="dxa"/>
            <w:vAlign w:val="bottom"/>
          </w:tcPr>
          <w:p>
            <w:pPr>
              <w:jc w:val="center"/>
              <w:spacing w:after="0" w:line="155" w:lineRule="exact"/>
              <w:rPr>
                <w:sz w:val="20"/>
                <w:szCs w:val="20"/>
                <w:color w:val="auto"/>
              </w:rPr>
            </w:pPr>
            <w:r>
              <w:rPr>
                <w:rFonts w:ascii="Arial" w:cs="Arial" w:eastAsia="Arial" w:hAnsi="Arial"/>
                <w:sz w:val="14"/>
                <w:szCs w:val="14"/>
                <w:b w:val="1"/>
                <w:bCs w:val="1"/>
                <w:color w:val="477258"/>
              </w:rPr>
              <w:t>Awards</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477258"/>
              </w:rPr>
              <w:t>Grant</w:t>
            </w: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477258"/>
              </w:rPr>
              <w:t>Awards</w:t>
            </w:r>
          </w:p>
        </w:tc>
        <w:tc>
          <w:tcPr>
            <w:tcW w:w="0" w:type="dxa"/>
            <w:vAlign w:val="bottom"/>
          </w:tcPr>
          <w:p>
            <w:pPr>
              <w:spacing w:after="0"/>
              <w:rPr>
                <w:sz w:val="1"/>
                <w:szCs w:val="1"/>
                <w:color w:val="auto"/>
              </w:rPr>
            </w:pPr>
          </w:p>
        </w:tc>
      </w:tr>
      <w:tr>
        <w:trPr>
          <w:trHeight w:val="175"/>
        </w:trPr>
        <w:tc>
          <w:tcPr>
            <w:tcW w:w="1320" w:type="dxa"/>
            <w:vAlign w:val="bottom"/>
            <w:tcBorders>
              <w:bottom w:val="single" w:sz="8" w:color="477258"/>
            </w:tcBorders>
            <w:vMerge w:val="continue"/>
          </w:tcPr>
          <w:p>
            <w:pPr>
              <w:spacing w:after="0"/>
              <w:rPr>
                <w:sz w:val="15"/>
                <w:szCs w:val="15"/>
                <w:color w:val="auto"/>
              </w:rPr>
            </w:pPr>
          </w:p>
        </w:tc>
        <w:tc>
          <w:tcPr>
            <w:tcW w:w="900" w:type="dxa"/>
            <w:vAlign w:val="bottom"/>
            <w:tcBorders>
              <w:bottom w:val="single" w:sz="8" w:color="477258"/>
            </w:tcBorders>
          </w:tcPr>
          <w:p>
            <w:pPr>
              <w:ind w:left="620"/>
              <w:spacing w:after="0"/>
              <w:rPr>
                <w:sz w:val="20"/>
                <w:szCs w:val="20"/>
                <w:color w:val="auto"/>
              </w:rPr>
            </w:pPr>
            <w:r>
              <w:rPr>
                <w:rFonts w:ascii="Arial" w:cs="Arial" w:eastAsia="Arial" w:hAnsi="Arial"/>
                <w:sz w:val="14"/>
                <w:szCs w:val="14"/>
                <w:b w:val="1"/>
                <w:bCs w:val="1"/>
                <w:color w:val="477258"/>
              </w:rPr>
              <w:t>($)</w:t>
            </w:r>
          </w:p>
        </w:tc>
        <w:tc>
          <w:tcPr>
            <w:tcW w:w="76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w:t>
            </w:r>
          </w:p>
        </w:tc>
        <w:tc>
          <w:tcPr>
            <w:tcW w:w="62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w:t>
            </w:r>
          </w:p>
        </w:tc>
        <w:tc>
          <w:tcPr>
            <w:tcW w:w="1700" w:type="dxa"/>
            <w:vAlign w:val="bottom"/>
            <w:tcBorders>
              <w:bottom w:val="single" w:sz="8" w:color="477258"/>
            </w:tcBorders>
            <w:gridSpan w:val="2"/>
          </w:tcPr>
          <w:p>
            <w:pPr>
              <w:jc w:val="right"/>
              <w:spacing w:after="0" w:line="176" w:lineRule="exact"/>
              <w:rPr>
                <w:sz w:val="20"/>
                <w:szCs w:val="20"/>
                <w:color w:val="auto"/>
              </w:rPr>
            </w:pPr>
            <w:r>
              <w:rPr>
                <w:rFonts w:ascii="Arial" w:cs="Arial" w:eastAsia="Arial" w:hAnsi="Arial"/>
                <w:sz w:val="20"/>
                <w:szCs w:val="20"/>
                <w:b w:val="1"/>
                <w:bCs w:val="1"/>
                <w:color w:val="477258"/>
                <w:vertAlign w:val="subscript"/>
              </w:rPr>
              <w:t>(#)</w:t>
            </w:r>
            <w:r>
              <w:rPr>
                <w:rFonts w:ascii="Arial" w:cs="Arial" w:eastAsia="Arial" w:hAnsi="Arial"/>
                <w:sz w:val="12"/>
                <w:szCs w:val="12"/>
                <w:b w:val="1"/>
                <w:bCs w:val="1"/>
                <w:color w:val="477258"/>
              </w:rPr>
              <w:t xml:space="preserve"> Options(#)</w:t>
            </w:r>
            <w:r>
              <w:rPr>
                <w:rFonts w:ascii="Arial" w:cs="Arial" w:eastAsia="Arial" w:hAnsi="Arial"/>
                <w:sz w:val="16"/>
                <w:szCs w:val="16"/>
                <w:b w:val="1"/>
                <w:bCs w:val="1"/>
                <w:color w:val="477258"/>
                <w:vertAlign w:val="superscript"/>
              </w:rPr>
              <w:t>(3)</w:t>
            </w:r>
          </w:p>
        </w:tc>
        <w:tc>
          <w:tcPr>
            <w:tcW w:w="680" w:type="dxa"/>
            <w:vAlign w:val="bottom"/>
            <w:tcBorders>
              <w:bottom w:val="single" w:sz="8" w:color="477258"/>
            </w:tcBorders>
          </w:tcPr>
          <w:p>
            <w:pPr>
              <w:jc w:val="right"/>
              <w:spacing w:after="0" w:line="176" w:lineRule="exact"/>
              <w:rPr>
                <w:sz w:val="20"/>
                <w:szCs w:val="20"/>
                <w:color w:val="auto"/>
              </w:rPr>
            </w:pPr>
            <w:r>
              <w:rPr>
                <w:rFonts w:ascii="Arial" w:cs="Arial" w:eastAsia="Arial" w:hAnsi="Arial"/>
                <w:sz w:val="14"/>
                <w:szCs w:val="14"/>
                <w:b w:val="1"/>
                <w:bCs w:val="1"/>
                <w:color w:val="477258"/>
              </w:rPr>
              <w:t>($/sh)</w:t>
            </w:r>
            <w:r>
              <w:rPr>
                <w:rFonts w:ascii="Arial" w:cs="Arial" w:eastAsia="Arial" w:hAnsi="Arial"/>
                <w:sz w:val="20"/>
                <w:szCs w:val="20"/>
                <w:b w:val="1"/>
                <w:bCs w:val="1"/>
                <w:color w:val="477258"/>
                <w:vertAlign w:val="superscript"/>
              </w:rPr>
              <w:t>(4)</w:t>
            </w:r>
          </w:p>
        </w:tc>
        <w:tc>
          <w:tcPr>
            <w:tcW w:w="6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($/sh)</w:t>
            </w:r>
          </w:p>
        </w:tc>
        <w:tc>
          <w:tcPr>
            <w:tcW w:w="820" w:type="dxa"/>
            <w:vAlign w:val="bottom"/>
            <w:tcBorders>
              <w:bottom w:val="single" w:sz="8" w:color="477258"/>
            </w:tcBorders>
          </w:tcPr>
          <w:p>
            <w:pPr>
              <w:jc w:val="right"/>
              <w:spacing w:after="0" w:line="176" w:lineRule="exact"/>
              <w:rPr>
                <w:sz w:val="20"/>
                <w:szCs w:val="20"/>
                <w:color w:val="auto"/>
              </w:rPr>
            </w:pPr>
            <w:r>
              <w:rPr>
                <w:rFonts w:ascii="Arial" w:cs="Arial" w:eastAsia="Arial" w:hAnsi="Arial"/>
                <w:sz w:val="20"/>
                <w:szCs w:val="20"/>
                <w:b w:val="1"/>
                <w:bCs w:val="1"/>
                <w:color w:val="477258"/>
                <w:vertAlign w:val="subscript"/>
              </w:rPr>
              <w:t>($)</w:t>
            </w:r>
            <w:r>
              <w:rPr>
                <w:rFonts w:ascii="Arial" w:cs="Arial" w:eastAsia="Arial" w:hAnsi="Arial"/>
                <w:sz w:val="9"/>
                <w:szCs w:val="9"/>
                <w:b w:val="1"/>
                <w:bCs w:val="1"/>
                <w:color w:val="477258"/>
              </w:rPr>
              <w:t>(5)</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James C. Fish, Jr.</w:t>
            </w:r>
          </w:p>
        </w:tc>
        <w:tc>
          <w:tcPr>
            <w:tcW w:w="760" w:type="dxa"/>
            <w:vAlign w:val="bottom"/>
            <w:tcBorders>
              <w:bottom w:val="single" w:sz="8" w:color="477258"/>
            </w:tcBorders>
            <w:shd w:val="clear" w:color="auto" w:fill="CCEEFF"/>
          </w:tcPr>
          <w:p>
            <w:pPr>
              <w:spacing w:after="0"/>
              <w:rPr>
                <w:sz w:val="19"/>
                <w:szCs w:val="19"/>
                <w:color w:val="auto"/>
              </w:rPr>
            </w:pPr>
          </w:p>
        </w:tc>
        <w:tc>
          <w:tcPr>
            <w:tcW w:w="840" w:type="dxa"/>
            <w:vAlign w:val="bottom"/>
            <w:tcBorders>
              <w:bottom w:val="single" w:sz="8" w:color="477258"/>
            </w:tcBorders>
            <w:shd w:val="clear" w:color="auto" w:fill="CCEEFF"/>
          </w:tcPr>
          <w:p>
            <w:pPr>
              <w:spacing w:after="0"/>
              <w:rPr>
                <w:sz w:val="19"/>
                <w:szCs w:val="19"/>
                <w:color w:val="auto"/>
              </w:rPr>
            </w:pPr>
          </w:p>
        </w:tc>
        <w:tc>
          <w:tcPr>
            <w:tcW w:w="780" w:type="dxa"/>
            <w:vAlign w:val="bottom"/>
            <w:tcBorders>
              <w:bottom w:val="single" w:sz="8" w:color="477258"/>
            </w:tcBorders>
            <w:shd w:val="clear" w:color="auto" w:fill="CCEEFF"/>
          </w:tcPr>
          <w:p>
            <w:pPr>
              <w:spacing w:after="0"/>
              <w:rPr>
                <w:sz w:val="19"/>
                <w:szCs w:val="19"/>
                <w:color w:val="auto"/>
              </w:rPr>
            </w:pPr>
          </w:p>
        </w:tc>
        <w:tc>
          <w:tcPr>
            <w:tcW w:w="620" w:type="dxa"/>
            <w:vAlign w:val="bottom"/>
            <w:tcBorders>
              <w:bottom w:val="single" w:sz="8" w:color="477258"/>
            </w:tcBorders>
            <w:shd w:val="clear" w:color="auto" w:fill="CCEEFF"/>
          </w:tcPr>
          <w:p>
            <w:pPr>
              <w:spacing w:after="0"/>
              <w:rPr>
                <w:sz w:val="19"/>
                <w:szCs w:val="19"/>
                <w:color w:val="auto"/>
              </w:rPr>
            </w:pPr>
          </w:p>
        </w:tc>
        <w:tc>
          <w:tcPr>
            <w:tcW w:w="720" w:type="dxa"/>
            <w:vAlign w:val="bottom"/>
            <w:tcBorders>
              <w:bottom w:val="single" w:sz="8" w:color="477258"/>
            </w:tcBorders>
            <w:shd w:val="clear" w:color="auto" w:fill="CCEEFF"/>
          </w:tcPr>
          <w:p>
            <w:pPr>
              <w:spacing w:after="0"/>
              <w:rPr>
                <w:sz w:val="19"/>
                <w:szCs w:val="19"/>
                <w:color w:val="auto"/>
              </w:rPr>
            </w:pPr>
          </w:p>
        </w:tc>
        <w:tc>
          <w:tcPr>
            <w:tcW w:w="980" w:type="dxa"/>
            <w:vAlign w:val="bottom"/>
            <w:tcBorders>
              <w:bottom w:val="single" w:sz="8" w:color="477258"/>
            </w:tcBorders>
            <w:shd w:val="clear" w:color="auto" w:fill="CCEEFF"/>
          </w:tcPr>
          <w:p>
            <w:pPr>
              <w:spacing w:after="0"/>
              <w:rPr>
                <w:sz w:val="19"/>
                <w:szCs w:val="19"/>
                <w:color w:val="auto"/>
              </w:rPr>
            </w:pPr>
          </w:p>
        </w:tc>
        <w:tc>
          <w:tcPr>
            <w:tcW w:w="680" w:type="dxa"/>
            <w:vAlign w:val="bottom"/>
            <w:tcBorders>
              <w:bottom w:val="single" w:sz="8" w:color="477258"/>
            </w:tcBorders>
            <w:shd w:val="clear" w:color="auto" w:fill="CCEEFF"/>
          </w:tcPr>
          <w:p>
            <w:pPr>
              <w:spacing w:after="0"/>
              <w:rPr>
                <w:sz w:val="19"/>
                <w:szCs w:val="19"/>
                <w:color w:val="auto"/>
              </w:rPr>
            </w:pPr>
          </w:p>
        </w:tc>
        <w:tc>
          <w:tcPr>
            <w:tcW w:w="680" w:type="dxa"/>
            <w:vAlign w:val="bottom"/>
            <w:tcBorders>
              <w:bottom w:val="single" w:sz="8" w:color="477258"/>
            </w:tcBorders>
            <w:shd w:val="clear" w:color="auto" w:fill="CCEEFF"/>
          </w:tcPr>
          <w:p>
            <w:pPr>
              <w:spacing w:after="0"/>
              <w:rPr>
                <w:sz w:val="19"/>
                <w:szCs w:val="19"/>
                <w:color w:val="auto"/>
              </w:rPr>
            </w:pPr>
          </w:p>
        </w:tc>
        <w:tc>
          <w:tcPr>
            <w:tcW w:w="820" w:type="dxa"/>
            <w:vAlign w:val="bottom"/>
            <w:tcBorders>
              <w:bottom w:val="single" w:sz="8" w:color="477258"/>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20" w:type="dxa"/>
            <w:vAlign w:val="bottom"/>
            <w:tcBorders>
              <w:bottom w:val="single" w:sz="8" w:color="477258"/>
            </w:tcBorders>
            <w:gridSpan w:val="4"/>
          </w:tcPr>
          <w:p>
            <w:pPr>
              <w:spacing w:after="0"/>
              <w:rPr>
                <w:sz w:val="20"/>
                <w:szCs w:val="20"/>
                <w:color w:val="auto"/>
              </w:rPr>
            </w:pPr>
            <w:r>
              <w:rPr>
                <w:rFonts w:ascii="Arial" w:cs="Arial" w:eastAsia="Arial" w:hAnsi="Arial"/>
                <w:sz w:val="18"/>
                <w:szCs w:val="18"/>
                <w:color w:val="auto"/>
              </w:rPr>
              <w:t>Cash Incentive 1,125,9221,876,5373,753,074</w:t>
            </w:r>
          </w:p>
        </w:tc>
        <w:tc>
          <w:tcPr>
            <w:tcW w:w="780" w:type="dxa"/>
            <w:vAlign w:val="bottom"/>
            <w:tcBorders>
              <w:bottom w:val="single" w:sz="8" w:color="477258"/>
            </w:tcBorders>
          </w:tcPr>
          <w:p>
            <w:pPr>
              <w:spacing w:after="0"/>
              <w:rPr>
                <w:sz w:val="18"/>
                <w:szCs w:val="18"/>
                <w:color w:val="auto"/>
              </w:rPr>
            </w:pPr>
          </w:p>
        </w:tc>
        <w:tc>
          <w:tcPr>
            <w:tcW w:w="620" w:type="dxa"/>
            <w:vAlign w:val="bottom"/>
            <w:tcBorders>
              <w:bottom w:val="single" w:sz="8" w:color="477258"/>
            </w:tcBorders>
          </w:tcPr>
          <w:p>
            <w:pPr>
              <w:spacing w:after="0"/>
              <w:rPr>
                <w:sz w:val="18"/>
                <w:szCs w:val="18"/>
                <w:color w:val="auto"/>
              </w:rPr>
            </w:pPr>
          </w:p>
        </w:tc>
        <w:tc>
          <w:tcPr>
            <w:tcW w:w="720" w:type="dxa"/>
            <w:vAlign w:val="bottom"/>
            <w:tcBorders>
              <w:bottom w:val="single" w:sz="8" w:color="477258"/>
            </w:tcBorders>
          </w:tcPr>
          <w:p>
            <w:pPr>
              <w:spacing w:after="0"/>
              <w:rPr>
                <w:sz w:val="18"/>
                <w:szCs w:val="18"/>
                <w:color w:val="auto"/>
              </w:rPr>
            </w:pPr>
          </w:p>
        </w:tc>
        <w:tc>
          <w:tcPr>
            <w:tcW w:w="980" w:type="dxa"/>
            <w:vAlign w:val="bottom"/>
            <w:tcBorders>
              <w:bottom w:val="single" w:sz="8" w:color="477258"/>
            </w:tcBorders>
          </w:tcPr>
          <w:p>
            <w:pPr>
              <w:spacing w:after="0"/>
              <w:rPr>
                <w:sz w:val="18"/>
                <w:szCs w:val="18"/>
                <w:color w:val="auto"/>
              </w:rPr>
            </w:pPr>
          </w:p>
        </w:tc>
        <w:tc>
          <w:tcPr>
            <w:tcW w:w="680" w:type="dxa"/>
            <w:vAlign w:val="bottom"/>
            <w:tcBorders>
              <w:bottom w:val="single" w:sz="8" w:color="477258"/>
            </w:tcBorders>
          </w:tcPr>
          <w:p>
            <w:pPr>
              <w:spacing w:after="0"/>
              <w:rPr>
                <w:sz w:val="18"/>
                <w:szCs w:val="18"/>
                <w:color w:val="auto"/>
              </w:rPr>
            </w:pPr>
          </w:p>
        </w:tc>
        <w:tc>
          <w:tcPr>
            <w:tcW w:w="680" w:type="dxa"/>
            <w:vAlign w:val="bottom"/>
            <w:tcBorders>
              <w:bottom w:val="single" w:sz="8" w:color="477258"/>
            </w:tcBorders>
          </w:tcPr>
          <w:p>
            <w:pPr>
              <w:spacing w:after="0"/>
              <w:rPr>
                <w:sz w:val="18"/>
                <w:szCs w:val="18"/>
                <w:color w:val="auto"/>
              </w:rPr>
            </w:pPr>
          </w:p>
        </w:tc>
        <w:tc>
          <w:tcPr>
            <w:tcW w:w="820" w:type="dxa"/>
            <w:vAlign w:val="bottom"/>
            <w:tcBorders>
              <w:bottom w:val="single" w:sz="8" w:color="47725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Borders>
              <w:bottom w:val="single" w:sz="8" w:color="477258"/>
            </w:tcBorders>
            <w:shd w:val="clear" w:color="auto" w:fill="CCEEFF"/>
          </w:tcPr>
          <w:p>
            <w:pPr>
              <w:ind w:left="180"/>
              <w:spacing w:after="0"/>
              <w:rPr>
                <w:sz w:val="20"/>
                <w:szCs w:val="20"/>
                <w:color w:val="auto"/>
              </w:rPr>
            </w:pPr>
            <w:r>
              <w:rPr>
                <w:rFonts w:ascii="Arial" w:cs="Arial" w:eastAsia="Arial" w:hAnsi="Arial"/>
                <w:sz w:val="18"/>
                <w:szCs w:val="18"/>
                <w:color w:val="auto"/>
              </w:rPr>
              <w:t>2/19/20</w:t>
            </w:r>
          </w:p>
        </w:tc>
        <w:tc>
          <w:tcPr>
            <w:tcW w:w="900" w:type="dxa"/>
            <w:vAlign w:val="bottom"/>
            <w:tcBorders>
              <w:bottom w:val="single" w:sz="8" w:color="477258"/>
            </w:tcBorders>
            <w:shd w:val="clear" w:color="auto" w:fill="CCEEFF"/>
          </w:tcPr>
          <w:p>
            <w:pPr>
              <w:spacing w:after="0"/>
              <w:rPr>
                <w:sz w:val="18"/>
                <w:szCs w:val="18"/>
                <w:color w:val="auto"/>
              </w:rPr>
            </w:pPr>
          </w:p>
        </w:tc>
        <w:tc>
          <w:tcPr>
            <w:tcW w:w="760" w:type="dxa"/>
            <w:vAlign w:val="bottom"/>
            <w:tcBorders>
              <w:bottom w:val="single" w:sz="8" w:color="477258"/>
            </w:tcBorders>
            <w:shd w:val="clear" w:color="auto" w:fill="CCEEFF"/>
          </w:tcPr>
          <w:p>
            <w:pPr>
              <w:spacing w:after="0"/>
              <w:rPr>
                <w:sz w:val="18"/>
                <w:szCs w:val="18"/>
                <w:color w:val="auto"/>
              </w:rPr>
            </w:pPr>
          </w:p>
        </w:tc>
        <w:tc>
          <w:tcPr>
            <w:tcW w:w="84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26,446</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w w:val="98"/>
              </w:rPr>
              <w:t>52,892</w:t>
            </w:r>
          </w:p>
        </w:tc>
        <w:tc>
          <w:tcPr>
            <w:tcW w:w="7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105,784</w:t>
            </w:r>
          </w:p>
        </w:tc>
        <w:tc>
          <w:tcPr>
            <w:tcW w:w="9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w w:val="99"/>
              </w:rPr>
              <w:t>8,110,592</w:t>
            </w:r>
          </w:p>
        </w:tc>
        <w:tc>
          <w:tcPr>
            <w:tcW w:w="0" w:type="dxa"/>
            <w:vAlign w:val="bottom"/>
          </w:tcPr>
          <w:p>
            <w:pPr>
              <w:spacing w:after="0"/>
              <w:rPr>
                <w:sz w:val="1"/>
                <w:szCs w:val="1"/>
                <w:color w:val="auto"/>
              </w:rPr>
            </w:pPr>
          </w:p>
        </w:tc>
      </w:tr>
      <w:tr>
        <w:trPr>
          <w:trHeight w:val="209"/>
        </w:trPr>
        <w:tc>
          <w:tcPr>
            <w:tcW w:w="1320" w:type="dxa"/>
            <w:vAlign w:val="bottom"/>
            <w:tcBorders>
              <w:bottom w:val="single" w:sz="8" w:color="477258"/>
            </w:tcBorders>
          </w:tcPr>
          <w:p>
            <w:pPr>
              <w:ind w:left="180"/>
              <w:spacing w:after="0"/>
              <w:rPr>
                <w:sz w:val="20"/>
                <w:szCs w:val="20"/>
                <w:color w:val="auto"/>
              </w:rPr>
            </w:pPr>
            <w:r>
              <w:rPr>
                <w:rFonts w:ascii="Arial" w:cs="Arial" w:eastAsia="Arial" w:hAnsi="Arial"/>
                <w:sz w:val="18"/>
                <w:szCs w:val="18"/>
                <w:color w:val="auto"/>
              </w:rPr>
              <w:t>2/19/20</w:t>
            </w:r>
          </w:p>
        </w:tc>
        <w:tc>
          <w:tcPr>
            <w:tcW w:w="900" w:type="dxa"/>
            <w:vAlign w:val="bottom"/>
            <w:tcBorders>
              <w:bottom w:val="single" w:sz="8" w:color="477258"/>
            </w:tcBorders>
          </w:tcPr>
          <w:p>
            <w:pPr>
              <w:spacing w:after="0"/>
              <w:rPr>
                <w:sz w:val="18"/>
                <w:szCs w:val="18"/>
                <w:color w:val="auto"/>
              </w:rPr>
            </w:pPr>
          </w:p>
        </w:tc>
        <w:tc>
          <w:tcPr>
            <w:tcW w:w="760" w:type="dxa"/>
            <w:vAlign w:val="bottom"/>
            <w:tcBorders>
              <w:bottom w:val="single" w:sz="8" w:color="477258"/>
            </w:tcBorders>
          </w:tcPr>
          <w:p>
            <w:pPr>
              <w:spacing w:after="0"/>
              <w:rPr>
                <w:sz w:val="18"/>
                <w:szCs w:val="18"/>
                <w:color w:val="auto"/>
              </w:rPr>
            </w:pPr>
          </w:p>
        </w:tc>
        <w:tc>
          <w:tcPr>
            <w:tcW w:w="840" w:type="dxa"/>
            <w:vAlign w:val="bottom"/>
            <w:tcBorders>
              <w:bottom w:val="single" w:sz="8" w:color="477258"/>
            </w:tcBorders>
          </w:tcPr>
          <w:p>
            <w:pPr>
              <w:spacing w:after="0"/>
              <w:rPr>
                <w:sz w:val="18"/>
                <w:szCs w:val="18"/>
                <w:color w:val="auto"/>
              </w:rPr>
            </w:pPr>
          </w:p>
        </w:tc>
        <w:tc>
          <w:tcPr>
            <w:tcW w:w="780" w:type="dxa"/>
            <w:vAlign w:val="bottom"/>
            <w:tcBorders>
              <w:bottom w:val="single" w:sz="8" w:color="477258"/>
            </w:tcBorders>
          </w:tcPr>
          <w:p>
            <w:pPr>
              <w:spacing w:after="0"/>
              <w:rPr>
                <w:sz w:val="18"/>
                <w:szCs w:val="18"/>
                <w:color w:val="auto"/>
              </w:rPr>
            </w:pPr>
          </w:p>
        </w:tc>
        <w:tc>
          <w:tcPr>
            <w:tcW w:w="620" w:type="dxa"/>
            <w:vAlign w:val="bottom"/>
            <w:tcBorders>
              <w:bottom w:val="single" w:sz="8" w:color="477258"/>
            </w:tcBorders>
          </w:tcPr>
          <w:p>
            <w:pPr>
              <w:spacing w:after="0"/>
              <w:rPr>
                <w:sz w:val="18"/>
                <w:szCs w:val="18"/>
                <w:color w:val="auto"/>
              </w:rPr>
            </w:pPr>
          </w:p>
        </w:tc>
        <w:tc>
          <w:tcPr>
            <w:tcW w:w="720" w:type="dxa"/>
            <w:vAlign w:val="bottom"/>
            <w:tcBorders>
              <w:bottom w:val="single" w:sz="8" w:color="477258"/>
            </w:tcBorders>
          </w:tcPr>
          <w:p>
            <w:pPr>
              <w:spacing w:after="0"/>
              <w:rPr>
                <w:sz w:val="18"/>
                <w:szCs w:val="18"/>
                <w:color w:val="auto"/>
              </w:rPr>
            </w:pPr>
          </w:p>
        </w:tc>
        <w:tc>
          <w:tcPr>
            <w:tcW w:w="980" w:type="dxa"/>
            <w:vAlign w:val="bottom"/>
            <w:tcBorders>
              <w:bottom w:val="single" w:sz="8" w:color="477258"/>
            </w:tcBorders>
          </w:tcPr>
          <w:p>
            <w:pPr>
              <w:jc w:val="right"/>
              <w:ind w:right="63"/>
              <w:spacing w:after="0"/>
              <w:rPr>
                <w:sz w:val="20"/>
                <w:szCs w:val="20"/>
                <w:color w:val="auto"/>
              </w:rPr>
            </w:pPr>
            <w:r>
              <w:rPr>
                <w:rFonts w:ascii="Arial" w:cs="Arial" w:eastAsia="Arial" w:hAnsi="Arial"/>
                <w:sz w:val="18"/>
                <w:szCs w:val="18"/>
                <w:color w:val="auto"/>
              </w:rPr>
              <w:t>101,138</w:t>
            </w:r>
          </w:p>
        </w:tc>
        <w:tc>
          <w:tcPr>
            <w:tcW w:w="680" w:type="dxa"/>
            <w:vAlign w:val="bottom"/>
            <w:tcBorders>
              <w:bottom w:val="single" w:sz="8" w:color="477258"/>
            </w:tcBorders>
          </w:tcPr>
          <w:p>
            <w:pPr>
              <w:jc w:val="center"/>
              <w:spacing w:after="0"/>
              <w:rPr>
                <w:sz w:val="20"/>
                <w:szCs w:val="20"/>
                <w:color w:val="auto"/>
              </w:rPr>
            </w:pPr>
            <w:r>
              <w:rPr>
                <w:rFonts w:ascii="Arial" w:cs="Arial" w:eastAsia="Arial" w:hAnsi="Arial"/>
                <w:sz w:val="18"/>
                <w:szCs w:val="18"/>
                <w:color w:val="auto"/>
              </w:rPr>
              <w:t>126.005</w:t>
            </w:r>
          </w:p>
        </w:tc>
        <w:tc>
          <w:tcPr>
            <w:tcW w:w="1500" w:type="dxa"/>
            <w:vAlign w:val="bottom"/>
            <w:tcBorders>
              <w:bottom w:val="single" w:sz="8" w:color="477258"/>
            </w:tcBorders>
            <w:gridSpan w:val="2"/>
          </w:tcPr>
          <w:p>
            <w:pPr>
              <w:jc w:val="right"/>
              <w:spacing w:after="0"/>
              <w:rPr>
                <w:sz w:val="20"/>
                <w:szCs w:val="20"/>
                <w:color w:val="auto"/>
              </w:rPr>
            </w:pPr>
            <w:r>
              <w:rPr>
                <w:rFonts w:ascii="Arial" w:cs="Arial" w:eastAsia="Arial" w:hAnsi="Arial"/>
                <w:sz w:val="18"/>
                <w:szCs w:val="18"/>
                <w:color w:val="auto"/>
              </w:rPr>
              <w:t>125.23 1,600,003</w:t>
            </w:r>
          </w:p>
        </w:tc>
        <w:tc>
          <w:tcPr>
            <w:tcW w:w="0" w:type="dxa"/>
            <w:vAlign w:val="bottom"/>
          </w:tcPr>
          <w:p>
            <w:pPr>
              <w:spacing w:after="0"/>
              <w:rPr>
                <w:sz w:val="1"/>
                <w:szCs w:val="1"/>
                <w:color w:val="auto"/>
              </w:rPr>
            </w:pPr>
          </w:p>
        </w:tc>
      </w:tr>
      <w:tr>
        <w:trPr>
          <w:trHeight w:val="210"/>
        </w:trPr>
        <w:tc>
          <w:tcPr>
            <w:tcW w:w="222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Devina A. Rankin</w:t>
            </w:r>
          </w:p>
        </w:tc>
        <w:tc>
          <w:tcPr>
            <w:tcW w:w="760" w:type="dxa"/>
            <w:vAlign w:val="bottom"/>
            <w:tcBorders>
              <w:bottom w:val="single" w:sz="8" w:color="477258"/>
            </w:tcBorders>
            <w:shd w:val="clear" w:color="auto" w:fill="CCEEFF"/>
          </w:tcPr>
          <w:p>
            <w:pPr>
              <w:spacing w:after="0"/>
              <w:rPr>
                <w:sz w:val="18"/>
                <w:szCs w:val="18"/>
                <w:color w:val="auto"/>
              </w:rPr>
            </w:pPr>
          </w:p>
        </w:tc>
        <w:tc>
          <w:tcPr>
            <w:tcW w:w="84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spacing w:after="0"/>
              <w:rPr>
                <w:sz w:val="18"/>
                <w:szCs w:val="18"/>
                <w:color w:val="auto"/>
              </w:rPr>
            </w:pPr>
          </w:p>
        </w:tc>
        <w:tc>
          <w:tcPr>
            <w:tcW w:w="620" w:type="dxa"/>
            <w:vAlign w:val="bottom"/>
            <w:tcBorders>
              <w:bottom w:val="single" w:sz="8" w:color="477258"/>
            </w:tcBorders>
            <w:shd w:val="clear" w:color="auto" w:fill="CCEEFF"/>
          </w:tcPr>
          <w:p>
            <w:pPr>
              <w:spacing w:after="0"/>
              <w:rPr>
                <w:sz w:val="18"/>
                <w:szCs w:val="18"/>
                <w:color w:val="auto"/>
              </w:rPr>
            </w:pPr>
          </w:p>
        </w:tc>
        <w:tc>
          <w:tcPr>
            <w:tcW w:w="720" w:type="dxa"/>
            <w:vAlign w:val="bottom"/>
            <w:tcBorders>
              <w:bottom w:val="single" w:sz="8" w:color="477258"/>
            </w:tcBorders>
            <w:shd w:val="clear" w:color="auto" w:fill="CCEEFF"/>
          </w:tcPr>
          <w:p>
            <w:pPr>
              <w:spacing w:after="0"/>
              <w:rPr>
                <w:sz w:val="18"/>
                <w:szCs w:val="18"/>
                <w:color w:val="auto"/>
              </w:rPr>
            </w:pPr>
          </w:p>
        </w:tc>
        <w:tc>
          <w:tcPr>
            <w:tcW w:w="9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Borders>
              <w:bottom w:val="single" w:sz="8" w:color="477258"/>
            </w:tcBorders>
          </w:tcPr>
          <w:p>
            <w:pPr>
              <w:spacing w:after="0"/>
              <w:rPr>
                <w:sz w:val="20"/>
                <w:szCs w:val="20"/>
                <w:color w:val="auto"/>
              </w:rPr>
            </w:pPr>
            <w:r>
              <w:rPr>
                <w:rFonts w:ascii="Arial" w:cs="Arial" w:eastAsia="Arial" w:hAnsi="Arial"/>
                <w:sz w:val="18"/>
                <w:szCs w:val="18"/>
                <w:color w:val="auto"/>
              </w:rPr>
              <w:t>Cash Incentive</w:t>
            </w:r>
          </w:p>
        </w:tc>
        <w:tc>
          <w:tcPr>
            <w:tcW w:w="900" w:type="dxa"/>
            <w:vAlign w:val="bottom"/>
            <w:tcBorders>
              <w:bottom w:val="single" w:sz="8" w:color="477258"/>
            </w:tcBorders>
          </w:tcPr>
          <w:p>
            <w:pPr>
              <w:ind w:left="180"/>
              <w:spacing w:after="0"/>
              <w:rPr>
                <w:sz w:val="20"/>
                <w:szCs w:val="20"/>
                <w:color w:val="auto"/>
              </w:rPr>
            </w:pPr>
            <w:r>
              <w:rPr>
                <w:rFonts w:ascii="Arial" w:cs="Arial" w:eastAsia="Arial" w:hAnsi="Arial"/>
                <w:sz w:val="18"/>
                <w:szCs w:val="18"/>
                <w:color w:val="auto"/>
              </w:rPr>
              <w:t>402,288</w:t>
            </w:r>
          </w:p>
        </w:tc>
        <w:tc>
          <w:tcPr>
            <w:tcW w:w="1600" w:type="dxa"/>
            <w:vAlign w:val="bottom"/>
            <w:tcBorders>
              <w:bottom w:val="single" w:sz="8" w:color="477258"/>
            </w:tcBorders>
            <w:gridSpan w:val="2"/>
          </w:tcPr>
          <w:p>
            <w:pPr>
              <w:jc w:val="right"/>
              <w:spacing w:after="0"/>
              <w:rPr>
                <w:sz w:val="20"/>
                <w:szCs w:val="20"/>
                <w:color w:val="auto"/>
              </w:rPr>
            </w:pPr>
            <w:r>
              <w:rPr>
                <w:rFonts w:ascii="Arial" w:cs="Arial" w:eastAsia="Arial" w:hAnsi="Arial"/>
                <w:sz w:val="18"/>
                <w:szCs w:val="18"/>
                <w:color w:val="auto"/>
              </w:rPr>
              <w:t>670,4801,340,959</w:t>
            </w:r>
          </w:p>
        </w:tc>
        <w:tc>
          <w:tcPr>
            <w:tcW w:w="780" w:type="dxa"/>
            <w:vAlign w:val="bottom"/>
            <w:tcBorders>
              <w:bottom w:val="single" w:sz="8" w:color="477258"/>
            </w:tcBorders>
          </w:tcPr>
          <w:p>
            <w:pPr>
              <w:spacing w:after="0"/>
              <w:rPr>
                <w:sz w:val="18"/>
                <w:szCs w:val="18"/>
                <w:color w:val="auto"/>
              </w:rPr>
            </w:pPr>
          </w:p>
        </w:tc>
        <w:tc>
          <w:tcPr>
            <w:tcW w:w="620" w:type="dxa"/>
            <w:vAlign w:val="bottom"/>
            <w:tcBorders>
              <w:bottom w:val="single" w:sz="8" w:color="477258"/>
            </w:tcBorders>
          </w:tcPr>
          <w:p>
            <w:pPr>
              <w:spacing w:after="0"/>
              <w:rPr>
                <w:sz w:val="18"/>
                <w:szCs w:val="18"/>
                <w:color w:val="auto"/>
              </w:rPr>
            </w:pPr>
          </w:p>
        </w:tc>
        <w:tc>
          <w:tcPr>
            <w:tcW w:w="720" w:type="dxa"/>
            <w:vAlign w:val="bottom"/>
            <w:tcBorders>
              <w:bottom w:val="single" w:sz="8" w:color="477258"/>
            </w:tcBorders>
          </w:tcPr>
          <w:p>
            <w:pPr>
              <w:spacing w:after="0"/>
              <w:rPr>
                <w:sz w:val="18"/>
                <w:szCs w:val="18"/>
                <w:color w:val="auto"/>
              </w:rPr>
            </w:pPr>
          </w:p>
        </w:tc>
        <w:tc>
          <w:tcPr>
            <w:tcW w:w="980" w:type="dxa"/>
            <w:vAlign w:val="bottom"/>
            <w:tcBorders>
              <w:bottom w:val="single" w:sz="8" w:color="477258"/>
            </w:tcBorders>
          </w:tcPr>
          <w:p>
            <w:pPr>
              <w:spacing w:after="0"/>
              <w:rPr>
                <w:sz w:val="18"/>
                <w:szCs w:val="18"/>
                <w:color w:val="auto"/>
              </w:rPr>
            </w:pPr>
          </w:p>
        </w:tc>
        <w:tc>
          <w:tcPr>
            <w:tcW w:w="680" w:type="dxa"/>
            <w:vAlign w:val="bottom"/>
            <w:tcBorders>
              <w:bottom w:val="single" w:sz="8" w:color="477258"/>
            </w:tcBorders>
          </w:tcPr>
          <w:p>
            <w:pPr>
              <w:spacing w:after="0"/>
              <w:rPr>
                <w:sz w:val="18"/>
                <w:szCs w:val="18"/>
                <w:color w:val="auto"/>
              </w:rPr>
            </w:pPr>
          </w:p>
        </w:tc>
        <w:tc>
          <w:tcPr>
            <w:tcW w:w="680" w:type="dxa"/>
            <w:vAlign w:val="bottom"/>
            <w:tcBorders>
              <w:bottom w:val="single" w:sz="8" w:color="477258"/>
            </w:tcBorders>
          </w:tcPr>
          <w:p>
            <w:pPr>
              <w:spacing w:after="0"/>
              <w:rPr>
                <w:sz w:val="18"/>
                <w:szCs w:val="18"/>
                <w:color w:val="auto"/>
              </w:rPr>
            </w:pPr>
          </w:p>
        </w:tc>
        <w:tc>
          <w:tcPr>
            <w:tcW w:w="820" w:type="dxa"/>
            <w:vAlign w:val="bottom"/>
            <w:tcBorders>
              <w:bottom w:val="single" w:sz="8" w:color="47725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Borders>
              <w:bottom w:val="single" w:sz="8" w:color="477258"/>
            </w:tcBorders>
            <w:shd w:val="clear" w:color="auto" w:fill="CCEEFF"/>
          </w:tcPr>
          <w:p>
            <w:pPr>
              <w:ind w:left="180"/>
              <w:spacing w:after="0"/>
              <w:rPr>
                <w:sz w:val="20"/>
                <w:szCs w:val="20"/>
                <w:color w:val="auto"/>
              </w:rPr>
            </w:pPr>
            <w:r>
              <w:rPr>
                <w:rFonts w:ascii="Arial" w:cs="Arial" w:eastAsia="Arial" w:hAnsi="Arial"/>
                <w:sz w:val="18"/>
                <w:szCs w:val="18"/>
                <w:color w:val="auto"/>
              </w:rPr>
              <w:t>2/19/20</w:t>
            </w:r>
          </w:p>
        </w:tc>
        <w:tc>
          <w:tcPr>
            <w:tcW w:w="900" w:type="dxa"/>
            <w:vAlign w:val="bottom"/>
            <w:tcBorders>
              <w:bottom w:val="single" w:sz="8" w:color="477258"/>
            </w:tcBorders>
            <w:shd w:val="clear" w:color="auto" w:fill="CCEEFF"/>
          </w:tcPr>
          <w:p>
            <w:pPr>
              <w:spacing w:after="0"/>
              <w:rPr>
                <w:sz w:val="18"/>
                <w:szCs w:val="18"/>
                <w:color w:val="auto"/>
              </w:rPr>
            </w:pPr>
          </w:p>
        </w:tc>
        <w:tc>
          <w:tcPr>
            <w:tcW w:w="760" w:type="dxa"/>
            <w:vAlign w:val="bottom"/>
            <w:tcBorders>
              <w:bottom w:val="single" w:sz="8" w:color="477258"/>
            </w:tcBorders>
            <w:shd w:val="clear" w:color="auto" w:fill="CCEEFF"/>
          </w:tcPr>
          <w:p>
            <w:pPr>
              <w:spacing w:after="0"/>
              <w:rPr>
                <w:sz w:val="18"/>
                <w:szCs w:val="18"/>
                <w:color w:val="auto"/>
              </w:rPr>
            </w:pPr>
          </w:p>
        </w:tc>
        <w:tc>
          <w:tcPr>
            <w:tcW w:w="84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w w:val="98"/>
              </w:rPr>
              <w:t>13,224</w:t>
            </w:r>
          </w:p>
        </w:tc>
        <w:tc>
          <w:tcPr>
            <w:tcW w:w="7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26,448</w:t>
            </w:r>
          </w:p>
        </w:tc>
        <w:tc>
          <w:tcPr>
            <w:tcW w:w="9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w w:val="99"/>
              </w:rPr>
              <w:t>2,027,801</w:t>
            </w:r>
          </w:p>
        </w:tc>
        <w:tc>
          <w:tcPr>
            <w:tcW w:w="0" w:type="dxa"/>
            <w:vAlign w:val="bottom"/>
          </w:tcPr>
          <w:p>
            <w:pPr>
              <w:spacing w:after="0"/>
              <w:rPr>
                <w:sz w:val="1"/>
                <w:szCs w:val="1"/>
                <w:color w:val="auto"/>
              </w:rPr>
            </w:pPr>
          </w:p>
        </w:tc>
      </w:tr>
      <w:tr>
        <w:trPr>
          <w:trHeight w:val="210"/>
        </w:trPr>
        <w:tc>
          <w:tcPr>
            <w:tcW w:w="1320" w:type="dxa"/>
            <w:vAlign w:val="bottom"/>
            <w:tcBorders>
              <w:bottom w:val="single" w:sz="8" w:color="477258"/>
            </w:tcBorders>
          </w:tcPr>
          <w:p>
            <w:pPr>
              <w:ind w:left="180"/>
              <w:spacing w:after="0"/>
              <w:rPr>
                <w:sz w:val="20"/>
                <w:szCs w:val="20"/>
                <w:color w:val="auto"/>
              </w:rPr>
            </w:pPr>
            <w:r>
              <w:rPr>
                <w:rFonts w:ascii="Arial" w:cs="Arial" w:eastAsia="Arial" w:hAnsi="Arial"/>
                <w:sz w:val="18"/>
                <w:szCs w:val="18"/>
                <w:color w:val="auto"/>
              </w:rPr>
              <w:t>2/19/20</w:t>
            </w:r>
          </w:p>
        </w:tc>
        <w:tc>
          <w:tcPr>
            <w:tcW w:w="900" w:type="dxa"/>
            <w:vAlign w:val="bottom"/>
            <w:tcBorders>
              <w:bottom w:val="single" w:sz="8" w:color="477258"/>
            </w:tcBorders>
          </w:tcPr>
          <w:p>
            <w:pPr>
              <w:spacing w:after="0"/>
              <w:rPr>
                <w:sz w:val="18"/>
                <w:szCs w:val="18"/>
                <w:color w:val="auto"/>
              </w:rPr>
            </w:pPr>
          </w:p>
        </w:tc>
        <w:tc>
          <w:tcPr>
            <w:tcW w:w="760" w:type="dxa"/>
            <w:vAlign w:val="bottom"/>
            <w:tcBorders>
              <w:bottom w:val="single" w:sz="8" w:color="477258"/>
            </w:tcBorders>
          </w:tcPr>
          <w:p>
            <w:pPr>
              <w:spacing w:after="0"/>
              <w:rPr>
                <w:sz w:val="18"/>
                <w:szCs w:val="18"/>
                <w:color w:val="auto"/>
              </w:rPr>
            </w:pPr>
          </w:p>
        </w:tc>
        <w:tc>
          <w:tcPr>
            <w:tcW w:w="840" w:type="dxa"/>
            <w:vAlign w:val="bottom"/>
            <w:tcBorders>
              <w:bottom w:val="single" w:sz="8" w:color="477258"/>
            </w:tcBorders>
          </w:tcPr>
          <w:p>
            <w:pPr>
              <w:spacing w:after="0"/>
              <w:rPr>
                <w:sz w:val="18"/>
                <w:szCs w:val="18"/>
                <w:color w:val="auto"/>
              </w:rPr>
            </w:pPr>
          </w:p>
        </w:tc>
        <w:tc>
          <w:tcPr>
            <w:tcW w:w="780" w:type="dxa"/>
            <w:vAlign w:val="bottom"/>
            <w:tcBorders>
              <w:bottom w:val="single" w:sz="8" w:color="477258"/>
            </w:tcBorders>
          </w:tcPr>
          <w:p>
            <w:pPr>
              <w:spacing w:after="0"/>
              <w:rPr>
                <w:sz w:val="18"/>
                <w:szCs w:val="18"/>
                <w:color w:val="auto"/>
              </w:rPr>
            </w:pPr>
          </w:p>
        </w:tc>
        <w:tc>
          <w:tcPr>
            <w:tcW w:w="620" w:type="dxa"/>
            <w:vAlign w:val="bottom"/>
            <w:tcBorders>
              <w:bottom w:val="single" w:sz="8" w:color="477258"/>
            </w:tcBorders>
          </w:tcPr>
          <w:p>
            <w:pPr>
              <w:spacing w:after="0"/>
              <w:rPr>
                <w:sz w:val="18"/>
                <w:szCs w:val="18"/>
                <w:color w:val="auto"/>
              </w:rPr>
            </w:pPr>
          </w:p>
        </w:tc>
        <w:tc>
          <w:tcPr>
            <w:tcW w:w="720" w:type="dxa"/>
            <w:vAlign w:val="bottom"/>
            <w:tcBorders>
              <w:bottom w:val="single" w:sz="8" w:color="477258"/>
            </w:tcBorders>
          </w:tcPr>
          <w:p>
            <w:pPr>
              <w:spacing w:after="0"/>
              <w:rPr>
                <w:sz w:val="18"/>
                <w:szCs w:val="18"/>
                <w:color w:val="auto"/>
              </w:rPr>
            </w:pPr>
          </w:p>
        </w:tc>
        <w:tc>
          <w:tcPr>
            <w:tcW w:w="980" w:type="dxa"/>
            <w:vAlign w:val="bottom"/>
            <w:tcBorders>
              <w:bottom w:val="single" w:sz="8" w:color="477258"/>
            </w:tcBorders>
          </w:tcPr>
          <w:p>
            <w:pPr>
              <w:jc w:val="right"/>
              <w:ind w:right="63"/>
              <w:spacing w:after="0"/>
              <w:rPr>
                <w:sz w:val="20"/>
                <w:szCs w:val="20"/>
                <w:color w:val="auto"/>
              </w:rPr>
            </w:pPr>
            <w:r>
              <w:rPr>
                <w:rFonts w:ascii="Arial" w:cs="Arial" w:eastAsia="Arial" w:hAnsi="Arial"/>
                <w:sz w:val="18"/>
                <w:szCs w:val="18"/>
                <w:color w:val="auto"/>
              </w:rPr>
              <w:t>25,284</w:t>
            </w:r>
          </w:p>
        </w:tc>
        <w:tc>
          <w:tcPr>
            <w:tcW w:w="680" w:type="dxa"/>
            <w:vAlign w:val="bottom"/>
            <w:tcBorders>
              <w:bottom w:val="single" w:sz="8" w:color="477258"/>
            </w:tcBorders>
          </w:tcPr>
          <w:p>
            <w:pPr>
              <w:jc w:val="center"/>
              <w:spacing w:after="0"/>
              <w:rPr>
                <w:sz w:val="20"/>
                <w:szCs w:val="20"/>
                <w:color w:val="auto"/>
              </w:rPr>
            </w:pPr>
            <w:r>
              <w:rPr>
                <w:rFonts w:ascii="Arial" w:cs="Arial" w:eastAsia="Arial" w:hAnsi="Arial"/>
                <w:sz w:val="18"/>
                <w:szCs w:val="18"/>
                <w:color w:val="auto"/>
              </w:rPr>
              <w:t>126.005</w:t>
            </w:r>
          </w:p>
        </w:tc>
        <w:tc>
          <w:tcPr>
            <w:tcW w:w="6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125.23</w:t>
            </w:r>
          </w:p>
        </w:tc>
        <w:tc>
          <w:tcPr>
            <w:tcW w:w="8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399,993</w:t>
            </w:r>
          </w:p>
        </w:tc>
        <w:tc>
          <w:tcPr>
            <w:tcW w:w="0" w:type="dxa"/>
            <w:vAlign w:val="bottom"/>
          </w:tcPr>
          <w:p>
            <w:pPr>
              <w:spacing w:after="0"/>
              <w:rPr>
                <w:sz w:val="1"/>
                <w:szCs w:val="1"/>
                <w:color w:val="auto"/>
              </w:rPr>
            </w:pPr>
          </w:p>
        </w:tc>
      </w:tr>
      <w:tr>
        <w:trPr>
          <w:trHeight w:val="209"/>
        </w:trPr>
        <w:tc>
          <w:tcPr>
            <w:tcW w:w="222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John J. Morris, Jr.</w:t>
            </w:r>
          </w:p>
        </w:tc>
        <w:tc>
          <w:tcPr>
            <w:tcW w:w="760" w:type="dxa"/>
            <w:vAlign w:val="bottom"/>
            <w:tcBorders>
              <w:bottom w:val="single" w:sz="8" w:color="477258"/>
            </w:tcBorders>
            <w:shd w:val="clear" w:color="auto" w:fill="CCEEFF"/>
          </w:tcPr>
          <w:p>
            <w:pPr>
              <w:spacing w:after="0"/>
              <w:rPr>
                <w:sz w:val="18"/>
                <w:szCs w:val="18"/>
                <w:color w:val="auto"/>
              </w:rPr>
            </w:pPr>
          </w:p>
        </w:tc>
        <w:tc>
          <w:tcPr>
            <w:tcW w:w="84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spacing w:after="0"/>
              <w:rPr>
                <w:sz w:val="18"/>
                <w:szCs w:val="18"/>
                <w:color w:val="auto"/>
              </w:rPr>
            </w:pPr>
          </w:p>
        </w:tc>
        <w:tc>
          <w:tcPr>
            <w:tcW w:w="620" w:type="dxa"/>
            <w:vAlign w:val="bottom"/>
            <w:tcBorders>
              <w:bottom w:val="single" w:sz="8" w:color="477258"/>
            </w:tcBorders>
            <w:shd w:val="clear" w:color="auto" w:fill="CCEEFF"/>
          </w:tcPr>
          <w:p>
            <w:pPr>
              <w:spacing w:after="0"/>
              <w:rPr>
                <w:sz w:val="18"/>
                <w:szCs w:val="18"/>
                <w:color w:val="auto"/>
              </w:rPr>
            </w:pPr>
          </w:p>
        </w:tc>
        <w:tc>
          <w:tcPr>
            <w:tcW w:w="720" w:type="dxa"/>
            <w:vAlign w:val="bottom"/>
            <w:tcBorders>
              <w:bottom w:val="single" w:sz="8" w:color="477258"/>
            </w:tcBorders>
            <w:shd w:val="clear" w:color="auto" w:fill="CCEEFF"/>
          </w:tcPr>
          <w:p>
            <w:pPr>
              <w:spacing w:after="0"/>
              <w:rPr>
                <w:sz w:val="18"/>
                <w:szCs w:val="18"/>
                <w:color w:val="auto"/>
              </w:rPr>
            </w:pPr>
          </w:p>
        </w:tc>
        <w:tc>
          <w:tcPr>
            <w:tcW w:w="9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Borders>
              <w:bottom w:val="single" w:sz="8" w:color="477258"/>
            </w:tcBorders>
          </w:tcPr>
          <w:p>
            <w:pPr>
              <w:spacing w:after="0"/>
              <w:rPr>
                <w:sz w:val="20"/>
                <w:szCs w:val="20"/>
                <w:color w:val="auto"/>
              </w:rPr>
            </w:pPr>
            <w:r>
              <w:rPr>
                <w:rFonts w:ascii="Arial" w:cs="Arial" w:eastAsia="Arial" w:hAnsi="Arial"/>
                <w:sz w:val="18"/>
                <w:szCs w:val="18"/>
                <w:color w:val="auto"/>
              </w:rPr>
              <w:t>Cash Incentive</w:t>
            </w:r>
          </w:p>
        </w:tc>
        <w:tc>
          <w:tcPr>
            <w:tcW w:w="900" w:type="dxa"/>
            <w:vAlign w:val="bottom"/>
            <w:tcBorders>
              <w:bottom w:val="single" w:sz="8" w:color="477258"/>
            </w:tcBorders>
          </w:tcPr>
          <w:p>
            <w:pPr>
              <w:ind w:left="180"/>
              <w:spacing w:after="0"/>
              <w:rPr>
                <w:sz w:val="20"/>
                <w:szCs w:val="20"/>
                <w:color w:val="auto"/>
              </w:rPr>
            </w:pPr>
            <w:r>
              <w:rPr>
                <w:rFonts w:ascii="Arial" w:cs="Arial" w:eastAsia="Arial" w:hAnsi="Arial"/>
                <w:sz w:val="18"/>
                <w:szCs w:val="18"/>
                <w:color w:val="auto"/>
              </w:rPr>
              <w:t>422,711</w:t>
            </w:r>
          </w:p>
        </w:tc>
        <w:tc>
          <w:tcPr>
            <w:tcW w:w="1600" w:type="dxa"/>
            <w:vAlign w:val="bottom"/>
            <w:tcBorders>
              <w:bottom w:val="single" w:sz="8" w:color="477258"/>
            </w:tcBorders>
            <w:gridSpan w:val="2"/>
          </w:tcPr>
          <w:p>
            <w:pPr>
              <w:jc w:val="right"/>
              <w:spacing w:after="0"/>
              <w:rPr>
                <w:sz w:val="20"/>
                <w:szCs w:val="20"/>
                <w:color w:val="auto"/>
              </w:rPr>
            </w:pPr>
            <w:r>
              <w:rPr>
                <w:rFonts w:ascii="Arial" w:cs="Arial" w:eastAsia="Arial" w:hAnsi="Arial"/>
                <w:sz w:val="18"/>
                <w:szCs w:val="18"/>
                <w:color w:val="auto"/>
              </w:rPr>
              <w:t>704,5181,409,037</w:t>
            </w:r>
          </w:p>
        </w:tc>
        <w:tc>
          <w:tcPr>
            <w:tcW w:w="780" w:type="dxa"/>
            <w:vAlign w:val="bottom"/>
            <w:tcBorders>
              <w:bottom w:val="single" w:sz="8" w:color="477258"/>
            </w:tcBorders>
          </w:tcPr>
          <w:p>
            <w:pPr>
              <w:spacing w:after="0"/>
              <w:rPr>
                <w:sz w:val="18"/>
                <w:szCs w:val="18"/>
                <w:color w:val="auto"/>
              </w:rPr>
            </w:pPr>
          </w:p>
        </w:tc>
        <w:tc>
          <w:tcPr>
            <w:tcW w:w="620" w:type="dxa"/>
            <w:vAlign w:val="bottom"/>
            <w:tcBorders>
              <w:bottom w:val="single" w:sz="8" w:color="477258"/>
            </w:tcBorders>
          </w:tcPr>
          <w:p>
            <w:pPr>
              <w:spacing w:after="0"/>
              <w:rPr>
                <w:sz w:val="18"/>
                <w:szCs w:val="18"/>
                <w:color w:val="auto"/>
              </w:rPr>
            </w:pPr>
          </w:p>
        </w:tc>
        <w:tc>
          <w:tcPr>
            <w:tcW w:w="720" w:type="dxa"/>
            <w:vAlign w:val="bottom"/>
            <w:tcBorders>
              <w:bottom w:val="single" w:sz="8" w:color="477258"/>
            </w:tcBorders>
          </w:tcPr>
          <w:p>
            <w:pPr>
              <w:spacing w:after="0"/>
              <w:rPr>
                <w:sz w:val="18"/>
                <w:szCs w:val="18"/>
                <w:color w:val="auto"/>
              </w:rPr>
            </w:pPr>
          </w:p>
        </w:tc>
        <w:tc>
          <w:tcPr>
            <w:tcW w:w="980" w:type="dxa"/>
            <w:vAlign w:val="bottom"/>
            <w:tcBorders>
              <w:bottom w:val="single" w:sz="8" w:color="477258"/>
            </w:tcBorders>
          </w:tcPr>
          <w:p>
            <w:pPr>
              <w:spacing w:after="0"/>
              <w:rPr>
                <w:sz w:val="18"/>
                <w:szCs w:val="18"/>
                <w:color w:val="auto"/>
              </w:rPr>
            </w:pPr>
          </w:p>
        </w:tc>
        <w:tc>
          <w:tcPr>
            <w:tcW w:w="680" w:type="dxa"/>
            <w:vAlign w:val="bottom"/>
            <w:tcBorders>
              <w:bottom w:val="single" w:sz="8" w:color="477258"/>
            </w:tcBorders>
          </w:tcPr>
          <w:p>
            <w:pPr>
              <w:spacing w:after="0"/>
              <w:rPr>
                <w:sz w:val="18"/>
                <w:szCs w:val="18"/>
                <w:color w:val="auto"/>
              </w:rPr>
            </w:pPr>
          </w:p>
        </w:tc>
        <w:tc>
          <w:tcPr>
            <w:tcW w:w="680" w:type="dxa"/>
            <w:vAlign w:val="bottom"/>
            <w:tcBorders>
              <w:bottom w:val="single" w:sz="8" w:color="477258"/>
            </w:tcBorders>
          </w:tcPr>
          <w:p>
            <w:pPr>
              <w:spacing w:after="0"/>
              <w:rPr>
                <w:sz w:val="18"/>
                <w:szCs w:val="18"/>
                <w:color w:val="auto"/>
              </w:rPr>
            </w:pPr>
          </w:p>
        </w:tc>
        <w:tc>
          <w:tcPr>
            <w:tcW w:w="820" w:type="dxa"/>
            <w:vAlign w:val="bottom"/>
            <w:tcBorders>
              <w:bottom w:val="single" w:sz="8" w:color="47725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Borders>
              <w:bottom w:val="single" w:sz="8" w:color="477258"/>
            </w:tcBorders>
            <w:shd w:val="clear" w:color="auto" w:fill="CCEEFF"/>
          </w:tcPr>
          <w:p>
            <w:pPr>
              <w:ind w:left="180"/>
              <w:spacing w:after="0"/>
              <w:rPr>
                <w:sz w:val="20"/>
                <w:szCs w:val="20"/>
                <w:color w:val="auto"/>
              </w:rPr>
            </w:pPr>
            <w:r>
              <w:rPr>
                <w:rFonts w:ascii="Arial" w:cs="Arial" w:eastAsia="Arial" w:hAnsi="Arial"/>
                <w:sz w:val="18"/>
                <w:szCs w:val="18"/>
                <w:color w:val="auto"/>
              </w:rPr>
              <w:t>2/19/20</w:t>
            </w:r>
          </w:p>
        </w:tc>
        <w:tc>
          <w:tcPr>
            <w:tcW w:w="900" w:type="dxa"/>
            <w:vAlign w:val="bottom"/>
            <w:tcBorders>
              <w:bottom w:val="single" w:sz="8" w:color="477258"/>
            </w:tcBorders>
            <w:shd w:val="clear" w:color="auto" w:fill="CCEEFF"/>
          </w:tcPr>
          <w:p>
            <w:pPr>
              <w:spacing w:after="0"/>
              <w:rPr>
                <w:sz w:val="18"/>
                <w:szCs w:val="18"/>
                <w:color w:val="auto"/>
              </w:rPr>
            </w:pPr>
          </w:p>
        </w:tc>
        <w:tc>
          <w:tcPr>
            <w:tcW w:w="760" w:type="dxa"/>
            <w:vAlign w:val="bottom"/>
            <w:tcBorders>
              <w:bottom w:val="single" w:sz="8" w:color="477258"/>
            </w:tcBorders>
            <w:shd w:val="clear" w:color="auto" w:fill="CCEEFF"/>
          </w:tcPr>
          <w:p>
            <w:pPr>
              <w:spacing w:after="0"/>
              <w:rPr>
                <w:sz w:val="18"/>
                <w:szCs w:val="18"/>
                <w:color w:val="auto"/>
              </w:rPr>
            </w:pPr>
          </w:p>
        </w:tc>
        <w:tc>
          <w:tcPr>
            <w:tcW w:w="84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w w:val="98"/>
              </w:rPr>
              <w:t>14,546</w:t>
            </w:r>
          </w:p>
        </w:tc>
        <w:tc>
          <w:tcPr>
            <w:tcW w:w="7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29,092</w:t>
            </w:r>
          </w:p>
        </w:tc>
        <w:tc>
          <w:tcPr>
            <w:tcW w:w="9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w w:val="99"/>
              </w:rPr>
              <w:t>2,230,520</w:t>
            </w:r>
          </w:p>
        </w:tc>
        <w:tc>
          <w:tcPr>
            <w:tcW w:w="0" w:type="dxa"/>
            <w:vAlign w:val="bottom"/>
          </w:tcPr>
          <w:p>
            <w:pPr>
              <w:spacing w:after="0"/>
              <w:rPr>
                <w:sz w:val="1"/>
                <w:szCs w:val="1"/>
                <w:color w:val="auto"/>
              </w:rPr>
            </w:pPr>
          </w:p>
        </w:tc>
      </w:tr>
      <w:tr>
        <w:trPr>
          <w:trHeight w:val="209"/>
        </w:trPr>
        <w:tc>
          <w:tcPr>
            <w:tcW w:w="1320" w:type="dxa"/>
            <w:vAlign w:val="bottom"/>
            <w:tcBorders>
              <w:bottom w:val="single" w:sz="8" w:color="477258"/>
            </w:tcBorders>
          </w:tcPr>
          <w:p>
            <w:pPr>
              <w:ind w:left="180"/>
              <w:spacing w:after="0"/>
              <w:rPr>
                <w:sz w:val="20"/>
                <w:szCs w:val="20"/>
                <w:color w:val="auto"/>
              </w:rPr>
            </w:pPr>
            <w:r>
              <w:rPr>
                <w:rFonts w:ascii="Arial" w:cs="Arial" w:eastAsia="Arial" w:hAnsi="Arial"/>
                <w:sz w:val="18"/>
                <w:szCs w:val="18"/>
                <w:color w:val="auto"/>
              </w:rPr>
              <w:t>2/19/20</w:t>
            </w:r>
          </w:p>
        </w:tc>
        <w:tc>
          <w:tcPr>
            <w:tcW w:w="900" w:type="dxa"/>
            <w:vAlign w:val="bottom"/>
            <w:tcBorders>
              <w:bottom w:val="single" w:sz="8" w:color="477258"/>
            </w:tcBorders>
          </w:tcPr>
          <w:p>
            <w:pPr>
              <w:spacing w:after="0"/>
              <w:rPr>
                <w:sz w:val="18"/>
                <w:szCs w:val="18"/>
                <w:color w:val="auto"/>
              </w:rPr>
            </w:pPr>
          </w:p>
        </w:tc>
        <w:tc>
          <w:tcPr>
            <w:tcW w:w="760" w:type="dxa"/>
            <w:vAlign w:val="bottom"/>
            <w:tcBorders>
              <w:bottom w:val="single" w:sz="8" w:color="477258"/>
            </w:tcBorders>
          </w:tcPr>
          <w:p>
            <w:pPr>
              <w:spacing w:after="0"/>
              <w:rPr>
                <w:sz w:val="18"/>
                <w:szCs w:val="18"/>
                <w:color w:val="auto"/>
              </w:rPr>
            </w:pPr>
          </w:p>
        </w:tc>
        <w:tc>
          <w:tcPr>
            <w:tcW w:w="840" w:type="dxa"/>
            <w:vAlign w:val="bottom"/>
            <w:tcBorders>
              <w:bottom w:val="single" w:sz="8" w:color="477258"/>
            </w:tcBorders>
          </w:tcPr>
          <w:p>
            <w:pPr>
              <w:spacing w:after="0"/>
              <w:rPr>
                <w:sz w:val="18"/>
                <w:szCs w:val="18"/>
                <w:color w:val="auto"/>
              </w:rPr>
            </w:pPr>
          </w:p>
        </w:tc>
        <w:tc>
          <w:tcPr>
            <w:tcW w:w="780" w:type="dxa"/>
            <w:vAlign w:val="bottom"/>
            <w:tcBorders>
              <w:bottom w:val="single" w:sz="8" w:color="477258"/>
            </w:tcBorders>
          </w:tcPr>
          <w:p>
            <w:pPr>
              <w:spacing w:after="0"/>
              <w:rPr>
                <w:sz w:val="18"/>
                <w:szCs w:val="18"/>
                <w:color w:val="auto"/>
              </w:rPr>
            </w:pPr>
          </w:p>
        </w:tc>
        <w:tc>
          <w:tcPr>
            <w:tcW w:w="620" w:type="dxa"/>
            <w:vAlign w:val="bottom"/>
            <w:tcBorders>
              <w:bottom w:val="single" w:sz="8" w:color="477258"/>
            </w:tcBorders>
          </w:tcPr>
          <w:p>
            <w:pPr>
              <w:spacing w:after="0"/>
              <w:rPr>
                <w:sz w:val="18"/>
                <w:szCs w:val="18"/>
                <w:color w:val="auto"/>
              </w:rPr>
            </w:pPr>
          </w:p>
        </w:tc>
        <w:tc>
          <w:tcPr>
            <w:tcW w:w="720" w:type="dxa"/>
            <w:vAlign w:val="bottom"/>
            <w:tcBorders>
              <w:bottom w:val="single" w:sz="8" w:color="477258"/>
            </w:tcBorders>
          </w:tcPr>
          <w:p>
            <w:pPr>
              <w:spacing w:after="0"/>
              <w:rPr>
                <w:sz w:val="18"/>
                <w:szCs w:val="18"/>
                <w:color w:val="auto"/>
              </w:rPr>
            </w:pPr>
          </w:p>
        </w:tc>
        <w:tc>
          <w:tcPr>
            <w:tcW w:w="980" w:type="dxa"/>
            <w:vAlign w:val="bottom"/>
            <w:tcBorders>
              <w:bottom w:val="single" w:sz="8" w:color="477258"/>
            </w:tcBorders>
          </w:tcPr>
          <w:p>
            <w:pPr>
              <w:jc w:val="right"/>
              <w:ind w:right="63"/>
              <w:spacing w:after="0"/>
              <w:rPr>
                <w:sz w:val="20"/>
                <w:szCs w:val="20"/>
                <w:color w:val="auto"/>
              </w:rPr>
            </w:pPr>
            <w:r>
              <w:rPr>
                <w:rFonts w:ascii="Arial" w:cs="Arial" w:eastAsia="Arial" w:hAnsi="Arial"/>
                <w:sz w:val="18"/>
                <w:szCs w:val="18"/>
                <w:color w:val="auto"/>
              </w:rPr>
              <w:t>27,813</w:t>
            </w:r>
          </w:p>
        </w:tc>
        <w:tc>
          <w:tcPr>
            <w:tcW w:w="680" w:type="dxa"/>
            <w:vAlign w:val="bottom"/>
            <w:tcBorders>
              <w:bottom w:val="single" w:sz="8" w:color="477258"/>
            </w:tcBorders>
          </w:tcPr>
          <w:p>
            <w:pPr>
              <w:jc w:val="center"/>
              <w:spacing w:after="0"/>
              <w:rPr>
                <w:sz w:val="20"/>
                <w:szCs w:val="20"/>
                <w:color w:val="auto"/>
              </w:rPr>
            </w:pPr>
            <w:r>
              <w:rPr>
                <w:rFonts w:ascii="Arial" w:cs="Arial" w:eastAsia="Arial" w:hAnsi="Arial"/>
                <w:sz w:val="18"/>
                <w:szCs w:val="18"/>
                <w:color w:val="auto"/>
              </w:rPr>
              <w:t>126.005</w:t>
            </w:r>
          </w:p>
        </w:tc>
        <w:tc>
          <w:tcPr>
            <w:tcW w:w="6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125.23</w:t>
            </w:r>
          </w:p>
        </w:tc>
        <w:tc>
          <w:tcPr>
            <w:tcW w:w="8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440,002</w:t>
            </w:r>
          </w:p>
        </w:tc>
        <w:tc>
          <w:tcPr>
            <w:tcW w:w="0" w:type="dxa"/>
            <w:vAlign w:val="bottom"/>
          </w:tcPr>
          <w:p>
            <w:pPr>
              <w:spacing w:after="0"/>
              <w:rPr>
                <w:sz w:val="1"/>
                <w:szCs w:val="1"/>
                <w:color w:val="auto"/>
              </w:rPr>
            </w:pPr>
          </w:p>
        </w:tc>
      </w:tr>
      <w:tr>
        <w:trPr>
          <w:trHeight w:val="210"/>
        </w:trPr>
        <w:tc>
          <w:tcPr>
            <w:tcW w:w="222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Tara J. Hemmer</w:t>
            </w:r>
          </w:p>
        </w:tc>
        <w:tc>
          <w:tcPr>
            <w:tcW w:w="760" w:type="dxa"/>
            <w:vAlign w:val="bottom"/>
            <w:tcBorders>
              <w:bottom w:val="single" w:sz="8" w:color="477258"/>
            </w:tcBorders>
            <w:shd w:val="clear" w:color="auto" w:fill="CCEEFF"/>
          </w:tcPr>
          <w:p>
            <w:pPr>
              <w:spacing w:after="0"/>
              <w:rPr>
                <w:sz w:val="18"/>
                <w:szCs w:val="18"/>
                <w:color w:val="auto"/>
              </w:rPr>
            </w:pPr>
          </w:p>
        </w:tc>
        <w:tc>
          <w:tcPr>
            <w:tcW w:w="84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spacing w:after="0"/>
              <w:rPr>
                <w:sz w:val="18"/>
                <w:szCs w:val="18"/>
                <w:color w:val="auto"/>
              </w:rPr>
            </w:pPr>
          </w:p>
        </w:tc>
        <w:tc>
          <w:tcPr>
            <w:tcW w:w="620" w:type="dxa"/>
            <w:vAlign w:val="bottom"/>
            <w:tcBorders>
              <w:bottom w:val="single" w:sz="8" w:color="477258"/>
            </w:tcBorders>
            <w:shd w:val="clear" w:color="auto" w:fill="CCEEFF"/>
          </w:tcPr>
          <w:p>
            <w:pPr>
              <w:spacing w:after="0"/>
              <w:rPr>
                <w:sz w:val="18"/>
                <w:szCs w:val="18"/>
                <w:color w:val="auto"/>
              </w:rPr>
            </w:pPr>
          </w:p>
        </w:tc>
        <w:tc>
          <w:tcPr>
            <w:tcW w:w="720" w:type="dxa"/>
            <w:vAlign w:val="bottom"/>
            <w:tcBorders>
              <w:bottom w:val="single" w:sz="8" w:color="477258"/>
            </w:tcBorders>
            <w:shd w:val="clear" w:color="auto" w:fill="CCEEFF"/>
          </w:tcPr>
          <w:p>
            <w:pPr>
              <w:spacing w:after="0"/>
              <w:rPr>
                <w:sz w:val="18"/>
                <w:szCs w:val="18"/>
                <w:color w:val="auto"/>
              </w:rPr>
            </w:pPr>
          </w:p>
        </w:tc>
        <w:tc>
          <w:tcPr>
            <w:tcW w:w="9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Borders>
              <w:bottom w:val="single" w:sz="8" w:color="477258"/>
            </w:tcBorders>
          </w:tcPr>
          <w:p>
            <w:pPr>
              <w:spacing w:after="0"/>
              <w:rPr>
                <w:sz w:val="20"/>
                <w:szCs w:val="20"/>
                <w:color w:val="auto"/>
              </w:rPr>
            </w:pPr>
            <w:r>
              <w:rPr>
                <w:rFonts w:ascii="Arial" w:cs="Arial" w:eastAsia="Arial" w:hAnsi="Arial"/>
                <w:sz w:val="18"/>
                <w:szCs w:val="18"/>
                <w:color w:val="auto"/>
              </w:rPr>
              <w:t>Cash Incentive</w:t>
            </w:r>
          </w:p>
        </w:tc>
        <w:tc>
          <w:tcPr>
            <w:tcW w:w="900" w:type="dxa"/>
            <w:vAlign w:val="bottom"/>
            <w:tcBorders>
              <w:bottom w:val="single" w:sz="8" w:color="477258"/>
            </w:tcBorders>
          </w:tcPr>
          <w:p>
            <w:pPr>
              <w:ind w:left="180"/>
              <w:spacing w:after="0"/>
              <w:rPr>
                <w:sz w:val="20"/>
                <w:szCs w:val="20"/>
                <w:color w:val="auto"/>
              </w:rPr>
            </w:pPr>
            <w:r>
              <w:rPr>
                <w:rFonts w:ascii="Arial" w:cs="Arial" w:eastAsia="Arial" w:hAnsi="Arial"/>
                <w:sz w:val="18"/>
                <w:szCs w:val="18"/>
                <w:color w:val="auto"/>
              </w:rPr>
              <w:t>306,409</w:t>
            </w:r>
          </w:p>
        </w:tc>
        <w:tc>
          <w:tcPr>
            <w:tcW w:w="1600" w:type="dxa"/>
            <w:vAlign w:val="bottom"/>
            <w:tcBorders>
              <w:bottom w:val="single" w:sz="8" w:color="477258"/>
            </w:tcBorders>
            <w:gridSpan w:val="2"/>
          </w:tcPr>
          <w:p>
            <w:pPr>
              <w:jc w:val="right"/>
              <w:spacing w:after="0"/>
              <w:rPr>
                <w:sz w:val="20"/>
                <w:szCs w:val="20"/>
                <w:color w:val="auto"/>
              </w:rPr>
            </w:pPr>
            <w:r>
              <w:rPr>
                <w:rFonts w:ascii="Arial" w:cs="Arial" w:eastAsia="Arial" w:hAnsi="Arial"/>
                <w:sz w:val="18"/>
                <w:szCs w:val="18"/>
                <w:color w:val="auto"/>
              </w:rPr>
              <w:t>510,6811,021,363</w:t>
            </w:r>
          </w:p>
        </w:tc>
        <w:tc>
          <w:tcPr>
            <w:tcW w:w="780" w:type="dxa"/>
            <w:vAlign w:val="bottom"/>
            <w:tcBorders>
              <w:bottom w:val="single" w:sz="8" w:color="477258"/>
            </w:tcBorders>
          </w:tcPr>
          <w:p>
            <w:pPr>
              <w:spacing w:after="0"/>
              <w:rPr>
                <w:sz w:val="18"/>
                <w:szCs w:val="18"/>
                <w:color w:val="auto"/>
              </w:rPr>
            </w:pPr>
          </w:p>
        </w:tc>
        <w:tc>
          <w:tcPr>
            <w:tcW w:w="620" w:type="dxa"/>
            <w:vAlign w:val="bottom"/>
            <w:tcBorders>
              <w:bottom w:val="single" w:sz="8" w:color="477258"/>
            </w:tcBorders>
          </w:tcPr>
          <w:p>
            <w:pPr>
              <w:spacing w:after="0"/>
              <w:rPr>
                <w:sz w:val="18"/>
                <w:szCs w:val="18"/>
                <w:color w:val="auto"/>
              </w:rPr>
            </w:pPr>
          </w:p>
        </w:tc>
        <w:tc>
          <w:tcPr>
            <w:tcW w:w="720" w:type="dxa"/>
            <w:vAlign w:val="bottom"/>
            <w:tcBorders>
              <w:bottom w:val="single" w:sz="8" w:color="477258"/>
            </w:tcBorders>
          </w:tcPr>
          <w:p>
            <w:pPr>
              <w:spacing w:after="0"/>
              <w:rPr>
                <w:sz w:val="18"/>
                <w:szCs w:val="18"/>
                <w:color w:val="auto"/>
              </w:rPr>
            </w:pPr>
          </w:p>
        </w:tc>
        <w:tc>
          <w:tcPr>
            <w:tcW w:w="980" w:type="dxa"/>
            <w:vAlign w:val="bottom"/>
            <w:tcBorders>
              <w:bottom w:val="single" w:sz="8" w:color="477258"/>
            </w:tcBorders>
          </w:tcPr>
          <w:p>
            <w:pPr>
              <w:spacing w:after="0"/>
              <w:rPr>
                <w:sz w:val="18"/>
                <w:szCs w:val="18"/>
                <w:color w:val="auto"/>
              </w:rPr>
            </w:pPr>
          </w:p>
        </w:tc>
        <w:tc>
          <w:tcPr>
            <w:tcW w:w="680" w:type="dxa"/>
            <w:vAlign w:val="bottom"/>
            <w:tcBorders>
              <w:bottom w:val="single" w:sz="8" w:color="477258"/>
            </w:tcBorders>
          </w:tcPr>
          <w:p>
            <w:pPr>
              <w:spacing w:after="0"/>
              <w:rPr>
                <w:sz w:val="18"/>
                <w:szCs w:val="18"/>
                <w:color w:val="auto"/>
              </w:rPr>
            </w:pPr>
          </w:p>
        </w:tc>
        <w:tc>
          <w:tcPr>
            <w:tcW w:w="680" w:type="dxa"/>
            <w:vAlign w:val="bottom"/>
            <w:tcBorders>
              <w:bottom w:val="single" w:sz="8" w:color="477258"/>
            </w:tcBorders>
          </w:tcPr>
          <w:p>
            <w:pPr>
              <w:spacing w:after="0"/>
              <w:rPr>
                <w:sz w:val="18"/>
                <w:szCs w:val="18"/>
                <w:color w:val="auto"/>
              </w:rPr>
            </w:pPr>
          </w:p>
        </w:tc>
        <w:tc>
          <w:tcPr>
            <w:tcW w:w="820" w:type="dxa"/>
            <w:vAlign w:val="bottom"/>
            <w:tcBorders>
              <w:bottom w:val="single" w:sz="8" w:color="47725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Borders>
              <w:bottom w:val="single" w:sz="8" w:color="477258"/>
            </w:tcBorders>
            <w:shd w:val="clear" w:color="auto" w:fill="CCEEFF"/>
          </w:tcPr>
          <w:p>
            <w:pPr>
              <w:ind w:left="180"/>
              <w:spacing w:after="0"/>
              <w:rPr>
                <w:sz w:val="20"/>
                <w:szCs w:val="20"/>
                <w:color w:val="auto"/>
              </w:rPr>
            </w:pPr>
            <w:r>
              <w:rPr>
                <w:rFonts w:ascii="Arial" w:cs="Arial" w:eastAsia="Arial" w:hAnsi="Arial"/>
                <w:sz w:val="18"/>
                <w:szCs w:val="18"/>
                <w:color w:val="auto"/>
              </w:rPr>
              <w:t>2/19/20</w:t>
            </w:r>
          </w:p>
        </w:tc>
        <w:tc>
          <w:tcPr>
            <w:tcW w:w="900" w:type="dxa"/>
            <w:vAlign w:val="bottom"/>
            <w:tcBorders>
              <w:bottom w:val="single" w:sz="8" w:color="477258"/>
            </w:tcBorders>
            <w:shd w:val="clear" w:color="auto" w:fill="CCEEFF"/>
          </w:tcPr>
          <w:p>
            <w:pPr>
              <w:spacing w:after="0"/>
              <w:rPr>
                <w:sz w:val="18"/>
                <w:szCs w:val="18"/>
                <w:color w:val="auto"/>
              </w:rPr>
            </w:pPr>
          </w:p>
        </w:tc>
        <w:tc>
          <w:tcPr>
            <w:tcW w:w="760" w:type="dxa"/>
            <w:vAlign w:val="bottom"/>
            <w:tcBorders>
              <w:bottom w:val="single" w:sz="8" w:color="477258"/>
            </w:tcBorders>
            <w:shd w:val="clear" w:color="auto" w:fill="CCEEFF"/>
          </w:tcPr>
          <w:p>
            <w:pPr>
              <w:spacing w:after="0"/>
              <w:rPr>
                <w:sz w:val="18"/>
                <w:szCs w:val="18"/>
                <w:color w:val="auto"/>
              </w:rPr>
            </w:pPr>
          </w:p>
        </w:tc>
        <w:tc>
          <w:tcPr>
            <w:tcW w:w="84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w w:val="98"/>
              </w:rPr>
              <w:t>10,910</w:t>
            </w:r>
          </w:p>
        </w:tc>
        <w:tc>
          <w:tcPr>
            <w:tcW w:w="7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9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w w:val="99"/>
              </w:rPr>
              <w:t>1,672,967</w:t>
            </w:r>
          </w:p>
        </w:tc>
        <w:tc>
          <w:tcPr>
            <w:tcW w:w="0" w:type="dxa"/>
            <w:vAlign w:val="bottom"/>
          </w:tcPr>
          <w:p>
            <w:pPr>
              <w:spacing w:after="0"/>
              <w:rPr>
                <w:sz w:val="1"/>
                <w:szCs w:val="1"/>
                <w:color w:val="auto"/>
              </w:rPr>
            </w:pPr>
          </w:p>
        </w:tc>
      </w:tr>
      <w:tr>
        <w:trPr>
          <w:trHeight w:val="210"/>
        </w:trPr>
        <w:tc>
          <w:tcPr>
            <w:tcW w:w="1320" w:type="dxa"/>
            <w:vAlign w:val="bottom"/>
            <w:tcBorders>
              <w:bottom w:val="single" w:sz="8" w:color="477258"/>
            </w:tcBorders>
          </w:tcPr>
          <w:p>
            <w:pPr>
              <w:ind w:left="180"/>
              <w:spacing w:after="0"/>
              <w:rPr>
                <w:sz w:val="20"/>
                <w:szCs w:val="20"/>
                <w:color w:val="auto"/>
              </w:rPr>
            </w:pPr>
            <w:r>
              <w:rPr>
                <w:rFonts w:ascii="Arial" w:cs="Arial" w:eastAsia="Arial" w:hAnsi="Arial"/>
                <w:sz w:val="18"/>
                <w:szCs w:val="18"/>
                <w:color w:val="auto"/>
              </w:rPr>
              <w:t>2/19/20</w:t>
            </w:r>
          </w:p>
        </w:tc>
        <w:tc>
          <w:tcPr>
            <w:tcW w:w="900" w:type="dxa"/>
            <w:vAlign w:val="bottom"/>
            <w:tcBorders>
              <w:bottom w:val="single" w:sz="8" w:color="477258"/>
            </w:tcBorders>
          </w:tcPr>
          <w:p>
            <w:pPr>
              <w:spacing w:after="0"/>
              <w:rPr>
                <w:sz w:val="18"/>
                <w:szCs w:val="18"/>
                <w:color w:val="auto"/>
              </w:rPr>
            </w:pPr>
          </w:p>
        </w:tc>
        <w:tc>
          <w:tcPr>
            <w:tcW w:w="760" w:type="dxa"/>
            <w:vAlign w:val="bottom"/>
            <w:tcBorders>
              <w:bottom w:val="single" w:sz="8" w:color="477258"/>
            </w:tcBorders>
          </w:tcPr>
          <w:p>
            <w:pPr>
              <w:spacing w:after="0"/>
              <w:rPr>
                <w:sz w:val="18"/>
                <w:szCs w:val="18"/>
                <w:color w:val="auto"/>
              </w:rPr>
            </w:pPr>
          </w:p>
        </w:tc>
        <w:tc>
          <w:tcPr>
            <w:tcW w:w="840" w:type="dxa"/>
            <w:vAlign w:val="bottom"/>
            <w:tcBorders>
              <w:bottom w:val="single" w:sz="8" w:color="477258"/>
            </w:tcBorders>
          </w:tcPr>
          <w:p>
            <w:pPr>
              <w:spacing w:after="0"/>
              <w:rPr>
                <w:sz w:val="18"/>
                <w:szCs w:val="18"/>
                <w:color w:val="auto"/>
              </w:rPr>
            </w:pPr>
          </w:p>
        </w:tc>
        <w:tc>
          <w:tcPr>
            <w:tcW w:w="780" w:type="dxa"/>
            <w:vAlign w:val="bottom"/>
            <w:tcBorders>
              <w:bottom w:val="single" w:sz="8" w:color="477258"/>
            </w:tcBorders>
          </w:tcPr>
          <w:p>
            <w:pPr>
              <w:spacing w:after="0"/>
              <w:rPr>
                <w:sz w:val="18"/>
                <w:szCs w:val="18"/>
                <w:color w:val="auto"/>
              </w:rPr>
            </w:pPr>
          </w:p>
        </w:tc>
        <w:tc>
          <w:tcPr>
            <w:tcW w:w="620" w:type="dxa"/>
            <w:vAlign w:val="bottom"/>
            <w:tcBorders>
              <w:bottom w:val="single" w:sz="8" w:color="477258"/>
            </w:tcBorders>
          </w:tcPr>
          <w:p>
            <w:pPr>
              <w:spacing w:after="0"/>
              <w:rPr>
                <w:sz w:val="18"/>
                <w:szCs w:val="18"/>
                <w:color w:val="auto"/>
              </w:rPr>
            </w:pPr>
          </w:p>
        </w:tc>
        <w:tc>
          <w:tcPr>
            <w:tcW w:w="720" w:type="dxa"/>
            <w:vAlign w:val="bottom"/>
            <w:tcBorders>
              <w:bottom w:val="single" w:sz="8" w:color="477258"/>
            </w:tcBorders>
          </w:tcPr>
          <w:p>
            <w:pPr>
              <w:spacing w:after="0"/>
              <w:rPr>
                <w:sz w:val="18"/>
                <w:szCs w:val="18"/>
                <w:color w:val="auto"/>
              </w:rPr>
            </w:pPr>
          </w:p>
        </w:tc>
        <w:tc>
          <w:tcPr>
            <w:tcW w:w="980" w:type="dxa"/>
            <w:vAlign w:val="bottom"/>
            <w:tcBorders>
              <w:bottom w:val="single" w:sz="8" w:color="477258"/>
            </w:tcBorders>
          </w:tcPr>
          <w:p>
            <w:pPr>
              <w:jc w:val="right"/>
              <w:ind w:right="63"/>
              <w:spacing w:after="0"/>
              <w:rPr>
                <w:sz w:val="20"/>
                <w:szCs w:val="20"/>
                <w:color w:val="auto"/>
              </w:rPr>
            </w:pPr>
            <w:r>
              <w:rPr>
                <w:rFonts w:ascii="Arial" w:cs="Arial" w:eastAsia="Arial" w:hAnsi="Arial"/>
                <w:sz w:val="18"/>
                <w:szCs w:val="18"/>
                <w:color w:val="auto"/>
              </w:rPr>
              <w:t>20,860</w:t>
            </w:r>
          </w:p>
        </w:tc>
        <w:tc>
          <w:tcPr>
            <w:tcW w:w="680" w:type="dxa"/>
            <w:vAlign w:val="bottom"/>
            <w:tcBorders>
              <w:bottom w:val="single" w:sz="8" w:color="477258"/>
            </w:tcBorders>
          </w:tcPr>
          <w:p>
            <w:pPr>
              <w:jc w:val="center"/>
              <w:spacing w:after="0"/>
              <w:rPr>
                <w:sz w:val="20"/>
                <w:szCs w:val="20"/>
                <w:color w:val="auto"/>
              </w:rPr>
            </w:pPr>
            <w:r>
              <w:rPr>
                <w:rFonts w:ascii="Arial" w:cs="Arial" w:eastAsia="Arial" w:hAnsi="Arial"/>
                <w:sz w:val="18"/>
                <w:szCs w:val="18"/>
                <w:color w:val="auto"/>
              </w:rPr>
              <w:t>126.005</w:t>
            </w:r>
          </w:p>
        </w:tc>
        <w:tc>
          <w:tcPr>
            <w:tcW w:w="6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125.23</w:t>
            </w:r>
          </w:p>
        </w:tc>
        <w:tc>
          <w:tcPr>
            <w:tcW w:w="82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330,005</w:t>
            </w:r>
          </w:p>
        </w:tc>
        <w:tc>
          <w:tcPr>
            <w:tcW w:w="0" w:type="dxa"/>
            <w:vAlign w:val="bottom"/>
          </w:tcPr>
          <w:p>
            <w:pPr>
              <w:spacing w:after="0"/>
              <w:rPr>
                <w:sz w:val="1"/>
                <w:szCs w:val="1"/>
                <w:color w:val="auto"/>
              </w:rPr>
            </w:pPr>
          </w:p>
        </w:tc>
      </w:tr>
      <w:tr>
        <w:trPr>
          <w:trHeight w:val="209"/>
        </w:trPr>
        <w:tc>
          <w:tcPr>
            <w:tcW w:w="222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Steven R. Batchelor</w:t>
            </w:r>
          </w:p>
        </w:tc>
        <w:tc>
          <w:tcPr>
            <w:tcW w:w="760" w:type="dxa"/>
            <w:vAlign w:val="bottom"/>
            <w:tcBorders>
              <w:bottom w:val="single" w:sz="8" w:color="477258"/>
            </w:tcBorders>
            <w:shd w:val="clear" w:color="auto" w:fill="CCEEFF"/>
          </w:tcPr>
          <w:p>
            <w:pPr>
              <w:spacing w:after="0"/>
              <w:rPr>
                <w:sz w:val="18"/>
                <w:szCs w:val="18"/>
                <w:color w:val="auto"/>
              </w:rPr>
            </w:pPr>
          </w:p>
        </w:tc>
        <w:tc>
          <w:tcPr>
            <w:tcW w:w="84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spacing w:after="0"/>
              <w:rPr>
                <w:sz w:val="18"/>
                <w:szCs w:val="18"/>
                <w:color w:val="auto"/>
              </w:rPr>
            </w:pPr>
          </w:p>
        </w:tc>
        <w:tc>
          <w:tcPr>
            <w:tcW w:w="620" w:type="dxa"/>
            <w:vAlign w:val="bottom"/>
            <w:tcBorders>
              <w:bottom w:val="single" w:sz="8" w:color="477258"/>
            </w:tcBorders>
            <w:shd w:val="clear" w:color="auto" w:fill="CCEEFF"/>
          </w:tcPr>
          <w:p>
            <w:pPr>
              <w:spacing w:after="0"/>
              <w:rPr>
                <w:sz w:val="18"/>
                <w:szCs w:val="18"/>
                <w:color w:val="auto"/>
              </w:rPr>
            </w:pPr>
          </w:p>
        </w:tc>
        <w:tc>
          <w:tcPr>
            <w:tcW w:w="720" w:type="dxa"/>
            <w:vAlign w:val="bottom"/>
            <w:tcBorders>
              <w:bottom w:val="single" w:sz="8" w:color="477258"/>
            </w:tcBorders>
            <w:shd w:val="clear" w:color="auto" w:fill="CCEEFF"/>
          </w:tcPr>
          <w:p>
            <w:pPr>
              <w:spacing w:after="0"/>
              <w:rPr>
                <w:sz w:val="18"/>
                <w:szCs w:val="18"/>
                <w:color w:val="auto"/>
              </w:rPr>
            </w:pPr>
          </w:p>
        </w:tc>
        <w:tc>
          <w:tcPr>
            <w:tcW w:w="9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Borders>
              <w:bottom w:val="single" w:sz="8" w:color="477258"/>
            </w:tcBorders>
          </w:tcPr>
          <w:p>
            <w:pPr>
              <w:spacing w:after="0"/>
              <w:rPr>
                <w:sz w:val="20"/>
                <w:szCs w:val="20"/>
                <w:color w:val="auto"/>
              </w:rPr>
            </w:pPr>
            <w:r>
              <w:rPr>
                <w:rFonts w:ascii="Arial" w:cs="Arial" w:eastAsia="Arial" w:hAnsi="Arial"/>
                <w:sz w:val="18"/>
                <w:szCs w:val="18"/>
                <w:color w:val="auto"/>
              </w:rPr>
              <w:t>Cash Incentive</w:t>
            </w:r>
          </w:p>
        </w:tc>
        <w:tc>
          <w:tcPr>
            <w:tcW w:w="900" w:type="dxa"/>
            <w:vAlign w:val="bottom"/>
            <w:tcBorders>
              <w:bottom w:val="single" w:sz="8" w:color="477258"/>
            </w:tcBorders>
          </w:tcPr>
          <w:p>
            <w:pPr>
              <w:ind w:left="180"/>
              <w:spacing w:after="0"/>
              <w:rPr>
                <w:sz w:val="20"/>
                <w:szCs w:val="20"/>
                <w:color w:val="auto"/>
              </w:rPr>
            </w:pPr>
            <w:r>
              <w:rPr>
                <w:rFonts w:ascii="Arial" w:cs="Arial" w:eastAsia="Arial" w:hAnsi="Arial"/>
                <w:sz w:val="18"/>
                <w:szCs w:val="18"/>
                <w:color w:val="auto"/>
              </w:rPr>
              <w:t>306,409</w:t>
            </w:r>
          </w:p>
        </w:tc>
        <w:tc>
          <w:tcPr>
            <w:tcW w:w="1600" w:type="dxa"/>
            <w:vAlign w:val="bottom"/>
            <w:tcBorders>
              <w:bottom w:val="single" w:sz="8" w:color="477258"/>
            </w:tcBorders>
            <w:gridSpan w:val="2"/>
          </w:tcPr>
          <w:p>
            <w:pPr>
              <w:jc w:val="right"/>
              <w:spacing w:after="0"/>
              <w:rPr>
                <w:sz w:val="20"/>
                <w:szCs w:val="20"/>
                <w:color w:val="auto"/>
              </w:rPr>
            </w:pPr>
            <w:r>
              <w:rPr>
                <w:rFonts w:ascii="Arial" w:cs="Arial" w:eastAsia="Arial" w:hAnsi="Arial"/>
                <w:sz w:val="18"/>
                <w:szCs w:val="18"/>
                <w:color w:val="auto"/>
              </w:rPr>
              <w:t>510,6811,021,363</w:t>
            </w:r>
          </w:p>
        </w:tc>
        <w:tc>
          <w:tcPr>
            <w:tcW w:w="780" w:type="dxa"/>
            <w:vAlign w:val="bottom"/>
            <w:tcBorders>
              <w:bottom w:val="single" w:sz="8" w:color="477258"/>
            </w:tcBorders>
          </w:tcPr>
          <w:p>
            <w:pPr>
              <w:spacing w:after="0"/>
              <w:rPr>
                <w:sz w:val="18"/>
                <w:szCs w:val="18"/>
                <w:color w:val="auto"/>
              </w:rPr>
            </w:pPr>
          </w:p>
        </w:tc>
        <w:tc>
          <w:tcPr>
            <w:tcW w:w="620" w:type="dxa"/>
            <w:vAlign w:val="bottom"/>
            <w:tcBorders>
              <w:bottom w:val="single" w:sz="8" w:color="477258"/>
            </w:tcBorders>
          </w:tcPr>
          <w:p>
            <w:pPr>
              <w:spacing w:after="0"/>
              <w:rPr>
                <w:sz w:val="18"/>
                <w:szCs w:val="18"/>
                <w:color w:val="auto"/>
              </w:rPr>
            </w:pPr>
          </w:p>
        </w:tc>
        <w:tc>
          <w:tcPr>
            <w:tcW w:w="720" w:type="dxa"/>
            <w:vAlign w:val="bottom"/>
            <w:tcBorders>
              <w:bottom w:val="single" w:sz="8" w:color="477258"/>
            </w:tcBorders>
          </w:tcPr>
          <w:p>
            <w:pPr>
              <w:spacing w:after="0"/>
              <w:rPr>
                <w:sz w:val="18"/>
                <w:szCs w:val="18"/>
                <w:color w:val="auto"/>
              </w:rPr>
            </w:pPr>
          </w:p>
        </w:tc>
        <w:tc>
          <w:tcPr>
            <w:tcW w:w="980" w:type="dxa"/>
            <w:vAlign w:val="bottom"/>
            <w:tcBorders>
              <w:bottom w:val="single" w:sz="8" w:color="477258"/>
            </w:tcBorders>
          </w:tcPr>
          <w:p>
            <w:pPr>
              <w:spacing w:after="0"/>
              <w:rPr>
                <w:sz w:val="18"/>
                <w:szCs w:val="18"/>
                <w:color w:val="auto"/>
              </w:rPr>
            </w:pPr>
          </w:p>
        </w:tc>
        <w:tc>
          <w:tcPr>
            <w:tcW w:w="680" w:type="dxa"/>
            <w:vAlign w:val="bottom"/>
            <w:tcBorders>
              <w:bottom w:val="single" w:sz="8" w:color="477258"/>
            </w:tcBorders>
          </w:tcPr>
          <w:p>
            <w:pPr>
              <w:spacing w:after="0"/>
              <w:rPr>
                <w:sz w:val="18"/>
                <w:szCs w:val="18"/>
                <w:color w:val="auto"/>
              </w:rPr>
            </w:pPr>
          </w:p>
        </w:tc>
        <w:tc>
          <w:tcPr>
            <w:tcW w:w="680" w:type="dxa"/>
            <w:vAlign w:val="bottom"/>
            <w:tcBorders>
              <w:bottom w:val="single" w:sz="8" w:color="477258"/>
            </w:tcBorders>
          </w:tcPr>
          <w:p>
            <w:pPr>
              <w:spacing w:after="0"/>
              <w:rPr>
                <w:sz w:val="18"/>
                <w:szCs w:val="18"/>
                <w:color w:val="auto"/>
              </w:rPr>
            </w:pPr>
          </w:p>
        </w:tc>
        <w:tc>
          <w:tcPr>
            <w:tcW w:w="820" w:type="dxa"/>
            <w:vAlign w:val="bottom"/>
            <w:tcBorders>
              <w:bottom w:val="single" w:sz="8" w:color="47725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Borders>
              <w:bottom w:val="single" w:sz="8" w:color="477258"/>
            </w:tcBorders>
            <w:shd w:val="clear" w:color="auto" w:fill="CCEEFF"/>
          </w:tcPr>
          <w:p>
            <w:pPr>
              <w:ind w:left="180"/>
              <w:spacing w:after="0"/>
              <w:rPr>
                <w:sz w:val="20"/>
                <w:szCs w:val="20"/>
                <w:color w:val="auto"/>
              </w:rPr>
            </w:pPr>
            <w:r>
              <w:rPr>
                <w:rFonts w:ascii="Arial" w:cs="Arial" w:eastAsia="Arial" w:hAnsi="Arial"/>
                <w:sz w:val="18"/>
                <w:szCs w:val="18"/>
                <w:color w:val="auto"/>
              </w:rPr>
              <w:t>2/19/20</w:t>
            </w:r>
          </w:p>
        </w:tc>
        <w:tc>
          <w:tcPr>
            <w:tcW w:w="900" w:type="dxa"/>
            <w:vAlign w:val="bottom"/>
            <w:tcBorders>
              <w:bottom w:val="single" w:sz="8" w:color="477258"/>
            </w:tcBorders>
            <w:shd w:val="clear" w:color="auto" w:fill="CCEEFF"/>
          </w:tcPr>
          <w:p>
            <w:pPr>
              <w:spacing w:after="0"/>
              <w:rPr>
                <w:sz w:val="18"/>
                <w:szCs w:val="18"/>
                <w:color w:val="auto"/>
              </w:rPr>
            </w:pPr>
          </w:p>
        </w:tc>
        <w:tc>
          <w:tcPr>
            <w:tcW w:w="760" w:type="dxa"/>
            <w:vAlign w:val="bottom"/>
            <w:tcBorders>
              <w:bottom w:val="single" w:sz="8" w:color="477258"/>
            </w:tcBorders>
            <w:shd w:val="clear" w:color="auto" w:fill="CCEEFF"/>
          </w:tcPr>
          <w:p>
            <w:pPr>
              <w:spacing w:after="0"/>
              <w:rPr>
                <w:sz w:val="18"/>
                <w:szCs w:val="18"/>
                <w:color w:val="auto"/>
              </w:rPr>
            </w:pPr>
          </w:p>
        </w:tc>
        <w:tc>
          <w:tcPr>
            <w:tcW w:w="840" w:type="dxa"/>
            <w:vAlign w:val="bottom"/>
            <w:tcBorders>
              <w:bottom w:val="single" w:sz="8" w:color="477258"/>
            </w:tcBorders>
            <w:shd w:val="clear" w:color="auto" w:fill="CCEEFF"/>
          </w:tcPr>
          <w:p>
            <w:pPr>
              <w:spacing w:after="0"/>
              <w:rPr>
                <w:sz w:val="18"/>
                <w:szCs w:val="18"/>
                <w:color w:val="auto"/>
              </w:rPr>
            </w:pPr>
          </w:p>
        </w:tc>
        <w:tc>
          <w:tcPr>
            <w:tcW w:w="7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6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w w:val="98"/>
              </w:rPr>
              <w:t>10,910</w:t>
            </w:r>
          </w:p>
        </w:tc>
        <w:tc>
          <w:tcPr>
            <w:tcW w:w="7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9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680" w:type="dxa"/>
            <w:vAlign w:val="bottom"/>
            <w:tcBorders>
              <w:bottom w:val="single" w:sz="8" w:color="477258"/>
            </w:tcBorders>
            <w:shd w:val="clear" w:color="auto" w:fill="CCEEFF"/>
          </w:tcPr>
          <w:p>
            <w:pPr>
              <w:spacing w:after="0"/>
              <w:rPr>
                <w:sz w:val="18"/>
                <w:szCs w:val="18"/>
                <w:color w:val="auto"/>
              </w:rPr>
            </w:pPr>
          </w:p>
        </w:tc>
        <w:tc>
          <w:tcPr>
            <w:tcW w:w="82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w w:val="99"/>
              </w:rPr>
              <w:t>1,672,967</w:t>
            </w:r>
          </w:p>
        </w:tc>
        <w:tc>
          <w:tcPr>
            <w:tcW w:w="0" w:type="dxa"/>
            <w:vAlign w:val="bottom"/>
          </w:tcPr>
          <w:p>
            <w:pPr>
              <w:spacing w:after="0"/>
              <w:rPr>
                <w:sz w:val="1"/>
                <w:szCs w:val="1"/>
                <w:color w:val="auto"/>
              </w:rPr>
            </w:pPr>
          </w:p>
        </w:tc>
      </w:tr>
      <w:tr>
        <w:trPr>
          <w:trHeight w:val="223"/>
        </w:trPr>
        <w:tc>
          <w:tcPr>
            <w:tcW w:w="1320" w:type="dxa"/>
            <w:vAlign w:val="bottom"/>
          </w:tcPr>
          <w:p>
            <w:pPr>
              <w:ind w:left="180"/>
              <w:spacing w:after="0"/>
              <w:rPr>
                <w:sz w:val="20"/>
                <w:szCs w:val="20"/>
                <w:color w:val="auto"/>
              </w:rPr>
            </w:pPr>
            <w:r>
              <w:rPr>
                <w:rFonts w:ascii="Arial" w:cs="Arial" w:eastAsia="Arial" w:hAnsi="Arial"/>
                <w:sz w:val="18"/>
                <w:szCs w:val="18"/>
                <w:color w:val="auto"/>
              </w:rPr>
              <w:t>2/19/20</w:t>
            </w: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jc w:val="right"/>
              <w:ind w:right="63"/>
              <w:spacing w:after="0"/>
              <w:rPr>
                <w:sz w:val="20"/>
                <w:szCs w:val="20"/>
                <w:color w:val="auto"/>
              </w:rPr>
            </w:pPr>
            <w:r>
              <w:rPr>
                <w:rFonts w:ascii="Arial" w:cs="Arial" w:eastAsia="Arial" w:hAnsi="Arial"/>
                <w:sz w:val="18"/>
                <w:szCs w:val="18"/>
                <w:color w:val="auto"/>
              </w:rPr>
              <w:t>20,860</w:t>
            </w:r>
          </w:p>
        </w:tc>
        <w:tc>
          <w:tcPr>
            <w:tcW w:w="680" w:type="dxa"/>
            <w:vAlign w:val="bottom"/>
          </w:tcPr>
          <w:p>
            <w:pPr>
              <w:jc w:val="center"/>
              <w:spacing w:after="0"/>
              <w:rPr>
                <w:sz w:val="20"/>
                <w:szCs w:val="20"/>
                <w:color w:val="auto"/>
              </w:rPr>
            </w:pPr>
            <w:r>
              <w:rPr>
                <w:rFonts w:ascii="Arial" w:cs="Arial" w:eastAsia="Arial" w:hAnsi="Arial"/>
                <w:sz w:val="18"/>
                <w:szCs w:val="18"/>
                <w:color w:val="auto"/>
              </w:rPr>
              <w:t>126.005</w:t>
            </w:r>
          </w:p>
        </w:tc>
        <w:tc>
          <w:tcPr>
            <w:tcW w:w="680" w:type="dxa"/>
            <w:vAlign w:val="bottom"/>
          </w:tcPr>
          <w:p>
            <w:pPr>
              <w:jc w:val="right"/>
              <w:spacing w:after="0"/>
              <w:rPr>
                <w:sz w:val="20"/>
                <w:szCs w:val="20"/>
                <w:color w:val="auto"/>
              </w:rPr>
            </w:pPr>
            <w:r>
              <w:rPr>
                <w:rFonts w:ascii="Arial" w:cs="Arial" w:eastAsia="Arial" w:hAnsi="Arial"/>
                <w:sz w:val="18"/>
                <w:szCs w:val="18"/>
                <w:color w:val="auto"/>
              </w:rPr>
              <w:t>125.23</w:t>
            </w:r>
          </w:p>
        </w:tc>
        <w:tc>
          <w:tcPr>
            <w:tcW w:w="820" w:type="dxa"/>
            <w:vAlign w:val="bottom"/>
          </w:tcPr>
          <w:p>
            <w:pPr>
              <w:jc w:val="right"/>
              <w:spacing w:after="0"/>
              <w:rPr>
                <w:sz w:val="20"/>
                <w:szCs w:val="20"/>
                <w:color w:val="auto"/>
              </w:rPr>
            </w:pPr>
            <w:r>
              <w:rPr>
                <w:rFonts w:ascii="Arial" w:cs="Arial" w:eastAsia="Arial" w:hAnsi="Arial"/>
                <w:sz w:val="18"/>
                <w:szCs w:val="18"/>
                <w:color w:val="auto"/>
              </w:rPr>
              <w:t>330,005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25400</wp:posOffset>
            </wp:positionV>
            <wp:extent cx="57778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87" w:lineRule="exact"/>
        <w:rPr>
          <w:sz w:val="20"/>
          <w:szCs w:val="20"/>
          <w:color w:val="auto"/>
        </w:rPr>
      </w:pPr>
    </w:p>
    <w:p>
      <w:pPr>
        <w:jc w:val="both"/>
        <w:ind w:left="1180" w:right="40" w:hanging="364"/>
        <w:spacing w:after="0" w:line="252"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payouts of cash incentive awards for 2020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criteria were met for each performance measure. See “Compensation Discussion and Analysis — Named Executive’s 2020 Compensation Program and Results — Annual Cash Incentive” for additional information about these awards.</w:t>
      </w:r>
    </w:p>
    <w:p>
      <w:pPr>
        <w:spacing w:after="0" w:line="85" w:lineRule="exact"/>
        <w:rPr>
          <w:rFonts w:ascii="Arial" w:cs="Arial" w:eastAsia="Arial" w:hAnsi="Arial"/>
          <w:sz w:val="18"/>
          <w:szCs w:val="18"/>
          <w:color w:val="auto"/>
        </w:rPr>
      </w:pPr>
    </w:p>
    <w:p>
      <w:pPr>
        <w:jc w:val="both"/>
        <w:ind w:left="1180" w:right="40" w:hanging="364"/>
        <w:spacing w:after="0" w:line="252"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number of shares of Common Stock potentially issuable based on the achievement of performance criteria under PSU awards granted under our 2014 Stock Incentive Plan. See “Compensation Discussion and Analysis — Named Executive’s 2020 Compensation Program and Results — Long-Term Equity Incentives — Performance Share Units” for additional information about these awards. The performance period for these awards ends December 31, 2022. PSUs earn dividend equivalents, which are paid out based on the number of shares earned at the end of the performance period.</w:t>
      </w:r>
    </w:p>
    <w:p>
      <w:pPr>
        <w:spacing w:after="0" w:line="302" w:lineRule="exact"/>
        <w:rPr>
          <w:rFonts w:ascii="Arial" w:cs="Arial" w:eastAsia="Arial" w:hAnsi="Arial"/>
          <w:sz w:val="18"/>
          <w:szCs w:val="18"/>
          <w:color w:val="auto"/>
        </w:rPr>
      </w:pPr>
    </w:p>
    <w:p>
      <w:pPr>
        <w:jc w:val="both"/>
        <w:ind w:left="1180" w:right="40" w:hanging="364"/>
        <w:spacing w:after="0" w:line="250"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number of shares of Common Stock potentially issuable upon the exercise of options granted under our 2014 Stock Incentive Plan. See “Compensation Discussion and Analysis — Named Executive’s 2020 Compensation Program and Results — Long-Term Equity Incentives — Stock Options” for additional information about these awards. The stock options will</w:t>
      </w:r>
    </w:p>
    <w:p>
      <w:pPr>
        <w:spacing w:after="0" w:line="2" w:lineRule="exact"/>
        <w:rPr>
          <w:sz w:val="20"/>
          <w:szCs w:val="20"/>
          <w:color w:val="auto"/>
        </w:rPr>
      </w:pPr>
    </w:p>
    <w:p>
      <w:pPr>
        <w:jc w:val="both"/>
        <w:ind w:left="1180" w:right="40"/>
        <w:spacing w:after="0" w:line="256" w:lineRule="auto"/>
        <w:rPr>
          <w:sz w:val="20"/>
          <w:szCs w:val="20"/>
          <w:color w:val="auto"/>
        </w:rPr>
      </w:pPr>
      <w:r>
        <w:rPr>
          <w:rFonts w:ascii="Arial" w:cs="Arial" w:eastAsia="Arial" w:hAnsi="Arial"/>
          <w:sz w:val="18"/>
          <w:szCs w:val="18"/>
          <w:color w:val="auto"/>
        </w:rPr>
        <w:t>vest in 25% increments on the first two anniversaries of the date of grant and the remaining 50% will vest on the third anniversary. Although we consider stock options to be a form of incentive compensation, only awards with performance criteria are included as “Equity Incentive Plan Awards” in our compensation tables.</w:t>
      </w:r>
    </w:p>
    <w:p>
      <w:pPr>
        <w:spacing w:after="0" w:line="283" w:lineRule="exact"/>
        <w:rPr>
          <w:sz w:val="20"/>
          <w:szCs w:val="20"/>
          <w:color w:val="auto"/>
        </w:rPr>
      </w:pPr>
    </w:p>
    <w:p>
      <w:pPr>
        <w:ind w:left="1180" w:right="60" w:hanging="364"/>
        <w:spacing w:after="0" w:line="261"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exercise price represents the average of the high and low market price of our Common Stock on the date of the grant, in accordance with our 2014 Stock Incentive Plan.</w:t>
      </w:r>
    </w:p>
    <w:p>
      <w:pPr>
        <w:spacing w:after="0" w:line="76" w:lineRule="exact"/>
        <w:rPr>
          <w:rFonts w:ascii="Arial" w:cs="Arial" w:eastAsia="Arial" w:hAnsi="Arial"/>
          <w:sz w:val="18"/>
          <w:szCs w:val="18"/>
          <w:color w:val="auto"/>
        </w:rPr>
      </w:pPr>
    </w:p>
    <w:p>
      <w:pPr>
        <w:ind w:left="1180" w:right="40" w:hanging="364"/>
        <w:spacing w:after="0" w:line="261"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amounts are grant date fair values of the awards as calculated under ASC Topic 718 and as further described in notes (1) and (2) to the Summary Compensation Table.</w:t>
      </w:r>
    </w:p>
    <w:p>
      <w:pPr>
        <w:spacing w:after="0" w:line="243"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-158750</wp:posOffset>
            </wp:positionV>
            <wp:extent cx="45466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4660" cy="128905"/>
                    </a:xfrm>
                    <a:prstGeom prst="rect">
                      <a:avLst/>
                    </a:prstGeom>
                    <a:noFill/>
                  </pic:spPr>
                </pic:pic>
              </a:graphicData>
            </a:graphic>
          </wp:anchor>
        </w:drawing>
      </w:r>
    </w:p>
    <w:p>
      <w:pPr>
        <w:sectPr>
          <w:pgSz w:w="11900" w:h="16838" w:orient="portrait"/>
          <w:cols w:equalWidth="0" w:num="1">
            <w:col w:w="9920"/>
          </w:cols>
          <w:pgMar w:left="580" w:top="132" w:right="1399"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OUTSTANDING EQUITY AWARDS AS OF DECEMBER 31, 2020</w:t>
      </w:r>
    </w:p>
    <w:p>
      <w:pPr>
        <w:spacing w:after="0" w:line="129" w:lineRule="exact"/>
        <w:rPr>
          <w:sz w:val="20"/>
          <w:szCs w:val="20"/>
          <w:color w:val="auto"/>
        </w:rPr>
      </w:pPr>
    </w:p>
    <w:tbl>
      <w:tblPr>
        <w:tblLayout w:type="fixed"/>
        <w:tblInd w:w="820" w:type="dxa"/>
        <w:tblCellMar>
          <w:top w:w="0" w:type="dxa"/>
          <w:left w:w="0" w:type="dxa"/>
          <w:bottom w:w="0" w:type="dxa"/>
          <w:right w:w="0" w:type="dxa"/>
        </w:tblCellMar>
      </w:tblPr>
      <w:tr>
        <w:trPr>
          <w:trHeight w:val="245"/>
        </w:trPr>
        <w:tc>
          <w:tcPr>
            <w:tcW w:w="920" w:type="dxa"/>
            <w:vAlign w:val="bottom"/>
          </w:tcPr>
          <w:p>
            <w:pPr>
              <w:spacing w:after="0"/>
              <w:rPr>
                <w:sz w:val="21"/>
                <w:szCs w:val="21"/>
                <w:color w:val="auto"/>
              </w:rPr>
            </w:pPr>
          </w:p>
        </w:tc>
        <w:tc>
          <w:tcPr>
            <w:tcW w:w="1040" w:type="dxa"/>
            <w:vAlign w:val="bottom"/>
            <w:tcBorders>
              <w:bottom w:val="single" w:sz="8" w:color="477258"/>
            </w:tcBorders>
          </w:tcPr>
          <w:p>
            <w:pPr>
              <w:spacing w:after="0"/>
              <w:rPr>
                <w:sz w:val="21"/>
                <w:szCs w:val="21"/>
                <w:color w:val="auto"/>
              </w:rPr>
            </w:pPr>
          </w:p>
        </w:tc>
        <w:tc>
          <w:tcPr>
            <w:tcW w:w="2080" w:type="dxa"/>
            <w:vAlign w:val="bottom"/>
            <w:tcBorders>
              <w:bottom w:val="single" w:sz="8" w:color="477258"/>
            </w:tcBorders>
            <w:gridSpan w:val="2"/>
          </w:tcPr>
          <w:p>
            <w:pPr>
              <w:jc w:val="right"/>
              <w:ind w:right="474"/>
              <w:spacing w:after="0"/>
              <w:rPr>
                <w:sz w:val="20"/>
                <w:szCs w:val="20"/>
                <w:color w:val="auto"/>
              </w:rPr>
            </w:pPr>
            <w:r>
              <w:rPr>
                <w:rFonts w:ascii="Arial" w:cs="Arial" w:eastAsia="Arial" w:hAnsi="Arial"/>
                <w:sz w:val="14"/>
                <w:szCs w:val="14"/>
                <w:b w:val="1"/>
                <w:bCs w:val="1"/>
                <w:color w:val="477258"/>
              </w:rPr>
              <w:t>Option Awards</w:t>
            </w:r>
          </w:p>
        </w:tc>
        <w:tc>
          <w:tcPr>
            <w:tcW w:w="900" w:type="dxa"/>
            <w:vAlign w:val="bottom"/>
            <w:tcBorders>
              <w:bottom w:val="single" w:sz="8" w:color="477258"/>
            </w:tcBorders>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Borders>
              <w:bottom w:val="single" w:sz="8" w:color="477258"/>
            </w:tcBorders>
          </w:tcPr>
          <w:p>
            <w:pPr>
              <w:spacing w:after="0"/>
              <w:rPr>
                <w:sz w:val="21"/>
                <w:szCs w:val="21"/>
                <w:color w:val="auto"/>
              </w:rPr>
            </w:pPr>
          </w:p>
        </w:tc>
        <w:tc>
          <w:tcPr>
            <w:tcW w:w="2020" w:type="dxa"/>
            <w:vAlign w:val="bottom"/>
            <w:tcBorders>
              <w:bottom w:val="single" w:sz="8" w:color="477258"/>
            </w:tcBorders>
            <w:gridSpan w:val="2"/>
          </w:tcPr>
          <w:p>
            <w:pPr>
              <w:jc w:val="right"/>
              <w:ind w:right="319"/>
              <w:spacing w:after="0"/>
              <w:rPr>
                <w:sz w:val="20"/>
                <w:szCs w:val="20"/>
                <w:color w:val="auto"/>
              </w:rPr>
            </w:pPr>
            <w:r>
              <w:rPr>
                <w:rFonts w:ascii="Arial" w:cs="Arial" w:eastAsia="Arial" w:hAnsi="Arial"/>
                <w:sz w:val="14"/>
                <w:szCs w:val="14"/>
                <w:b w:val="1"/>
                <w:bCs w:val="1"/>
                <w:color w:val="477258"/>
              </w:rPr>
              <w:t>Stock Awards</w:t>
            </w:r>
            <w:r>
              <w:rPr>
                <w:rFonts w:ascii="Arial" w:cs="Arial" w:eastAsia="Arial" w:hAnsi="Arial"/>
                <w:sz w:val="21"/>
                <w:szCs w:val="21"/>
                <w:b w:val="1"/>
                <w:bCs w:val="1"/>
                <w:color w:val="477258"/>
                <w:vertAlign w:val="superscript"/>
              </w:rPr>
              <w:t>(1)</w:t>
            </w:r>
          </w:p>
        </w:tc>
        <w:tc>
          <w:tcPr>
            <w:tcW w:w="980" w:type="dxa"/>
            <w:vAlign w:val="bottom"/>
            <w:tcBorders>
              <w:bottom w:val="single" w:sz="8" w:color="477258"/>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477258"/>
              </w:rPr>
              <w:t>Equity</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477258"/>
              </w:rPr>
              <w:t>Equity</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Incentive</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Plan</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Incentive</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Awards:</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Plan</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Market or</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Awards:</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Payout</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477258"/>
              </w:rPr>
              <w:t>Market</w:t>
            </w:r>
          </w:p>
        </w:tc>
        <w:tc>
          <w:tcPr>
            <w:tcW w:w="102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Number of</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Value of</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2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Unearned</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Unearned</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4"/>
                <w:szCs w:val="14"/>
                <w:b w:val="1"/>
                <w:bCs w:val="1"/>
                <w:color w:val="477258"/>
              </w:rPr>
              <w:t>Number of</w:t>
            </w:r>
          </w:p>
        </w:tc>
        <w:tc>
          <w:tcPr>
            <w:tcW w:w="1240" w:type="dxa"/>
            <w:vAlign w:val="bottom"/>
          </w:tcPr>
          <w:p>
            <w:pPr>
              <w:jc w:val="right"/>
              <w:ind w:right="36"/>
              <w:spacing w:after="0"/>
              <w:rPr>
                <w:sz w:val="20"/>
                <w:szCs w:val="20"/>
                <w:color w:val="auto"/>
              </w:rPr>
            </w:pPr>
            <w:r>
              <w:rPr>
                <w:rFonts w:ascii="Arial" w:cs="Arial" w:eastAsia="Arial" w:hAnsi="Arial"/>
                <w:sz w:val="14"/>
                <w:szCs w:val="14"/>
                <w:b w:val="1"/>
                <w:bCs w:val="1"/>
                <w:color w:val="477258"/>
              </w:rPr>
              <w:t>Number of</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7"/>
              <w:spacing w:after="0"/>
              <w:rPr>
                <w:sz w:val="20"/>
                <w:szCs w:val="20"/>
                <w:color w:val="auto"/>
              </w:rPr>
            </w:pPr>
            <w:r>
              <w:rPr>
                <w:rFonts w:ascii="Arial" w:cs="Arial" w:eastAsia="Arial" w:hAnsi="Arial"/>
                <w:sz w:val="14"/>
                <w:szCs w:val="14"/>
                <w:b w:val="1"/>
                <w:bCs w:val="1"/>
                <w:color w:val="477258"/>
              </w:rPr>
              <w:t>Number of</w:t>
            </w:r>
          </w:p>
        </w:tc>
        <w:tc>
          <w:tcPr>
            <w:tcW w:w="1000" w:type="dxa"/>
            <w:vAlign w:val="bottom"/>
          </w:tcPr>
          <w:p>
            <w:pPr>
              <w:jc w:val="right"/>
              <w:ind w:right="38"/>
              <w:spacing w:after="0"/>
              <w:rPr>
                <w:sz w:val="20"/>
                <w:szCs w:val="20"/>
                <w:color w:val="auto"/>
              </w:rPr>
            </w:pPr>
            <w:r>
              <w:rPr>
                <w:rFonts w:ascii="Arial" w:cs="Arial" w:eastAsia="Arial" w:hAnsi="Arial"/>
                <w:sz w:val="14"/>
                <w:szCs w:val="14"/>
                <w:b w:val="1"/>
                <w:bCs w:val="1"/>
                <w:color w:val="477258"/>
              </w:rPr>
              <w:t>Value of</w:t>
            </w:r>
          </w:p>
        </w:tc>
        <w:tc>
          <w:tcPr>
            <w:tcW w:w="1020" w:type="dxa"/>
            <w:vAlign w:val="bottom"/>
          </w:tcPr>
          <w:p>
            <w:pPr>
              <w:jc w:val="right"/>
              <w:ind w:right="39"/>
              <w:spacing w:after="0"/>
              <w:rPr>
                <w:sz w:val="20"/>
                <w:szCs w:val="20"/>
                <w:color w:val="auto"/>
              </w:rPr>
            </w:pPr>
            <w:r>
              <w:rPr>
                <w:rFonts w:ascii="Arial" w:cs="Arial" w:eastAsia="Arial" w:hAnsi="Arial"/>
                <w:sz w:val="14"/>
                <w:szCs w:val="14"/>
                <w:b w:val="1"/>
                <w:bCs w:val="1"/>
                <w:color w:val="477258"/>
              </w:rPr>
              <w:t>Shares,</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477258"/>
              </w:rPr>
              <w:t>Shares,</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40" w:type="dxa"/>
            <w:vAlign w:val="bottom"/>
          </w:tcPr>
          <w:p>
            <w:pPr>
              <w:jc w:val="right"/>
              <w:ind w:right="17"/>
              <w:spacing w:after="0" w:line="135" w:lineRule="exact"/>
              <w:rPr>
                <w:sz w:val="20"/>
                <w:szCs w:val="20"/>
                <w:color w:val="auto"/>
              </w:rPr>
            </w:pPr>
            <w:r>
              <w:rPr>
                <w:rFonts w:ascii="Arial" w:cs="Arial" w:eastAsia="Arial" w:hAnsi="Arial"/>
                <w:sz w:val="14"/>
                <w:szCs w:val="14"/>
                <w:b w:val="1"/>
                <w:bCs w:val="1"/>
                <w:color w:val="477258"/>
              </w:rPr>
              <w:t>Securities</w:t>
            </w:r>
          </w:p>
        </w:tc>
        <w:tc>
          <w:tcPr>
            <w:tcW w:w="124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477258"/>
              </w:rPr>
              <w:t>Securities</w:t>
            </w: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477258"/>
              </w:rPr>
              <w:t>Shares or</w:t>
            </w:r>
          </w:p>
        </w:tc>
        <w:tc>
          <w:tcPr>
            <w:tcW w:w="100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Shares or</w:t>
            </w:r>
          </w:p>
        </w:tc>
        <w:tc>
          <w:tcPr>
            <w:tcW w:w="102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Units or</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Units or</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40" w:type="dxa"/>
            <w:vAlign w:val="bottom"/>
          </w:tcPr>
          <w:p>
            <w:pPr>
              <w:jc w:val="right"/>
              <w:ind w:right="17"/>
              <w:spacing w:after="0" w:line="135" w:lineRule="exact"/>
              <w:rPr>
                <w:sz w:val="20"/>
                <w:szCs w:val="20"/>
                <w:color w:val="auto"/>
              </w:rPr>
            </w:pPr>
            <w:r>
              <w:rPr>
                <w:rFonts w:ascii="Arial" w:cs="Arial" w:eastAsia="Arial" w:hAnsi="Arial"/>
                <w:sz w:val="14"/>
                <w:szCs w:val="14"/>
                <w:b w:val="1"/>
                <w:bCs w:val="1"/>
                <w:color w:val="477258"/>
              </w:rPr>
              <w:t>Underlying</w:t>
            </w:r>
          </w:p>
        </w:tc>
        <w:tc>
          <w:tcPr>
            <w:tcW w:w="124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477258"/>
              </w:rPr>
              <w:t>Underlying</w:t>
            </w:r>
          </w:p>
        </w:tc>
        <w:tc>
          <w:tcPr>
            <w:tcW w:w="8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477258"/>
              </w:rPr>
              <w:t>Option</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477258"/>
              </w:rPr>
              <w:t>Units of</w:t>
            </w:r>
          </w:p>
        </w:tc>
        <w:tc>
          <w:tcPr>
            <w:tcW w:w="100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Units of</w:t>
            </w:r>
          </w:p>
        </w:tc>
        <w:tc>
          <w:tcPr>
            <w:tcW w:w="102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Other</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Other</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40" w:type="dxa"/>
            <w:vAlign w:val="bottom"/>
          </w:tcPr>
          <w:p>
            <w:pPr>
              <w:jc w:val="right"/>
              <w:ind w:right="17"/>
              <w:spacing w:after="0" w:line="135" w:lineRule="exact"/>
              <w:rPr>
                <w:sz w:val="20"/>
                <w:szCs w:val="20"/>
                <w:color w:val="auto"/>
              </w:rPr>
            </w:pPr>
            <w:r>
              <w:rPr>
                <w:rFonts w:ascii="Arial" w:cs="Arial" w:eastAsia="Arial" w:hAnsi="Arial"/>
                <w:sz w:val="14"/>
                <w:szCs w:val="14"/>
                <w:b w:val="1"/>
                <w:bCs w:val="1"/>
                <w:color w:val="477258"/>
              </w:rPr>
              <w:t>Unexercised</w:t>
            </w:r>
          </w:p>
        </w:tc>
        <w:tc>
          <w:tcPr>
            <w:tcW w:w="124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477258"/>
              </w:rPr>
              <w:t>Unexercised</w:t>
            </w:r>
          </w:p>
        </w:tc>
        <w:tc>
          <w:tcPr>
            <w:tcW w:w="840" w:type="dxa"/>
            <w:vAlign w:val="bottom"/>
            <w:vMerge w:val="continue"/>
          </w:tcPr>
          <w:p>
            <w:pPr>
              <w:spacing w:after="0"/>
              <w:rPr>
                <w:sz w:val="11"/>
                <w:szCs w:val="11"/>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477258"/>
              </w:rPr>
              <w:t>Option</w:t>
            </w:r>
          </w:p>
        </w:tc>
        <w:tc>
          <w:tcPr>
            <w:tcW w:w="94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477258"/>
              </w:rPr>
              <w:t>Stock</w:t>
            </w:r>
          </w:p>
        </w:tc>
        <w:tc>
          <w:tcPr>
            <w:tcW w:w="100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Stock</w:t>
            </w:r>
          </w:p>
        </w:tc>
        <w:tc>
          <w:tcPr>
            <w:tcW w:w="102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Rights</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Rights</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40" w:type="dxa"/>
            <w:vAlign w:val="bottom"/>
          </w:tcPr>
          <w:p>
            <w:pPr>
              <w:jc w:val="right"/>
              <w:ind w:right="17"/>
              <w:spacing w:after="0" w:line="135" w:lineRule="exact"/>
              <w:rPr>
                <w:sz w:val="20"/>
                <w:szCs w:val="20"/>
                <w:color w:val="auto"/>
              </w:rPr>
            </w:pPr>
            <w:r>
              <w:rPr>
                <w:rFonts w:ascii="Arial" w:cs="Arial" w:eastAsia="Arial" w:hAnsi="Arial"/>
                <w:sz w:val="14"/>
                <w:szCs w:val="14"/>
                <w:b w:val="1"/>
                <w:bCs w:val="1"/>
                <w:color w:val="477258"/>
              </w:rPr>
              <w:t>Options</w:t>
            </w:r>
          </w:p>
        </w:tc>
        <w:tc>
          <w:tcPr>
            <w:tcW w:w="124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477258"/>
              </w:rPr>
              <w:t>Options</w:t>
            </w:r>
          </w:p>
        </w:tc>
        <w:tc>
          <w:tcPr>
            <w:tcW w:w="840" w:type="dxa"/>
            <w:vAlign w:val="bottom"/>
          </w:tcPr>
          <w:p>
            <w:pPr>
              <w:jc w:val="right"/>
              <w:ind w:right="54"/>
              <w:spacing w:after="0" w:line="135" w:lineRule="exact"/>
              <w:rPr>
                <w:sz w:val="20"/>
                <w:szCs w:val="20"/>
                <w:color w:val="auto"/>
              </w:rPr>
            </w:pPr>
            <w:r>
              <w:rPr>
                <w:rFonts w:ascii="Arial" w:cs="Arial" w:eastAsia="Arial" w:hAnsi="Arial"/>
                <w:sz w:val="14"/>
                <w:szCs w:val="14"/>
                <w:b w:val="1"/>
                <w:bCs w:val="1"/>
                <w:color w:val="477258"/>
              </w:rPr>
              <w:t>Exercise</w:t>
            </w:r>
          </w:p>
        </w:tc>
        <w:tc>
          <w:tcPr>
            <w:tcW w:w="1040" w:type="dxa"/>
            <w:vAlign w:val="bottom"/>
            <w:gridSpan w:val="2"/>
            <w:vMerge w:val="continue"/>
          </w:tcPr>
          <w:p>
            <w:pPr>
              <w:spacing w:after="0"/>
              <w:rPr>
                <w:sz w:val="11"/>
                <w:szCs w:val="11"/>
                <w:color w:val="auto"/>
              </w:rPr>
            </w:pPr>
          </w:p>
        </w:tc>
        <w:tc>
          <w:tcPr>
            <w:tcW w:w="94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477258"/>
              </w:rPr>
              <w:t>That Have</w:t>
            </w:r>
          </w:p>
        </w:tc>
        <w:tc>
          <w:tcPr>
            <w:tcW w:w="100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That Have</w:t>
            </w:r>
          </w:p>
        </w:tc>
        <w:tc>
          <w:tcPr>
            <w:tcW w:w="102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That Have</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That Have</w:t>
            </w:r>
          </w:p>
        </w:tc>
        <w:tc>
          <w:tcPr>
            <w:tcW w:w="0" w:type="dxa"/>
            <w:vAlign w:val="bottom"/>
          </w:tcPr>
          <w:p>
            <w:pPr>
              <w:spacing w:after="0"/>
              <w:rPr>
                <w:sz w:val="1"/>
                <w:szCs w:val="1"/>
                <w:color w:val="auto"/>
              </w:rPr>
            </w:pPr>
          </w:p>
        </w:tc>
      </w:tr>
      <w:tr>
        <w:trPr>
          <w:trHeight w:val="135"/>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477258"/>
              </w:rPr>
              <w:t>Name</w:t>
            </w:r>
          </w:p>
        </w:tc>
        <w:tc>
          <w:tcPr>
            <w:tcW w:w="1040" w:type="dxa"/>
            <w:vAlign w:val="bottom"/>
          </w:tcPr>
          <w:p>
            <w:pPr>
              <w:jc w:val="right"/>
              <w:ind w:right="17"/>
              <w:spacing w:after="0" w:line="135" w:lineRule="exact"/>
              <w:rPr>
                <w:sz w:val="20"/>
                <w:szCs w:val="20"/>
                <w:color w:val="auto"/>
              </w:rPr>
            </w:pPr>
            <w:r>
              <w:rPr>
                <w:rFonts w:ascii="Arial" w:cs="Arial" w:eastAsia="Arial" w:hAnsi="Arial"/>
                <w:sz w:val="14"/>
                <w:szCs w:val="14"/>
                <w:b w:val="1"/>
                <w:bCs w:val="1"/>
                <w:color w:val="477258"/>
              </w:rPr>
              <w:t>Exercisable</w:t>
            </w:r>
          </w:p>
        </w:tc>
        <w:tc>
          <w:tcPr>
            <w:tcW w:w="124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477258"/>
              </w:rPr>
              <w:t>Unexercisable</w:t>
            </w:r>
          </w:p>
        </w:tc>
        <w:tc>
          <w:tcPr>
            <w:tcW w:w="840" w:type="dxa"/>
            <w:vAlign w:val="bottom"/>
          </w:tcPr>
          <w:p>
            <w:pPr>
              <w:jc w:val="right"/>
              <w:ind w:right="54"/>
              <w:spacing w:after="0" w:line="135" w:lineRule="exact"/>
              <w:rPr>
                <w:sz w:val="20"/>
                <w:szCs w:val="20"/>
                <w:color w:val="auto"/>
              </w:rPr>
            </w:pPr>
            <w:r>
              <w:rPr>
                <w:rFonts w:ascii="Arial" w:cs="Arial" w:eastAsia="Arial" w:hAnsi="Arial"/>
                <w:sz w:val="14"/>
                <w:szCs w:val="14"/>
                <w:b w:val="1"/>
                <w:bCs w:val="1"/>
                <w:color w:val="477258"/>
              </w:rPr>
              <w:t>Price</w:t>
            </w:r>
          </w:p>
        </w:tc>
        <w:tc>
          <w:tcPr>
            <w:tcW w:w="10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477258"/>
              </w:rPr>
              <w:t>Expiration</w:t>
            </w:r>
          </w:p>
        </w:tc>
        <w:tc>
          <w:tcPr>
            <w:tcW w:w="940" w:type="dxa"/>
            <w:vAlign w:val="bottom"/>
          </w:tcPr>
          <w:p>
            <w:pPr>
              <w:jc w:val="right"/>
              <w:ind w:right="37"/>
              <w:spacing w:after="0" w:line="135" w:lineRule="exact"/>
              <w:rPr>
                <w:sz w:val="20"/>
                <w:szCs w:val="20"/>
                <w:color w:val="auto"/>
              </w:rPr>
            </w:pPr>
            <w:r>
              <w:rPr>
                <w:rFonts w:ascii="Arial" w:cs="Arial" w:eastAsia="Arial" w:hAnsi="Arial"/>
                <w:sz w:val="14"/>
                <w:szCs w:val="14"/>
                <w:b w:val="1"/>
                <w:bCs w:val="1"/>
                <w:color w:val="477258"/>
              </w:rPr>
              <w:t>Not Vested</w:t>
            </w:r>
          </w:p>
        </w:tc>
        <w:tc>
          <w:tcPr>
            <w:tcW w:w="100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477258"/>
              </w:rPr>
              <w:t>Not Vested</w:t>
            </w:r>
          </w:p>
        </w:tc>
        <w:tc>
          <w:tcPr>
            <w:tcW w:w="102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Not Vested</w:t>
            </w: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477258"/>
              </w:rPr>
              <w:t>Not Vested</w:t>
            </w:r>
          </w:p>
        </w:tc>
        <w:tc>
          <w:tcPr>
            <w:tcW w:w="0" w:type="dxa"/>
            <w:vAlign w:val="bottom"/>
          </w:tcPr>
          <w:p>
            <w:pPr>
              <w:spacing w:after="0"/>
              <w:rPr>
                <w:sz w:val="1"/>
                <w:szCs w:val="1"/>
                <w:color w:val="auto"/>
              </w:rPr>
            </w:pPr>
          </w:p>
        </w:tc>
      </w:tr>
      <w:tr>
        <w:trPr>
          <w:trHeight w:val="189"/>
        </w:trPr>
        <w:tc>
          <w:tcPr>
            <w:tcW w:w="920" w:type="dxa"/>
            <w:vAlign w:val="bottom"/>
            <w:tcBorders>
              <w:bottom w:val="single" w:sz="8" w:color="477258"/>
            </w:tcBorders>
            <w:vMerge w:val="continue"/>
          </w:tcPr>
          <w:p>
            <w:pPr>
              <w:spacing w:after="0"/>
              <w:rPr>
                <w:sz w:val="16"/>
                <w:szCs w:val="16"/>
                <w:color w:val="auto"/>
              </w:rPr>
            </w:pPr>
          </w:p>
        </w:tc>
        <w:tc>
          <w:tcPr>
            <w:tcW w:w="104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21"/>
                <w:szCs w:val="21"/>
                <w:b w:val="1"/>
                <w:bCs w:val="1"/>
                <w:color w:val="477258"/>
                <w:vertAlign w:val="subscript"/>
              </w:rPr>
              <w:t>(#)</w:t>
            </w:r>
            <w:r>
              <w:rPr>
                <w:rFonts w:ascii="Arial" w:cs="Arial" w:eastAsia="Arial" w:hAnsi="Arial"/>
                <w:sz w:val="9"/>
                <w:szCs w:val="9"/>
                <w:b w:val="1"/>
                <w:bCs w:val="1"/>
                <w:color w:val="477258"/>
              </w:rPr>
              <w:t>(2)</w:t>
            </w:r>
          </w:p>
        </w:tc>
        <w:tc>
          <w:tcPr>
            <w:tcW w:w="124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w:t>
            </w:r>
          </w:p>
        </w:tc>
        <w:tc>
          <w:tcPr>
            <w:tcW w:w="840" w:type="dxa"/>
            <w:vAlign w:val="bottom"/>
            <w:tcBorders>
              <w:bottom w:val="single" w:sz="8" w:color="477258"/>
            </w:tcBorders>
          </w:tcPr>
          <w:p>
            <w:pPr>
              <w:jc w:val="right"/>
              <w:ind w:right="14"/>
              <w:spacing w:after="0"/>
              <w:rPr>
                <w:sz w:val="20"/>
                <w:szCs w:val="20"/>
                <w:color w:val="auto"/>
              </w:rPr>
            </w:pPr>
            <w:r>
              <w:rPr>
                <w:rFonts w:ascii="Arial" w:cs="Arial" w:eastAsia="Arial" w:hAnsi="Arial"/>
                <w:sz w:val="14"/>
                <w:szCs w:val="14"/>
                <w:b w:val="1"/>
                <w:bCs w:val="1"/>
                <w:color w:val="477258"/>
              </w:rPr>
              <w:t>($)</w:t>
            </w:r>
          </w:p>
        </w:tc>
        <w:tc>
          <w:tcPr>
            <w:tcW w:w="1040" w:type="dxa"/>
            <w:vAlign w:val="bottom"/>
            <w:tcBorders>
              <w:bottom w:val="single" w:sz="8" w:color="477258"/>
            </w:tcBorders>
            <w:gridSpan w:val="2"/>
          </w:tcPr>
          <w:p>
            <w:pPr>
              <w:ind w:left="540"/>
              <w:spacing w:after="0"/>
              <w:rPr>
                <w:sz w:val="20"/>
                <w:szCs w:val="20"/>
                <w:color w:val="auto"/>
              </w:rPr>
            </w:pPr>
            <w:r>
              <w:rPr>
                <w:rFonts w:ascii="Arial" w:cs="Arial" w:eastAsia="Arial" w:hAnsi="Arial"/>
                <w:sz w:val="14"/>
                <w:szCs w:val="14"/>
                <w:b w:val="1"/>
                <w:bCs w:val="1"/>
                <w:color w:val="477258"/>
              </w:rPr>
              <w:t>Date</w:t>
            </w:r>
          </w:p>
        </w:tc>
        <w:tc>
          <w:tcPr>
            <w:tcW w:w="94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21"/>
                <w:szCs w:val="21"/>
                <w:b w:val="1"/>
                <w:bCs w:val="1"/>
                <w:color w:val="477258"/>
                <w:vertAlign w:val="subscript"/>
              </w:rPr>
              <w:t>(#)</w:t>
            </w:r>
            <w:r>
              <w:rPr>
                <w:rFonts w:ascii="Arial" w:cs="Arial" w:eastAsia="Arial" w:hAnsi="Arial"/>
                <w:sz w:val="9"/>
                <w:szCs w:val="9"/>
                <w:b w:val="1"/>
                <w:bCs w:val="1"/>
                <w:color w:val="477258"/>
              </w:rPr>
              <w:t>(6)</w:t>
            </w:r>
          </w:p>
        </w:tc>
        <w:tc>
          <w:tcPr>
            <w:tcW w:w="100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21"/>
                <w:szCs w:val="21"/>
                <w:b w:val="1"/>
                <w:bCs w:val="1"/>
                <w:color w:val="477258"/>
                <w:vertAlign w:val="subscript"/>
              </w:rPr>
              <w:t>($)</w:t>
            </w:r>
            <w:r>
              <w:rPr>
                <w:rFonts w:ascii="Arial" w:cs="Arial" w:eastAsia="Arial" w:hAnsi="Arial"/>
                <w:sz w:val="9"/>
                <w:szCs w:val="9"/>
                <w:b w:val="1"/>
                <w:bCs w:val="1"/>
                <w:color w:val="477258"/>
              </w:rPr>
              <w:t>(6)</w:t>
            </w:r>
          </w:p>
        </w:tc>
        <w:tc>
          <w:tcPr>
            <w:tcW w:w="102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21"/>
                <w:szCs w:val="21"/>
                <w:b w:val="1"/>
                <w:bCs w:val="1"/>
                <w:color w:val="477258"/>
                <w:vertAlign w:val="subscript"/>
              </w:rPr>
              <w:t>(#)</w:t>
            </w:r>
            <w:r>
              <w:rPr>
                <w:rFonts w:ascii="Arial" w:cs="Arial" w:eastAsia="Arial" w:hAnsi="Arial"/>
                <w:sz w:val="9"/>
                <w:szCs w:val="9"/>
                <w:b w:val="1"/>
                <w:bCs w:val="1"/>
                <w:color w:val="477258"/>
              </w:rPr>
              <w:t>(7)</w:t>
            </w:r>
          </w:p>
        </w:tc>
        <w:tc>
          <w:tcPr>
            <w:tcW w:w="98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21"/>
                <w:szCs w:val="21"/>
                <w:b w:val="1"/>
                <w:bCs w:val="1"/>
                <w:color w:val="477258"/>
                <w:vertAlign w:val="subscript"/>
              </w:rPr>
              <w:t>($)</w:t>
            </w:r>
            <w:r>
              <w:rPr>
                <w:rFonts w:ascii="Arial" w:cs="Arial" w:eastAsia="Arial" w:hAnsi="Arial"/>
                <w:sz w:val="9"/>
                <w:szCs w:val="9"/>
                <w:b w:val="1"/>
                <w:bCs w:val="1"/>
                <w:color w:val="477258"/>
              </w:rPr>
              <w:t>(7)</w:t>
            </w:r>
          </w:p>
        </w:tc>
        <w:tc>
          <w:tcPr>
            <w:tcW w:w="40" w:type="dxa"/>
            <w:vAlign w:val="bottom"/>
            <w:tcBorders>
              <w:bottom w:val="single" w:sz="8" w:color="477258"/>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96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James C. Fish, Jr.</w:t>
            </w:r>
          </w:p>
        </w:tc>
        <w:tc>
          <w:tcPr>
            <w:tcW w:w="1240" w:type="dxa"/>
            <w:vAlign w:val="bottom"/>
            <w:tcBorders>
              <w:bottom w:val="single" w:sz="8" w:color="477258"/>
            </w:tcBorders>
            <w:shd w:val="clear" w:color="auto" w:fill="CCEEFF"/>
          </w:tcPr>
          <w:p>
            <w:pPr>
              <w:spacing w:after="0"/>
              <w:rPr>
                <w:sz w:val="22"/>
                <w:szCs w:val="22"/>
                <w:color w:val="auto"/>
              </w:rPr>
            </w:pPr>
          </w:p>
        </w:tc>
        <w:tc>
          <w:tcPr>
            <w:tcW w:w="840" w:type="dxa"/>
            <w:vAlign w:val="bottom"/>
            <w:tcBorders>
              <w:bottom w:val="single" w:sz="8" w:color="477258"/>
            </w:tcBorders>
            <w:shd w:val="clear" w:color="auto" w:fill="CCEEFF"/>
          </w:tcPr>
          <w:p>
            <w:pPr>
              <w:spacing w:after="0"/>
              <w:rPr>
                <w:sz w:val="22"/>
                <w:szCs w:val="22"/>
                <w:color w:val="auto"/>
              </w:rPr>
            </w:pPr>
          </w:p>
        </w:tc>
        <w:tc>
          <w:tcPr>
            <w:tcW w:w="900" w:type="dxa"/>
            <w:vAlign w:val="bottom"/>
            <w:tcBorders>
              <w:bottom w:val="single" w:sz="8" w:color="477258"/>
            </w:tcBorders>
            <w:shd w:val="clear" w:color="auto" w:fill="CCEEFF"/>
          </w:tcPr>
          <w:p>
            <w:pPr>
              <w:spacing w:after="0"/>
              <w:rPr>
                <w:sz w:val="22"/>
                <w:szCs w:val="22"/>
                <w:color w:val="auto"/>
              </w:rPr>
            </w:pPr>
          </w:p>
        </w:tc>
        <w:tc>
          <w:tcPr>
            <w:tcW w:w="140" w:type="dxa"/>
            <w:vAlign w:val="bottom"/>
            <w:tcBorders>
              <w:bottom w:val="single" w:sz="8" w:color="477258"/>
            </w:tcBorders>
            <w:shd w:val="clear" w:color="auto" w:fill="CCEEFF"/>
          </w:tcPr>
          <w:p>
            <w:pPr>
              <w:spacing w:after="0"/>
              <w:rPr>
                <w:sz w:val="22"/>
                <w:szCs w:val="22"/>
                <w:color w:val="auto"/>
              </w:rPr>
            </w:pPr>
          </w:p>
        </w:tc>
        <w:tc>
          <w:tcPr>
            <w:tcW w:w="940" w:type="dxa"/>
            <w:vAlign w:val="bottom"/>
            <w:tcBorders>
              <w:bottom w:val="single" w:sz="8" w:color="477258"/>
            </w:tcBorders>
            <w:shd w:val="clear" w:color="auto" w:fill="CCEEFF"/>
          </w:tcPr>
          <w:p>
            <w:pPr>
              <w:spacing w:after="0"/>
              <w:rPr>
                <w:sz w:val="22"/>
                <w:szCs w:val="22"/>
                <w:color w:val="auto"/>
              </w:rPr>
            </w:pPr>
          </w:p>
        </w:tc>
        <w:tc>
          <w:tcPr>
            <w:tcW w:w="1000" w:type="dxa"/>
            <w:vAlign w:val="bottom"/>
            <w:tcBorders>
              <w:bottom w:val="single" w:sz="8" w:color="477258"/>
            </w:tcBorders>
            <w:shd w:val="clear" w:color="auto" w:fill="CCEEFF"/>
          </w:tcPr>
          <w:p>
            <w:pPr>
              <w:spacing w:after="0"/>
              <w:rPr>
                <w:sz w:val="22"/>
                <w:szCs w:val="22"/>
                <w:color w:val="auto"/>
              </w:rPr>
            </w:pPr>
          </w:p>
        </w:tc>
        <w:tc>
          <w:tcPr>
            <w:tcW w:w="1020" w:type="dxa"/>
            <w:vAlign w:val="bottom"/>
            <w:tcBorders>
              <w:bottom w:val="single" w:sz="8" w:color="477258"/>
            </w:tcBorders>
            <w:shd w:val="clear" w:color="auto" w:fill="CCEEFF"/>
          </w:tcPr>
          <w:p>
            <w:pPr>
              <w:spacing w:after="0"/>
              <w:rPr>
                <w:sz w:val="22"/>
                <w:szCs w:val="22"/>
                <w:color w:val="auto"/>
              </w:rPr>
            </w:pPr>
          </w:p>
        </w:tc>
        <w:tc>
          <w:tcPr>
            <w:tcW w:w="980" w:type="dxa"/>
            <w:vAlign w:val="bottom"/>
            <w:tcBorders>
              <w:bottom w:val="single" w:sz="8" w:color="477258"/>
            </w:tcBorders>
            <w:shd w:val="clear" w:color="auto" w:fill="CCEEFF"/>
          </w:tcPr>
          <w:p>
            <w:pPr>
              <w:spacing w:after="0"/>
              <w:rPr>
                <w:sz w:val="22"/>
                <w:szCs w:val="22"/>
                <w:color w:val="auto"/>
              </w:rPr>
            </w:pPr>
          </w:p>
        </w:tc>
        <w:tc>
          <w:tcPr>
            <w:tcW w:w="40" w:type="dxa"/>
            <w:vAlign w:val="bottom"/>
            <w:tcBorders>
              <w:bottom w:val="single" w:sz="8" w:color="477258"/>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20" w:type="dxa"/>
            <w:vAlign w:val="bottom"/>
            <w:tcBorders>
              <w:bottom w:val="single" w:sz="8" w:color="477258"/>
            </w:tcBorders>
          </w:tcPr>
          <w:p>
            <w:pPr>
              <w:spacing w:after="0"/>
              <w:rPr>
                <w:sz w:val="23"/>
                <w:szCs w:val="23"/>
                <w:color w:val="auto"/>
              </w:rPr>
            </w:pPr>
          </w:p>
        </w:tc>
        <w:tc>
          <w:tcPr>
            <w:tcW w:w="1040" w:type="dxa"/>
            <w:vAlign w:val="bottom"/>
            <w:tcBorders>
              <w:bottom w:val="single" w:sz="8" w:color="477258"/>
            </w:tcBorders>
          </w:tcPr>
          <w:p>
            <w:pPr>
              <w:jc w:val="right"/>
              <w:ind w:right="13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477258"/>
            </w:tcBorders>
          </w:tcPr>
          <w:p>
            <w:pPr>
              <w:jc w:val="right"/>
              <w:spacing w:after="0" w:line="270" w:lineRule="exact"/>
              <w:rPr>
                <w:sz w:val="20"/>
                <w:szCs w:val="20"/>
                <w:color w:val="auto"/>
              </w:rPr>
            </w:pPr>
            <w:r>
              <w:rPr>
                <w:rFonts w:ascii="Arial" w:cs="Arial" w:eastAsia="Arial" w:hAnsi="Arial"/>
                <w:sz w:val="18"/>
                <w:szCs w:val="18"/>
                <w:color w:val="auto"/>
              </w:rPr>
              <w:t>101,138</w:t>
            </w:r>
            <w:r>
              <w:rPr>
                <w:rFonts w:ascii="Arial" w:cs="Arial" w:eastAsia="Arial" w:hAnsi="Arial"/>
                <w:sz w:val="26"/>
                <w:szCs w:val="26"/>
                <w:color w:val="auto"/>
                <w:vertAlign w:val="superscript"/>
              </w:rPr>
              <w:t>(3)</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126.005</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2/19/2030</w:t>
            </w:r>
          </w:p>
        </w:tc>
        <w:tc>
          <w:tcPr>
            <w:tcW w:w="940" w:type="dxa"/>
            <w:vAlign w:val="bottom"/>
            <w:tcBorders>
              <w:bottom w:val="single" w:sz="8" w:color="477258"/>
            </w:tcBorders>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9"/>
              <w:spacing w:after="0"/>
              <w:rPr>
                <w:sz w:val="20"/>
                <w:szCs w:val="20"/>
                <w:color w:val="auto"/>
              </w:rPr>
            </w:pPr>
            <w:r>
              <w:rPr>
                <w:rFonts w:ascii="Arial" w:cs="Arial" w:eastAsia="Arial" w:hAnsi="Arial"/>
                <w:sz w:val="18"/>
                <w:szCs w:val="18"/>
                <w:color w:val="auto"/>
              </w:rPr>
              <w:t>111,840</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26,378,582</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shd w:val="clear" w:color="auto" w:fill="CCEEFF"/>
          </w:tcPr>
          <w:p>
            <w:pPr>
              <w:spacing w:after="0"/>
              <w:rPr>
                <w:sz w:val="22"/>
                <w:szCs w:val="22"/>
                <w:color w:val="auto"/>
              </w:rPr>
            </w:pPr>
          </w:p>
        </w:tc>
        <w:tc>
          <w:tcPr>
            <w:tcW w:w="1040" w:type="dxa"/>
            <w:vAlign w:val="bottom"/>
            <w:tcBorders>
              <w:bottom w:val="single" w:sz="8" w:color="477258"/>
            </w:tcBorders>
            <w:shd w:val="clear" w:color="auto" w:fill="CCEEFF"/>
          </w:tcPr>
          <w:p>
            <w:pPr>
              <w:jc w:val="right"/>
              <w:ind w:right="137"/>
              <w:spacing w:after="0"/>
              <w:rPr>
                <w:sz w:val="20"/>
                <w:szCs w:val="20"/>
                <w:color w:val="auto"/>
              </w:rPr>
            </w:pPr>
            <w:r>
              <w:rPr>
                <w:rFonts w:ascii="Arial" w:cs="Arial" w:eastAsia="Arial" w:hAnsi="Arial"/>
                <w:sz w:val="18"/>
                <w:szCs w:val="18"/>
                <w:color w:val="auto"/>
              </w:rPr>
              <w:t>28,641</w:t>
            </w:r>
          </w:p>
        </w:tc>
        <w:tc>
          <w:tcPr>
            <w:tcW w:w="1240" w:type="dxa"/>
            <w:vAlign w:val="bottom"/>
            <w:tcBorders>
              <w:bottom w:val="single" w:sz="8" w:color="477258"/>
            </w:tcBorders>
            <w:shd w:val="clear" w:color="auto" w:fill="CCEEFF"/>
          </w:tcPr>
          <w:p>
            <w:pPr>
              <w:jc w:val="right"/>
              <w:spacing w:after="0" w:line="263" w:lineRule="exact"/>
              <w:rPr>
                <w:sz w:val="20"/>
                <w:szCs w:val="20"/>
                <w:color w:val="auto"/>
              </w:rPr>
            </w:pPr>
            <w:r>
              <w:rPr>
                <w:rFonts w:ascii="Arial" w:cs="Arial" w:eastAsia="Arial" w:hAnsi="Arial"/>
                <w:sz w:val="18"/>
                <w:szCs w:val="18"/>
                <w:color w:val="auto"/>
              </w:rPr>
              <w:t>85,925</w:t>
            </w:r>
            <w:r>
              <w:rPr>
                <w:rFonts w:ascii="Arial" w:cs="Arial" w:eastAsia="Arial" w:hAnsi="Arial"/>
                <w:sz w:val="26"/>
                <w:szCs w:val="26"/>
                <w:color w:val="auto"/>
                <w:vertAlign w:val="superscript"/>
              </w:rPr>
              <w:t>(4)</w:t>
            </w:r>
          </w:p>
        </w:tc>
        <w:tc>
          <w:tcPr>
            <w:tcW w:w="84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98.898</w:t>
            </w:r>
          </w:p>
        </w:tc>
        <w:tc>
          <w:tcPr>
            <w:tcW w:w="1040" w:type="dxa"/>
            <w:vAlign w:val="bottom"/>
            <w:tcBorders>
              <w:bottom w:val="single" w:sz="8" w:color="477258"/>
            </w:tcBorders>
            <w:gridSpan w:val="2"/>
            <w:shd w:val="clear" w:color="auto" w:fill="CCEEFF"/>
          </w:tcPr>
          <w:p>
            <w:pPr>
              <w:ind w:left="100"/>
              <w:spacing w:after="0"/>
              <w:rPr>
                <w:sz w:val="20"/>
                <w:szCs w:val="20"/>
                <w:color w:val="auto"/>
              </w:rPr>
            </w:pPr>
            <w:r>
              <w:rPr>
                <w:rFonts w:ascii="Arial" w:cs="Arial" w:eastAsia="Arial" w:hAnsi="Arial"/>
                <w:sz w:val="18"/>
                <w:szCs w:val="18"/>
                <w:color w:val="auto"/>
              </w:rPr>
              <w:t>2/19/2029</w:t>
            </w:r>
          </w:p>
        </w:tc>
        <w:tc>
          <w:tcPr>
            <w:tcW w:w="940" w:type="dxa"/>
            <w:vAlign w:val="bottom"/>
            <w:tcBorders>
              <w:bottom w:val="single" w:sz="8" w:color="477258"/>
            </w:tcBorders>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tcPr>
          <w:p>
            <w:pPr>
              <w:spacing w:after="0"/>
              <w:rPr>
                <w:sz w:val="22"/>
                <w:szCs w:val="22"/>
                <w:color w:val="auto"/>
              </w:rPr>
            </w:pPr>
          </w:p>
        </w:tc>
        <w:tc>
          <w:tcPr>
            <w:tcW w:w="1040" w:type="dxa"/>
            <w:vAlign w:val="bottom"/>
            <w:tcBorders>
              <w:bottom w:val="single" w:sz="8" w:color="477258"/>
            </w:tcBorders>
          </w:tcPr>
          <w:p>
            <w:pPr>
              <w:jc w:val="right"/>
              <w:ind w:right="13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477258"/>
            </w:tcBorders>
          </w:tcPr>
          <w:p>
            <w:pPr>
              <w:jc w:val="right"/>
              <w:spacing w:after="0" w:line="263" w:lineRule="exact"/>
              <w:rPr>
                <w:sz w:val="20"/>
                <w:szCs w:val="20"/>
                <w:color w:val="auto"/>
              </w:rPr>
            </w:pPr>
            <w:r>
              <w:rPr>
                <w:rFonts w:ascii="Arial" w:cs="Arial" w:eastAsia="Arial" w:hAnsi="Arial"/>
                <w:sz w:val="18"/>
                <w:szCs w:val="18"/>
                <w:color w:val="auto"/>
              </w:rPr>
              <w:t>49,342</w:t>
            </w:r>
            <w:r>
              <w:rPr>
                <w:rFonts w:ascii="Arial" w:cs="Arial" w:eastAsia="Arial" w:hAnsi="Arial"/>
                <w:sz w:val="26"/>
                <w:szCs w:val="26"/>
                <w:color w:val="auto"/>
                <w:vertAlign w:val="superscript"/>
              </w:rPr>
              <w:t>(5)</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85.34</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2/20/2028</w:t>
            </w:r>
          </w:p>
        </w:tc>
        <w:tc>
          <w:tcPr>
            <w:tcW w:w="940" w:type="dxa"/>
            <w:vAlign w:val="bottom"/>
            <w:tcBorders>
              <w:bottom w:val="single" w:sz="8" w:color="477258"/>
            </w:tcBorders>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96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Devina A. Rankin</w:t>
            </w:r>
          </w:p>
        </w:tc>
        <w:tc>
          <w:tcPr>
            <w:tcW w:w="1240" w:type="dxa"/>
            <w:vAlign w:val="bottom"/>
            <w:tcBorders>
              <w:bottom w:val="single" w:sz="8" w:color="477258"/>
            </w:tcBorders>
            <w:shd w:val="clear" w:color="auto" w:fill="CCEEFF"/>
          </w:tcPr>
          <w:p>
            <w:pPr>
              <w:spacing w:after="0"/>
              <w:rPr>
                <w:sz w:val="22"/>
                <w:szCs w:val="22"/>
                <w:color w:val="auto"/>
              </w:rPr>
            </w:pPr>
          </w:p>
        </w:tc>
        <w:tc>
          <w:tcPr>
            <w:tcW w:w="840" w:type="dxa"/>
            <w:vAlign w:val="bottom"/>
            <w:tcBorders>
              <w:bottom w:val="single" w:sz="8" w:color="477258"/>
            </w:tcBorders>
            <w:shd w:val="clear" w:color="auto" w:fill="CCEEFF"/>
          </w:tcPr>
          <w:p>
            <w:pPr>
              <w:spacing w:after="0"/>
              <w:rPr>
                <w:sz w:val="22"/>
                <w:szCs w:val="22"/>
                <w:color w:val="auto"/>
              </w:rPr>
            </w:pPr>
          </w:p>
        </w:tc>
        <w:tc>
          <w:tcPr>
            <w:tcW w:w="900" w:type="dxa"/>
            <w:vAlign w:val="bottom"/>
            <w:tcBorders>
              <w:bottom w:val="single" w:sz="8" w:color="477258"/>
            </w:tcBorders>
            <w:shd w:val="clear" w:color="auto" w:fill="CCEEFF"/>
          </w:tcPr>
          <w:p>
            <w:pPr>
              <w:spacing w:after="0"/>
              <w:rPr>
                <w:sz w:val="22"/>
                <w:szCs w:val="22"/>
                <w:color w:val="auto"/>
              </w:rPr>
            </w:pPr>
          </w:p>
        </w:tc>
        <w:tc>
          <w:tcPr>
            <w:tcW w:w="140" w:type="dxa"/>
            <w:vAlign w:val="bottom"/>
            <w:tcBorders>
              <w:bottom w:val="single" w:sz="8" w:color="477258"/>
            </w:tcBorders>
            <w:shd w:val="clear" w:color="auto" w:fill="CCEEFF"/>
          </w:tcPr>
          <w:p>
            <w:pPr>
              <w:spacing w:after="0"/>
              <w:rPr>
                <w:sz w:val="22"/>
                <w:szCs w:val="22"/>
                <w:color w:val="auto"/>
              </w:rPr>
            </w:pPr>
          </w:p>
        </w:tc>
        <w:tc>
          <w:tcPr>
            <w:tcW w:w="940" w:type="dxa"/>
            <w:vAlign w:val="bottom"/>
            <w:tcBorders>
              <w:bottom w:val="single" w:sz="8" w:color="477258"/>
            </w:tcBorders>
            <w:shd w:val="clear" w:color="auto" w:fill="CCEEFF"/>
          </w:tcPr>
          <w:p>
            <w:pPr>
              <w:spacing w:after="0"/>
              <w:rPr>
                <w:sz w:val="22"/>
                <w:szCs w:val="22"/>
                <w:color w:val="auto"/>
              </w:rPr>
            </w:pPr>
          </w:p>
        </w:tc>
        <w:tc>
          <w:tcPr>
            <w:tcW w:w="1000" w:type="dxa"/>
            <w:vAlign w:val="bottom"/>
            <w:tcBorders>
              <w:bottom w:val="single" w:sz="8" w:color="477258"/>
            </w:tcBorders>
            <w:shd w:val="clear" w:color="auto" w:fill="CCEEFF"/>
          </w:tcPr>
          <w:p>
            <w:pPr>
              <w:spacing w:after="0"/>
              <w:rPr>
                <w:sz w:val="22"/>
                <w:szCs w:val="22"/>
                <w:color w:val="auto"/>
              </w:rPr>
            </w:pPr>
          </w:p>
        </w:tc>
        <w:tc>
          <w:tcPr>
            <w:tcW w:w="1020" w:type="dxa"/>
            <w:vAlign w:val="bottom"/>
            <w:tcBorders>
              <w:bottom w:val="single" w:sz="8" w:color="477258"/>
            </w:tcBorders>
            <w:shd w:val="clear" w:color="auto" w:fill="CCEEFF"/>
          </w:tcPr>
          <w:p>
            <w:pPr>
              <w:spacing w:after="0"/>
              <w:rPr>
                <w:sz w:val="22"/>
                <w:szCs w:val="22"/>
                <w:color w:val="auto"/>
              </w:rPr>
            </w:pPr>
          </w:p>
        </w:tc>
        <w:tc>
          <w:tcPr>
            <w:tcW w:w="980" w:type="dxa"/>
            <w:vAlign w:val="bottom"/>
            <w:tcBorders>
              <w:bottom w:val="single" w:sz="8" w:color="477258"/>
            </w:tcBorders>
            <w:shd w:val="clear" w:color="auto" w:fill="CCEEFF"/>
          </w:tcPr>
          <w:p>
            <w:pPr>
              <w:spacing w:after="0"/>
              <w:rPr>
                <w:sz w:val="22"/>
                <w:szCs w:val="22"/>
                <w:color w:val="auto"/>
              </w:rPr>
            </w:pPr>
          </w:p>
        </w:tc>
        <w:tc>
          <w:tcPr>
            <w:tcW w:w="40" w:type="dxa"/>
            <w:vAlign w:val="bottom"/>
            <w:tcBorders>
              <w:bottom w:val="single" w:sz="8" w:color="477258"/>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20" w:type="dxa"/>
            <w:vAlign w:val="bottom"/>
            <w:tcBorders>
              <w:bottom w:val="single" w:sz="8" w:color="477258"/>
            </w:tcBorders>
          </w:tcPr>
          <w:p>
            <w:pPr>
              <w:spacing w:after="0"/>
              <w:rPr>
                <w:sz w:val="23"/>
                <w:szCs w:val="23"/>
                <w:color w:val="auto"/>
              </w:rPr>
            </w:pPr>
          </w:p>
        </w:tc>
        <w:tc>
          <w:tcPr>
            <w:tcW w:w="1040" w:type="dxa"/>
            <w:vAlign w:val="bottom"/>
            <w:tcBorders>
              <w:bottom w:val="single" w:sz="8" w:color="477258"/>
            </w:tcBorders>
          </w:tcPr>
          <w:p>
            <w:pPr>
              <w:jc w:val="right"/>
              <w:ind w:right="13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477258"/>
            </w:tcBorders>
          </w:tcPr>
          <w:p>
            <w:pPr>
              <w:jc w:val="right"/>
              <w:spacing w:after="0" w:line="270" w:lineRule="exact"/>
              <w:rPr>
                <w:sz w:val="20"/>
                <w:szCs w:val="20"/>
                <w:color w:val="auto"/>
              </w:rPr>
            </w:pPr>
            <w:r>
              <w:rPr>
                <w:rFonts w:ascii="Arial" w:cs="Arial" w:eastAsia="Arial" w:hAnsi="Arial"/>
                <w:sz w:val="18"/>
                <w:szCs w:val="18"/>
                <w:color w:val="auto"/>
              </w:rPr>
              <w:t>25,284</w:t>
            </w:r>
            <w:r>
              <w:rPr>
                <w:rFonts w:ascii="Arial" w:cs="Arial" w:eastAsia="Arial" w:hAnsi="Arial"/>
                <w:sz w:val="26"/>
                <w:szCs w:val="26"/>
                <w:color w:val="auto"/>
                <w:vertAlign w:val="superscript"/>
              </w:rPr>
              <w:t>(3)</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126.005</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2/19/2030</w:t>
            </w:r>
          </w:p>
        </w:tc>
        <w:tc>
          <w:tcPr>
            <w:tcW w:w="940" w:type="dxa"/>
            <w:vAlign w:val="bottom"/>
            <w:tcBorders>
              <w:bottom w:val="single" w:sz="8" w:color="477258"/>
            </w:tcBorders>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9"/>
              <w:spacing w:after="0"/>
              <w:rPr>
                <w:sz w:val="20"/>
                <w:szCs w:val="20"/>
                <w:color w:val="auto"/>
              </w:rPr>
            </w:pPr>
            <w:r>
              <w:rPr>
                <w:rFonts w:ascii="Arial" w:cs="Arial" w:eastAsia="Arial" w:hAnsi="Arial"/>
                <w:sz w:val="18"/>
                <w:szCs w:val="18"/>
                <w:color w:val="auto"/>
              </w:rPr>
              <w:t>30,066</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7,091,367</w:t>
            </w:r>
          </w:p>
        </w:tc>
        <w:tc>
          <w:tcPr>
            <w:tcW w:w="0" w:type="dxa"/>
            <w:vAlign w:val="bottom"/>
          </w:tcPr>
          <w:p>
            <w:pPr>
              <w:spacing w:after="0"/>
              <w:rPr>
                <w:sz w:val="1"/>
                <w:szCs w:val="1"/>
                <w:color w:val="auto"/>
              </w:rPr>
            </w:pPr>
          </w:p>
        </w:tc>
      </w:tr>
      <w:tr>
        <w:trPr>
          <w:trHeight w:val="264"/>
        </w:trPr>
        <w:tc>
          <w:tcPr>
            <w:tcW w:w="920" w:type="dxa"/>
            <w:vAlign w:val="bottom"/>
            <w:tcBorders>
              <w:bottom w:val="single" w:sz="8" w:color="477258"/>
            </w:tcBorders>
            <w:shd w:val="clear" w:color="auto" w:fill="CCEEFF"/>
          </w:tcPr>
          <w:p>
            <w:pPr>
              <w:spacing w:after="0"/>
              <w:rPr>
                <w:sz w:val="22"/>
                <w:szCs w:val="22"/>
                <w:color w:val="auto"/>
              </w:rPr>
            </w:pPr>
          </w:p>
        </w:tc>
        <w:tc>
          <w:tcPr>
            <w:tcW w:w="1040" w:type="dxa"/>
            <w:vAlign w:val="bottom"/>
            <w:tcBorders>
              <w:bottom w:val="single" w:sz="8" w:color="477258"/>
            </w:tcBorders>
            <w:shd w:val="clear" w:color="auto" w:fill="CCEEFF"/>
          </w:tcPr>
          <w:p>
            <w:pPr>
              <w:jc w:val="right"/>
              <w:ind w:right="137"/>
              <w:spacing w:after="0"/>
              <w:rPr>
                <w:sz w:val="20"/>
                <w:szCs w:val="20"/>
                <w:color w:val="auto"/>
              </w:rPr>
            </w:pPr>
            <w:r>
              <w:rPr>
                <w:rFonts w:ascii="Arial" w:cs="Arial" w:eastAsia="Arial" w:hAnsi="Arial"/>
                <w:sz w:val="18"/>
                <w:szCs w:val="18"/>
                <w:color w:val="auto"/>
              </w:rPr>
              <w:t>8,183</w:t>
            </w:r>
          </w:p>
        </w:tc>
        <w:tc>
          <w:tcPr>
            <w:tcW w:w="1240" w:type="dxa"/>
            <w:vAlign w:val="bottom"/>
            <w:tcBorders>
              <w:bottom w:val="single" w:sz="8" w:color="477258"/>
            </w:tcBorders>
            <w:shd w:val="clear" w:color="auto" w:fill="CCEEFF"/>
          </w:tcPr>
          <w:p>
            <w:pPr>
              <w:jc w:val="right"/>
              <w:spacing w:after="0" w:line="263" w:lineRule="exact"/>
              <w:rPr>
                <w:sz w:val="20"/>
                <w:szCs w:val="20"/>
                <w:color w:val="auto"/>
              </w:rPr>
            </w:pPr>
            <w:r>
              <w:rPr>
                <w:rFonts w:ascii="Arial" w:cs="Arial" w:eastAsia="Arial" w:hAnsi="Arial"/>
                <w:sz w:val="18"/>
                <w:szCs w:val="18"/>
                <w:color w:val="auto"/>
              </w:rPr>
              <w:t>24,550</w:t>
            </w:r>
            <w:r>
              <w:rPr>
                <w:rFonts w:ascii="Arial" w:cs="Arial" w:eastAsia="Arial" w:hAnsi="Arial"/>
                <w:sz w:val="26"/>
                <w:szCs w:val="26"/>
                <w:color w:val="auto"/>
                <w:vertAlign w:val="superscript"/>
              </w:rPr>
              <w:t>(4)</w:t>
            </w:r>
          </w:p>
        </w:tc>
        <w:tc>
          <w:tcPr>
            <w:tcW w:w="84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98.898</w:t>
            </w:r>
          </w:p>
        </w:tc>
        <w:tc>
          <w:tcPr>
            <w:tcW w:w="1040" w:type="dxa"/>
            <w:vAlign w:val="bottom"/>
            <w:tcBorders>
              <w:bottom w:val="single" w:sz="8" w:color="477258"/>
            </w:tcBorders>
            <w:gridSpan w:val="2"/>
            <w:shd w:val="clear" w:color="auto" w:fill="CCEEFF"/>
          </w:tcPr>
          <w:p>
            <w:pPr>
              <w:ind w:left="100"/>
              <w:spacing w:after="0"/>
              <w:rPr>
                <w:sz w:val="20"/>
                <w:szCs w:val="20"/>
                <w:color w:val="auto"/>
              </w:rPr>
            </w:pPr>
            <w:r>
              <w:rPr>
                <w:rFonts w:ascii="Arial" w:cs="Arial" w:eastAsia="Arial" w:hAnsi="Arial"/>
                <w:sz w:val="18"/>
                <w:szCs w:val="18"/>
                <w:color w:val="auto"/>
              </w:rPr>
              <w:t>2/19/2029</w:t>
            </w:r>
          </w:p>
        </w:tc>
        <w:tc>
          <w:tcPr>
            <w:tcW w:w="940" w:type="dxa"/>
            <w:vAlign w:val="bottom"/>
            <w:tcBorders>
              <w:bottom w:val="single" w:sz="8" w:color="477258"/>
            </w:tcBorders>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tcPr>
          <w:p>
            <w:pPr>
              <w:spacing w:after="0"/>
              <w:rPr>
                <w:sz w:val="22"/>
                <w:szCs w:val="22"/>
                <w:color w:val="auto"/>
              </w:rPr>
            </w:pPr>
          </w:p>
        </w:tc>
        <w:tc>
          <w:tcPr>
            <w:tcW w:w="1040" w:type="dxa"/>
            <w:vAlign w:val="bottom"/>
            <w:tcBorders>
              <w:bottom w:val="single" w:sz="8" w:color="477258"/>
            </w:tcBorders>
          </w:tcPr>
          <w:p>
            <w:pPr>
              <w:jc w:val="right"/>
              <w:ind w:right="137"/>
              <w:spacing w:after="0"/>
              <w:rPr>
                <w:sz w:val="20"/>
                <w:szCs w:val="20"/>
                <w:color w:val="auto"/>
              </w:rPr>
            </w:pPr>
            <w:r>
              <w:rPr>
                <w:rFonts w:ascii="Arial" w:cs="Arial" w:eastAsia="Arial" w:hAnsi="Arial"/>
                <w:sz w:val="18"/>
                <w:szCs w:val="18"/>
                <w:color w:val="auto"/>
              </w:rPr>
              <w:t>13,980</w:t>
            </w:r>
          </w:p>
        </w:tc>
        <w:tc>
          <w:tcPr>
            <w:tcW w:w="1240" w:type="dxa"/>
            <w:vAlign w:val="bottom"/>
            <w:tcBorders>
              <w:bottom w:val="single" w:sz="8" w:color="477258"/>
            </w:tcBorders>
          </w:tcPr>
          <w:p>
            <w:pPr>
              <w:jc w:val="right"/>
              <w:spacing w:after="0" w:line="263" w:lineRule="exact"/>
              <w:rPr>
                <w:sz w:val="20"/>
                <w:szCs w:val="20"/>
                <w:color w:val="auto"/>
              </w:rPr>
            </w:pPr>
            <w:r>
              <w:rPr>
                <w:rFonts w:ascii="Arial" w:cs="Arial" w:eastAsia="Arial" w:hAnsi="Arial"/>
                <w:sz w:val="18"/>
                <w:szCs w:val="18"/>
                <w:color w:val="auto"/>
              </w:rPr>
              <w:t>13,981</w:t>
            </w:r>
            <w:r>
              <w:rPr>
                <w:rFonts w:ascii="Arial" w:cs="Arial" w:eastAsia="Arial" w:hAnsi="Arial"/>
                <w:sz w:val="26"/>
                <w:szCs w:val="26"/>
                <w:color w:val="auto"/>
                <w:vertAlign w:val="superscript"/>
              </w:rPr>
              <w:t>(5)</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85.34</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2/20/2028</w:t>
            </w:r>
          </w:p>
        </w:tc>
        <w:tc>
          <w:tcPr>
            <w:tcW w:w="940" w:type="dxa"/>
            <w:vAlign w:val="bottom"/>
            <w:tcBorders>
              <w:bottom w:val="single" w:sz="8" w:color="477258"/>
            </w:tcBorders>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96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John J. Morris, Jr.</w:t>
            </w:r>
          </w:p>
        </w:tc>
        <w:tc>
          <w:tcPr>
            <w:tcW w:w="1240" w:type="dxa"/>
            <w:vAlign w:val="bottom"/>
            <w:tcBorders>
              <w:bottom w:val="single" w:sz="8" w:color="477258"/>
            </w:tcBorders>
            <w:shd w:val="clear" w:color="auto" w:fill="CCEEFF"/>
          </w:tcPr>
          <w:p>
            <w:pPr>
              <w:spacing w:after="0"/>
              <w:rPr>
                <w:sz w:val="22"/>
                <w:szCs w:val="22"/>
                <w:color w:val="auto"/>
              </w:rPr>
            </w:pPr>
          </w:p>
        </w:tc>
        <w:tc>
          <w:tcPr>
            <w:tcW w:w="840" w:type="dxa"/>
            <w:vAlign w:val="bottom"/>
            <w:tcBorders>
              <w:bottom w:val="single" w:sz="8" w:color="477258"/>
            </w:tcBorders>
            <w:shd w:val="clear" w:color="auto" w:fill="CCEEFF"/>
          </w:tcPr>
          <w:p>
            <w:pPr>
              <w:spacing w:after="0"/>
              <w:rPr>
                <w:sz w:val="22"/>
                <w:szCs w:val="22"/>
                <w:color w:val="auto"/>
              </w:rPr>
            </w:pPr>
          </w:p>
        </w:tc>
        <w:tc>
          <w:tcPr>
            <w:tcW w:w="900" w:type="dxa"/>
            <w:vAlign w:val="bottom"/>
            <w:tcBorders>
              <w:bottom w:val="single" w:sz="8" w:color="477258"/>
            </w:tcBorders>
            <w:shd w:val="clear" w:color="auto" w:fill="CCEEFF"/>
          </w:tcPr>
          <w:p>
            <w:pPr>
              <w:spacing w:after="0"/>
              <w:rPr>
                <w:sz w:val="22"/>
                <w:szCs w:val="22"/>
                <w:color w:val="auto"/>
              </w:rPr>
            </w:pPr>
          </w:p>
        </w:tc>
        <w:tc>
          <w:tcPr>
            <w:tcW w:w="140" w:type="dxa"/>
            <w:vAlign w:val="bottom"/>
            <w:tcBorders>
              <w:bottom w:val="single" w:sz="8" w:color="477258"/>
            </w:tcBorders>
            <w:shd w:val="clear" w:color="auto" w:fill="CCEEFF"/>
          </w:tcPr>
          <w:p>
            <w:pPr>
              <w:spacing w:after="0"/>
              <w:rPr>
                <w:sz w:val="22"/>
                <w:szCs w:val="22"/>
                <w:color w:val="auto"/>
              </w:rPr>
            </w:pPr>
          </w:p>
        </w:tc>
        <w:tc>
          <w:tcPr>
            <w:tcW w:w="940" w:type="dxa"/>
            <w:vAlign w:val="bottom"/>
            <w:tcBorders>
              <w:bottom w:val="single" w:sz="8" w:color="477258"/>
            </w:tcBorders>
            <w:shd w:val="clear" w:color="auto" w:fill="CCEEFF"/>
          </w:tcPr>
          <w:p>
            <w:pPr>
              <w:spacing w:after="0"/>
              <w:rPr>
                <w:sz w:val="22"/>
                <w:szCs w:val="22"/>
                <w:color w:val="auto"/>
              </w:rPr>
            </w:pPr>
          </w:p>
        </w:tc>
        <w:tc>
          <w:tcPr>
            <w:tcW w:w="1000" w:type="dxa"/>
            <w:vAlign w:val="bottom"/>
            <w:tcBorders>
              <w:bottom w:val="single" w:sz="8" w:color="477258"/>
            </w:tcBorders>
            <w:shd w:val="clear" w:color="auto" w:fill="CCEEFF"/>
          </w:tcPr>
          <w:p>
            <w:pPr>
              <w:spacing w:after="0"/>
              <w:rPr>
                <w:sz w:val="22"/>
                <w:szCs w:val="22"/>
                <w:color w:val="auto"/>
              </w:rPr>
            </w:pPr>
          </w:p>
        </w:tc>
        <w:tc>
          <w:tcPr>
            <w:tcW w:w="1020" w:type="dxa"/>
            <w:vAlign w:val="bottom"/>
            <w:tcBorders>
              <w:bottom w:val="single" w:sz="8" w:color="477258"/>
            </w:tcBorders>
            <w:shd w:val="clear" w:color="auto" w:fill="CCEEFF"/>
          </w:tcPr>
          <w:p>
            <w:pPr>
              <w:spacing w:after="0"/>
              <w:rPr>
                <w:sz w:val="22"/>
                <w:szCs w:val="22"/>
                <w:color w:val="auto"/>
              </w:rPr>
            </w:pPr>
          </w:p>
        </w:tc>
        <w:tc>
          <w:tcPr>
            <w:tcW w:w="980" w:type="dxa"/>
            <w:vAlign w:val="bottom"/>
            <w:tcBorders>
              <w:bottom w:val="single" w:sz="8" w:color="477258"/>
            </w:tcBorders>
            <w:shd w:val="clear" w:color="auto" w:fill="CCEEFF"/>
          </w:tcPr>
          <w:p>
            <w:pPr>
              <w:spacing w:after="0"/>
              <w:rPr>
                <w:sz w:val="22"/>
                <w:szCs w:val="22"/>
                <w:color w:val="auto"/>
              </w:rPr>
            </w:pPr>
          </w:p>
        </w:tc>
        <w:tc>
          <w:tcPr>
            <w:tcW w:w="40" w:type="dxa"/>
            <w:vAlign w:val="bottom"/>
            <w:tcBorders>
              <w:bottom w:val="single" w:sz="8" w:color="477258"/>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20" w:type="dxa"/>
            <w:vAlign w:val="bottom"/>
            <w:tcBorders>
              <w:bottom w:val="single" w:sz="8" w:color="477258"/>
            </w:tcBorders>
          </w:tcPr>
          <w:p>
            <w:pPr>
              <w:spacing w:after="0"/>
              <w:rPr>
                <w:sz w:val="23"/>
                <w:szCs w:val="23"/>
                <w:color w:val="auto"/>
              </w:rPr>
            </w:pPr>
          </w:p>
        </w:tc>
        <w:tc>
          <w:tcPr>
            <w:tcW w:w="1040" w:type="dxa"/>
            <w:vAlign w:val="bottom"/>
            <w:tcBorders>
              <w:bottom w:val="single" w:sz="8" w:color="477258"/>
            </w:tcBorders>
          </w:tcPr>
          <w:p>
            <w:pPr>
              <w:jc w:val="right"/>
              <w:ind w:right="13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477258"/>
            </w:tcBorders>
          </w:tcPr>
          <w:p>
            <w:pPr>
              <w:jc w:val="right"/>
              <w:spacing w:after="0" w:line="270" w:lineRule="exact"/>
              <w:rPr>
                <w:sz w:val="20"/>
                <w:szCs w:val="20"/>
                <w:color w:val="auto"/>
              </w:rPr>
            </w:pPr>
            <w:r>
              <w:rPr>
                <w:rFonts w:ascii="Arial" w:cs="Arial" w:eastAsia="Arial" w:hAnsi="Arial"/>
                <w:sz w:val="18"/>
                <w:szCs w:val="18"/>
                <w:color w:val="auto"/>
              </w:rPr>
              <w:t>27,813</w:t>
            </w:r>
            <w:r>
              <w:rPr>
                <w:rFonts w:ascii="Arial" w:cs="Arial" w:eastAsia="Arial" w:hAnsi="Arial"/>
                <w:sz w:val="26"/>
                <w:szCs w:val="26"/>
                <w:color w:val="auto"/>
                <w:vertAlign w:val="superscript"/>
              </w:rPr>
              <w:t>(3)</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126.005</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2/19/2030</w:t>
            </w:r>
          </w:p>
        </w:tc>
        <w:tc>
          <w:tcPr>
            <w:tcW w:w="940" w:type="dxa"/>
            <w:vAlign w:val="bottom"/>
            <w:tcBorders>
              <w:bottom w:val="single" w:sz="8" w:color="477258"/>
            </w:tcBorders>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9"/>
              <w:spacing w:after="0"/>
              <w:rPr>
                <w:sz w:val="20"/>
                <w:szCs w:val="20"/>
                <w:color w:val="auto"/>
              </w:rPr>
            </w:pPr>
            <w:r>
              <w:rPr>
                <w:rFonts w:ascii="Arial" w:cs="Arial" w:eastAsia="Arial" w:hAnsi="Arial"/>
                <w:sz w:val="18"/>
                <w:szCs w:val="18"/>
                <w:color w:val="auto"/>
              </w:rPr>
              <w:t>33,072</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7,800,362</w:t>
            </w:r>
          </w:p>
        </w:tc>
        <w:tc>
          <w:tcPr>
            <w:tcW w:w="0" w:type="dxa"/>
            <w:vAlign w:val="bottom"/>
          </w:tcPr>
          <w:p>
            <w:pPr>
              <w:spacing w:after="0"/>
              <w:rPr>
                <w:sz w:val="1"/>
                <w:szCs w:val="1"/>
                <w:color w:val="auto"/>
              </w:rPr>
            </w:pPr>
          </w:p>
        </w:tc>
      </w:tr>
      <w:tr>
        <w:trPr>
          <w:trHeight w:val="264"/>
        </w:trPr>
        <w:tc>
          <w:tcPr>
            <w:tcW w:w="920" w:type="dxa"/>
            <w:vAlign w:val="bottom"/>
            <w:tcBorders>
              <w:bottom w:val="single" w:sz="8" w:color="477258"/>
            </w:tcBorders>
            <w:shd w:val="clear" w:color="auto" w:fill="CCEEFF"/>
          </w:tcPr>
          <w:p>
            <w:pPr>
              <w:spacing w:after="0"/>
              <w:rPr>
                <w:sz w:val="22"/>
                <w:szCs w:val="22"/>
                <w:color w:val="auto"/>
              </w:rPr>
            </w:pPr>
          </w:p>
        </w:tc>
        <w:tc>
          <w:tcPr>
            <w:tcW w:w="1040" w:type="dxa"/>
            <w:vAlign w:val="bottom"/>
            <w:tcBorders>
              <w:bottom w:val="single" w:sz="8" w:color="477258"/>
            </w:tcBorders>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477258"/>
            </w:tcBorders>
            <w:shd w:val="clear" w:color="auto" w:fill="CCEEFF"/>
          </w:tcPr>
          <w:p>
            <w:pPr>
              <w:jc w:val="right"/>
              <w:spacing w:after="0" w:line="263" w:lineRule="exact"/>
              <w:rPr>
                <w:sz w:val="20"/>
                <w:szCs w:val="20"/>
                <w:color w:val="auto"/>
              </w:rPr>
            </w:pPr>
            <w:r>
              <w:rPr>
                <w:rFonts w:ascii="Arial" w:cs="Arial" w:eastAsia="Arial" w:hAnsi="Arial"/>
                <w:sz w:val="18"/>
                <w:szCs w:val="18"/>
                <w:color w:val="auto"/>
              </w:rPr>
              <w:t>27,006</w:t>
            </w:r>
            <w:r>
              <w:rPr>
                <w:rFonts w:ascii="Arial" w:cs="Arial" w:eastAsia="Arial" w:hAnsi="Arial"/>
                <w:sz w:val="26"/>
                <w:szCs w:val="26"/>
                <w:color w:val="auto"/>
                <w:vertAlign w:val="superscript"/>
              </w:rPr>
              <w:t>(4)</w:t>
            </w:r>
          </w:p>
        </w:tc>
        <w:tc>
          <w:tcPr>
            <w:tcW w:w="84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98.898</w:t>
            </w:r>
          </w:p>
        </w:tc>
        <w:tc>
          <w:tcPr>
            <w:tcW w:w="1040" w:type="dxa"/>
            <w:vAlign w:val="bottom"/>
            <w:tcBorders>
              <w:bottom w:val="single" w:sz="8" w:color="477258"/>
            </w:tcBorders>
            <w:gridSpan w:val="2"/>
            <w:shd w:val="clear" w:color="auto" w:fill="CCEEFF"/>
          </w:tcPr>
          <w:p>
            <w:pPr>
              <w:ind w:left="100"/>
              <w:spacing w:after="0"/>
              <w:rPr>
                <w:sz w:val="20"/>
                <w:szCs w:val="20"/>
                <w:color w:val="auto"/>
              </w:rPr>
            </w:pPr>
            <w:r>
              <w:rPr>
                <w:rFonts w:ascii="Arial" w:cs="Arial" w:eastAsia="Arial" w:hAnsi="Arial"/>
                <w:sz w:val="18"/>
                <w:szCs w:val="18"/>
                <w:color w:val="auto"/>
              </w:rPr>
              <w:t>2/19/2029</w:t>
            </w:r>
          </w:p>
        </w:tc>
        <w:tc>
          <w:tcPr>
            <w:tcW w:w="940" w:type="dxa"/>
            <w:vAlign w:val="bottom"/>
            <w:tcBorders>
              <w:bottom w:val="single" w:sz="8" w:color="477258"/>
            </w:tcBorders>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tcPr>
          <w:p>
            <w:pPr>
              <w:spacing w:after="0"/>
              <w:rPr>
                <w:sz w:val="22"/>
                <w:szCs w:val="22"/>
                <w:color w:val="auto"/>
              </w:rPr>
            </w:pPr>
          </w:p>
        </w:tc>
        <w:tc>
          <w:tcPr>
            <w:tcW w:w="1040" w:type="dxa"/>
            <w:vAlign w:val="bottom"/>
            <w:tcBorders>
              <w:bottom w:val="single" w:sz="8" w:color="477258"/>
            </w:tcBorders>
          </w:tcPr>
          <w:p>
            <w:pPr>
              <w:jc w:val="right"/>
              <w:ind w:right="13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477258"/>
            </w:tcBorders>
          </w:tcPr>
          <w:p>
            <w:pPr>
              <w:jc w:val="right"/>
              <w:spacing w:after="0" w:line="263" w:lineRule="exact"/>
              <w:rPr>
                <w:sz w:val="20"/>
                <w:szCs w:val="20"/>
                <w:color w:val="auto"/>
              </w:rPr>
            </w:pPr>
            <w:r>
              <w:rPr>
                <w:rFonts w:ascii="Arial" w:cs="Arial" w:eastAsia="Arial" w:hAnsi="Arial"/>
                <w:sz w:val="18"/>
                <w:szCs w:val="18"/>
                <w:color w:val="auto"/>
              </w:rPr>
              <w:t>14,803</w:t>
            </w:r>
            <w:r>
              <w:rPr>
                <w:rFonts w:ascii="Arial" w:cs="Arial" w:eastAsia="Arial" w:hAnsi="Arial"/>
                <w:sz w:val="26"/>
                <w:szCs w:val="26"/>
                <w:color w:val="auto"/>
                <w:vertAlign w:val="superscript"/>
              </w:rPr>
              <w:t>(5)</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85.34</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2/20/2028</w:t>
            </w:r>
          </w:p>
        </w:tc>
        <w:tc>
          <w:tcPr>
            <w:tcW w:w="940" w:type="dxa"/>
            <w:vAlign w:val="bottom"/>
            <w:tcBorders>
              <w:bottom w:val="single" w:sz="8" w:color="477258"/>
            </w:tcBorders>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96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Tara J. Hemmer</w:t>
            </w:r>
          </w:p>
        </w:tc>
        <w:tc>
          <w:tcPr>
            <w:tcW w:w="1240" w:type="dxa"/>
            <w:vAlign w:val="bottom"/>
            <w:tcBorders>
              <w:bottom w:val="single" w:sz="8" w:color="477258"/>
            </w:tcBorders>
            <w:shd w:val="clear" w:color="auto" w:fill="CCEEFF"/>
          </w:tcPr>
          <w:p>
            <w:pPr>
              <w:spacing w:after="0"/>
              <w:rPr>
                <w:sz w:val="22"/>
                <w:szCs w:val="22"/>
                <w:color w:val="auto"/>
              </w:rPr>
            </w:pPr>
          </w:p>
        </w:tc>
        <w:tc>
          <w:tcPr>
            <w:tcW w:w="840" w:type="dxa"/>
            <w:vAlign w:val="bottom"/>
            <w:tcBorders>
              <w:bottom w:val="single" w:sz="8" w:color="477258"/>
            </w:tcBorders>
            <w:shd w:val="clear" w:color="auto" w:fill="CCEEFF"/>
          </w:tcPr>
          <w:p>
            <w:pPr>
              <w:spacing w:after="0"/>
              <w:rPr>
                <w:sz w:val="22"/>
                <w:szCs w:val="22"/>
                <w:color w:val="auto"/>
              </w:rPr>
            </w:pPr>
          </w:p>
        </w:tc>
        <w:tc>
          <w:tcPr>
            <w:tcW w:w="900" w:type="dxa"/>
            <w:vAlign w:val="bottom"/>
            <w:tcBorders>
              <w:bottom w:val="single" w:sz="8" w:color="477258"/>
            </w:tcBorders>
            <w:shd w:val="clear" w:color="auto" w:fill="CCEEFF"/>
          </w:tcPr>
          <w:p>
            <w:pPr>
              <w:spacing w:after="0"/>
              <w:rPr>
                <w:sz w:val="22"/>
                <w:szCs w:val="22"/>
                <w:color w:val="auto"/>
              </w:rPr>
            </w:pPr>
          </w:p>
        </w:tc>
        <w:tc>
          <w:tcPr>
            <w:tcW w:w="140" w:type="dxa"/>
            <w:vAlign w:val="bottom"/>
            <w:tcBorders>
              <w:bottom w:val="single" w:sz="8" w:color="477258"/>
            </w:tcBorders>
            <w:shd w:val="clear" w:color="auto" w:fill="CCEEFF"/>
          </w:tcPr>
          <w:p>
            <w:pPr>
              <w:spacing w:after="0"/>
              <w:rPr>
                <w:sz w:val="22"/>
                <w:szCs w:val="22"/>
                <w:color w:val="auto"/>
              </w:rPr>
            </w:pPr>
          </w:p>
        </w:tc>
        <w:tc>
          <w:tcPr>
            <w:tcW w:w="940" w:type="dxa"/>
            <w:vAlign w:val="bottom"/>
            <w:tcBorders>
              <w:bottom w:val="single" w:sz="8" w:color="477258"/>
            </w:tcBorders>
            <w:shd w:val="clear" w:color="auto" w:fill="CCEEFF"/>
          </w:tcPr>
          <w:p>
            <w:pPr>
              <w:spacing w:after="0"/>
              <w:rPr>
                <w:sz w:val="22"/>
                <w:szCs w:val="22"/>
                <w:color w:val="auto"/>
              </w:rPr>
            </w:pPr>
          </w:p>
        </w:tc>
        <w:tc>
          <w:tcPr>
            <w:tcW w:w="1000" w:type="dxa"/>
            <w:vAlign w:val="bottom"/>
            <w:tcBorders>
              <w:bottom w:val="single" w:sz="8" w:color="477258"/>
            </w:tcBorders>
            <w:shd w:val="clear" w:color="auto" w:fill="CCEEFF"/>
          </w:tcPr>
          <w:p>
            <w:pPr>
              <w:spacing w:after="0"/>
              <w:rPr>
                <w:sz w:val="22"/>
                <w:szCs w:val="22"/>
                <w:color w:val="auto"/>
              </w:rPr>
            </w:pPr>
          </w:p>
        </w:tc>
        <w:tc>
          <w:tcPr>
            <w:tcW w:w="1020" w:type="dxa"/>
            <w:vAlign w:val="bottom"/>
            <w:tcBorders>
              <w:bottom w:val="single" w:sz="8" w:color="477258"/>
            </w:tcBorders>
            <w:shd w:val="clear" w:color="auto" w:fill="CCEEFF"/>
          </w:tcPr>
          <w:p>
            <w:pPr>
              <w:spacing w:after="0"/>
              <w:rPr>
                <w:sz w:val="22"/>
                <w:szCs w:val="22"/>
                <w:color w:val="auto"/>
              </w:rPr>
            </w:pPr>
          </w:p>
        </w:tc>
        <w:tc>
          <w:tcPr>
            <w:tcW w:w="980" w:type="dxa"/>
            <w:vAlign w:val="bottom"/>
            <w:tcBorders>
              <w:bottom w:val="single" w:sz="8" w:color="477258"/>
            </w:tcBorders>
            <w:shd w:val="clear" w:color="auto" w:fill="CCEEFF"/>
          </w:tcPr>
          <w:p>
            <w:pPr>
              <w:spacing w:after="0"/>
              <w:rPr>
                <w:sz w:val="22"/>
                <w:szCs w:val="22"/>
                <w:color w:val="auto"/>
              </w:rPr>
            </w:pPr>
          </w:p>
        </w:tc>
        <w:tc>
          <w:tcPr>
            <w:tcW w:w="40" w:type="dxa"/>
            <w:vAlign w:val="bottom"/>
            <w:tcBorders>
              <w:bottom w:val="single" w:sz="8" w:color="477258"/>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20" w:type="dxa"/>
            <w:vAlign w:val="bottom"/>
            <w:tcBorders>
              <w:bottom w:val="single" w:sz="8" w:color="477258"/>
            </w:tcBorders>
          </w:tcPr>
          <w:p>
            <w:pPr>
              <w:spacing w:after="0"/>
              <w:rPr>
                <w:sz w:val="23"/>
                <w:szCs w:val="23"/>
                <w:color w:val="auto"/>
              </w:rPr>
            </w:pPr>
          </w:p>
        </w:tc>
        <w:tc>
          <w:tcPr>
            <w:tcW w:w="1040" w:type="dxa"/>
            <w:vAlign w:val="bottom"/>
            <w:tcBorders>
              <w:bottom w:val="single" w:sz="8" w:color="477258"/>
            </w:tcBorders>
          </w:tcPr>
          <w:p>
            <w:pPr>
              <w:jc w:val="right"/>
              <w:ind w:right="13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477258"/>
            </w:tcBorders>
          </w:tcPr>
          <w:p>
            <w:pPr>
              <w:jc w:val="right"/>
              <w:spacing w:after="0" w:line="270" w:lineRule="exact"/>
              <w:rPr>
                <w:sz w:val="20"/>
                <w:szCs w:val="20"/>
                <w:color w:val="auto"/>
              </w:rPr>
            </w:pPr>
            <w:r>
              <w:rPr>
                <w:rFonts w:ascii="Arial" w:cs="Arial" w:eastAsia="Arial" w:hAnsi="Arial"/>
                <w:sz w:val="18"/>
                <w:szCs w:val="18"/>
                <w:color w:val="auto"/>
              </w:rPr>
              <w:t>20,860</w:t>
            </w:r>
            <w:r>
              <w:rPr>
                <w:rFonts w:ascii="Arial" w:cs="Arial" w:eastAsia="Arial" w:hAnsi="Arial"/>
                <w:sz w:val="26"/>
                <w:szCs w:val="26"/>
                <w:color w:val="auto"/>
                <w:vertAlign w:val="superscript"/>
              </w:rPr>
              <w:t>(3)</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126.005</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2/19/2030</w:t>
            </w:r>
          </w:p>
        </w:tc>
        <w:tc>
          <w:tcPr>
            <w:tcW w:w="940" w:type="dxa"/>
            <w:vAlign w:val="bottom"/>
            <w:tcBorders>
              <w:bottom w:val="single" w:sz="8" w:color="477258"/>
            </w:tcBorders>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9"/>
              <w:spacing w:after="0"/>
              <w:rPr>
                <w:sz w:val="20"/>
                <w:szCs w:val="20"/>
                <w:color w:val="auto"/>
              </w:rPr>
            </w:pPr>
            <w:r>
              <w:rPr>
                <w:rFonts w:ascii="Arial" w:cs="Arial" w:eastAsia="Arial" w:hAnsi="Arial"/>
                <w:sz w:val="18"/>
                <w:szCs w:val="18"/>
                <w:color w:val="auto"/>
              </w:rPr>
              <w:t>24,804</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5,850,271</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shd w:val="clear" w:color="auto" w:fill="CCEEFF"/>
          </w:tcPr>
          <w:p>
            <w:pPr>
              <w:spacing w:after="0"/>
              <w:rPr>
                <w:sz w:val="22"/>
                <w:szCs w:val="22"/>
                <w:color w:val="auto"/>
              </w:rPr>
            </w:pPr>
          </w:p>
        </w:tc>
        <w:tc>
          <w:tcPr>
            <w:tcW w:w="1040" w:type="dxa"/>
            <w:vAlign w:val="bottom"/>
            <w:tcBorders>
              <w:bottom w:val="single" w:sz="8" w:color="477258"/>
            </w:tcBorders>
            <w:shd w:val="clear" w:color="auto" w:fill="CCEEFF"/>
          </w:tcPr>
          <w:p>
            <w:pPr>
              <w:jc w:val="right"/>
              <w:ind w:right="137"/>
              <w:spacing w:after="0"/>
              <w:rPr>
                <w:sz w:val="20"/>
                <w:szCs w:val="20"/>
                <w:color w:val="auto"/>
              </w:rPr>
            </w:pPr>
            <w:r>
              <w:rPr>
                <w:rFonts w:ascii="Arial" w:cs="Arial" w:eastAsia="Arial" w:hAnsi="Arial"/>
                <w:sz w:val="18"/>
                <w:szCs w:val="18"/>
                <w:color w:val="auto"/>
              </w:rPr>
              <w:t>6,751</w:t>
            </w:r>
          </w:p>
        </w:tc>
        <w:tc>
          <w:tcPr>
            <w:tcW w:w="1240" w:type="dxa"/>
            <w:vAlign w:val="bottom"/>
            <w:tcBorders>
              <w:bottom w:val="single" w:sz="8" w:color="477258"/>
            </w:tcBorders>
            <w:shd w:val="clear" w:color="auto" w:fill="CCEEFF"/>
          </w:tcPr>
          <w:p>
            <w:pPr>
              <w:jc w:val="right"/>
              <w:spacing w:after="0" w:line="263" w:lineRule="exact"/>
              <w:rPr>
                <w:sz w:val="20"/>
                <w:szCs w:val="20"/>
                <w:color w:val="auto"/>
              </w:rPr>
            </w:pPr>
            <w:r>
              <w:rPr>
                <w:rFonts w:ascii="Arial" w:cs="Arial" w:eastAsia="Arial" w:hAnsi="Arial"/>
                <w:sz w:val="18"/>
                <w:szCs w:val="18"/>
                <w:color w:val="auto"/>
              </w:rPr>
              <w:t>20,254</w:t>
            </w:r>
            <w:r>
              <w:rPr>
                <w:rFonts w:ascii="Arial" w:cs="Arial" w:eastAsia="Arial" w:hAnsi="Arial"/>
                <w:sz w:val="26"/>
                <w:szCs w:val="26"/>
                <w:color w:val="auto"/>
                <w:vertAlign w:val="superscript"/>
              </w:rPr>
              <w:t>(4)</w:t>
            </w:r>
          </w:p>
        </w:tc>
        <w:tc>
          <w:tcPr>
            <w:tcW w:w="84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98.898</w:t>
            </w:r>
          </w:p>
        </w:tc>
        <w:tc>
          <w:tcPr>
            <w:tcW w:w="1040" w:type="dxa"/>
            <w:vAlign w:val="bottom"/>
            <w:tcBorders>
              <w:bottom w:val="single" w:sz="8" w:color="477258"/>
            </w:tcBorders>
            <w:gridSpan w:val="2"/>
            <w:shd w:val="clear" w:color="auto" w:fill="CCEEFF"/>
          </w:tcPr>
          <w:p>
            <w:pPr>
              <w:ind w:left="100"/>
              <w:spacing w:after="0"/>
              <w:rPr>
                <w:sz w:val="20"/>
                <w:szCs w:val="20"/>
                <w:color w:val="auto"/>
              </w:rPr>
            </w:pPr>
            <w:r>
              <w:rPr>
                <w:rFonts w:ascii="Arial" w:cs="Arial" w:eastAsia="Arial" w:hAnsi="Arial"/>
                <w:sz w:val="18"/>
                <w:szCs w:val="18"/>
                <w:color w:val="auto"/>
              </w:rPr>
              <w:t>2/19/2029</w:t>
            </w:r>
          </w:p>
        </w:tc>
        <w:tc>
          <w:tcPr>
            <w:tcW w:w="940" w:type="dxa"/>
            <w:vAlign w:val="bottom"/>
            <w:tcBorders>
              <w:bottom w:val="single" w:sz="8" w:color="477258"/>
            </w:tcBorders>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tcPr>
          <w:p>
            <w:pPr>
              <w:spacing w:after="0"/>
              <w:rPr>
                <w:sz w:val="22"/>
                <w:szCs w:val="22"/>
                <w:color w:val="auto"/>
              </w:rPr>
            </w:pPr>
          </w:p>
        </w:tc>
        <w:tc>
          <w:tcPr>
            <w:tcW w:w="1040" w:type="dxa"/>
            <w:vAlign w:val="bottom"/>
            <w:tcBorders>
              <w:bottom w:val="single" w:sz="8" w:color="477258"/>
            </w:tcBorders>
          </w:tcPr>
          <w:p>
            <w:pPr>
              <w:jc w:val="right"/>
              <w:ind w:right="137"/>
              <w:spacing w:after="0"/>
              <w:rPr>
                <w:sz w:val="20"/>
                <w:szCs w:val="20"/>
                <w:color w:val="auto"/>
              </w:rPr>
            </w:pPr>
            <w:r>
              <w:rPr>
                <w:rFonts w:ascii="Arial" w:cs="Arial" w:eastAsia="Arial" w:hAnsi="Arial"/>
                <w:sz w:val="18"/>
                <w:szCs w:val="18"/>
                <w:color w:val="auto"/>
              </w:rPr>
              <w:t>8,223</w:t>
            </w:r>
          </w:p>
        </w:tc>
        <w:tc>
          <w:tcPr>
            <w:tcW w:w="1240" w:type="dxa"/>
            <w:vAlign w:val="bottom"/>
            <w:tcBorders>
              <w:bottom w:val="single" w:sz="8" w:color="477258"/>
            </w:tcBorders>
          </w:tcPr>
          <w:p>
            <w:pPr>
              <w:jc w:val="right"/>
              <w:spacing w:after="0" w:line="263" w:lineRule="exact"/>
              <w:rPr>
                <w:sz w:val="20"/>
                <w:szCs w:val="20"/>
                <w:color w:val="auto"/>
              </w:rPr>
            </w:pPr>
            <w:r>
              <w:rPr>
                <w:rFonts w:ascii="Arial" w:cs="Arial" w:eastAsia="Arial" w:hAnsi="Arial"/>
                <w:sz w:val="18"/>
                <w:szCs w:val="18"/>
                <w:color w:val="auto"/>
              </w:rPr>
              <w:t>8,224</w:t>
            </w:r>
            <w:r>
              <w:rPr>
                <w:rFonts w:ascii="Arial" w:cs="Arial" w:eastAsia="Arial" w:hAnsi="Arial"/>
                <w:sz w:val="26"/>
                <w:szCs w:val="26"/>
                <w:color w:val="auto"/>
                <w:vertAlign w:val="superscript"/>
              </w:rPr>
              <w:t>(5)</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85.34</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2/20/2028</w:t>
            </w:r>
          </w:p>
        </w:tc>
        <w:tc>
          <w:tcPr>
            <w:tcW w:w="940" w:type="dxa"/>
            <w:vAlign w:val="bottom"/>
            <w:tcBorders>
              <w:bottom w:val="single" w:sz="8" w:color="477258"/>
            </w:tcBorders>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96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Steven R. Batchelor</w:t>
            </w:r>
          </w:p>
        </w:tc>
        <w:tc>
          <w:tcPr>
            <w:tcW w:w="1240" w:type="dxa"/>
            <w:vAlign w:val="bottom"/>
            <w:tcBorders>
              <w:bottom w:val="single" w:sz="8" w:color="477258"/>
            </w:tcBorders>
            <w:shd w:val="clear" w:color="auto" w:fill="CCEEFF"/>
          </w:tcPr>
          <w:p>
            <w:pPr>
              <w:spacing w:after="0"/>
              <w:rPr>
                <w:sz w:val="22"/>
                <w:szCs w:val="22"/>
                <w:color w:val="auto"/>
              </w:rPr>
            </w:pPr>
          </w:p>
        </w:tc>
        <w:tc>
          <w:tcPr>
            <w:tcW w:w="840" w:type="dxa"/>
            <w:vAlign w:val="bottom"/>
            <w:tcBorders>
              <w:bottom w:val="single" w:sz="8" w:color="477258"/>
            </w:tcBorders>
            <w:shd w:val="clear" w:color="auto" w:fill="CCEEFF"/>
          </w:tcPr>
          <w:p>
            <w:pPr>
              <w:spacing w:after="0"/>
              <w:rPr>
                <w:sz w:val="22"/>
                <w:szCs w:val="22"/>
                <w:color w:val="auto"/>
              </w:rPr>
            </w:pPr>
          </w:p>
        </w:tc>
        <w:tc>
          <w:tcPr>
            <w:tcW w:w="900" w:type="dxa"/>
            <w:vAlign w:val="bottom"/>
            <w:tcBorders>
              <w:bottom w:val="single" w:sz="8" w:color="477258"/>
            </w:tcBorders>
            <w:shd w:val="clear" w:color="auto" w:fill="CCEEFF"/>
          </w:tcPr>
          <w:p>
            <w:pPr>
              <w:spacing w:after="0"/>
              <w:rPr>
                <w:sz w:val="22"/>
                <w:szCs w:val="22"/>
                <w:color w:val="auto"/>
              </w:rPr>
            </w:pPr>
          </w:p>
        </w:tc>
        <w:tc>
          <w:tcPr>
            <w:tcW w:w="140" w:type="dxa"/>
            <w:vAlign w:val="bottom"/>
            <w:tcBorders>
              <w:bottom w:val="single" w:sz="8" w:color="477258"/>
            </w:tcBorders>
            <w:shd w:val="clear" w:color="auto" w:fill="CCEEFF"/>
          </w:tcPr>
          <w:p>
            <w:pPr>
              <w:spacing w:after="0"/>
              <w:rPr>
                <w:sz w:val="22"/>
                <w:szCs w:val="22"/>
                <w:color w:val="auto"/>
              </w:rPr>
            </w:pPr>
          </w:p>
        </w:tc>
        <w:tc>
          <w:tcPr>
            <w:tcW w:w="940" w:type="dxa"/>
            <w:vAlign w:val="bottom"/>
            <w:tcBorders>
              <w:bottom w:val="single" w:sz="8" w:color="477258"/>
            </w:tcBorders>
            <w:shd w:val="clear" w:color="auto" w:fill="CCEEFF"/>
          </w:tcPr>
          <w:p>
            <w:pPr>
              <w:spacing w:after="0"/>
              <w:rPr>
                <w:sz w:val="22"/>
                <w:szCs w:val="22"/>
                <w:color w:val="auto"/>
              </w:rPr>
            </w:pPr>
          </w:p>
        </w:tc>
        <w:tc>
          <w:tcPr>
            <w:tcW w:w="1000" w:type="dxa"/>
            <w:vAlign w:val="bottom"/>
            <w:tcBorders>
              <w:bottom w:val="single" w:sz="8" w:color="477258"/>
            </w:tcBorders>
            <w:shd w:val="clear" w:color="auto" w:fill="CCEEFF"/>
          </w:tcPr>
          <w:p>
            <w:pPr>
              <w:spacing w:after="0"/>
              <w:rPr>
                <w:sz w:val="22"/>
                <w:szCs w:val="22"/>
                <w:color w:val="auto"/>
              </w:rPr>
            </w:pPr>
          </w:p>
        </w:tc>
        <w:tc>
          <w:tcPr>
            <w:tcW w:w="1020" w:type="dxa"/>
            <w:vAlign w:val="bottom"/>
            <w:tcBorders>
              <w:bottom w:val="single" w:sz="8" w:color="477258"/>
            </w:tcBorders>
            <w:shd w:val="clear" w:color="auto" w:fill="CCEEFF"/>
          </w:tcPr>
          <w:p>
            <w:pPr>
              <w:spacing w:after="0"/>
              <w:rPr>
                <w:sz w:val="22"/>
                <w:szCs w:val="22"/>
                <w:color w:val="auto"/>
              </w:rPr>
            </w:pPr>
          </w:p>
        </w:tc>
        <w:tc>
          <w:tcPr>
            <w:tcW w:w="980" w:type="dxa"/>
            <w:vAlign w:val="bottom"/>
            <w:tcBorders>
              <w:bottom w:val="single" w:sz="8" w:color="477258"/>
            </w:tcBorders>
            <w:shd w:val="clear" w:color="auto" w:fill="CCEEFF"/>
          </w:tcPr>
          <w:p>
            <w:pPr>
              <w:spacing w:after="0"/>
              <w:rPr>
                <w:sz w:val="22"/>
                <w:szCs w:val="22"/>
                <w:color w:val="auto"/>
              </w:rPr>
            </w:pPr>
          </w:p>
        </w:tc>
        <w:tc>
          <w:tcPr>
            <w:tcW w:w="40" w:type="dxa"/>
            <w:vAlign w:val="bottom"/>
            <w:tcBorders>
              <w:bottom w:val="single" w:sz="8" w:color="477258"/>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20" w:type="dxa"/>
            <w:vAlign w:val="bottom"/>
            <w:tcBorders>
              <w:bottom w:val="single" w:sz="8" w:color="477258"/>
            </w:tcBorders>
          </w:tcPr>
          <w:p>
            <w:pPr>
              <w:spacing w:after="0"/>
              <w:rPr>
                <w:sz w:val="23"/>
                <w:szCs w:val="23"/>
                <w:color w:val="auto"/>
              </w:rPr>
            </w:pPr>
          </w:p>
        </w:tc>
        <w:tc>
          <w:tcPr>
            <w:tcW w:w="1040" w:type="dxa"/>
            <w:vAlign w:val="bottom"/>
            <w:tcBorders>
              <w:bottom w:val="single" w:sz="8" w:color="477258"/>
            </w:tcBorders>
          </w:tcPr>
          <w:p>
            <w:pPr>
              <w:jc w:val="right"/>
              <w:ind w:right="13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477258"/>
            </w:tcBorders>
          </w:tcPr>
          <w:p>
            <w:pPr>
              <w:jc w:val="right"/>
              <w:spacing w:after="0" w:line="270" w:lineRule="exact"/>
              <w:rPr>
                <w:sz w:val="20"/>
                <w:szCs w:val="20"/>
                <w:color w:val="auto"/>
              </w:rPr>
            </w:pPr>
            <w:r>
              <w:rPr>
                <w:rFonts w:ascii="Arial" w:cs="Arial" w:eastAsia="Arial" w:hAnsi="Arial"/>
                <w:sz w:val="18"/>
                <w:szCs w:val="18"/>
                <w:color w:val="auto"/>
              </w:rPr>
              <w:t>20,860</w:t>
            </w:r>
            <w:r>
              <w:rPr>
                <w:rFonts w:ascii="Arial" w:cs="Arial" w:eastAsia="Arial" w:hAnsi="Arial"/>
                <w:sz w:val="26"/>
                <w:szCs w:val="26"/>
                <w:color w:val="auto"/>
                <w:vertAlign w:val="superscript"/>
              </w:rPr>
              <w:t>(3)</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126.005</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2/19/2030</w:t>
            </w:r>
          </w:p>
        </w:tc>
        <w:tc>
          <w:tcPr>
            <w:tcW w:w="940" w:type="dxa"/>
            <w:vAlign w:val="bottom"/>
            <w:tcBorders>
              <w:bottom w:val="single" w:sz="8" w:color="477258"/>
            </w:tcBorders>
          </w:tcPr>
          <w:p>
            <w:pPr>
              <w:jc w:val="right"/>
              <w:ind w:right="237"/>
              <w:spacing w:after="0"/>
              <w:rPr>
                <w:sz w:val="20"/>
                <w:szCs w:val="20"/>
                <w:color w:val="auto"/>
              </w:rPr>
            </w:pPr>
            <w:r>
              <w:rPr>
                <w:rFonts w:ascii="Arial" w:cs="Arial" w:eastAsia="Arial" w:hAnsi="Arial"/>
                <w:sz w:val="18"/>
                <w:szCs w:val="18"/>
                <w:color w:val="auto"/>
              </w:rPr>
              <w:t>515</w:t>
            </w:r>
          </w:p>
        </w:tc>
        <w:tc>
          <w:tcPr>
            <w:tcW w:w="1000" w:type="dxa"/>
            <w:vAlign w:val="bottom"/>
            <w:tcBorders>
              <w:bottom w:val="single" w:sz="8" w:color="477258"/>
            </w:tcBorders>
          </w:tcPr>
          <w:p>
            <w:pPr>
              <w:jc w:val="right"/>
              <w:ind w:right="98"/>
              <w:spacing w:after="0"/>
              <w:rPr>
                <w:sz w:val="20"/>
                <w:szCs w:val="20"/>
                <w:color w:val="auto"/>
              </w:rPr>
            </w:pPr>
            <w:r>
              <w:rPr>
                <w:rFonts w:ascii="Arial" w:cs="Arial" w:eastAsia="Arial" w:hAnsi="Arial"/>
                <w:sz w:val="18"/>
                <w:szCs w:val="18"/>
                <w:color w:val="auto"/>
              </w:rPr>
              <w:t>60,734</w:t>
            </w:r>
          </w:p>
        </w:tc>
        <w:tc>
          <w:tcPr>
            <w:tcW w:w="1020" w:type="dxa"/>
            <w:vAlign w:val="bottom"/>
            <w:tcBorders>
              <w:bottom w:val="single" w:sz="8" w:color="477258"/>
            </w:tcBorders>
          </w:tcPr>
          <w:p>
            <w:pPr>
              <w:jc w:val="right"/>
              <w:ind w:right="39"/>
              <w:spacing w:after="0"/>
              <w:rPr>
                <w:sz w:val="20"/>
                <w:szCs w:val="20"/>
                <w:color w:val="auto"/>
              </w:rPr>
            </w:pPr>
            <w:r>
              <w:rPr>
                <w:rFonts w:ascii="Arial" w:cs="Arial" w:eastAsia="Arial" w:hAnsi="Arial"/>
                <w:sz w:val="18"/>
                <w:szCs w:val="18"/>
                <w:color w:val="auto"/>
              </w:rPr>
              <w:t>24,804</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5,850,271</w:t>
            </w:r>
          </w:p>
        </w:tc>
        <w:tc>
          <w:tcPr>
            <w:tcW w:w="0" w:type="dxa"/>
            <w:vAlign w:val="bottom"/>
          </w:tcPr>
          <w:p>
            <w:pPr>
              <w:spacing w:after="0"/>
              <w:rPr>
                <w:sz w:val="1"/>
                <w:szCs w:val="1"/>
                <w:color w:val="auto"/>
              </w:rPr>
            </w:pPr>
          </w:p>
        </w:tc>
      </w:tr>
      <w:tr>
        <w:trPr>
          <w:trHeight w:val="263"/>
        </w:trPr>
        <w:tc>
          <w:tcPr>
            <w:tcW w:w="920" w:type="dxa"/>
            <w:vAlign w:val="bottom"/>
            <w:tcBorders>
              <w:bottom w:val="single" w:sz="8" w:color="477258"/>
            </w:tcBorders>
            <w:shd w:val="clear" w:color="auto" w:fill="CCEEFF"/>
          </w:tcPr>
          <w:p>
            <w:pPr>
              <w:spacing w:after="0"/>
              <w:rPr>
                <w:sz w:val="22"/>
                <w:szCs w:val="22"/>
                <w:color w:val="auto"/>
              </w:rPr>
            </w:pPr>
          </w:p>
        </w:tc>
        <w:tc>
          <w:tcPr>
            <w:tcW w:w="1040" w:type="dxa"/>
            <w:vAlign w:val="bottom"/>
            <w:tcBorders>
              <w:bottom w:val="single" w:sz="8" w:color="477258"/>
            </w:tcBorders>
            <w:shd w:val="clear" w:color="auto" w:fill="CCEEFF"/>
          </w:tcPr>
          <w:p>
            <w:pPr>
              <w:jc w:val="right"/>
              <w:ind w:right="137"/>
              <w:spacing w:after="0"/>
              <w:rPr>
                <w:sz w:val="20"/>
                <w:szCs w:val="20"/>
                <w:color w:val="auto"/>
              </w:rPr>
            </w:pPr>
            <w:r>
              <w:rPr>
                <w:rFonts w:ascii="Arial" w:cs="Arial" w:eastAsia="Arial" w:hAnsi="Arial"/>
                <w:sz w:val="18"/>
                <w:szCs w:val="18"/>
                <w:color w:val="auto"/>
              </w:rPr>
              <w:t>6,751</w:t>
            </w:r>
          </w:p>
        </w:tc>
        <w:tc>
          <w:tcPr>
            <w:tcW w:w="1240" w:type="dxa"/>
            <w:vAlign w:val="bottom"/>
            <w:tcBorders>
              <w:bottom w:val="single" w:sz="8" w:color="477258"/>
            </w:tcBorders>
            <w:shd w:val="clear" w:color="auto" w:fill="CCEEFF"/>
          </w:tcPr>
          <w:p>
            <w:pPr>
              <w:jc w:val="right"/>
              <w:spacing w:after="0" w:line="263" w:lineRule="exact"/>
              <w:rPr>
                <w:sz w:val="20"/>
                <w:szCs w:val="20"/>
                <w:color w:val="auto"/>
              </w:rPr>
            </w:pPr>
            <w:r>
              <w:rPr>
                <w:rFonts w:ascii="Arial" w:cs="Arial" w:eastAsia="Arial" w:hAnsi="Arial"/>
                <w:sz w:val="18"/>
                <w:szCs w:val="18"/>
                <w:color w:val="auto"/>
              </w:rPr>
              <w:t>20,254</w:t>
            </w:r>
            <w:r>
              <w:rPr>
                <w:rFonts w:ascii="Arial" w:cs="Arial" w:eastAsia="Arial" w:hAnsi="Arial"/>
                <w:sz w:val="26"/>
                <w:szCs w:val="26"/>
                <w:color w:val="auto"/>
                <w:vertAlign w:val="superscript"/>
              </w:rPr>
              <w:t>(4)</w:t>
            </w:r>
          </w:p>
        </w:tc>
        <w:tc>
          <w:tcPr>
            <w:tcW w:w="84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98.898</w:t>
            </w:r>
          </w:p>
        </w:tc>
        <w:tc>
          <w:tcPr>
            <w:tcW w:w="1040" w:type="dxa"/>
            <w:vAlign w:val="bottom"/>
            <w:tcBorders>
              <w:bottom w:val="single" w:sz="8" w:color="477258"/>
            </w:tcBorders>
            <w:gridSpan w:val="2"/>
            <w:shd w:val="clear" w:color="auto" w:fill="CCEEFF"/>
          </w:tcPr>
          <w:p>
            <w:pPr>
              <w:ind w:left="100"/>
              <w:spacing w:after="0"/>
              <w:rPr>
                <w:sz w:val="20"/>
                <w:szCs w:val="20"/>
                <w:color w:val="auto"/>
              </w:rPr>
            </w:pPr>
            <w:r>
              <w:rPr>
                <w:rFonts w:ascii="Arial" w:cs="Arial" w:eastAsia="Arial" w:hAnsi="Arial"/>
                <w:sz w:val="18"/>
                <w:szCs w:val="18"/>
                <w:color w:val="auto"/>
              </w:rPr>
              <w:t>2/19/2029</w:t>
            </w:r>
          </w:p>
        </w:tc>
        <w:tc>
          <w:tcPr>
            <w:tcW w:w="940" w:type="dxa"/>
            <w:vAlign w:val="bottom"/>
            <w:tcBorders>
              <w:bottom w:val="single" w:sz="8" w:color="477258"/>
            </w:tcBorders>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920" w:type="dxa"/>
            <w:vAlign w:val="bottom"/>
            <w:tcBorders>
              <w:bottom w:val="single" w:sz="8" w:color="477258"/>
            </w:tcBorders>
          </w:tcPr>
          <w:p>
            <w:pPr>
              <w:spacing w:after="0"/>
              <w:rPr>
                <w:sz w:val="22"/>
                <w:szCs w:val="22"/>
                <w:color w:val="auto"/>
              </w:rPr>
            </w:pPr>
          </w:p>
        </w:tc>
        <w:tc>
          <w:tcPr>
            <w:tcW w:w="1040" w:type="dxa"/>
            <w:vAlign w:val="bottom"/>
            <w:tcBorders>
              <w:bottom w:val="single" w:sz="8" w:color="477258"/>
            </w:tcBorders>
          </w:tcPr>
          <w:p>
            <w:pPr>
              <w:jc w:val="right"/>
              <w:ind w:right="137"/>
              <w:spacing w:after="0"/>
              <w:rPr>
                <w:sz w:val="20"/>
                <w:szCs w:val="20"/>
                <w:color w:val="auto"/>
              </w:rPr>
            </w:pPr>
            <w:r>
              <w:rPr>
                <w:rFonts w:ascii="Arial" w:cs="Arial" w:eastAsia="Arial" w:hAnsi="Arial"/>
                <w:sz w:val="18"/>
                <w:szCs w:val="18"/>
                <w:color w:val="auto"/>
              </w:rPr>
              <w:t>1,842</w:t>
            </w:r>
          </w:p>
        </w:tc>
        <w:tc>
          <w:tcPr>
            <w:tcW w:w="1240" w:type="dxa"/>
            <w:vAlign w:val="bottom"/>
            <w:tcBorders>
              <w:bottom w:val="single" w:sz="8" w:color="477258"/>
            </w:tcBorders>
          </w:tcPr>
          <w:p>
            <w:pPr>
              <w:jc w:val="right"/>
              <w:spacing w:after="0" w:line="263" w:lineRule="exact"/>
              <w:rPr>
                <w:sz w:val="20"/>
                <w:szCs w:val="20"/>
                <w:color w:val="auto"/>
              </w:rPr>
            </w:pPr>
            <w:r>
              <w:rPr>
                <w:rFonts w:ascii="Arial" w:cs="Arial" w:eastAsia="Arial" w:hAnsi="Arial"/>
                <w:sz w:val="18"/>
                <w:szCs w:val="18"/>
                <w:color w:val="auto"/>
              </w:rPr>
              <w:t>1,842</w:t>
            </w:r>
            <w:r>
              <w:rPr>
                <w:rFonts w:ascii="Arial" w:cs="Arial" w:eastAsia="Arial" w:hAnsi="Arial"/>
                <w:sz w:val="26"/>
                <w:szCs w:val="26"/>
                <w:color w:val="auto"/>
                <w:vertAlign w:val="superscript"/>
              </w:rPr>
              <w:t>(5)</w:t>
            </w:r>
          </w:p>
        </w:tc>
        <w:tc>
          <w:tcPr>
            <w:tcW w:w="8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85.34</w:t>
            </w:r>
          </w:p>
        </w:tc>
        <w:tc>
          <w:tcPr>
            <w:tcW w:w="1040" w:type="dxa"/>
            <w:vAlign w:val="bottom"/>
            <w:tcBorders>
              <w:bottom w:val="single" w:sz="8" w:color="477258"/>
            </w:tcBorders>
            <w:gridSpan w:val="2"/>
          </w:tcPr>
          <w:p>
            <w:pPr>
              <w:ind w:left="100"/>
              <w:spacing w:after="0"/>
              <w:rPr>
                <w:sz w:val="20"/>
                <w:szCs w:val="20"/>
                <w:color w:val="auto"/>
              </w:rPr>
            </w:pPr>
            <w:r>
              <w:rPr>
                <w:rFonts w:ascii="Arial" w:cs="Arial" w:eastAsia="Arial" w:hAnsi="Arial"/>
                <w:sz w:val="18"/>
                <w:szCs w:val="18"/>
                <w:color w:val="auto"/>
              </w:rPr>
              <w:t>2/20/2028</w:t>
            </w:r>
          </w:p>
        </w:tc>
        <w:tc>
          <w:tcPr>
            <w:tcW w:w="940" w:type="dxa"/>
            <w:vAlign w:val="bottom"/>
            <w:tcBorders>
              <w:bottom w:val="single" w:sz="8" w:color="477258"/>
            </w:tcBorders>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77258"/>
            </w:tcBorders>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7725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5,443</w:t>
            </w: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73.335</w:t>
            </w: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2/28/2027</w:t>
            </w:r>
          </w:p>
        </w:tc>
        <w:tc>
          <w:tcPr>
            <w:tcW w:w="9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 w:type="dxa"/>
            <w:vAlign w:val="bottom"/>
            <w:shd w:val="clear" w:color="auto" w:fill="477258"/>
          </w:tcPr>
          <w:p>
            <w:pPr>
              <w:spacing w:after="0" w:line="20" w:lineRule="exact"/>
              <w:rPr>
                <w:sz w:val="1"/>
                <w:szCs w:val="1"/>
                <w:color w:val="auto"/>
              </w:rPr>
            </w:pPr>
          </w:p>
        </w:tc>
        <w:tc>
          <w:tcPr>
            <w:tcW w:w="1040" w:type="dxa"/>
            <w:vAlign w:val="bottom"/>
            <w:shd w:val="clear" w:color="auto" w:fill="477258"/>
          </w:tcPr>
          <w:p>
            <w:pPr>
              <w:spacing w:after="0" w:line="20" w:lineRule="exact"/>
              <w:rPr>
                <w:sz w:val="1"/>
                <w:szCs w:val="1"/>
                <w:color w:val="auto"/>
              </w:rPr>
            </w:pPr>
          </w:p>
        </w:tc>
        <w:tc>
          <w:tcPr>
            <w:tcW w:w="1240" w:type="dxa"/>
            <w:vAlign w:val="bottom"/>
            <w:shd w:val="clear" w:color="auto" w:fill="477258"/>
          </w:tcPr>
          <w:p>
            <w:pPr>
              <w:spacing w:after="0" w:line="20" w:lineRule="exact"/>
              <w:rPr>
                <w:sz w:val="1"/>
                <w:szCs w:val="1"/>
                <w:color w:val="auto"/>
              </w:rPr>
            </w:pPr>
          </w:p>
        </w:tc>
        <w:tc>
          <w:tcPr>
            <w:tcW w:w="840" w:type="dxa"/>
            <w:vAlign w:val="bottom"/>
            <w:shd w:val="clear" w:color="auto" w:fill="477258"/>
          </w:tcPr>
          <w:p>
            <w:pPr>
              <w:spacing w:after="0" w:line="20" w:lineRule="exact"/>
              <w:rPr>
                <w:sz w:val="1"/>
                <w:szCs w:val="1"/>
                <w:color w:val="auto"/>
              </w:rPr>
            </w:pPr>
          </w:p>
        </w:tc>
        <w:tc>
          <w:tcPr>
            <w:tcW w:w="900" w:type="dxa"/>
            <w:vAlign w:val="bottom"/>
            <w:shd w:val="clear" w:color="auto" w:fill="477258"/>
          </w:tcPr>
          <w:p>
            <w:pPr>
              <w:spacing w:after="0" w:line="20" w:lineRule="exact"/>
              <w:rPr>
                <w:sz w:val="1"/>
                <w:szCs w:val="1"/>
                <w:color w:val="auto"/>
              </w:rPr>
            </w:pPr>
          </w:p>
        </w:tc>
        <w:tc>
          <w:tcPr>
            <w:tcW w:w="140" w:type="dxa"/>
            <w:vAlign w:val="bottom"/>
            <w:shd w:val="clear" w:color="auto" w:fill="477258"/>
          </w:tcPr>
          <w:p>
            <w:pPr>
              <w:spacing w:after="0" w:line="20" w:lineRule="exact"/>
              <w:rPr>
                <w:sz w:val="1"/>
                <w:szCs w:val="1"/>
                <w:color w:val="auto"/>
              </w:rPr>
            </w:pPr>
          </w:p>
        </w:tc>
        <w:tc>
          <w:tcPr>
            <w:tcW w:w="940" w:type="dxa"/>
            <w:vAlign w:val="bottom"/>
            <w:shd w:val="clear" w:color="auto" w:fill="477258"/>
          </w:tcPr>
          <w:p>
            <w:pPr>
              <w:spacing w:after="0" w:line="20" w:lineRule="exact"/>
              <w:rPr>
                <w:sz w:val="1"/>
                <w:szCs w:val="1"/>
                <w:color w:val="auto"/>
              </w:rPr>
            </w:pPr>
          </w:p>
        </w:tc>
        <w:tc>
          <w:tcPr>
            <w:tcW w:w="1000" w:type="dxa"/>
            <w:vAlign w:val="bottom"/>
            <w:shd w:val="clear" w:color="auto" w:fill="477258"/>
          </w:tcPr>
          <w:p>
            <w:pPr>
              <w:spacing w:after="0" w:line="20" w:lineRule="exact"/>
              <w:rPr>
                <w:sz w:val="1"/>
                <w:szCs w:val="1"/>
                <w:color w:val="auto"/>
              </w:rPr>
            </w:pPr>
          </w:p>
        </w:tc>
        <w:tc>
          <w:tcPr>
            <w:tcW w:w="1020" w:type="dxa"/>
            <w:vAlign w:val="bottom"/>
            <w:shd w:val="clear" w:color="auto" w:fill="477258"/>
          </w:tcPr>
          <w:p>
            <w:pPr>
              <w:spacing w:after="0" w:line="20" w:lineRule="exact"/>
              <w:rPr>
                <w:sz w:val="1"/>
                <w:szCs w:val="1"/>
                <w:color w:val="auto"/>
              </w:rPr>
            </w:pPr>
          </w:p>
        </w:tc>
        <w:tc>
          <w:tcPr>
            <w:tcW w:w="980" w:type="dxa"/>
            <w:vAlign w:val="bottom"/>
            <w:shd w:val="clear" w:color="auto" w:fill="477258"/>
          </w:tcPr>
          <w:p>
            <w:pPr>
              <w:spacing w:after="0" w:line="20" w:lineRule="exact"/>
              <w:rPr>
                <w:sz w:val="1"/>
                <w:szCs w:val="1"/>
                <w:color w:val="auto"/>
              </w:rPr>
            </w:pPr>
          </w:p>
        </w:tc>
        <w:tc>
          <w:tcPr>
            <w:tcW w:w="40" w:type="dxa"/>
            <w:vAlign w:val="bottom"/>
            <w:shd w:val="clear" w:color="auto" w:fill="4772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180" w:hanging="364"/>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Values are based on the closing price of our Common Stock on December 31, 2020 of $117.93.</w:t>
      </w:r>
    </w:p>
    <w:p>
      <w:pPr>
        <w:spacing w:after="0" w:line="103" w:lineRule="exact"/>
        <w:rPr>
          <w:rFonts w:ascii="Arial" w:cs="Arial" w:eastAsia="Arial" w:hAnsi="Arial"/>
          <w:sz w:val="18"/>
          <w:szCs w:val="18"/>
          <w:color w:val="auto"/>
        </w:rPr>
      </w:pPr>
    </w:p>
    <w:p>
      <w:pPr>
        <w:ind w:left="1180" w:hanging="364"/>
        <w:spacing w:after="0" w:line="261"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vested stock options granted on February 28, 2017, February 20, 2018 and February 19, 2019 pursuant to our 2014 Stock Incentive Plan.</w:t>
      </w:r>
    </w:p>
    <w:p>
      <w:pPr>
        <w:spacing w:after="0" w:line="62" w:lineRule="exact"/>
        <w:rPr>
          <w:rFonts w:ascii="Arial" w:cs="Arial" w:eastAsia="Arial" w:hAnsi="Arial"/>
          <w:sz w:val="18"/>
          <w:szCs w:val="18"/>
          <w:color w:val="auto"/>
        </w:rPr>
      </w:pPr>
    </w:p>
    <w:p>
      <w:pPr>
        <w:ind w:left="1180" w:right="20" w:hanging="364"/>
        <w:spacing w:after="0" w:line="261"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stock options granted on February 19, 2020 that vest 25% on the first and second anniversary of the date of grant and 50% on the third anniversary of the date of grant.</w:t>
      </w:r>
    </w:p>
    <w:p>
      <w:pPr>
        <w:spacing w:after="0" w:line="62" w:lineRule="exact"/>
        <w:rPr>
          <w:rFonts w:ascii="Arial" w:cs="Arial" w:eastAsia="Arial" w:hAnsi="Arial"/>
          <w:sz w:val="18"/>
          <w:szCs w:val="18"/>
          <w:color w:val="auto"/>
        </w:rPr>
      </w:pPr>
    </w:p>
    <w:p>
      <w:pPr>
        <w:jc w:val="both"/>
        <w:ind w:left="1180" w:hanging="364"/>
        <w:spacing w:after="0" w:line="256"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stock options granted on February 19, 2019 that vested 25% on the first anniversary of the date of grant. An additional 25% will vest on the second anniversary of the date of grant and 50% will vest on the third anniversary of the date of grant.</w:t>
      </w:r>
    </w:p>
    <w:p>
      <w:pPr>
        <w:spacing w:after="0" w:line="66" w:lineRule="exact"/>
        <w:rPr>
          <w:rFonts w:ascii="Arial" w:cs="Arial" w:eastAsia="Arial" w:hAnsi="Arial"/>
          <w:sz w:val="18"/>
          <w:szCs w:val="18"/>
          <w:color w:val="auto"/>
        </w:rPr>
      </w:pPr>
    </w:p>
    <w:p>
      <w:pPr>
        <w:jc w:val="both"/>
        <w:ind w:left="1180" w:hanging="364"/>
        <w:spacing w:after="0" w:line="261"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stock options granted on February 20, 2018 that vested 25% on the first and second anniversary of the date of grant. The remaining 50% will vest on the third anniversary of the date of grant.</w:t>
      </w:r>
    </w:p>
    <w:p>
      <w:pPr>
        <w:spacing w:after="0" w:line="278" w:lineRule="exact"/>
        <w:rPr>
          <w:rFonts w:ascii="Arial" w:cs="Arial" w:eastAsia="Arial" w:hAnsi="Arial"/>
          <w:sz w:val="18"/>
          <w:szCs w:val="18"/>
          <w:color w:val="auto"/>
        </w:rPr>
      </w:pPr>
    </w:p>
    <w:p>
      <w:pPr>
        <w:ind w:left="1180" w:right="20" w:hanging="364"/>
        <w:spacing w:after="0" w:line="261"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RSUs granted to Mr. Batchelor on February 20, 2018 under our 2014 Stock Incentive Plan. The RSUs vest on the third anniversary of the date of grant.</w:t>
      </w:r>
    </w:p>
    <w:p>
      <w:pPr>
        <w:spacing w:after="0" w:line="230"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jc w:val="both"/>
        <w:ind w:left="1180" w:hanging="364"/>
        <w:spacing w:after="0" w:line="251"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PSUs with three-year performance periods ending December 31, 2021 and December 31, 2022. Payouts on PSUs are made after the Company’s financial results for the performance period are reported and the MD&amp;C Committee determines achievement of performance results and corresponding vesting, typically in mid to late February of the succeeding year. The PSUs for the performance period ended December 31, 2020 are not included in the table as they are considered earned as of December 31, 2020 for proxy statement disclosure purposes; instead, such PSUs are included in the Option Exercises and Stock Vested table below. Pursuant to SEC disclosure instructions, because the Company’s performance on the metrics governing our PSUs with the performance period ended December 31, 2020 exceeded target, the payout value of unearned awards is calculated assuming maximum performance criteria is achieved. The following number of PSUs have a performance period ending December 31, 2021: Mr. Fish — 58,948; Ms. Rankin — 16,842; Mr. Morris — 18,526; Ms. Hemmer — 13,894; and Mr. Batchelor — 13,894. The following number of PSUs have a performance period ending December 31, 2022: Mr. Fish — 52,892; Ms. Rankin — 13,224; Mr. Morris — 14,546; Ms. Hemmer — 10,910; and Mr. Batchelor — 10,910.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OPTION EXERCISES AND STOCK VESTED</w:t>
      </w:r>
    </w:p>
    <w:p>
      <w:pPr>
        <w:spacing w:after="0" w:line="144" w:lineRule="exact"/>
        <w:rPr>
          <w:sz w:val="20"/>
          <w:szCs w:val="20"/>
          <w:color w:val="auto"/>
        </w:rPr>
      </w:pPr>
    </w:p>
    <w:tbl>
      <w:tblPr>
        <w:tblLayout w:type="fixed"/>
        <w:tblInd w:w="820"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3500" w:type="dxa"/>
            <w:vAlign w:val="bottom"/>
            <w:tcBorders>
              <w:bottom w:val="single" w:sz="8" w:color="477258"/>
            </w:tcBorders>
            <w:gridSpan w:val="2"/>
          </w:tcPr>
          <w:p>
            <w:pPr>
              <w:jc w:val="right"/>
              <w:ind w:right="1115"/>
              <w:spacing w:after="0"/>
              <w:rPr>
                <w:sz w:val="20"/>
                <w:szCs w:val="20"/>
                <w:color w:val="auto"/>
              </w:rPr>
            </w:pPr>
            <w:r>
              <w:rPr>
                <w:rFonts w:ascii="Arial" w:cs="Arial" w:eastAsia="Arial" w:hAnsi="Arial"/>
                <w:sz w:val="14"/>
                <w:szCs w:val="14"/>
                <w:b w:val="1"/>
                <w:bCs w:val="1"/>
                <w:color w:val="477258"/>
              </w:rPr>
              <w:t>Option Awards</w:t>
            </w:r>
          </w:p>
        </w:tc>
        <w:tc>
          <w:tcPr>
            <w:tcW w:w="120" w:type="dxa"/>
            <w:vAlign w:val="bottom"/>
          </w:tcPr>
          <w:p>
            <w:pPr>
              <w:spacing w:after="0"/>
              <w:rPr>
                <w:sz w:val="17"/>
                <w:szCs w:val="17"/>
                <w:color w:val="auto"/>
              </w:rPr>
            </w:pPr>
          </w:p>
        </w:tc>
        <w:tc>
          <w:tcPr>
            <w:tcW w:w="3460" w:type="dxa"/>
            <w:vAlign w:val="bottom"/>
            <w:tcBorders>
              <w:bottom w:val="single" w:sz="8" w:color="477258"/>
            </w:tcBorders>
            <w:gridSpan w:val="2"/>
          </w:tcPr>
          <w:p>
            <w:pPr>
              <w:jc w:val="right"/>
              <w:ind w:right="1115"/>
              <w:spacing w:after="0"/>
              <w:rPr>
                <w:sz w:val="20"/>
                <w:szCs w:val="20"/>
                <w:color w:val="auto"/>
              </w:rPr>
            </w:pPr>
            <w:r>
              <w:rPr>
                <w:rFonts w:ascii="Arial" w:cs="Arial" w:eastAsia="Arial" w:hAnsi="Arial"/>
                <w:sz w:val="14"/>
                <w:szCs w:val="14"/>
                <w:b w:val="1"/>
                <w:bCs w:val="1"/>
                <w:color w:val="477258"/>
              </w:rPr>
              <w:t>Stock Awards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477258"/>
              </w:rPr>
              <w:t>Name</w:t>
            </w:r>
          </w:p>
        </w:tc>
        <w:tc>
          <w:tcPr>
            <w:tcW w:w="2040" w:type="dxa"/>
            <w:vAlign w:val="bottom"/>
          </w:tcPr>
          <w:p>
            <w:pPr>
              <w:jc w:val="right"/>
              <w:ind w:right="37"/>
              <w:spacing w:after="0"/>
              <w:rPr>
                <w:sz w:val="20"/>
                <w:szCs w:val="20"/>
                <w:color w:val="auto"/>
              </w:rPr>
            </w:pPr>
            <w:r>
              <w:rPr>
                <w:rFonts w:ascii="Arial" w:cs="Arial" w:eastAsia="Arial" w:hAnsi="Arial"/>
                <w:sz w:val="14"/>
                <w:szCs w:val="14"/>
                <w:b w:val="1"/>
                <w:bCs w:val="1"/>
                <w:color w:val="477258"/>
              </w:rPr>
              <w:t>Number of Shares</w:t>
            </w: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477258"/>
              </w:rPr>
              <w:t>Value Realized on</w:t>
            </w:r>
          </w:p>
        </w:tc>
        <w:tc>
          <w:tcPr>
            <w:tcW w:w="2000" w:type="dxa"/>
            <w:vAlign w:val="bottom"/>
          </w:tcPr>
          <w:p>
            <w:pPr>
              <w:jc w:val="right"/>
              <w:ind w:right="37"/>
              <w:spacing w:after="0"/>
              <w:rPr>
                <w:sz w:val="20"/>
                <w:szCs w:val="20"/>
                <w:color w:val="auto"/>
              </w:rPr>
            </w:pPr>
            <w:r>
              <w:rPr>
                <w:rFonts w:ascii="Arial" w:cs="Arial" w:eastAsia="Arial" w:hAnsi="Arial"/>
                <w:sz w:val="14"/>
                <w:szCs w:val="14"/>
                <w:b w:val="1"/>
                <w:bCs w:val="1"/>
                <w:color w:val="477258"/>
              </w:rPr>
              <w:t>Number of Shares</w:t>
            </w: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477258"/>
              </w:rPr>
              <w:t>Value Realized on</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477258"/>
            </w:tcBorders>
            <w:vMerge w:val="continue"/>
          </w:tcPr>
          <w:p>
            <w:pPr>
              <w:spacing w:after="0"/>
              <w:rPr>
                <w:sz w:val="16"/>
                <w:szCs w:val="16"/>
                <w:color w:val="auto"/>
              </w:rPr>
            </w:pPr>
          </w:p>
        </w:tc>
        <w:tc>
          <w:tcPr>
            <w:tcW w:w="204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14"/>
                <w:szCs w:val="14"/>
                <w:b w:val="1"/>
                <w:bCs w:val="1"/>
                <w:color w:val="477258"/>
              </w:rPr>
              <w:t>Acquired on Exercise(#)</w:t>
            </w:r>
            <w:r>
              <w:rPr>
                <w:rFonts w:ascii="Arial" w:cs="Arial" w:eastAsia="Arial" w:hAnsi="Arial"/>
                <w:sz w:val="21"/>
                <w:szCs w:val="21"/>
                <w:b w:val="1"/>
                <w:bCs w:val="1"/>
                <w:color w:val="477258"/>
                <w:vertAlign w:val="superscript"/>
              </w:rPr>
              <w:t>(1)</w:t>
            </w:r>
          </w:p>
        </w:tc>
        <w:tc>
          <w:tcPr>
            <w:tcW w:w="1580" w:type="dxa"/>
            <w:vAlign w:val="bottom"/>
            <w:tcBorders>
              <w:bottom w:val="single" w:sz="8" w:color="477258"/>
            </w:tcBorders>
            <w:gridSpan w:val="2"/>
          </w:tcPr>
          <w:p>
            <w:pPr>
              <w:ind w:left="560"/>
              <w:spacing w:after="0"/>
              <w:rPr>
                <w:sz w:val="20"/>
                <w:szCs w:val="20"/>
                <w:color w:val="auto"/>
              </w:rPr>
            </w:pPr>
            <w:r>
              <w:rPr>
                <w:rFonts w:ascii="Arial" w:cs="Arial" w:eastAsia="Arial" w:hAnsi="Arial"/>
                <w:sz w:val="14"/>
                <w:szCs w:val="14"/>
                <w:b w:val="1"/>
                <w:bCs w:val="1"/>
                <w:color w:val="477258"/>
              </w:rPr>
              <w:t>Exercise ($)</w:t>
            </w:r>
          </w:p>
        </w:tc>
        <w:tc>
          <w:tcPr>
            <w:tcW w:w="2000" w:type="dxa"/>
            <w:vAlign w:val="bottom"/>
            <w:tcBorders>
              <w:bottom w:val="single" w:sz="8" w:color="477258"/>
            </w:tcBorders>
          </w:tcPr>
          <w:p>
            <w:pPr>
              <w:jc w:val="right"/>
              <w:spacing w:after="0" w:line="189" w:lineRule="exact"/>
              <w:rPr>
                <w:sz w:val="20"/>
                <w:szCs w:val="20"/>
                <w:color w:val="auto"/>
              </w:rPr>
            </w:pPr>
            <w:r>
              <w:rPr>
                <w:rFonts w:ascii="Arial" w:cs="Arial" w:eastAsia="Arial" w:hAnsi="Arial"/>
                <w:sz w:val="14"/>
                <w:szCs w:val="14"/>
                <w:b w:val="1"/>
                <w:bCs w:val="1"/>
                <w:color w:val="477258"/>
              </w:rPr>
              <w:t>Acquired on Vesting (#)</w:t>
            </w:r>
            <w:r>
              <w:rPr>
                <w:rFonts w:ascii="Arial" w:cs="Arial" w:eastAsia="Arial" w:hAnsi="Arial"/>
                <w:sz w:val="21"/>
                <w:szCs w:val="21"/>
                <w:b w:val="1"/>
                <w:bCs w:val="1"/>
                <w:color w:val="477258"/>
                <w:vertAlign w:val="superscript"/>
              </w:rPr>
              <w:t>(2)</w:t>
            </w:r>
          </w:p>
        </w:tc>
        <w:tc>
          <w:tcPr>
            <w:tcW w:w="1500" w:type="dxa"/>
            <w:vAlign w:val="bottom"/>
            <w:tcBorders>
              <w:bottom w:val="single" w:sz="8" w:color="477258"/>
            </w:tcBorders>
            <w:gridSpan w:val="2"/>
          </w:tcPr>
          <w:p>
            <w:pPr>
              <w:ind w:left="500"/>
              <w:spacing w:after="0" w:line="189" w:lineRule="exact"/>
              <w:rPr>
                <w:sz w:val="20"/>
                <w:szCs w:val="20"/>
                <w:color w:val="auto"/>
              </w:rPr>
            </w:pPr>
            <w:r>
              <w:rPr>
                <w:rFonts w:ascii="Arial" w:cs="Arial" w:eastAsia="Arial" w:hAnsi="Arial"/>
                <w:sz w:val="14"/>
                <w:szCs w:val="14"/>
                <w:b w:val="1"/>
                <w:bCs w:val="1"/>
                <w:color w:val="477258"/>
              </w:rPr>
              <w:t>Vesting ($)</w:t>
            </w:r>
            <w:r>
              <w:rPr>
                <w:rFonts w:ascii="Arial" w:cs="Arial" w:eastAsia="Arial" w:hAnsi="Arial"/>
                <w:sz w:val="21"/>
                <w:szCs w:val="21"/>
                <w:b w:val="1"/>
                <w:bCs w:val="1"/>
                <w:color w:val="477258"/>
                <w:vertAlign w:val="superscript"/>
              </w:rPr>
              <w:t>(2)</w:t>
            </w:r>
          </w:p>
        </w:tc>
        <w:tc>
          <w:tcPr>
            <w:tcW w:w="0" w:type="dxa"/>
            <w:vAlign w:val="bottom"/>
          </w:tcPr>
          <w:p>
            <w:pPr>
              <w:spacing w:after="0"/>
              <w:rPr>
                <w:sz w:val="1"/>
                <w:szCs w:val="1"/>
                <w:color w:val="auto"/>
              </w:rPr>
            </w:pPr>
          </w:p>
        </w:tc>
      </w:tr>
      <w:tr>
        <w:trPr>
          <w:trHeight w:val="257"/>
        </w:trPr>
        <w:tc>
          <w:tcPr>
            <w:tcW w:w="194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James C. Fish, Jr.</w:t>
            </w:r>
          </w:p>
        </w:tc>
        <w:tc>
          <w:tcPr>
            <w:tcW w:w="2040" w:type="dxa"/>
            <w:vAlign w:val="bottom"/>
            <w:tcBorders>
              <w:bottom w:val="single" w:sz="8" w:color="477258"/>
            </w:tcBorders>
            <w:shd w:val="clear" w:color="auto" w:fill="CCEEFF"/>
          </w:tcPr>
          <w:p>
            <w:pPr>
              <w:jc w:val="right"/>
              <w:ind w:right="657"/>
              <w:spacing w:after="0"/>
              <w:rPr>
                <w:sz w:val="20"/>
                <w:szCs w:val="20"/>
                <w:color w:val="auto"/>
              </w:rPr>
            </w:pPr>
            <w:r>
              <w:rPr>
                <w:rFonts w:ascii="Arial" w:cs="Arial" w:eastAsia="Arial" w:hAnsi="Arial"/>
                <w:sz w:val="18"/>
                <w:szCs w:val="18"/>
                <w:color w:val="auto"/>
              </w:rPr>
              <w:t>89,438</w:t>
            </w:r>
          </w:p>
        </w:tc>
        <w:tc>
          <w:tcPr>
            <w:tcW w:w="1460" w:type="dxa"/>
            <w:vAlign w:val="bottom"/>
            <w:tcBorders>
              <w:bottom w:val="single" w:sz="8" w:color="477258"/>
            </w:tcBorders>
            <w:shd w:val="clear" w:color="auto" w:fill="CCEEFF"/>
          </w:tcPr>
          <w:p>
            <w:pPr>
              <w:jc w:val="right"/>
              <w:ind w:right="155"/>
              <w:spacing w:after="0"/>
              <w:rPr>
                <w:sz w:val="20"/>
                <w:szCs w:val="20"/>
                <w:color w:val="auto"/>
              </w:rPr>
            </w:pPr>
            <w:r>
              <w:rPr>
                <w:rFonts w:ascii="Arial" w:cs="Arial" w:eastAsia="Arial" w:hAnsi="Arial"/>
                <w:sz w:val="18"/>
                <w:szCs w:val="18"/>
                <w:color w:val="auto"/>
              </w:rPr>
              <w:t>3,849,927</w:t>
            </w:r>
          </w:p>
        </w:tc>
        <w:tc>
          <w:tcPr>
            <w:tcW w:w="120" w:type="dxa"/>
            <w:vAlign w:val="bottom"/>
            <w:tcBorders>
              <w:bottom w:val="single" w:sz="8" w:color="477258"/>
            </w:tcBorders>
            <w:shd w:val="clear" w:color="auto" w:fill="CCEEFF"/>
          </w:tcPr>
          <w:p>
            <w:pPr>
              <w:spacing w:after="0"/>
              <w:rPr>
                <w:sz w:val="22"/>
                <w:szCs w:val="22"/>
                <w:color w:val="auto"/>
              </w:rPr>
            </w:pPr>
          </w:p>
        </w:tc>
        <w:tc>
          <w:tcPr>
            <w:tcW w:w="2000" w:type="dxa"/>
            <w:vAlign w:val="bottom"/>
            <w:tcBorders>
              <w:bottom w:val="single" w:sz="8" w:color="477258"/>
            </w:tcBorders>
            <w:shd w:val="clear" w:color="auto" w:fill="CCEEFF"/>
          </w:tcPr>
          <w:p>
            <w:pPr>
              <w:jc w:val="right"/>
              <w:ind w:right="577"/>
              <w:spacing w:after="0"/>
              <w:rPr>
                <w:sz w:val="20"/>
                <w:szCs w:val="20"/>
                <w:color w:val="auto"/>
              </w:rPr>
            </w:pPr>
            <w:r>
              <w:rPr>
                <w:rFonts w:ascii="Arial" w:cs="Arial" w:eastAsia="Arial" w:hAnsi="Arial"/>
                <w:sz w:val="18"/>
                <w:szCs w:val="18"/>
                <w:color w:val="auto"/>
              </w:rPr>
              <w:t>102,852</w:t>
            </w:r>
          </w:p>
        </w:tc>
        <w:tc>
          <w:tcPr>
            <w:tcW w:w="1460" w:type="dxa"/>
            <w:vAlign w:val="bottom"/>
            <w:tcBorders>
              <w:bottom w:val="single" w:sz="8" w:color="477258"/>
            </w:tcBorders>
            <w:shd w:val="clear" w:color="auto" w:fill="CCEEFF"/>
          </w:tcPr>
          <w:p>
            <w:pPr>
              <w:jc w:val="right"/>
              <w:ind w:right="75"/>
              <w:spacing w:after="0"/>
              <w:rPr>
                <w:sz w:val="20"/>
                <w:szCs w:val="20"/>
                <w:color w:val="auto"/>
              </w:rPr>
            </w:pPr>
            <w:r>
              <w:rPr>
                <w:rFonts w:ascii="Arial" w:cs="Arial" w:eastAsia="Arial" w:hAnsi="Arial"/>
                <w:sz w:val="18"/>
                <w:szCs w:val="18"/>
                <w:color w:val="auto"/>
              </w:rPr>
              <w:t>11,556,965</w:t>
            </w:r>
          </w:p>
        </w:tc>
        <w:tc>
          <w:tcPr>
            <w:tcW w:w="40" w:type="dxa"/>
            <w:vAlign w:val="bottom"/>
            <w:tcBorders>
              <w:bottom w:val="single" w:sz="8" w:color="477258"/>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40" w:type="dxa"/>
            <w:vAlign w:val="bottom"/>
            <w:tcBorders>
              <w:bottom w:val="single" w:sz="8" w:color="477258"/>
            </w:tcBorders>
          </w:tcPr>
          <w:p>
            <w:pPr>
              <w:ind w:left="20"/>
              <w:spacing w:after="0"/>
              <w:rPr>
                <w:sz w:val="20"/>
                <w:szCs w:val="20"/>
                <w:color w:val="auto"/>
              </w:rPr>
            </w:pPr>
            <w:r>
              <w:rPr>
                <w:rFonts w:ascii="Arial" w:cs="Arial" w:eastAsia="Arial" w:hAnsi="Arial"/>
                <w:sz w:val="18"/>
                <w:szCs w:val="18"/>
                <w:b w:val="1"/>
                <w:bCs w:val="1"/>
                <w:color w:val="auto"/>
              </w:rPr>
              <w:t>Devina A. Rankin</w:t>
            </w:r>
          </w:p>
        </w:tc>
        <w:tc>
          <w:tcPr>
            <w:tcW w:w="2040" w:type="dxa"/>
            <w:vAlign w:val="bottom"/>
            <w:tcBorders>
              <w:bottom w:val="single" w:sz="8" w:color="477258"/>
            </w:tcBorders>
          </w:tcPr>
          <w:p>
            <w:pPr>
              <w:jc w:val="right"/>
              <w:ind w:right="657"/>
              <w:spacing w:after="0"/>
              <w:rPr>
                <w:sz w:val="20"/>
                <w:szCs w:val="20"/>
                <w:color w:val="auto"/>
              </w:rPr>
            </w:pPr>
            <w:r>
              <w:rPr>
                <w:rFonts w:ascii="Arial" w:cs="Arial" w:eastAsia="Arial" w:hAnsi="Arial"/>
                <w:sz w:val="18"/>
                <w:szCs w:val="18"/>
                <w:color w:val="auto"/>
              </w:rPr>
              <w:t>32,293</w:t>
            </w:r>
          </w:p>
        </w:tc>
        <w:tc>
          <w:tcPr>
            <w:tcW w:w="1460" w:type="dxa"/>
            <w:vAlign w:val="bottom"/>
            <w:tcBorders>
              <w:bottom w:val="single" w:sz="8" w:color="477258"/>
            </w:tcBorders>
          </w:tcPr>
          <w:p>
            <w:pPr>
              <w:jc w:val="right"/>
              <w:ind w:right="155"/>
              <w:spacing w:after="0"/>
              <w:rPr>
                <w:sz w:val="20"/>
                <w:szCs w:val="20"/>
                <w:color w:val="auto"/>
              </w:rPr>
            </w:pPr>
            <w:r>
              <w:rPr>
                <w:rFonts w:ascii="Arial" w:cs="Arial" w:eastAsia="Arial" w:hAnsi="Arial"/>
                <w:sz w:val="18"/>
                <w:szCs w:val="18"/>
                <w:color w:val="auto"/>
              </w:rPr>
              <w:t>1,608,080</w:t>
            </w:r>
          </w:p>
        </w:tc>
        <w:tc>
          <w:tcPr>
            <w:tcW w:w="120" w:type="dxa"/>
            <w:vAlign w:val="bottom"/>
            <w:tcBorders>
              <w:bottom w:val="single" w:sz="8" w:color="477258"/>
            </w:tcBorders>
          </w:tcPr>
          <w:p>
            <w:pPr>
              <w:spacing w:after="0"/>
              <w:rPr>
                <w:sz w:val="22"/>
                <w:szCs w:val="22"/>
                <w:color w:val="auto"/>
              </w:rPr>
            </w:pPr>
          </w:p>
        </w:tc>
        <w:tc>
          <w:tcPr>
            <w:tcW w:w="2000" w:type="dxa"/>
            <w:vAlign w:val="bottom"/>
            <w:tcBorders>
              <w:bottom w:val="single" w:sz="8" w:color="477258"/>
            </w:tcBorders>
          </w:tcPr>
          <w:p>
            <w:pPr>
              <w:jc w:val="right"/>
              <w:ind w:right="577"/>
              <w:spacing w:after="0"/>
              <w:rPr>
                <w:sz w:val="20"/>
                <w:szCs w:val="20"/>
                <w:color w:val="auto"/>
              </w:rPr>
            </w:pPr>
            <w:r>
              <w:rPr>
                <w:rFonts w:ascii="Arial" w:cs="Arial" w:eastAsia="Arial" w:hAnsi="Arial"/>
                <w:sz w:val="18"/>
                <w:szCs w:val="18"/>
                <w:color w:val="auto"/>
              </w:rPr>
              <w:t>29,141</w:t>
            </w:r>
          </w:p>
        </w:tc>
        <w:tc>
          <w:tcPr>
            <w:tcW w:w="1460" w:type="dxa"/>
            <w:vAlign w:val="bottom"/>
            <w:tcBorders>
              <w:bottom w:val="single" w:sz="8" w:color="477258"/>
            </w:tcBorders>
          </w:tcPr>
          <w:p>
            <w:pPr>
              <w:jc w:val="right"/>
              <w:ind w:right="75"/>
              <w:spacing w:after="0"/>
              <w:rPr>
                <w:sz w:val="20"/>
                <w:szCs w:val="20"/>
                <w:color w:val="auto"/>
              </w:rPr>
            </w:pPr>
            <w:r>
              <w:rPr>
                <w:rFonts w:ascii="Arial" w:cs="Arial" w:eastAsia="Arial" w:hAnsi="Arial"/>
                <w:sz w:val="18"/>
                <w:szCs w:val="18"/>
                <w:color w:val="auto"/>
              </w:rPr>
              <w:t>3,274,428</w:t>
            </w:r>
          </w:p>
        </w:tc>
        <w:tc>
          <w:tcPr>
            <w:tcW w:w="40" w:type="dxa"/>
            <w:vAlign w:val="bottom"/>
            <w:tcBorders>
              <w:bottom w:val="single" w:sz="8" w:color="477258"/>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4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John J. Morris, Jr.</w:t>
            </w:r>
          </w:p>
        </w:tc>
        <w:tc>
          <w:tcPr>
            <w:tcW w:w="2040" w:type="dxa"/>
            <w:vAlign w:val="bottom"/>
            <w:tcBorders>
              <w:bottom w:val="single" w:sz="8" w:color="477258"/>
            </w:tcBorders>
            <w:shd w:val="clear" w:color="auto" w:fill="CCEEFF"/>
          </w:tcPr>
          <w:p>
            <w:pPr>
              <w:jc w:val="right"/>
              <w:ind w:right="657"/>
              <w:spacing w:after="0"/>
              <w:rPr>
                <w:sz w:val="20"/>
                <w:szCs w:val="20"/>
                <w:color w:val="auto"/>
              </w:rPr>
            </w:pPr>
            <w:r>
              <w:rPr>
                <w:rFonts w:ascii="Arial" w:cs="Arial" w:eastAsia="Arial" w:hAnsi="Arial"/>
                <w:sz w:val="18"/>
                <w:szCs w:val="18"/>
                <w:color w:val="auto"/>
              </w:rPr>
              <w:t>43,233</w:t>
            </w:r>
          </w:p>
        </w:tc>
        <w:tc>
          <w:tcPr>
            <w:tcW w:w="1460" w:type="dxa"/>
            <w:vAlign w:val="bottom"/>
            <w:tcBorders>
              <w:bottom w:val="single" w:sz="8" w:color="477258"/>
            </w:tcBorders>
            <w:shd w:val="clear" w:color="auto" w:fill="CCEEFF"/>
          </w:tcPr>
          <w:p>
            <w:pPr>
              <w:jc w:val="right"/>
              <w:ind w:right="155"/>
              <w:spacing w:after="0"/>
              <w:rPr>
                <w:sz w:val="20"/>
                <w:szCs w:val="20"/>
                <w:color w:val="auto"/>
              </w:rPr>
            </w:pPr>
            <w:r>
              <w:rPr>
                <w:rFonts w:ascii="Arial" w:cs="Arial" w:eastAsia="Arial" w:hAnsi="Arial"/>
                <w:sz w:val="18"/>
                <w:szCs w:val="18"/>
                <w:color w:val="auto"/>
              </w:rPr>
              <w:t>1,381,985</w:t>
            </w:r>
          </w:p>
        </w:tc>
        <w:tc>
          <w:tcPr>
            <w:tcW w:w="120" w:type="dxa"/>
            <w:vAlign w:val="bottom"/>
            <w:tcBorders>
              <w:bottom w:val="single" w:sz="8" w:color="477258"/>
            </w:tcBorders>
            <w:shd w:val="clear" w:color="auto" w:fill="CCEEFF"/>
          </w:tcPr>
          <w:p>
            <w:pPr>
              <w:spacing w:after="0"/>
              <w:rPr>
                <w:sz w:val="22"/>
                <w:szCs w:val="22"/>
                <w:color w:val="auto"/>
              </w:rPr>
            </w:pPr>
          </w:p>
        </w:tc>
        <w:tc>
          <w:tcPr>
            <w:tcW w:w="2000" w:type="dxa"/>
            <w:vAlign w:val="bottom"/>
            <w:tcBorders>
              <w:bottom w:val="single" w:sz="8" w:color="477258"/>
            </w:tcBorders>
            <w:shd w:val="clear" w:color="auto" w:fill="CCEEFF"/>
          </w:tcPr>
          <w:p>
            <w:pPr>
              <w:jc w:val="right"/>
              <w:ind w:right="577"/>
              <w:spacing w:after="0"/>
              <w:rPr>
                <w:sz w:val="20"/>
                <w:szCs w:val="20"/>
                <w:color w:val="auto"/>
              </w:rPr>
            </w:pPr>
            <w:r>
              <w:rPr>
                <w:rFonts w:ascii="Arial" w:cs="Arial" w:eastAsia="Arial" w:hAnsi="Arial"/>
                <w:sz w:val="18"/>
                <w:szCs w:val="18"/>
                <w:color w:val="auto"/>
              </w:rPr>
              <w:t>30,856</w:t>
            </w:r>
          </w:p>
        </w:tc>
        <w:tc>
          <w:tcPr>
            <w:tcW w:w="1460" w:type="dxa"/>
            <w:vAlign w:val="bottom"/>
            <w:tcBorders>
              <w:bottom w:val="single" w:sz="8" w:color="477258"/>
            </w:tcBorders>
            <w:shd w:val="clear" w:color="auto" w:fill="CCEEFF"/>
          </w:tcPr>
          <w:p>
            <w:pPr>
              <w:jc w:val="right"/>
              <w:ind w:right="75"/>
              <w:spacing w:after="0"/>
              <w:rPr>
                <w:sz w:val="20"/>
                <w:szCs w:val="20"/>
                <w:color w:val="auto"/>
              </w:rPr>
            </w:pPr>
            <w:r>
              <w:rPr>
                <w:rFonts w:ascii="Arial" w:cs="Arial" w:eastAsia="Arial" w:hAnsi="Arial"/>
                <w:sz w:val="18"/>
                <w:szCs w:val="18"/>
                <w:color w:val="auto"/>
              </w:rPr>
              <w:t>3,467,134</w:t>
            </w:r>
          </w:p>
        </w:tc>
        <w:tc>
          <w:tcPr>
            <w:tcW w:w="40" w:type="dxa"/>
            <w:vAlign w:val="bottom"/>
            <w:tcBorders>
              <w:bottom w:val="single" w:sz="8" w:color="477258"/>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40" w:type="dxa"/>
            <w:vAlign w:val="bottom"/>
            <w:tcBorders>
              <w:bottom w:val="single" w:sz="8" w:color="477258"/>
            </w:tcBorders>
          </w:tcPr>
          <w:p>
            <w:pPr>
              <w:ind w:left="20"/>
              <w:spacing w:after="0"/>
              <w:rPr>
                <w:sz w:val="20"/>
                <w:szCs w:val="20"/>
                <w:color w:val="auto"/>
              </w:rPr>
            </w:pPr>
            <w:r>
              <w:rPr>
                <w:rFonts w:ascii="Arial" w:cs="Arial" w:eastAsia="Arial" w:hAnsi="Arial"/>
                <w:sz w:val="18"/>
                <w:szCs w:val="18"/>
                <w:b w:val="1"/>
                <w:bCs w:val="1"/>
                <w:color w:val="auto"/>
              </w:rPr>
              <w:t>Tara J. Hemmer</w:t>
            </w:r>
          </w:p>
        </w:tc>
        <w:tc>
          <w:tcPr>
            <w:tcW w:w="2040" w:type="dxa"/>
            <w:vAlign w:val="bottom"/>
            <w:tcBorders>
              <w:bottom w:val="single" w:sz="8" w:color="477258"/>
            </w:tcBorders>
          </w:tcPr>
          <w:p>
            <w:pPr>
              <w:jc w:val="right"/>
              <w:ind w:right="657"/>
              <w:spacing w:after="0"/>
              <w:rPr>
                <w:sz w:val="20"/>
                <w:szCs w:val="20"/>
                <w:color w:val="auto"/>
              </w:rPr>
            </w:pPr>
            <w:r>
              <w:rPr>
                <w:rFonts w:ascii="Arial" w:cs="Arial" w:eastAsia="Arial" w:hAnsi="Arial"/>
                <w:sz w:val="18"/>
                <w:szCs w:val="18"/>
                <w:color w:val="auto"/>
              </w:rPr>
              <w:t>12,468</w:t>
            </w:r>
          </w:p>
        </w:tc>
        <w:tc>
          <w:tcPr>
            <w:tcW w:w="1460" w:type="dxa"/>
            <w:vAlign w:val="bottom"/>
            <w:tcBorders>
              <w:bottom w:val="single" w:sz="8" w:color="477258"/>
            </w:tcBorders>
          </w:tcPr>
          <w:p>
            <w:pPr>
              <w:jc w:val="right"/>
              <w:ind w:right="155"/>
              <w:spacing w:after="0"/>
              <w:rPr>
                <w:sz w:val="20"/>
                <w:szCs w:val="20"/>
                <w:color w:val="auto"/>
              </w:rPr>
            </w:pPr>
            <w:r>
              <w:rPr>
                <w:rFonts w:ascii="Arial" w:cs="Arial" w:eastAsia="Arial" w:hAnsi="Arial"/>
                <w:sz w:val="18"/>
                <w:szCs w:val="18"/>
                <w:color w:val="auto"/>
              </w:rPr>
              <w:t>741,459</w:t>
            </w:r>
          </w:p>
        </w:tc>
        <w:tc>
          <w:tcPr>
            <w:tcW w:w="120" w:type="dxa"/>
            <w:vAlign w:val="bottom"/>
            <w:tcBorders>
              <w:bottom w:val="single" w:sz="8" w:color="477258"/>
            </w:tcBorders>
          </w:tcPr>
          <w:p>
            <w:pPr>
              <w:spacing w:after="0"/>
              <w:rPr>
                <w:sz w:val="22"/>
                <w:szCs w:val="22"/>
                <w:color w:val="auto"/>
              </w:rPr>
            </w:pPr>
          </w:p>
        </w:tc>
        <w:tc>
          <w:tcPr>
            <w:tcW w:w="2000" w:type="dxa"/>
            <w:vAlign w:val="bottom"/>
            <w:tcBorders>
              <w:bottom w:val="single" w:sz="8" w:color="477258"/>
            </w:tcBorders>
          </w:tcPr>
          <w:p>
            <w:pPr>
              <w:jc w:val="right"/>
              <w:ind w:right="577"/>
              <w:spacing w:after="0"/>
              <w:rPr>
                <w:sz w:val="20"/>
                <w:szCs w:val="20"/>
                <w:color w:val="auto"/>
              </w:rPr>
            </w:pPr>
            <w:r>
              <w:rPr>
                <w:rFonts w:ascii="Arial" w:cs="Arial" w:eastAsia="Arial" w:hAnsi="Arial"/>
                <w:sz w:val="18"/>
                <w:szCs w:val="18"/>
                <w:color w:val="auto"/>
              </w:rPr>
              <w:t>18,474</w:t>
            </w:r>
          </w:p>
        </w:tc>
        <w:tc>
          <w:tcPr>
            <w:tcW w:w="1460" w:type="dxa"/>
            <w:vAlign w:val="bottom"/>
            <w:tcBorders>
              <w:bottom w:val="single" w:sz="8" w:color="477258"/>
            </w:tcBorders>
          </w:tcPr>
          <w:p>
            <w:pPr>
              <w:jc w:val="right"/>
              <w:ind w:right="75"/>
              <w:spacing w:after="0"/>
              <w:rPr>
                <w:sz w:val="20"/>
                <w:szCs w:val="20"/>
                <w:color w:val="auto"/>
              </w:rPr>
            </w:pPr>
            <w:r>
              <w:rPr>
                <w:rFonts w:ascii="Arial" w:cs="Arial" w:eastAsia="Arial" w:hAnsi="Arial"/>
                <w:sz w:val="18"/>
                <w:szCs w:val="18"/>
                <w:color w:val="auto"/>
              </w:rPr>
              <w:t>2,063,918</w:t>
            </w:r>
          </w:p>
        </w:tc>
        <w:tc>
          <w:tcPr>
            <w:tcW w:w="40" w:type="dxa"/>
            <w:vAlign w:val="bottom"/>
            <w:tcBorders>
              <w:bottom w:val="single" w:sz="8" w:color="477258"/>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Steven R.</w:t>
            </w:r>
          </w:p>
        </w:tc>
        <w:tc>
          <w:tcPr>
            <w:tcW w:w="20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Batchelor</w:t>
            </w:r>
          </w:p>
        </w:tc>
        <w:tc>
          <w:tcPr>
            <w:tcW w:w="204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8"/>
                <w:szCs w:val="18"/>
                <w:color w:val="auto"/>
              </w:rPr>
              <w:t>41,463</w:t>
            </w:r>
          </w:p>
        </w:tc>
        <w:tc>
          <w:tcPr>
            <w:tcW w:w="14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3,317,942</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8"/>
                <w:szCs w:val="18"/>
                <w:color w:val="auto"/>
              </w:rPr>
              <w:t>3,470</w:t>
            </w: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388,089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477258"/>
          </w:tcPr>
          <w:p>
            <w:pPr>
              <w:spacing w:after="0" w:line="20" w:lineRule="exact"/>
              <w:rPr>
                <w:sz w:val="1"/>
                <w:szCs w:val="1"/>
                <w:color w:val="auto"/>
              </w:rPr>
            </w:pPr>
          </w:p>
        </w:tc>
        <w:tc>
          <w:tcPr>
            <w:tcW w:w="2040" w:type="dxa"/>
            <w:vAlign w:val="bottom"/>
            <w:shd w:val="clear" w:color="auto" w:fill="477258"/>
          </w:tcPr>
          <w:p>
            <w:pPr>
              <w:spacing w:after="0" w:line="20" w:lineRule="exact"/>
              <w:rPr>
                <w:sz w:val="1"/>
                <w:szCs w:val="1"/>
                <w:color w:val="auto"/>
              </w:rPr>
            </w:pPr>
          </w:p>
        </w:tc>
        <w:tc>
          <w:tcPr>
            <w:tcW w:w="1460" w:type="dxa"/>
            <w:vAlign w:val="bottom"/>
            <w:shd w:val="clear" w:color="auto" w:fill="477258"/>
          </w:tcPr>
          <w:p>
            <w:pPr>
              <w:spacing w:after="0" w:line="20" w:lineRule="exact"/>
              <w:rPr>
                <w:sz w:val="1"/>
                <w:szCs w:val="1"/>
                <w:color w:val="auto"/>
              </w:rPr>
            </w:pPr>
          </w:p>
        </w:tc>
        <w:tc>
          <w:tcPr>
            <w:tcW w:w="120" w:type="dxa"/>
            <w:vAlign w:val="bottom"/>
            <w:shd w:val="clear" w:color="auto" w:fill="477258"/>
          </w:tcPr>
          <w:p>
            <w:pPr>
              <w:spacing w:after="0" w:line="20" w:lineRule="exact"/>
              <w:rPr>
                <w:sz w:val="1"/>
                <w:szCs w:val="1"/>
                <w:color w:val="auto"/>
              </w:rPr>
            </w:pPr>
          </w:p>
        </w:tc>
        <w:tc>
          <w:tcPr>
            <w:tcW w:w="2000" w:type="dxa"/>
            <w:vAlign w:val="bottom"/>
            <w:shd w:val="clear" w:color="auto" w:fill="477258"/>
          </w:tcPr>
          <w:p>
            <w:pPr>
              <w:spacing w:after="0" w:line="20" w:lineRule="exact"/>
              <w:rPr>
                <w:sz w:val="1"/>
                <w:szCs w:val="1"/>
                <w:color w:val="auto"/>
              </w:rPr>
            </w:pPr>
          </w:p>
        </w:tc>
        <w:tc>
          <w:tcPr>
            <w:tcW w:w="1460" w:type="dxa"/>
            <w:vAlign w:val="bottom"/>
            <w:shd w:val="clear" w:color="auto" w:fill="477258"/>
          </w:tcPr>
          <w:p>
            <w:pPr>
              <w:spacing w:after="0" w:line="20" w:lineRule="exact"/>
              <w:rPr>
                <w:sz w:val="1"/>
                <w:szCs w:val="1"/>
                <w:color w:val="auto"/>
              </w:rPr>
            </w:pPr>
          </w:p>
        </w:tc>
        <w:tc>
          <w:tcPr>
            <w:tcW w:w="40" w:type="dxa"/>
            <w:vAlign w:val="bottom"/>
            <w:shd w:val="clear" w:color="auto" w:fill="4772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1180" w:hanging="364"/>
        <w:spacing w:after="0" w:line="256"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number of net shares were received, after withholdings and the sale of shares to cover option costs and taxes: Mr. Fish — 19,540; Ms. Rankin — 8,144; Mr. Morris — 7,334; Ms. Hemmer — 3,631 and Mr. Batchelor — 16,267.</w:t>
      </w:r>
    </w:p>
    <w:p>
      <w:pPr>
        <w:spacing w:after="0" w:line="93" w:lineRule="exact"/>
        <w:rPr>
          <w:rFonts w:ascii="Arial" w:cs="Arial" w:eastAsia="Arial" w:hAnsi="Arial"/>
          <w:sz w:val="18"/>
          <w:szCs w:val="18"/>
          <w:color w:val="auto"/>
        </w:rPr>
      </w:pPr>
    </w:p>
    <w:p>
      <w:pPr>
        <w:jc w:val="both"/>
        <w:ind w:left="1180" w:hanging="364"/>
        <w:spacing w:after="0" w:line="252"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shares of the Company’s Common Stock issued on account of PSUs granted in 2018 with a performance period ended December 31, 2020. The determination of achievement of performance results and corresponding vesting of such PSUs was performed by the MD&amp;C Committee in February 2021. Following such determination, shares of the Company’s Common Stock earned under this award were issued on February 18, 2021, based on the average of the high and low market price of our Common Stock on that date. Also includes the following number of RSUs that vested in 2020: Ms. Hemmer — 1,331 and Mr. Batchelor — 592. The value of RSUs realized on vesting was calculated using the average of the high and low market price of our Common Stock on the date of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-149860</wp:posOffset>
            </wp:positionV>
            <wp:extent cx="454660" cy="1200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54660" cy="12001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Nonqualified Deferred Compensation in 2020</w:t>
      </w:r>
    </w:p>
    <w:p>
      <w:pPr>
        <w:spacing w:after="0" w:line="130"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Each of our named executive officers is eligible to participate in our 409A Deferral Plan and may elect to defer receipt of portions of their base salary and cash incentives in excess of the annual compensation threshold established under Section 401(a)(17) of the IRC, referred to as the “Threshold.” As of 2020, the Threshold was $285,000. The plan provides that eligible employees may defer for payment at a future date (a) up to 25% of base salary and up to 100% of annual cash incentives payable after the aggregate of such compensation components reaches the Threshold;</w:t>
      </w:r>
    </w:p>
    <w:p>
      <w:pPr>
        <w:spacing w:after="0" w:line="2" w:lineRule="exact"/>
        <w:rPr>
          <w:sz w:val="20"/>
          <w:szCs w:val="20"/>
          <w:color w:val="auto"/>
        </w:rPr>
      </w:pPr>
    </w:p>
    <w:p>
      <w:pPr>
        <w:jc w:val="both"/>
        <w:ind w:left="820" w:hanging="4"/>
        <w:spacing w:after="0" w:line="251" w:lineRule="auto"/>
        <w:tabs>
          <w:tab w:leader="none" w:pos="11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receipt of any RSUs and (c) receipt of any PSUs. The Company match provided under the 409A Deferral Plan is dollar for dollar on the employee’s deferrals, up to 3% of the employee’s aggregate base salary and cash incentives in excess of the Threshold, and fifty cents on the dollar on the employee’s deferrals, in excess of 3% and up to 6% of the employee’s aggregate base salary and cash incentives in excess of the Threshold. Additional deferral contributions will not be matched but will be tax-deferred. Amounts deferred under this plan are allocated into accounts that mirror selected investment funds in our 401(k) Retirement Savings Plan, including a Company stock fund, although the amounts deferred are not actually invested in stock or funds. There is no Company match on deferred RSUs or PSUs, but the Company makes a cash payment of dividend equivalents on the shares deferred at the same time and at the same rate as dividends on the Company’s Common Stock.</w:t>
      </w:r>
    </w:p>
    <w:p>
      <w:pPr>
        <w:spacing w:after="0" w:line="200" w:lineRule="exact"/>
        <w:rPr>
          <w:sz w:val="20"/>
          <w:szCs w:val="20"/>
          <w:color w:val="auto"/>
        </w:rPr>
      </w:pPr>
    </w:p>
    <w:p>
      <w:pPr>
        <w:spacing w:after="0" w:line="336"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Participating employees generally can elect to receive distributions commencing six months 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99"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480" w:type="dxa"/>
            <w:vAlign w:val="bottom"/>
          </w:tcPr>
          <w:p>
            <w:pPr>
              <w:jc w:val="right"/>
              <w:ind w:right="59"/>
              <w:spacing w:after="0"/>
              <w:rPr>
                <w:sz w:val="20"/>
                <w:szCs w:val="20"/>
                <w:color w:val="auto"/>
              </w:rPr>
            </w:pPr>
            <w:r>
              <w:rPr>
                <w:rFonts w:ascii="Arial" w:cs="Arial" w:eastAsia="Arial" w:hAnsi="Arial"/>
                <w:sz w:val="14"/>
                <w:szCs w:val="14"/>
                <w:b w:val="1"/>
                <w:bCs w:val="1"/>
                <w:color w:val="477258"/>
              </w:rPr>
              <w:t>Executive</w:t>
            </w:r>
          </w:p>
        </w:tc>
        <w:tc>
          <w:tcPr>
            <w:tcW w:w="1240" w:type="dxa"/>
            <w:vAlign w:val="bottom"/>
          </w:tcPr>
          <w:p>
            <w:pPr>
              <w:jc w:val="right"/>
              <w:ind w:right="39"/>
              <w:spacing w:after="0"/>
              <w:rPr>
                <w:sz w:val="20"/>
                <w:szCs w:val="20"/>
                <w:color w:val="auto"/>
              </w:rPr>
            </w:pPr>
            <w:r>
              <w:rPr>
                <w:rFonts w:ascii="Arial" w:cs="Arial" w:eastAsia="Arial" w:hAnsi="Arial"/>
                <w:sz w:val="14"/>
                <w:szCs w:val="14"/>
                <w:b w:val="1"/>
                <w:bCs w:val="1"/>
                <w:color w:val="477258"/>
              </w:rPr>
              <w:t>Registrant</w:t>
            </w: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477258"/>
              </w:rPr>
              <w:t>Aggregate</w:t>
            </w: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48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Contributions</w:t>
            </w:r>
          </w:p>
        </w:tc>
        <w:tc>
          <w:tcPr>
            <w:tcW w:w="124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Contributions</w:t>
            </w:r>
          </w:p>
        </w:tc>
        <w:tc>
          <w:tcPr>
            <w:tcW w:w="100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Earnings</w:t>
            </w:r>
          </w:p>
        </w:tc>
        <w:tc>
          <w:tcPr>
            <w:tcW w:w="15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477258"/>
              </w:rPr>
              <w:t>Aggregate</w:t>
            </w: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477258"/>
              </w:rPr>
              <w:t>Aggregate Balance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48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in Last</w:t>
            </w:r>
          </w:p>
        </w:tc>
        <w:tc>
          <w:tcPr>
            <w:tcW w:w="124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in Last</w:t>
            </w:r>
          </w:p>
        </w:tc>
        <w:tc>
          <w:tcPr>
            <w:tcW w:w="100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in Last</w:t>
            </w:r>
          </w:p>
        </w:tc>
        <w:tc>
          <w:tcPr>
            <w:tcW w:w="156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48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477258"/>
              </w:rPr>
              <w:t>Fiscal</w:t>
            </w:r>
          </w:p>
        </w:tc>
        <w:tc>
          <w:tcPr>
            <w:tcW w:w="124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Fiscal</w:t>
            </w:r>
          </w:p>
        </w:tc>
        <w:tc>
          <w:tcPr>
            <w:tcW w:w="100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477258"/>
              </w:rPr>
              <w:t>Fiscal</w:t>
            </w:r>
          </w:p>
        </w:tc>
        <w:tc>
          <w:tcPr>
            <w:tcW w:w="1560" w:type="dxa"/>
            <w:vAlign w:val="bottom"/>
          </w:tcPr>
          <w:p>
            <w:pPr>
              <w:jc w:val="right"/>
              <w:ind w:right="17"/>
              <w:spacing w:after="0" w:line="135" w:lineRule="exact"/>
              <w:rPr>
                <w:sz w:val="20"/>
                <w:szCs w:val="20"/>
                <w:color w:val="auto"/>
              </w:rPr>
            </w:pPr>
            <w:r>
              <w:rPr>
                <w:rFonts w:ascii="Arial" w:cs="Arial" w:eastAsia="Arial" w:hAnsi="Arial"/>
                <w:sz w:val="14"/>
                <w:szCs w:val="14"/>
                <w:b w:val="1"/>
                <w:bCs w:val="1"/>
                <w:color w:val="477258"/>
              </w:rPr>
              <w:t>Withdrawals/</w:t>
            </w:r>
          </w:p>
        </w:tc>
        <w:tc>
          <w:tcPr>
            <w:tcW w:w="160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at Last Fiscal</w:t>
            </w:r>
          </w:p>
        </w:tc>
        <w:tc>
          <w:tcPr>
            <w:tcW w:w="0" w:type="dxa"/>
            <w:vAlign w:val="bottom"/>
          </w:tcPr>
          <w:p>
            <w:pPr>
              <w:spacing w:after="0"/>
              <w:rPr>
                <w:sz w:val="1"/>
                <w:szCs w:val="1"/>
                <w:color w:val="auto"/>
              </w:rPr>
            </w:pPr>
          </w:p>
        </w:tc>
      </w:tr>
      <w:tr>
        <w:trPr>
          <w:trHeight w:val="216"/>
        </w:trPr>
        <w:tc>
          <w:tcPr>
            <w:tcW w:w="2180" w:type="dxa"/>
            <w:vAlign w:val="bottom"/>
            <w:tcBorders>
              <w:bottom w:val="single" w:sz="8" w:color="477258"/>
            </w:tcBorders>
          </w:tcPr>
          <w:p>
            <w:pPr>
              <w:ind w:left="20"/>
              <w:spacing w:after="0"/>
              <w:rPr>
                <w:sz w:val="20"/>
                <w:szCs w:val="20"/>
                <w:color w:val="auto"/>
              </w:rPr>
            </w:pPr>
            <w:r>
              <w:rPr>
                <w:rFonts w:ascii="Arial" w:cs="Arial" w:eastAsia="Arial" w:hAnsi="Arial"/>
                <w:sz w:val="14"/>
                <w:szCs w:val="14"/>
                <w:b w:val="1"/>
                <w:bCs w:val="1"/>
                <w:color w:val="477258"/>
              </w:rPr>
              <w:t>Name</w:t>
            </w:r>
          </w:p>
        </w:tc>
        <w:tc>
          <w:tcPr>
            <w:tcW w:w="1480" w:type="dxa"/>
            <w:vAlign w:val="bottom"/>
            <w:tcBorders>
              <w:bottom w:val="single" w:sz="8" w:color="477258"/>
            </w:tcBorders>
          </w:tcPr>
          <w:p>
            <w:pPr>
              <w:jc w:val="right"/>
              <w:ind w:right="19"/>
              <w:spacing w:after="0" w:line="216" w:lineRule="exact"/>
              <w:rPr>
                <w:sz w:val="20"/>
                <w:szCs w:val="20"/>
                <w:color w:val="auto"/>
              </w:rPr>
            </w:pPr>
            <w:r>
              <w:rPr>
                <w:rFonts w:ascii="Arial" w:cs="Arial" w:eastAsia="Arial" w:hAnsi="Arial"/>
                <w:sz w:val="14"/>
                <w:szCs w:val="14"/>
                <w:b w:val="1"/>
                <w:bCs w:val="1"/>
                <w:color w:val="477258"/>
              </w:rPr>
              <w:t>Year ($)</w:t>
            </w:r>
            <w:r>
              <w:rPr>
                <w:rFonts w:ascii="Arial" w:cs="Arial" w:eastAsia="Arial" w:hAnsi="Arial"/>
                <w:sz w:val="21"/>
                <w:szCs w:val="21"/>
                <w:b w:val="1"/>
                <w:bCs w:val="1"/>
                <w:color w:val="477258"/>
                <w:vertAlign w:val="superscript"/>
              </w:rPr>
              <w:t>(1)</w:t>
            </w:r>
          </w:p>
        </w:tc>
        <w:tc>
          <w:tcPr>
            <w:tcW w:w="1240" w:type="dxa"/>
            <w:vAlign w:val="bottom"/>
            <w:tcBorders>
              <w:bottom w:val="single" w:sz="8" w:color="477258"/>
            </w:tcBorders>
          </w:tcPr>
          <w:p>
            <w:pPr>
              <w:jc w:val="right"/>
              <w:spacing w:after="0" w:line="216" w:lineRule="exact"/>
              <w:rPr>
                <w:sz w:val="20"/>
                <w:szCs w:val="20"/>
                <w:color w:val="auto"/>
              </w:rPr>
            </w:pPr>
            <w:r>
              <w:rPr>
                <w:rFonts w:ascii="Arial" w:cs="Arial" w:eastAsia="Arial" w:hAnsi="Arial"/>
                <w:sz w:val="14"/>
                <w:szCs w:val="14"/>
                <w:b w:val="1"/>
                <w:bCs w:val="1"/>
                <w:color w:val="477258"/>
              </w:rPr>
              <w:t>Year ($)</w:t>
            </w:r>
            <w:r>
              <w:rPr>
                <w:rFonts w:ascii="Arial" w:cs="Arial" w:eastAsia="Arial" w:hAnsi="Arial"/>
                <w:sz w:val="21"/>
                <w:szCs w:val="21"/>
                <w:b w:val="1"/>
                <w:bCs w:val="1"/>
                <w:color w:val="477258"/>
                <w:vertAlign w:val="superscript"/>
              </w:rPr>
              <w:t>(2)</w:t>
            </w:r>
          </w:p>
        </w:tc>
        <w:tc>
          <w:tcPr>
            <w:tcW w:w="1000" w:type="dxa"/>
            <w:vAlign w:val="bottom"/>
            <w:tcBorders>
              <w:bottom w:val="single" w:sz="8" w:color="477258"/>
            </w:tcBorders>
          </w:tcPr>
          <w:p>
            <w:pPr>
              <w:jc w:val="right"/>
              <w:spacing w:after="0" w:line="216" w:lineRule="exact"/>
              <w:rPr>
                <w:sz w:val="20"/>
                <w:szCs w:val="20"/>
                <w:color w:val="auto"/>
              </w:rPr>
            </w:pPr>
            <w:r>
              <w:rPr>
                <w:rFonts w:ascii="Arial" w:cs="Arial" w:eastAsia="Arial" w:hAnsi="Arial"/>
                <w:sz w:val="14"/>
                <w:szCs w:val="14"/>
                <w:b w:val="1"/>
                <w:bCs w:val="1"/>
                <w:color w:val="477258"/>
              </w:rPr>
              <w:t>Year ($)</w:t>
            </w:r>
            <w:r>
              <w:rPr>
                <w:rFonts w:ascii="Arial" w:cs="Arial" w:eastAsia="Arial" w:hAnsi="Arial"/>
                <w:sz w:val="21"/>
                <w:szCs w:val="21"/>
                <w:b w:val="1"/>
                <w:bCs w:val="1"/>
                <w:color w:val="477258"/>
                <w:vertAlign w:val="superscript"/>
              </w:rPr>
              <w:t>(3)</w:t>
            </w:r>
          </w:p>
        </w:tc>
        <w:tc>
          <w:tcPr>
            <w:tcW w:w="1560" w:type="dxa"/>
            <w:vAlign w:val="bottom"/>
            <w:tcBorders>
              <w:bottom w:val="single" w:sz="8" w:color="477258"/>
            </w:tcBorders>
          </w:tcPr>
          <w:p>
            <w:pPr>
              <w:jc w:val="right"/>
              <w:ind w:right="17"/>
              <w:spacing w:after="0" w:line="216" w:lineRule="exact"/>
              <w:rPr>
                <w:sz w:val="20"/>
                <w:szCs w:val="20"/>
                <w:color w:val="auto"/>
              </w:rPr>
            </w:pPr>
            <w:r>
              <w:rPr>
                <w:rFonts w:ascii="Arial" w:cs="Arial" w:eastAsia="Arial" w:hAnsi="Arial"/>
                <w:sz w:val="14"/>
                <w:szCs w:val="14"/>
                <w:b w:val="1"/>
                <w:bCs w:val="1"/>
                <w:color w:val="477258"/>
              </w:rPr>
              <w:t>Distributions ($)</w:t>
            </w:r>
            <w:r>
              <w:rPr>
                <w:rFonts w:ascii="Arial" w:cs="Arial" w:eastAsia="Arial" w:hAnsi="Arial"/>
                <w:sz w:val="21"/>
                <w:szCs w:val="21"/>
                <w:b w:val="1"/>
                <w:bCs w:val="1"/>
                <w:color w:val="477258"/>
                <w:vertAlign w:val="superscript"/>
              </w:rPr>
              <w:t>(4)</w:t>
            </w:r>
          </w:p>
        </w:tc>
        <w:tc>
          <w:tcPr>
            <w:tcW w:w="1600" w:type="dxa"/>
            <w:vAlign w:val="bottom"/>
            <w:tcBorders>
              <w:bottom w:val="single" w:sz="8" w:color="477258"/>
            </w:tcBorders>
          </w:tcPr>
          <w:p>
            <w:pPr>
              <w:jc w:val="right"/>
              <w:spacing w:after="0" w:line="216" w:lineRule="exact"/>
              <w:rPr>
                <w:sz w:val="20"/>
                <w:szCs w:val="20"/>
                <w:color w:val="auto"/>
              </w:rPr>
            </w:pPr>
            <w:r>
              <w:rPr>
                <w:rFonts w:ascii="Arial" w:cs="Arial" w:eastAsia="Arial" w:hAnsi="Arial"/>
                <w:sz w:val="14"/>
                <w:szCs w:val="14"/>
                <w:b w:val="1"/>
                <w:bCs w:val="1"/>
                <w:color w:val="477258"/>
              </w:rPr>
              <w:t>Year End ($)</w:t>
            </w:r>
            <w:r>
              <w:rPr>
                <w:rFonts w:ascii="Arial" w:cs="Arial" w:eastAsia="Arial" w:hAnsi="Arial"/>
                <w:sz w:val="21"/>
                <w:szCs w:val="21"/>
                <w:b w:val="1"/>
                <w:bCs w:val="1"/>
                <w:color w:val="477258"/>
                <w:vertAlign w:val="superscript"/>
              </w:rPr>
              <w:t>(5)</w:t>
            </w:r>
          </w:p>
        </w:tc>
        <w:tc>
          <w:tcPr>
            <w:tcW w:w="0" w:type="dxa"/>
            <w:vAlign w:val="bottom"/>
          </w:tcPr>
          <w:p>
            <w:pPr>
              <w:spacing w:after="0"/>
              <w:rPr>
                <w:sz w:val="1"/>
                <w:szCs w:val="1"/>
                <w:color w:val="auto"/>
              </w:rPr>
            </w:pPr>
          </w:p>
        </w:tc>
      </w:tr>
      <w:tr>
        <w:trPr>
          <w:trHeight w:val="257"/>
        </w:trPr>
        <w:tc>
          <w:tcPr>
            <w:tcW w:w="218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James C. Fish, Jr.</w:t>
            </w:r>
          </w:p>
        </w:tc>
        <w:tc>
          <w:tcPr>
            <w:tcW w:w="1480" w:type="dxa"/>
            <w:vAlign w:val="bottom"/>
            <w:tcBorders>
              <w:bottom w:val="single" w:sz="8" w:color="477258"/>
            </w:tcBorders>
            <w:shd w:val="clear" w:color="auto" w:fill="CCEEFF"/>
          </w:tcPr>
          <w:p>
            <w:pPr>
              <w:jc w:val="right"/>
              <w:ind w:right="159"/>
              <w:spacing w:after="0"/>
              <w:rPr>
                <w:sz w:val="20"/>
                <w:szCs w:val="20"/>
                <w:color w:val="auto"/>
              </w:rPr>
            </w:pPr>
            <w:r>
              <w:rPr>
                <w:rFonts w:ascii="Arial" w:cs="Arial" w:eastAsia="Arial" w:hAnsi="Arial"/>
                <w:sz w:val="18"/>
                <w:szCs w:val="18"/>
                <w:color w:val="auto"/>
              </w:rPr>
              <w:t>164,029</w:t>
            </w:r>
          </w:p>
        </w:tc>
        <w:tc>
          <w:tcPr>
            <w:tcW w:w="1240" w:type="dxa"/>
            <w:vAlign w:val="bottom"/>
            <w:tcBorders>
              <w:bottom w:val="single" w:sz="8" w:color="477258"/>
            </w:tcBorders>
            <w:shd w:val="clear" w:color="auto" w:fill="CCEEFF"/>
          </w:tcPr>
          <w:p>
            <w:pPr>
              <w:jc w:val="right"/>
              <w:ind w:right="199"/>
              <w:spacing w:after="0"/>
              <w:rPr>
                <w:sz w:val="20"/>
                <w:szCs w:val="20"/>
                <w:color w:val="auto"/>
              </w:rPr>
            </w:pPr>
            <w:r>
              <w:rPr>
                <w:rFonts w:ascii="Arial" w:cs="Arial" w:eastAsia="Arial" w:hAnsi="Arial"/>
                <w:sz w:val="18"/>
                <w:szCs w:val="18"/>
                <w:color w:val="auto"/>
              </w:rPr>
              <w:t>78,676</w:t>
            </w:r>
          </w:p>
        </w:tc>
        <w:tc>
          <w:tcPr>
            <w:tcW w:w="1000" w:type="dxa"/>
            <w:vAlign w:val="bottom"/>
            <w:tcBorders>
              <w:bottom w:val="single" w:sz="8" w:color="477258"/>
            </w:tcBorders>
            <w:shd w:val="clear" w:color="auto" w:fill="CCEEFF"/>
          </w:tcPr>
          <w:p>
            <w:pPr>
              <w:jc w:val="right"/>
              <w:ind w:right="39"/>
              <w:spacing w:after="0"/>
              <w:rPr>
                <w:sz w:val="20"/>
                <w:szCs w:val="20"/>
                <w:color w:val="auto"/>
              </w:rPr>
            </w:pPr>
            <w:r>
              <w:rPr>
                <w:rFonts w:ascii="Arial" w:cs="Arial" w:eastAsia="Arial" w:hAnsi="Arial"/>
                <w:sz w:val="18"/>
                <w:szCs w:val="18"/>
                <w:color w:val="auto"/>
              </w:rPr>
              <w:t>842,985</w:t>
            </w:r>
          </w:p>
        </w:tc>
        <w:tc>
          <w:tcPr>
            <w:tcW w:w="1560" w:type="dxa"/>
            <w:vAlign w:val="bottom"/>
            <w:tcBorders>
              <w:bottom w:val="single" w:sz="8" w:color="477258"/>
            </w:tcBorders>
            <w:shd w:val="clear" w:color="auto" w:fill="CCEEFF"/>
          </w:tcPr>
          <w:p>
            <w:pPr>
              <w:jc w:val="right"/>
              <w:ind w:right="317"/>
              <w:spacing w:after="0"/>
              <w:rPr>
                <w:sz w:val="20"/>
                <w:szCs w:val="20"/>
                <w:color w:val="auto"/>
              </w:rPr>
            </w:pPr>
            <w:r>
              <w:rPr>
                <w:rFonts w:ascii="Arial" w:cs="Arial" w:eastAsia="Arial" w:hAnsi="Arial"/>
                <w:sz w:val="18"/>
                <w:szCs w:val="18"/>
                <w:color w:val="auto"/>
              </w:rPr>
              <w:t>206,760</w:t>
            </w:r>
          </w:p>
        </w:tc>
        <w:tc>
          <w:tcPr>
            <w:tcW w:w="1600" w:type="dxa"/>
            <w:vAlign w:val="bottom"/>
            <w:tcBorders>
              <w:bottom w:val="single" w:sz="8" w:color="477258"/>
            </w:tcBorders>
            <w:shd w:val="clear" w:color="auto" w:fill="CCEEFF"/>
          </w:tcPr>
          <w:p>
            <w:pPr>
              <w:jc w:val="right"/>
              <w:ind w:right="177"/>
              <w:spacing w:after="0"/>
              <w:rPr>
                <w:sz w:val="20"/>
                <w:szCs w:val="20"/>
                <w:color w:val="auto"/>
              </w:rPr>
            </w:pPr>
            <w:r>
              <w:rPr>
                <w:rFonts w:ascii="Arial" w:cs="Arial" w:eastAsia="Arial" w:hAnsi="Arial"/>
                <w:sz w:val="18"/>
                <w:szCs w:val="18"/>
                <w:color w:val="auto"/>
              </w:rPr>
              <w:t>13,373,751</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477258"/>
            </w:tcBorders>
          </w:tcPr>
          <w:p>
            <w:pPr>
              <w:ind w:left="20"/>
              <w:spacing w:after="0"/>
              <w:rPr>
                <w:sz w:val="20"/>
                <w:szCs w:val="20"/>
                <w:color w:val="auto"/>
              </w:rPr>
            </w:pPr>
            <w:r>
              <w:rPr>
                <w:rFonts w:ascii="Arial" w:cs="Arial" w:eastAsia="Arial" w:hAnsi="Arial"/>
                <w:sz w:val="18"/>
                <w:szCs w:val="18"/>
                <w:b w:val="1"/>
                <w:bCs w:val="1"/>
                <w:color w:val="auto"/>
              </w:rPr>
              <w:t>Devina A. Rankin</w:t>
            </w:r>
          </w:p>
        </w:tc>
        <w:tc>
          <w:tcPr>
            <w:tcW w:w="1480" w:type="dxa"/>
            <w:vAlign w:val="bottom"/>
            <w:tcBorders>
              <w:bottom w:val="single" w:sz="8" w:color="477258"/>
            </w:tcBorders>
          </w:tcPr>
          <w:p>
            <w:pPr>
              <w:jc w:val="right"/>
              <w:ind w:right="159"/>
              <w:spacing w:after="0"/>
              <w:rPr>
                <w:sz w:val="20"/>
                <w:szCs w:val="20"/>
                <w:color w:val="auto"/>
              </w:rPr>
            </w:pPr>
            <w:r>
              <w:rPr>
                <w:rFonts w:ascii="Arial" w:cs="Arial" w:eastAsia="Arial" w:hAnsi="Arial"/>
                <w:sz w:val="18"/>
                <w:szCs w:val="18"/>
                <w:color w:val="auto"/>
              </w:rPr>
              <w:t>58,235</w:t>
            </w:r>
          </w:p>
        </w:tc>
        <w:tc>
          <w:tcPr>
            <w:tcW w:w="1240" w:type="dxa"/>
            <w:vAlign w:val="bottom"/>
            <w:tcBorders>
              <w:bottom w:val="single" w:sz="8" w:color="477258"/>
            </w:tcBorders>
          </w:tcPr>
          <w:p>
            <w:pPr>
              <w:jc w:val="right"/>
              <w:ind w:right="199"/>
              <w:spacing w:after="0"/>
              <w:rPr>
                <w:sz w:val="20"/>
                <w:szCs w:val="20"/>
                <w:color w:val="auto"/>
              </w:rPr>
            </w:pPr>
            <w:r>
              <w:rPr>
                <w:rFonts w:ascii="Arial" w:cs="Arial" w:eastAsia="Arial" w:hAnsi="Arial"/>
                <w:sz w:val="18"/>
                <w:szCs w:val="18"/>
                <w:color w:val="auto"/>
              </w:rPr>
              <w:t>46,479</w:t>
            </w:r>
          </w:p>
        </w:tc>
        <w:tc>
          <w:tcPr>
            <w:tcW w:w="1000" w:type="dxa"/>
            <w:vAlign w:val="bottom"/>
            <w:tcBorders>
              <w:bottom w:val="single" w:sz="8" w:color="477258"/>
            </w:tcBorders>
          </w:tcPr>
          <w:p>
            <w:pPr>
              <w:jc w:val="right"/>
              <w:ind w:right="39"/>
              <w:spacing w:after="0"/>
              <w:rPr>
                <w:sz w:val="20"/>
                <w:szCs w:val="20"/>
                <w:color w:val="auto"/>
              </w:rPr>
            </w:pPr>
            <w:r>
              <w:rPr>
                <w:rFonts w:ascii="Arial" w:cs="Arial" w:eastAsia="Arial" w:hAnsi="Arial"/>
                <w:sz w:val="18"/>
                <w:szCs w:val="18"/>
                <w:color w:val="auto"/>
              </w:rPr>
              <w:t>43,522</w:t>
            </w:r>
          </w:p>
        </w:tc>
        <w:tc>
          <w:tcPr>
            <w:tcW w:w="1560" w:type="dxa"/>
            <w:vAlign w:val="bottom"/>
            <w:tcBorders>
              <w:bottom w:val="single" w:sz="8" w:color="477258"/>
            </w:tcBorders>
          </w:tcPr>
          <w:p>
            <w:pPr>
              <w:jc w:val="right"/>
              <w:ind w:right="317"/>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477258"/>
            </w:tcBorders>
          </w:tcPr>
          <w:p>
            <w:pPr>
              <w:jc w:val="right"/>
              <w:ind w:right="177"/>
              <w:spacing w:after="0"/>
              <w:rPr>
                <w:sz w:val="20"/>
                <w:szCs w:val="20"/>
                <w:color w:val="auto"/>
              </w:rPr>
            </w:pPr>
            <w:r>
              <w:rPr>
                <w:rFonts w:ascii="Arial" w:cs="Arial" w:eastAsia="Arial" w:hAnsi="Arial"/>
                <w:sz w:val="18"/>
                <w:szCs w:val="18"/>
                <w:color w:val="auto"/>
              </w:rPr>
              <w:t>456,244</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477258"/>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John J. Morris, Jr.</w:t>
            </w:r>
          </w:p>
        </w:tc>
        <w:tc>
          <w:tcPr>
            <w:tcW w:w="1480" w:type="dxa"/>
            <w:vAlign w:val="bottom"/>
            <w:tcBorders>
              <w:bottom w:val="single" w:sz="8" w:color="477258"/>
            </w:tcBorders>
            <w:shd w:val="clear" w:color="auto" w:fill="CCEEFF"/>
          </w:tcPr>
          <w:p>
            <w:pPr>
              <w:jc w:val="right"/>
              <w:ind w:right="159"/>
              <w:spacing w:after="0"/>
              <w:rPr>
                <w:sz w:val="20"/>
                <w:szCs w:val="20"/>
                <w:color w:val="auto"/>
              </w:rPr>
            </w:pPr>
            <w:r>
              <w:rPr>
                <w:rFonts w:ascii="Arial" w:cs="Arial" w:eastAsia="Arial" w:hAnsi="Arial"/>
                <w:sz w:val="18"/>
                <w:szCs w:val="18"/>
                <w:color w:val="auto"/>
              </w:rPr>
              <w:t>30,665</w:t>
            </w:r>
          </w:p>
        </w:tc>
        <w:tc>
          <w:tcPr>
            <w:tcW w:w="1240" w:type="dxa"/>
            <w:vAlign w:val="bottom"/>
            <w:tcBorders>
              <w:bottom w:val="single" w:sz="8" w:color="477258"/>
            </w:tcBorders>
            <w:shd w:val="clear" w:color="auto" w:fill="CCEEFF"/>
          </w:tcPr>
          <w:p>
            <w:pPr>
              <w:jc w:val="right"/>
              <w:ind w:right="199"/>
              <w:spacing w:after="0"/>
              <w:rPr>
                <w:sz w:val="20"/>
                <w:szCs w:val="20"/>
                <w:color w:val="auto"/>
              </w:rPr>
            </w:pPr>
            <w:r>
              <w:rPr>
                <w:rFonts w:ascii="Arial" w:cs="Arial" w:eastAsia="Arial" w:hAnsi="Arial"/>
                <w:sz w:val="18"/>
                <w:szCs w:val="18"/>
                <w:color w:val="auto"/>
              </w:rPr>
              <w:t>25,659</w:t>
            </w:r>
          </w:p>
        </w:tc>
        <w:tc>
          <w:tcPr>
            <w:tcW w:w="1000" w:type="dxa"/>
            <w:vAlign w:val="bottom"/>
            <w:tcBorders>
              <w:bottom w:val="single" w:sz="8" w:color="477258"/>
            </w:tcBorders>
            <w:shd w:val="clear" w:color="auto" w:fill="CCEEFF"/>
          </w:tcPr>
          <w:p>
            <w:pPr>
              <w:jc w:val="right"/>
              <w:ind w:right="39"/>
              <w:spacing w:after="0"/>
              <w:rPr>
                <w:sz w:val="20"/>
                <w:szCs w:val="20"/>
                <w:color w:val="auto"/>
              </w:rPr>
            </w:pPr>
            <w:r>
              <w:rPr>
                <w:rFonts w:ascii="Arial" w:cs="Arial" w:eastAsia="Arial" w:hAnsi="Arial"/>
                <w:sz w:val="18"/>
                <w:szCs w:val="18"/>
                <w:color w:val="auto"/>
              </w:rPr>
              <w:t>319,414</w:t>
            </w:r>
          </w:p>
        </w:tc>
        <w:tc>
          <w:tcPr>
            <w:tcW w:w="1560" w:type="dxa"/>
            <w:vAlign w:val="bottom"/>
            <w:tcBorders>
              <w:bottom w:val="single" w:sz="8" w:color="477258"/>
            </w:tcBorders>
            <w:shd w:val="clear" w:color="auto" w:fill="CCEEFF"/>
          </w:tcPr>
          <w:p>
            <w:pPr>
              <w:jc w:val="right"/>
              <w:ind w:right="317"/>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477258"/>
            </w:tcBorders>
            <w:shd w:val="clear" w:color="auto" w:fill="CCEEFF"/>
          </w:tcPr>
          <w:p>
            <w:pPr>
              <w:jc w:val="right"/>
              <w:ind w:right="177"/>
              <w:spacing w:after="0"/>
              <w:rPr>
                <w:sz w:val="20"/>
                <w:szCs w:val="20"/>
                <w:color w:val="auto"/>
              </w:rPr>
            </w:pPr>
            <w:r>
              <w:rPr>
                <w:rFonts w:ascii="Arial" w:cs="Arial" w:eastAsia="Arial" w:hAnsi="Arial"/>
                <w:sz w:val="18"/>
                <w:szCs w:val="18"/>
                <w:color w:val="auto"/>
              </w:rPr>
              <w:t>2,106,832</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477258"/>
            </w:tcBorders>
          </w:tcPr>
          <w:p>
            <w:pPr>
              <w:ind w:left="20"/>
              <w:spacing w:after="0"/>
              <w:rPr>
                <w:sz w:val="20"/>
                <w:szCs w:val="20"/>
                <w:color w:val="auto"/>
              </w:rPr>
            </w:pPr>
            <w:r>
              <w:rPr>
                <w:rFonts w:ascii="Arial" w:cs="Arial" w:eastAsia="Arial" w:hAnsi="Arial"/>
                <w:sz w:val="18"/>
                <w:szCs w:val="18"/>
                <w:b w:val="1"/>
                <w:bCs w:val="1"/>
                <w:color w:val="auto"/>
              </w:rPr>
              <w:t>Tara J. Hemmer</w:t>
            </w:r>
          </w:p>
        </w:tc>
        <w:tc>
          <w:tcPr>
            <w:tcW w:w="1480" w:type="dxa"/>
            <w:vAlign w:val="bottom"/>
            <w:tcBorders>
              <w:bottom w:val="single" w:sz="8" w:color="477258"/>
            </w:tcBorders>
          </w:tcPr>
          <w:p>
            <w:pPr>
              <w:jc w:val="right"/>
              <w:ind w:right="159"/>
              <w:spacing w:after="0"/>
              <w:rPr>
                <w:sz w:val="20"/>
                <w:szCs w:val="20"/>
                <w:color w:val="auto"/>
              </w:rPr>
            </w:pPr>
            <w:r>
              <w:rPr>
                <w:rFonts w:ascii="Arial" w:cs="Arial" w:eastAsia="Arial" w:hAnsi="Arial"/>
                <w:sz w:val="18"/>
                <w:szCs w:val="18"/>
                <w:color w:val="auto"/>
              </w:rPr>
              <w:t>57,642</w:t>
            </w:r>
          </w:p>
        </w:tc>
        <w:tc>
          <w:tcPr>
            <w:tcW w:w="1240" w:type="dxa"/>
            <w:vAlign w:val="bottom"/>
            <w:tcBorders>
              <w:bottom w:val="single" w:sz="8" w:color="477258"/>
            </w:tcBorders>
          </w:tcPr>
          <w:p>
            <w:pPr>
              <w:jc w:val="right"/>
              <w:ind w:right="199"/>
              <w:spacing w:after="0"/>
              <w:rPr>
                <w:sz w:val="20"/>
                <w:szCs w:val="20"/>
                <w:color w:val="auto"/>
              </w:rPr>
            </w:pPr>
            <w:r>
              <w:rPr>
                <w:rFonts w:ascii="Arial" w:cs="Arial" w:eastAsia="Arial" w:hAnsi="Arial"/>
                <w:sz w:val="18"/>
                <w:szCs w:val="18"/>
                <w:color w:val="auto"/>
              </w:rPr>
              <w:t>43,284</w:t>
            </w:r>
          </w:p>
        </w:tc>
        <w:tc>
          <w:tcPr>
            <w:tcW w:w="1000" w:type="dxa"/>
            <w:vAlign w:val="bottom"/>
            <w:tcBorders>
              <w:bottom w:val="single" w:sz="8" w:color="477258"/>
            </w:tcBorders>
          </w:tcPr>
          <w:p>
            <w:pPr>
              <w:jc w:val="right"/>
              <w:ind w:right="39"/>
              <w:spacing w:after="0"/>
              <w:rPr>
                <w:sz w:val="20"/>
                <w:szCs w:val="20"/>
                <w:color w:val="auto"/>
              </w:rPr>
            </w:pPr>
            <w:r>
              <w:rPr>
                <w:rFonts w:ascii="Arial" w:cs="Arial" w:eastAsia="Arial" w:hAnsi="Arial"/>
                <w:sz w:val="18"/>
                <w:szCs w:val="18"/>
                <w:color w:val="auto"/>
              </w:rPr>
              <w:t>72,136</w:t>
            </w:r>
          </w:p>
        </w:tc>
        <w:tc>
          <w:tcPr>
            <w:tcW w:w="1560" w:type="dxa"/>
            <w:vAlign w:val="bottom"/>
            <w:tcBorders>
              <w:bottom w:val="single" w:sz="8" w:color="477258"/>
            </w:tcBorders>
          </w:tcPr>
          <w:p>
            <w:pPr>
              <w:jc w:val="right"/>
              <w:ind w:right="317"/>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477258"/>
            </w:tcBorders>
          </w:tcPr>
          <w:p>
            <w:pPr>
              <w:jc w:val="right"/>
              <w:ind w:right="177"/>
              <w:spacing w:after="0"/>
              <w:rPr>
                <w:sz w:val="20"/>
                <w:szCs w:val="20"/>
                <w:color w:val="auto"/>
              </w:rPr>
            </w:pPr>
            <w:r>
              <w:rPr>
                <w:rFonts w:ascii="Arial" w:cs="Arial" w:eastAsia="Arial" w:hAnsi="Arial"/>
                <w:sz w:val="18"/>
                <w:szCs w:val="18"/>
                <w:color w:val="auto"/>
              </w:rPr>
              <w:t>446,739</w:t>
            </w:r>
          </w:p>
        </w:tc>
        <w:tc>
          <w:tcPr>
            <w:tcW w:w="0" w:type="dxa"/>
            <w:vAlign w:val="bottom"/>
          </w:tcPr>
          <w:p>
            <w:pPr>
              <w:spacing w:after="0"/>
              <w:rPr>
                <w:sz w:val="1"/>
                <w:szCs w:val="1"/>
                <w:color w:val="auto"/>
              </w:rPr>
            </w:pPr>
          </w:p>
        </w:tc>
      </w:tr>
      <w:tr>
        <w:trPr>
          <w:trHeight w:val="277"/>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Steven R. Batchelor</w:t>
            </w:r>
          </w:p>
        </w:tc>
        <w:tc>
          <w:tcPr>
            <w:tcW w:w="1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219,114</w:t>
            </w:r>
          </w:p>
        </w:tc>
        <w:tc>
          <w:tcPr>
            <w:tcW w:w="15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2,122,393</w:t>
            </w:r>
          </w:p>
        </w:tc>
        <w:tc>
          <w:tcPr>
            <w:tcW w:w="0" w:type="dxa"/>
            <w:vAlign w:val="bottom"/>
          </w:tcPr>
          <w:p>
            <w:pPr>
              <w:spacing w:after="0"/>
              <w:rPr>
                <w:sz w:val="1"/>
                <w:szCs w:val="1"/>
                <w:color w:val="auto"/>
              </w:rPr>
            </w:pPr>
          </w:p>
        </w:tc>
      </w:tr>
      <w:tr>
        <w:trPr>
          <w:trHeight w:val="20"/>
        </w:trPr>
        <w:tc>
          <w:tcPr>
            <w:tcW w:w="2180" w:type="dxa"/>
            <w:vAlign w:val="bottom"/>
            <w:shd w:val="clear" w:color="auto" w:fill="477258"/>
          </w:tcPr>
          <w:p>
            <w:pPr>
              <w:spacing w:after="0" w:line="20" w:lineRule="exact"/>
              <w:rPr>
                <w:sz w:val="1"/>
                <w:szCs w:val="1"/>
                <w:color w:val="auto"/>
              </w:rPr>
            </w:pPr>
          </w:p>
        </w:tc>
        <w:tc>
          <w:tcPr>
            <w:tcW w:w="1480" w:type="dxa"/>
            <w:vAlign w:val="bottom"/>
            <w:shd w:val="clear" w:color="auto" w:fill="477258"/>
          </w:tcPr>
          <w:p>
            <w:pPr>
              <w:spacing w:after="0" w:line="20" w:lineRule="exact"/>
              <w:rPr>
                <w:sz w:val="1"/>
                <w:szCs w:val="1"/>
                <w:color w:val="auto"/>
              </w:rPr>
            </w:pPr>
          </w:p>
        </w:tc>
        <w:tc>
          <w:tcPr>
            <w:tcW w:w="1240" w:type="dxa"/>
            <w:vAlign w:val="bottom"/>
            <w:shd w:val="clear" w:color="auto" w:fill="477258"/>
          </w:tcPr>
          <w:p>
            <w:pPr>
              <w:spacing w:after="0" w:line="20" w:lineRule="exact"/>
              <w:rPr>
                <w:sz w:val="1"/>
                <w:szCs w:val="1"/>
                <w:color w:val="auto"/>
              </w:rPr>
            </w:pPr>
          </w:p>
        </w:tc>
        <w:tc>
          <w:tcPr>
            <w:tcW w:w="1000" w:type="dxa"/>
            <w:vAlign w:val="bottom"/>
            <w:shd w:val="clear" w:color="auto" w:fill="477258"/>
          </w:tcPr>
          <w:p>
            <w:pPr>
              <w:spacing w:after="0" w:line="20" w:lineRule="exact"/>
              <w:rPr>
                <w:sz w:val="1"/>
                <w:szCs w:val="1"/>
                <w:color w:val="auto"/>
              </w:rPr>
            </w:pPr>
          </w:p>
        </w:tc>
        <w:tc>
          <w:tcPr>
            <w:tcW w:w="1560" w:type="dxa"/>
            <w:vAlign w:val="bottom"/>
            <w:shd w:val="clear" w:color="auto" w:fill="477258"/>
          </w:tcPr>
          <w:p>
            <w:pPr>
              <w:spacing w:after="0" w:line="20" w:lineRule="exact"/>
              <w:rPr>
                <w:sz w:val="1"/>
                <w:szCs w:val="1"/>
                <w:color w:val="auto"/>
              </w:rPr>
            </w:pPr>
          </w:p>
        </w:tc>
        <w:tc>
          <w:tcPr>
            <w:tcW w:w="1600" w:type="dxa"/>
            <w:vAlign w:val="bottom"/>
            <w:shd w:val="clear" w:color="auto" w:fill="4772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1180" w:hanging="364"/>
        <w:spacing w:after="0" w:line="256"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Contributions are made pursuant to the Company’s 409A Deferral Plan. Executive contributions of base salary and annual cash incentive compensation is included in the Salary column and the Non-Equity Incentive Plan Compensation column, respectively, of the Summary Compensation Table.</w:t>
      </w:r>
    </w:p>
    <w:p>
      <w:pPr>
        <w:spacing w:after="0" w:line="309" w:lineRule="exact"/>
        <w:rPr>
          <w:rFonts w:ascii="Arial" w:cs="Arial" w:eastAsia="Arial" w:hAnsi="Arial"/>
          <w:sz w:val="18"/>
          <w:szCs w:val="18"/>
          <w:color w:val="auto"/>
        </w:rPr>
      </w:pPr>
    </w:p>
    <w:p>
      <w:pPr>
        <w:ind w:left="1180" w:hanging="364"/>
        <w:spacing w:after="0" w:line="261"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Company contributions to the executives’ 409A Deferral Plan accounts are included in the All Other Compensation column in the Summary Compensation Table.</w:t>
      </w:r>
    </w:p>
    <w:p>
      <w:pPr>
        <w:spacing w:after="0" w:line="103" w:lineRule="exact"/>
        <w:rPr>
          <w:rFonts w:ascii="Arial" w:cs="Arial" w:eastAsia="Arial" w:hAnsi="Arial"/>
          <w:sz w:val="18"/>
          <w:szCs w:val="18"/>
          <w:color w:val="auto"/>
        </w:rPr>
      </w:pPr>
    </w:p>
    <w:p>
      <w:pPr>
        <w:jc w:val="both"/>
        <w:ind w:left="1180" w:hanging="364"/>
        <w:spacing w:after="0" w:line="252"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case of Mr. Fish, who has deferred receipt of 94,844 shares of Common Stock, earnings also include the change in the closing price per share of the Company’s Common Stock from December 31, 2019 to December 31, 2020, plus $2.18 of dividends paid per share of Common Stock in 2020, multiplied by the number of shares deferred. The value of such deferred shares was included in the Option Exercises and Stock Vested table for the year of vesting.</w:t>
      </w:r>
    </w:p>
    <w:p>
      <w:pPr>
        <w:spacing w:after="0" w:line="313" w:lineRule="exact"/>
        <w:rPr>
          <w:rFonts w:ascii="Arial" w:cs="Arial" w:eastAsia="Arial" w:hAnsi="Arial"/>
          <w:sz w:val="18"/>
          <w:szCs w:val="18"/>
          <w:color w:val="auto"/>
        </w:rPr>
      </w:pPr>
    </w:p>
    <w:p>
      <w:pPr>
        <w:ind w:left="1180" w:right="440" w:hanging="364"/>
        <w:spacing w:after="0" w:line="250"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shown in this column consists of dividend equivalents paid on Mr. Fish’s deferred shares.</w:t>
      </w:r>
    </w:p>
    <w:p>
      <w:pPr>
        <w:spacing w:after="0" w:line="324" w:lineRule="exact"/>
        <w:rPr>
          <w:rFonts w:ascii="Arial" w:cs="Arial" w:eastAsia="Arial" w:hAnsi="Arial"/>
          <w:sz w:val="18"/>
          <w:szCs w:val="18"/>
          <w:color w:val="auto"/>
        </w:rPr>
      </w:pPr>
    </w:p>
    <w:p>
      <w:pPr>
        <w:jc w:val="both"/>
        <w:ind w:left="1180" w:hanging="364"/>
        <w:spacing w:after="0" w:line="253"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shown in this column include the following amounts that were reported as compensation to the named executive in the Summary Compensation Table for 2018-2020: Mr. Fish — $903,081; Ms. Rankin — $268,182; Mr. Morris — $268,236; Ms. Hemmer — $172,411 and Mr. Batchelor — $66,676. Because Ms. Hemmer and Mr. Batchelor became named executives in 2019, their amounts only include 2019 and 2020 compensation.</w:t>
      </w:r>
    </w:p>
    <w:p>
      <w:pPr>
        <w:spacing w:after="0" w:line="237"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001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54025" cy="12001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2" w:right="1439" w:bottom="1155"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Potential Payments Upon Termination or Change in Control</w:t>
      </w:r>
    </w:p>
    <w:p>
      <w:pPr>
        <w:spacing w:after="0" w:line="112"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The post-employment compensation our named executives receive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included in retirement and severance plan documents, employment agreements and equity incentive award documentation. Severance protections aid in retention of senior leadership by providing the individual with comfort that he or she will be treated fairly in the event of an involuntary termination not for cause. The change in control provisions included in the Severance Protection Plan, our stock option award agreements and, if applicable, employment agreements require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PSUs are paid out in cash on a prorated basis based on actual results achieved through the end of the fiscal quarter prior to a change in control. Thereafter, the executive would typically receive a replacement award from the successor entity, provided that the successor entity is publicly traded. If the successor is not publicly traded, the executive will be entitled to a replacement award of cash. RSUs, which are not routinely a component of our named executive officer compensation, vest upon a change in control, unless the successor entity converts the awards to equivalent grants in the successor. In the case of both converted RSU and PSU awards, they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200" w:lineRule="exact"/>
        <w:rPr>
          <w:sz w:val="20"/>
          <w:szCs w:val="20"/>
          <w:color w:val="auto"/>
        </w:rPr>
      </w:pPr>
    </w:p>
    <w:p>
      <w:pPr>
        <w:spacing w:after="0" w:line="232" w:lineRule="exact"/>
        <w:rPr>
          <w:sz w:val="20"/>
          <w:szCs w:val="20"/>
          <w:color w:val="auto"/>
        </w:rPr>
      </w:pPr>
    </w:p>
    <w:p>
      <w:pPr>
        <w:jc w:val="both"/>
        <w:ind w:left="820"/>
        <w:spacing w:after="0"/>
        <w:rPr>
          <w:sz w:val="20"/>
          <w:szCs w:val="20"/>
          <w:color w:val="auto"/>
        </w:rPr>
      </w:pPr>
      <w:r>
        <w:rPr>
          <w:rFonts w:ascii="Arial" w:cs="Arial" w:eastAsia="Arial" w:hAnsi="Arial"/>
          <w:sz w:val="18"/>
          <w:szCs w:val="18"/>
          <w:i w:val="1"/>
          <w:iCs w:val="1"/>
          <w:u w:val="single" w:color="auto"/>
          <w:color w:val="auto"/>
        </w:rPr>
        <w:t>Involuntary Termination or Resignation for 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Severance Protection Plan,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event a participant is terminated without cause or resigns for good reason, subject to execution of a release of claims and continued compliance with all restrictive covenants, he or she will be entitled to receive: (a) cash severance in an aggregate amount equal to two times the sum of the participant’s base salary and target annual bonus (with one half payable in a lump sum at termination, and the remaining half payable in installments over a two -year period); (b) continuation of group health benefits over a two-year period following termination and (c)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annual cash incentive payment for the year of termination. In the event a named executive is terminated for cause, he or she is entitled to any accrued but unpaid salary only, and all unvested awards and outstanding stock options, whether exercisable or not, are forfeited.</w:t>
      </w:r>
    </w:p>
    <w:p>
      <w:pPr>
        <w:spacing w:after="0" w:line="288" w:lineRule="exact"/>
        <w:rPr>
          <w:sz w:val="20"/>
          <w:szCs w:val="20"/>
          <w:color w:val="auto"/>
        </w:rPr>
      </w:pPr>
    </w:p>
    <w:p>
      <w:pPr>
        <w:jc w:val="both"/>
        <w:ind w:left="820"/>
        <w:spacing w:after="0" w:line="238" w:lineRule="auto"/>
        <w:rPr>
          <w:sz w:val="20"/>
          <w:szCs w:val="20"/>
          <w:color w:val="auto"/>
        </w:rPr>
      </w:pPr>
      <w:r>
        <w:rPr>
          <w:rFonts w:ascii="Arial" w:cs="Arial" w:eastAsia="Arial" w:hAnsi="Arial"/>
          <w:sz w:val="18"/>
          <w:szCs w:val="18"/>
          <w:color w:val="auto"/>
        </w:rPr>
        <w:t>The terms “cause,” “good reason,” and “change in control” are defined in the executives’ employment agreements, the Severance Protection Plan and equity award plans and agreements, as applicable, but such terms have the meanings generally described below. You should refer to the applicable documentation, accessible through the Company’s Form 10-K Exhibit List, for the actual definitions.</w:t>
      </w:r>
    </w:p>
    <w:p>
      <w:pPr>
        <w:spacing w:after="0" w:line="97" w:lineRule="exact"/>
        <w:rPr>
          <w:sz w:val="20"/>
          <w:szCs w:val="20"/>
          <w:color w:val="auto"/>
        </w:rPr>
      </w:pPr>
    </w:p>
    <w:p>
      <w:pPr>
        <w:jc w:val="both"/>
        <w:ind w:left="1180"/>
        <w:spacing w:after="0" w:line="238" w:lineRule="auto"/>
        <w:rPr>
          <w:sz w:val="20"/>
          <w:szCs w:val="20"/>
          <w:color w:val="auto"/>
        </w:rPr>
      </w:pPr>
      <w:r>
        <w:rPr>
          <w:rFonts w:ascii="Arial" w:cs="Arial" w:eastAsia="Arial" w:hAnsi="Arial"/>
          <w:sz w:val="18"/>
          <w:szCs w:val="18"/>
          <w:color w:val="auto"/>
        </w:rPr>
        <w:t>“Cause” generally means the named executive has: deliberately refused to perform his or her duties; breached his or her duty of loyalty to the Company; been convicted of a felony; intentionally and materially harmed the Company; materially violated the Company’s policies and procedures or breached the covenants contained in his or her agreement.</w:t>
      </w:r>
    </w:p>
    <w:p>
      <w:pPr>
        <w:spacing w:after="0" w:line="97" w:lineRule="exact"/>
        <w:rPr>
          <w:sz w:val="20"/>
          <w:szCs w:val="20"/>
          <w:color w:val="auto"/>
        </w:rPr>
      </w:pPr>
    </w:p>
    <w:p>
      <w:pPr>
        <w:jc w:val="both"/>
        <w:ind w:left="1180"/>
        <w:spacing w:after="0" w:line="238" w:lineRule="auto"/>
        <w:rPr>
          <w:sz w:val="20"/>
          <w:szCs w:val="20"/>
          <w:color w:val="auto"/>
        </w:rPr>
      </w:pPr>
      <w:r>
        <w:rPr>
          <w:rFonts w:ascii="Arial" w:cs="Arial" w:eastAsia="Arial" w:hAnsi="Arial"/>
          <w:sz w:val="18"/>
          <w:szCs w:val="18"/>
          <w:color w:val="auto"/>
        </w:rPr>
        <w:t>“Good Reason” generally means that, without the named executive’s consent: his or her duties or responsibilities have been substantially changed; he or she has been removed from his or her position; the Company has breached his or her employment agreement; any successor to the Company has not assumed the obligations under his or her employment agreement; or he or she has been reassigned to a location more than 50 miles away.</w:t>
      </w:r>
    </w:p>
    <w:p>
      <w:pPr>
        <w:spacing w:after="0" w:line="94" w:lineRule="exact"/>
        <w:rPr>
          <w:sz w:val="20"/>
          <w:szCs w:val="20"/>
          <w:color w:val="auto"/>
        </w:rPr>
      </w:pPr>
    </w:p>
    <w:p>
      <w:pPr>
        <w:jc w:val="both"/>
        <w:ind w:left="1180"/>
        <w:spacing w:after="0"/>
        <w:rPr>
          <w:sz w:val="20"/>
          <w:szCs w:val="20"/>
          <w:color w:val="auto"/>
        </w:rPr>
      </w:pPr>
      <w:r>
        <w:rPr>
          <w:rFonts w:ascii="Arial" w:cs="Arial" w:eastAsia="Arial" w:hAnsi="Arial"/>
          <w:sz w:val="18"/>
          <w:szCs w:val="18"/>
          <w:color w:val="auto"/>
        </w:rPr>
        <w:t>“Change in Control” generally means that: at least 25% of the Company’s Common Stock has been acquired by one person or persons acting as a group; certain significant turnover in our Board of Directors has occurred; there has been a merger of the Company in which at least 50% of the combined post -merger voting power of the surviving entity does not consist of the Company’s pre-merger voting power, or a merger to effect a recapitalization that resulted in a person or persons acting as a group acquired 25% or more of the Company’s voting securities; or the Company is liquidating or selling all or substantially all of its assets.</w:t>
      </w:r>
    </w:p>
    <w:p>
      <w:pPr>
        <w:spacing w:after="0" w:line="284"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Benefits to a participant under the Severance Protection Plan are subject to reduction to the extent required by the Company’s Severance Limitation Policy or if the excise tax described in Sections 280G or 4999 of the IRC is applicable and such reduction would place the participant in a better net after tax position.</w:t>
      </w:r>
    </w:p>
    <w:p>
      <w:pPr>
        <w:spacing w:after="0" w:line="279" w:lineRule="exact"/>
        <w:rPr>
          <w:sz w:val="20"/>
          <w:szCs w:val="20"/>
          <w:color w:val="auto"/>
        </w:rPr>
      </w:pPr>
    </w:p>
    <w:p>
      <w:pPr>
        <w:jc w:val="both"/>
        <w:ind w:left="820"/>
        <w:spacing w:after="0" w:line="245" w:lineRule="auto"/>
        <w:rPr>
          <w:sz w:val="20"/>
          <w:szCs w:val="20"/>
          <w:color w:val="auto"/>
        </w:rPr>
      </w:pPr>
      <w:r>
        <w:rPr>
          <w:rFonts w:ascii="Arial" w:cs="Arial" w:eastAsia="Arial" w:hAnsi="Arial"/>
          <w:sz w:val="18"/>
          <w:szCs w:val="18"/>
          <w:i w:val="1"/>
          <w:iCs w:val="1"/>
          <w:u w:val="single" w:color="auto"/>
          <w:color w:val="auto"/>
        </w:rPr>
        <w:t>Voluntary Termination;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Our equity award agreements generally provide that an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forfeits unvested awards if he or she voluntarily terminates employment. RSUs and PSUs generally vest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upon involuntary termination other than for cause. RSUs generally vest on a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basis upon an employee’s qualifying</w:t>
      </w:r>
    </w:p>
    <w:p>
      <w:pPr>
        <w:spacing w:after="0" w:line="244"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-158750</wp:posOffset>
            </wp:positionV>
            <wp:extent cx="454660"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54660" cy="12890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202"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color w:val="auto"/>
        </w:rPr>
        <w:t>retirement; however, PSUs and stock options generally continue to vest following a qualifying retirement as if the employee had remained employed until the end of the performance period. If the recipient is terminated by the Company without cause or voluntarily resigns, the recipient is entitled to exercise all stock options outstanding and exercisable within a specified time frame after such termination.</w:t>
      </w:r>
    </w:p>
    <w:p>
      <w:pPr>
        <w:spacing w:after="0" w:line="294"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i w:val="1"/>
          <w:iCs w:val="1"/>
          <w:u w:val="single" w:color="auto"/>
          <w:color w:val="auto"/>
        </w:rPr>
        <w:t>Explanation of Tabular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presents potential payouts to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at year-end upon termination of employment in the circumstances indicated pursuant to the terms of applicable plans and agreements. The payouts set forth below assume the triggering event indicated occurred on December 31, 2020, when the closing price of our Common Stock was $117.93 per share. These payouts are calculated for SEC disclosure purposes and are not necessarily indicative of the actual amounts the named executive would receive. Please note the following when reviewing the payouts set forth below:</w:t>
      </w:r>
    </w:p>
    <w:p>
      <w:pPr>
        <w:spacing w:after="0" w:line="313" w:lineRule="exact"/>
        <w:rPr>
          <w:sz w:val="20"/>
          <w:szCs w:val="20"/>
          <w:color w:val="auto"/>
        </w:rPr>
      </w:pPr>
    </w:p>
    <w:p>
      <w:pPr>
        <w:jc w:val="both"/>
        <w:ind w:left="1360" w:hanging="184"/>
        <w:spacing w:after="0" w:line="252" w:lineRule="auto"/>
        <w:tabs>
          <w:tab w:leader="none" w:pos="1360" w:val="left"/>
        </w:tabs>
        <w:numPr>
          <w:ilvl w:val="0"/>
          <w:numId w:val="50"/>
        </w:numPr>
        <w:rPr>
          <w:rFonts w:ascii="Arial" w:cs="Arial" w:eastAsia="Arial" w:hAnsi="Arial"/>
          <w:sz w:val="18"/>
          <w:szCs w:val="18"/>
          <w:color w:val="477258"/>
        </w:rPr>
      </w:pPr>
      <w:r>
        <w:rPr>
          <w:rFonts w:ascii="Arial" w:cs="Arial" w:eastAsia="Arial" w:hAnsi="Arial"/>
          <w:sz w:val="18"/>
          <w:szCs w:val="18"/>
          <w:color w:val="auto"/>
        </w:rPr>
        <w:t>The compensation component set forth below for accelerated vesting of stock options is comprised of the unvested stock options granted in 2018 and 2019, which vest 25% on the first and second anniversary of the date of grant and 50% on the third anniversary of the date of grant, based on the difference between the closing price of our Common Stock on December 31, 2020 and the exercise price of those options. The exercise price of stock options granted in 2020 was below the closing price of our Common Stock on December 31, 2020, and no value is attributed to those stock options in the chart below.</w:t>
      </w:r>
    </w:p>
    <w:p>
      <w:pPr>
        <w:spacing w:after="0" w:line="315" w:lineRule="exact"/>
        <w:rPr>
          <w:rFonts w:ascii="Arial" w:cs="Arial" w:eastAsia="Arial" w:hAnsi="Arial"/>
          <w:sz w:val="18"/>
          <w:szCs w:val="18"/>
          <w:color w:val="477258"/>
        </w:rPr>
      </w:pPr>
    </w:p>
    <w:p>
      <w:pPr>
        <w:jc w:val="both"/>
        <w:ind w:left="1360" w:hanging="184"/>
        <w:spacing w:after="0" w:line="256" w:lineRule="auto"/>
        <w:tabs>
          <w:tab w:leader="none" w:pos="1360" w:val="left"/>
        </w:tabs>
        <w:numPr>
          <w:ilvl w:val="0"/>
          <w:numId w:val="50"/>
        </w:numPr>
        <w:rPr>
          <w:rFonts w:ascii="Arial" w:cs="Arial" w:eastAsia="Arial" w:hAnsi="Arial"/>
          <w:sz w:val="18"/>
          <w:szCs w:val="18"/>
          <w:color w:val="477258"/>
        </w:rPr>
      </w:pPr>
      <w:r>
        <w:rPr>
          <w:rFonts w:ascii="Arial" w:cs="Arial" w:eastAsia="Arial" w:hAnsi="Arial"/>
          <w:sz w:val="18"/>
          <w:szCs w:val="18"/>
          <w:color w:val="auto"/>
        </w:rPr>
        <w:t>For purposes of calculating the payout of performance share unit awards outstanding as of December 31, 2020, we have assumed that target performance was achieved; any actual performance share unit payouts will be based on actual performance of the Company during the performance period.</w:t>
      </w:r>
    </w:p>
    <w:p>
      <w:pPr>
        <w:spacing w:after="0" w:line="309" w:lineRule="exact"/>
        <w:rPr>
          <w:rFonts w:ascii="Arial" w:cs="Arial" w:eastAsia="Arial" w:hAnsi="Arial"/>
          <w:sz w:val="18"/>
          <w:szCs w:val="18"/>
          <w:color w:val="477258"/>
        </w:rPr>
      </w:pPr>
    </w:p>
    <w:p>
      <w:pPr>
        <w:jc w:val="both"/>
        <w:ind w:left="1360" w:hanging="184"/>
        <w:spacing w:after="0" w:line="254" w:lineRule="auto"/>
        <w:tabs>
          <w:tab w:leader="none" w:pos="1360" w:val="left"/>
        </w:tabs>
        <w:numPr>
          <w:ilvl w:val="0"/>
          <w:numId w:val="50"/>
        </w:numPr>
        <w:rPr>
          <w:rFonts w:ascii="Arial" w:cs="Arial" w:eastAsia="Arial" w:hAnsi="Arial"/>
          <w:sz w:val="18"/>
          <w:szCs w:val="18"/>
          <w:color w:val="477258"/>
        </w:rPr>
      </w:pPr>
      <w:r>
        <w:rPr>
          <w:rFonts w:ascii="Arial" w:cs="Arial" w:eastAsia="Arial" w:hAnsi="Arial"/>
          <w:sz w:val="18"/>
          <w:szCs w:val="18"/>
          <w:color w:val="auto"/>
        </w:rPr>
        <w:t>For purposes of calculating the payout upon the “double trigger” of change in control and subsequent involuntary termination not for cause, the value of the performance share unit replacement award is equal to the number of PSUs that would be forfeited based on the prorated acceleration of the PSUs, multiplied by the closing price of our Common Stock on December 31, 2020.</w:t>
      </w:r>
    </w:p>
    <w:p>
      <w:pPr>
        <w:spacing w:after="0" w:line="311" w:lineRule="exact"/>
        <w:rPr>
          <w:rFonts w:ascii="Arial" w:cs="Arial" w:eastAsia="Arial" w:hAnsi="Arial"/>
          <w:sz w:val="18"/>
          <w:szCs w:val="18"/>
          <w:color w:val="477258"/>
        </w:rPr>
      </w:pPr>
    </w:p>
    <w:p>
      <w:pPr>
        <w:ind w:left="1360" w:hanging="184"/>
        <w:spacing w:after="0" w:line="261" w:lineRule="auto"/>
        <w:tabs>
          <w:tab w:leader="none" w:pos="1360" w:val="left"/>
        </w:tabs>
        <w:numPr>
          <w:ilvl w:val="0"/>
          <w:numId w:val="50"/>
        </w:numPr>
        <w:rPr>
          <w:rFonts w:ascii="Arial" w:cs="Arial" w:eastAsia="Arial" w:hAnsi="Arial"/>
          <w:sz w:val="18"/>
          <w:szCs w:val="18"/>
          <w:color w:val="477258"/>
        </w:rPr>
      </w:pPr>
      <w:r>
        <w:rPr>
          <w:rFonts w:ascii="Arial" w:cs="Arial" w:eastAsia="Arial" w:hAnsi="Arial"/>
          <w:sz w:val="18"/>
          <w:szCs w:val="18"/>
          <w:color w:val="auto"/>
        </w:rPr>
        <w:t>The payout for continuation of benefits is an estimate of the cost the Company would incur to continue those benefits.</w:t>
      </w:r>
    </w:p>
    <w:p>
      <w:pPr>
        <w:spacing w:after="0" w:line="89" w:lineRule="exact"/>
        <w:rPr>
          <w:rFonts w:ascii="Arial" w:cs="Arial" w:eastAsia="Arial" w:hAnsi="Arial"/>
          <w:sz w:val="18"/>
          <w:szCs w:val="18"/>
          <w:color w:val="477258"/>
        </w:rPr>
      </w:pPr>
    </w:p>
    <w:p>
      <w:pPr>
        <w:jc w:val="both"/>
        <w:ind w:left="1360" w:hanging="184"/>
        <w:spacing w:after="0" w:line="256" w:lineRule="auto"/>
        <w:tabs>
          <w:tab w:leader="none" w:pos="1360" w:val="left"/>
        </w:tabs>
        <w:numPr>
          <w:ilvl w:val="0"/>
          <w:numId w:val="50"/>
        </w:numPr>
        <w:rPr>
          <w:rFonts w:ascii="Arial" w:cs="Arial" w:eastAsia="Arial" w:hAnsi="Arial"/>
          <w:sz w:val="18"/>
          <w:szCs w:val="18"/>
          <w:color w:val="477258"/>
        </w:rPr>
      </w:pPr>
      <w:r>
        <w:rPr>
          <w:rFonts w:ascii="Arial" w:cs="Arial" w:eastAsia="Arial" w:hAnsi="Arial"/>
          <w:sz w:val="18"/>
          <w:szCs w:val="18"/>
          <w:color w:val="auto"/>
        </w:rPr>
        <w:t>The Company’s practice is to provide all benefits eligible employees with life insurance that pays one times annual base salary upon death. The insurance benefit is a payment by an insurance company, not the Company, and is payable under the terms of the insurance policy.</w:t>
      </w:r>
    </w:p>
    <w:p>
      <w:pPr>
        <w:spacing w:after="0" w:line="93" w:lineRule="exact"/>
        <w:rPr>
          <w:rFonts w:ascii="Arial" w:cs="Arial" w:eastAsia="Arial" w:hAnsi="Arial"/>
          <w:sz w:val="18"/>
          <w:szCs w:val="18"/>
          <w:color w:val="477258"/>
        </w:rPr>
      </w:pPr>
    </w:p>
    <w:p>
      <w:pPr>
        <w:ind w:left="1360" w:right="260" w:hanging="184"/>
        <w:spacing w:after="0" w:line="256" w:lineRule="auto"/>
        <w:tabs>
          <w:tab w:leader="none" w:pos="1360" w:val="left"/>
        </w:tabs>
        <w:numPr>
          <w:ilvl w:val="0"/>
          <w:numId w:val="50"/>
        </w:numPr>
        <w:rPr>
          <w:rFonts w:ascii="Arial" w:cs="Arial" w:eastAsia="Arial" w:hAnsi="Arial"/>
          <w:sz w:val="18"/>
          <w:szCs w:val="18"/>
          <w:color w:val="477258"/>
        </w:rPr>
      </w:pPr>
      <w:r>
        <w:rPr>
          <w:rFonts w:ascii="Arial" w:cs="Arial" w:eastAsia="Arial" w:hAnsi="Arial"/>
          <w:sz w:val="18"/>
          <w:szCs w:val="18"/>
          <w:color w:val="auto"/>
        </w:rPr>
        <w:t>Refer to the Nonqualified Deferred Compensation in 2020 table above for aggregate balances payable to the named executives under our 409A Deferral Plan pursuant to the named executive’s distribution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890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54025" cy="12890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EXECUTIVE COMPENSATION</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Potential Consideration Upon Termination of Employment</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477258"/>
        </w:rPr>
        <w:t>Mr. Fish Ms. Rankin Mr. Morris Ms. Hemmer Mr. Batchelor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17780</wp:posOffset>
            </wp:positionV>
            <wp:extent cx="5768975" cy="1631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68975" cy="163195"/>
                    </a:xfrm>
                    <a:prstGeom prst="rect">
                      <a:avLst/>
                    </a:prstGeom>
                    <a:noFill/>
                  </pic:spPr>
                </pic:pic>
              </a:graphicData>
            </a:graphic>
          </wp:anchor>
        </w:drawing>
      </w:r>
    </w:p>
    <w:p>
      <w:pPr>
        <w:spacing w:after="0" w:line="25" w:lineRule="exact"/>
        <w:rPr>
          <w:sz w:val="20"/>
          <w:szCs w:val="20"/>
          <w:color w:val="auto"/>
        </w:rPr>
      </w:pPr>
    </w:p>
    <w:p>
      <w:pPr>
        <w:ind w:left="820" w:right="3680"/>
        <w:spacing w:after="0" w:line="298" w:lineRule="auto"/>
        <w:rPr>
          <w:sz w:val="20"/>
          <w:szCs w:val="20"/>
          <w:color w:val="auto"/>
        </w:rPr>
      </w:pPr>
      <w:r>
        <w:rPr>
          <w:rFonts w:ascii="Arial" w:cs="Arial" w:eastAsia="Arial" w:hAnsi="Arial"/>
          <w:sz w:val="18"/>
          <w:szCs w:val="18"/>
          <w:b w:val="1"/>
          <w:bCs w:val="1"/>
          <w:color w:val="auto"/>
        </w:rPr>
        <w:t xml:space="preserve">Payout or Value of Compensation Components, in dollars </w:t>
      </w:r>
      <w:r>
        <w:rPr>
          <w:rFonts w:ascii="Arial" w:cs="Arial" w:eastAsia="Arial" w:hAnsi="Arial"/>
          <w:sz w:val="18"/>
          <w:szCs w:val="18"/>
          <w:b w:val="1"/>
          <w:bCs w:val="1"/>
          <w:i w:val="1"/>
          <w:iCs w:val="1"/>
          <w:color w:val="auto"/>
        </w:rPr>
        <w:t>In Event of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-173990</wp:posOffset>
            </wp:positionV>
            <wp:extent cx="57689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tbl>
      <w:tblPr>
        <w:tblLayout w:type="fixed"/>
        <w:tblInd w:w="820" w:type="dxa"/>
        <w:tblCellMar>
          <w:top w:w="0" w:type="dxa"/>
          <w:left w:w="0" w:type="dxa"/>
          <w:bottom w:w="0" w:type="dxa"/>
          <w:right w:w="0" w:type="dxa"/>
        </w:tblCellMar>
      </w:tblPr>
      <w:tr>
        <w:trPr>
          <w:trHeight w:val="231"/>
        </w:trPr>
        <w:tc>
          <w:tcPr>
            <w:tcW w:w="120" w:type="dxa"/>
            <w:vAlign w:val="bottom"/>
            <w:tcBorders>
              <w:top w:val="single" w:sz="8" w:color="477258"/>
            </w:tcBorders>
            <w:shd w:val="clear" w:color="auto" w:fill="CCEEFF"/>
          </w:tcPr>
          <w:p>
            <w:pPr>
              <w:spacing w:after="0"/>
              <w:rPr>
                <w:sz w:val="20"/>
                <w:szCs w:val="20"/>
                <w:color w:val="auto"/>
              </w:rPr>
            </w:pPr>
            <w:r>
              <w:rPr>
                <w:rFonts w:ascii="Arial" w:cs="Arial" w:eastAsia="Arial" w:hAnsi="Arial"/>
                <w:sz w:val="18"/>
                <w:szCs w:val="18"/>
                <w:color w:val="477258"/>
              </w:rPr>
              <w:t>•</w:t>
            </w:r>
          </w:p>
        </w:tc>
        <w:tc>
          <w:tcPr>
            <w:tcW w:w="4160" w:type="dxa"/>
            <w:vAlign w:val="bottom"/>
            <w:tcBorders>
              <w:top w:val="single" w:sz="8" w:color="477258"/>
            </w:tcBorders>
            <w:shd w:val="clear" w:color="auto" w:fill="CCEEFF"/>
          </w:tcPr>
          <w:p>
            <w:pPr>
              <w:ind w:left="60"/>
              <w:spacing w:after="0"/>
              <w:rPr>
                <w:sz w:val="20"/>
                <w:szCs w:val="20"/>
                <w:color w:val="auto"/>
              </w:rPr>
            </w:pPr>
            <w:r>
              <w:rPr>
                <w:rFonts w:ascii="Arial" w:cs="Arial" w:eastAsia="Arial" w:hAnsi="Arial"/>
                <w:sz w:val="18"/>
                <w:szCs w:val="18"/>
                <w:color w:val="auto"/>
              </w:rPr>
              <w:t>Accelerated vesting of stock options</w:t>
            </w:r>
          </w:p>
        </w:tc>
        <w:tc>
          <w:tcPr>
            <w:tcW w:w="1180" w:type="dxa"/>
            <w:vAlign w:val="bottom"/>
            <w:tcBorders>
              <w:top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3,243,381</w:t>
            </w:r>
          </w:p>
        </w:tc>
        <w:tc>
          <w:tcPr>
            <w:tcW w:w="920" w:type="dxa"/>
            <w:vAlign w:val="bottom"/>
            <w:tcBorders>
              <w:top w:val="single" w:sz="8" w:color="477258"/>
            </w:tcBorders>
            <w:shd w:val="clear" w:color="auto" w:fill="CCEEFF"/>
          </w:tcPr>
          <w:p>
            <w:pPr>
              <w:jc w:val="right"/>
              <w:ind w:right="10"/>
              <w:spacing w:after="0"/>
              <w:rPr>
                <w:sz w:val="20"/>
                <w:szCs w:val="20"/>
                <w:color w:val="auto"/>
              </w:rPr>
            </w:pPr>
            <w:r>
              <w:rPr>
                <w:rFonts w:ascii="Arial" w:cs="Arial" w:eastAsia="Arial" w:hAnsi="Arial"/>
                <w:sz w:val="18"/>
                <w:szCs w:val="18"/>
                <w:color w:val="auto"/>
              </w:rPr>
              <w:t>922,877</w:t>
            </w:r>
          </w:p>
        </w:tc>
        <w:tc>
          <w:tcPr>
            <w:tcW w:w="780" w:type="dxa"/>
            <w:vAlign w:val="bottom"/>
            <w:tcBorders>
              <w:top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996,408</w:t>
            </w:r>
          </w:p>
        </w:tc>
        <w:tc>
          <w:tcPr>
            <w:tcW w:w="960" w:type="dxa"/>
            <w:vAlign w:val="bottom"/>
            <w:tcBorders>
              <w:top w:val="single" w:sz="8" w:color="477258"/>
            </w:tcBorders>
            <w:shd w:val="clear" w:color="auto" w:fill="CCEEFF"/>
          </w:tcPr>
          <w:p>
            <w:pPr>
              <w:jc w:val="right"/>
              <w:ind w:right="10"/>
              <w:spacing w:after="0"/>
              <w:rPr>
                <w:sz w:val="20"/>
                <w:szCs w:val="20"/>
                <w:color w:val="auto"/>
              </w:rPr>
            </w:pPr>
            <w:r>
              <w:rPr>
                <w:rFonts w:ascii="Arial" w:cs="Arial" w:eastAsia="Arial" w:hAnsi="Arial"/>
                <w:sz w:val="18"/>
                <w:szCs w:val="18"/>
                <w:color w:val="auto"/>
              </w:rPr>
              <w:t>653,494</w:t>
            </w:r>
          </w:p>
        </w:tc>
        <w:tc>
          <w:tcPr>
            <w:tcW w:w="960" w:type="dxa"/>
            <w:vAlign w:val="bottom"/>
            <w:tcBorders>
              <w:top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445,505</w:t>
            </w:r>
          </w:p>
        </w:tc>
      </w:tr>
      <w:tr>
        <w:trPr>
          <w:trHeight w:val="269"/>
        </w:trPr>
        <w:tc>
          <w:tcPr>
            <w:tcW w:w="120" w:type="dxa"/>
            <w:vAlign w:val="bottom"/>
          </w:tcPr>
          <w:p>
            <w:pPr>
              <w:spacing w:after="0"/>
              <w:rPr>
                <w:sz w:val="20"/>
                <w:szCs w:val="20"/>
                <w:color w:val="auto"/>
              </w:rPr>
            </w:pPr>
            <w:r>
              <w:rPr>
                <w:rFonts w:ascii="Arial" w:cs="Arial" w:eastAsia="Arial" w:hAnsi="Arial"/>
                <w:sz w:val="18"/>
                <w:szCs w:val="18"/>
                <w:color w:val="477258"/>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Payment of PSUs (contingent on actual</w:t>
            </w:r>
          </w:p>
        </w:tc>
        <w:tc>
          <w:tcPr>
            <w:tcW w:w="1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4"/>
        </w:trPr>
        <w:tc>
          <w:tcPr>
            <w:tcW w:w="120" w:type="dxa"/>
            <w:vAlign w:val="bottom"/>
          </w:tcPr>
          <w:p>
            <w:pPr>
              <w:spacing w:after="0"/>
              <w:rPr>
                <w:sz w:val="19"/>
                <w:szCs w:val="19"/>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performance at end of performance period)</w:t>
            </w:r>
          </w:p>
        </w:tc>
        <w:tc>
          <w:tcPr>
            <w:tcW w:w="1180" w:type="dxa"/>
            <w:vAlign w:val="bottom"/>
          </w:tcPr>
          <w:p>
            <w:pPr>
              <w:jc w:val="right"/>
              <w:spacing w:after="0"/>
              <w:rPr>
                <w:sz w:val="20"/>
                <w:szCs w:val="20"/>
                <w:color w:val="auto"/>
              </w:rPr>
            </w:pPr>
            <w:r>
              <w:rPr>
                <w:rFonts w:ascii="Arial" w:cs="Arial" w:eastAsia="Arial" w:hAnsi="Arial"/>
                <w:sz w:val="18"/>
                <w:szCs w:val="18"/>
                <w:color w:val="auto"/>
              </w:rPr>
              <w:t>13,189,291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3,545,6833,900,181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2,925,136</w:t>
            </w:r>
          </w:p>
        </w:tc>
        <w:tc>
          <w:tcPr>
            <w:tcW w:w="960" w:type="dxa"/>
            <w:vAlign w:val="bottom"/>
          </w:tcPr>
          <w:p>
            <w:pPr>
              <w:jc w:val="right"/>
              <w:spacing w:after="0"/>
              <w:rPr>
                <w:sz w:val="20"/>
                <w:szCs w:val="20"/>
                <w:color w:val="auto"/>
              </w:rPr>
            </w:pPr>
            <w:r>
              <w:rPr>
                <w:rFonts w:ascii="Arial" w:cs="Arial" w:eastAsia="Arial" w:hAnsi="Arial"/>
                <w:sz w:val="18"/>
                <w:szCs w:val="18"/>
                <w:color w:val="auto"/>
              </w:rPr>
              <w:t>2,925,136</w:t>
            </w:r>
          </w:p>
        </w:tc>
      </w:tr>
      <w:tr>
        <w:trPr>
          <w:trHeight w:val="263"/>
        </w:trPr>
        <w:tc>
          <w:tcPr>
            <w:tcW w:w="120" w:type="dxa"/>
            <w:vAlign w:val="bottom"/>
            <w:shd w:val="clear" w:color="auto" w:fill="CCEEFF"/>
          </w:tcPr>
          <w:p>
            <w:pPr>
              <w:spacing w:after="0"/>
              <w:rPr>
                <w:sz w:val="20"/>
                <w:szCs w:val="20"/>
                <w:color w:val="auto"/>
              </w:rPr>
            </w:pPr>
            <w:r>
              <w:rPr>
                <w:rFonts w:ascii="Arial" w:cs="Arial" w:eastAsia="Arial" w:hAnsi="Arial"/>
                <w:sz w:val="18"/>
                <w:szCs w:val="18"/>
                <w:color w:val="477258"/>
              </w:rPr>
              <w:t>•</w:t>
            </w:r>
          </w:p>
        </w:tc>
        <w:tc>
          <w:tcPr>
            <w:tcW w:w="4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Accelerated vesting of restricted stock units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60,734</w:t>
            </w:r>
          </w:p>
        </w:tc>
      </w:tr>
    </w:tbl>
    <w:p>
      <w:pPr>
        <w:spacing w:after="0" w:line="53" w:lineRule="exact"/>
        <w:rPr>
          <w:sz w:val="20"/>
          <w:szCs w:val="20"/>
          <w:color w:val="auto"/>
        </w:rPr>
      </w:pPr>
    </w:p>
    <w:p>
      <w:pPr>
        <w:ind w:left="1000" w:hanging="184"/>
        <w:spacing w:after="0"/>
        <w:tabs>
          <w:tab w:leader="none" w:pos="1000" w:val="left"/>
        </w:tabs>
        <w:numPr>
          <w:ilvl w:val="0"/>
          <w:numId w:val="51"/>
        </w:numPr>
        <w:rPr>
          <w:rFonts w:ascii="Arial" w:cs="Arial" w:eastAsia="Arial" w:hAnsi="Arial"/>
          <w:sz w:val="18"/>
          <w:szCs w:val="18"/>
          <w:color w:val="477258"/>
        </w:rPr>
      </w:pPr>
      <w:r>
        <w:rPr>
          <w:rFonts w:ascii="Arial" w:cs="Arial" w:eastAsia="Arial" w:hAnsi="Arial"/>
          <w:sz w:val="18"/>
          <w:szCs w:val="18"/>
          <w:color w:val="auto"/>
        </w:rPr>
        <w:t>Life insurance benefit paid by insurance</w:t>
      </w:r>
    </w:p>
    <w:p>
      <w:pPr>
        <w:spacing w:after="0" w:line="9" w:lineRule="exact"/>
        <w:rPr>
          <w:sz w:val="20"/>
          <w:szCs w:val="20"/>
          <w:color w:val="auto"/>
        </w:rPr>
      </w:pPr>
    </w:p>
    <w:tbl>
      <w:tblPr>
        <w:tblLayout w:type="fixed"/>
        <w:tblInd w:w="820" w:type="dxa"/>
        <w:tblCellMar>
          <w:top w:w="0" w:type="dxa"/>
          <w:left w:w="0" w:type="dxa"/>
          <w:bottom w:w="0" w:type="dxa"/>
          <w:right w:w="0" w:type="dxa"/>
        </w:tblCellMar>
      </w:tblPr>
      <w:tr>
        <w:trPr>
          <w:trHeight w:val="224"/>
        </w:trPr>
        <w:tc>
          <w:tcPr>
            <w:tcW w:w="3720" w:type="dxa"/>
            <w:vAlign w:val="bottom"/>
            <w:tcBorders>
              <w:bottom w:val="single" w:sz="8" w:color="477258"/>
            </w:tcBorders>
          </w:tcPr>
          <w:p>
            <w:pPr>
              <w:ind w:left="180"/>
              <w:spacing w:after="0"/>
              <w:rPr>
                <w:sz w:val="20"/>
                <w:szCs w:val="20"/>
                <w:color w:val="auto"/>
              </w:rPr>
            </w:pPr>
            <w:r>
              <w:rPr>
                <w:rFonts w:ascii="Arial" w:cs="Arial" w:eastAsia="Arial" w:hAnsi="Arial"/>
                <w:sz w:val="18"/>
                <w:szCs w:val="18"/>
                <w:color w:val="auto"/>
              </w:rPr>
              <w:t>company (in the case of death)</w:t>
            </w:r>
          </w:p>
        </w:tc>
        <w:tc>
          <w:tcPr>
            <w:tcW w:w="17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1,175,000</w:t>
            </w:r>
          </w:p>
        </w:tc>
        <w:tc>
          <w:tcPr>
            <w:tcW w:w="170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639,000  700,000</w:t>
            </w:r>
          </w:p>
        </w:tc>
        <w:tc>
          <w:tcPr>
            <w:tcW w:w="96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538,000</w:t>
            </w:r>
          </w:p>
        </w:tc>
        <w:tc>
          <w:tcPr>
            <w:tcW w:w="96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538,000</w:t>
            </w:r>
          </w:p>
        </w:tc>
      </w:tr>
      <w:tr>
        <w:trPr>
          <w:trHeight w:val="243"/>
        </w:trPr>
        <w:tc>
          <w:tcPr>
            <w:tcW w:w="3720" w:type="dxa"/>
            <w:vAlign w:val="bottom"/>
            <w:tcBorders>
              <w:bottom w:val="single" w:sz="8" w:color="477258"/>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4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17,607,672</w:t>
            </w:r>
          </w:p>
        </w:tc>
        <w:tc>
          <w:tcPr>
            <w:tcW w:w="170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5,107,5605,596,589</w:t>
            </w:r>
          </w:p>
        </w:tc>
        <w:tc>
          <w:tcPr>
            <w:tcW w:w="960" w:type="dxa"/>
            <w:vAlign w:val="bottom"/>
            <w:tcBorders>
              <w:bottom w:val="single" w:sz="8" w:color="477258"/>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4,116,630</w:t>
            </w:r>
          </w:p>
        </w:tc>
        <w:tc>
          <w:tcPr>
            <w:tcW w:w="96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3,969,375</w:t>
            </w:r>
          </w:p>
        </w:tc>
      </w:tr>
    </w:tbl>
    <w:p>
      <w:pPr>
        <w:ind w:left="820"/>
        <w:spacing w:after="0"/>
        <w:rPr>
          <w:sz w:val="20"/>
          <w:szCs w:val="20"/>
          <w:color w:val="auto"/>
        </w:rPr>
      </w:pPr>
      <w:r>
        <w:rPr>
          <w:rFonts w:ascii="Arial" w:cs="Arial" w:eastAsia="Arial" w:hAnsi="Arial"/>
          <w:sz w:val="18"/>
          <w:szCs w:val="18"/>
          <w:b w:val="1"/>
          <w:bCs w:val="1"/>
          <w:i w:val="1"/>
          <w:iCs w:val="1"/>
          <w:color w:val="auto"/>
        </w:rPr>
        <w:t>In Event of Termination Without Cause by the</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Company or For Good Reason by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wp:posOffset>
            </wp:positionV>
            <wp:extent cx="5768975" cy="6000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68975" cy="600075"/>
                    </a:xfrm>
                    <a:prstGeom prst="rect">
                      <a:avLst/>
                    </a:prstGeom>
                    <a:noFill/>
                  </pic:spPr>
                </pic:pic>
              </a:graphicData>
            </a:graphic>
          </wp:anchor>
        </w:drawing>
      </w:r>
    </w:p>
    <w:p>
      <w:pPr>
        <w:spacing w:after="0" w:line="70" w:lineRule="exact"/>
        <w:rPr>
          <w:sz w:val="20"/>
          <w:szCs w:val="20"/>
          <w:color w:val="auto"/>
        </w:rPr>
      </w:pPr>
    </w:p>
    <w:p>
      <w:pPr>
        <w:jc w:val="both"/>
        <w:ind w:left="1000" w:right="4800" w:hanging="184"/>
        <w:spacing w:after="0" w:line="250" w:lineRule="auto"/>
        <w:tabs>
          <w:tab w:leader="none" w:pos="1000" w:val="left"/>
        </w:tabs>
        <w:numPr>
          <w:ilvl w:val="0"/>
          <w:numId w:val="52"/>
        </w:numPr>
        <w:rPr>
          <w:rFonts w:ascii="Arial" w:cs="Arial" w:eastAsia="Arial" w:hAnsi="Arial"/>
          <w:sz w:val="18"/>
          <w:szCs w:val="18"/>
          <w:color w:val="477258"/>
        </w:rPr>
      </w:pPr>
      <w:r>
        <w:rPr>
          <w:rFonts w:ascii="Arial" w:cs="Arial" w:eastAsia="Arial" w:hAnsi="Arial"/>
          <w:sz w:val="18"/>
          <w:szCs w:val="18"/>
          <w:color w:val="auto"/>
        </w:rPr>
        <w:t>Two times base salary plus target annual cash bonus (one-half payable in lump sum; one-half payable in bi-weekly installments over a two-</w:t>
      </w:r>
    </w:p>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24"/>
        </w:trPr>
        <w:tc>
          <w:tcPr>
            <w:tcW w:w="120" w:type="dxa"/>
            <w:vAlign w:val="bottom"/>
            <w:tcBorders>
              <w:bottom w:val="single" w:sz="8" w:color="477258"/>
            </w:tcBorders>
          </w:tcPr>
          <w:p>
            <w:pPr>
              <w:spacing w:after="0"/>
              <w:rPr>
                <w:sz w:val="19"/>
                <w:szCs w:val="19"/>
                <w:color w:val="auto"/>
              </w:rPr>
            </w:pPr>
          </w:p>
        </w:tc>
        <w:tc>
          <w:tcPr>
            <w:tcW w:w="436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year period)</w:t>
            </w:r>
          </w:p>
        </w:tc>
        <w:tc>
          <w:tcPr>
            <w:tcW w:w="9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6,375,000</w:t>
            </w:r>
          </w:p>
        </w:tc>
        <w:tc>
          <w:tcPr>
            <w:tcW w:w="1700" w:type="dxa"/>
            <w:vAlign w:val="bottom"/>
            <w:tcBorders>
              <w:bottom w:val="single" w:sz="8" w:color="477258"/>
            </w:tcBorders>
            <w:gridSpan w:val="2"/>
          </w:tcPr>
          <w:p>
            <w:pPr>
              <w:jc w:val="right"/>
              <w:spacing w:after="0"/>
              <w:rPr>
                <w:sz w:val="20"/>
                <w:szCs w:val="20"/>
                <w:color w:val="auto"/>
              </w:rPr>
            </w:pPr>
            <w:r>
              <w:rPr>
                <w:rFonts w:ascii="Arial" w:cs="Arial" w:eastAsia="Arial" w:hAnsi="Arial"/>
                <w:sz w:val="18"/>
                <w:szCs w:val="18"/>
                <w:color w:val="auto"/>
              </w:rPr>
              <w:t>2,755,0002,863,000</w:t>
            </w:r>
          </w:p>
        </w:tc>
        <w:tc>
          <w:tcPr>
            <w:tcW w:w="96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2,188,420</w:t>
            </w:r>
          </w:p>
        </w:tc>
        <w:tc>
          <w:tcPr>
            <w:tcW w:w="96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2,188,420</w:t>
            </w:r>
          </w:p>
        </w:tc>
      </w:tr>
      <w:tr>
        <w:trPr>
          <w:trHeight w:val="269"/>
        </w:trPr>
        <w:tc>
          <w:tcPr>
            <w:tcW w:w="120" w:type="dxa"/>
            <w:vAlign w:val="bottom"/>
          </w:tcPr>
          <w:p>
            <w:pPr>
              <w:spacing w:after="0"/>
              <w:rPr>
                <w:sz w:val="20"/>
                <w:szCs w:val="20"/>
                <w:color w:val="auto"/>
              </w:rPr>
            </w:pPr>
            <w:r>
              <w:rPr>
                <w:rFonts w:ascii="Arial" w:cs="Arial" w:eastAsia="Arial" w:hAnsi="Arial"/>
                <w:sz w:val="18"/>
                <w:szCs w:val="18"/>
                <w:color w:val="477258"/>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Continued coverage under health and welfare</w:t>
            </w:r>
          </w:p>
        </w:tc>
        <w:tc>
          <w:tcPr>
            <w:tcW w:w="9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4"/>
        </w:trPr>
        <w:tc>
          <w:tcPr>
            <w:tcW w:w="120" w:type="dxa"/>
            <w:vAlign w:val="bottom"/>
            <w:tcBorders>
              <w:bottom w:val="single" w:sz="8" w:color="477258"/>
            </w:tcBorders>
          </w:tcPr>
          <w:p>
            <w:pPr>
              <w:spacing w:after="0"/>
              <w:rPr>
                <w:sz w:val="19"/>
                <w:szCs w:val="19"/>
                <w:color w:val="auto"/>
              </w:rPr>
            </w:pPr>
          </w:p>
        </w:tc>
        <w:tc>
          <w:tcPr>
            <w:tcW w:w="436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benefit plans for two years</w:t>
            </w:r>
          </w:p>
        </w:tc>
        <w:tc>
          <w:tcPr>
            <w:tcW w:w="9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27,600</w:t>
            </w:r>
          </w:p>
        </w:tc>
        <w:tc>
          <w:tcPr>
            <w:tcW w:w="96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27,600</w:t>
            </w:r>
          </w:p>
        </w:tc>
        <w:tc>
          <w:tcPr>
            <w:tcW w:w="7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27,600</w:t>
            </w:r>
          </w:p>
        </w:tc>
        <w:tc>
          <w:tcPr>
            <w:tcW w:w="96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27,600</w:t>
            </w:r>
          </w:p>
        </w:tc>
        <w:tc>
          <w:tcPr>
            <w:tcW w:w="96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27,600</w:t>
            </w:r>
          </w:p>
        </w:tc>
      </w:tr>
      <w:tr>
        <w:trPr>
          <w:trHeight w:val="269"/>
        </w:trPr>
        <w:tc>
          <w:tcPr>
            <w:tcW w:w="120" w:type="dxa"/>
            <w:vAlign w:val="bottom"/>
            <w:shd w:val="clear" w:color="auto" w:fill="CCEEFF"/>
          </w:tcPr>
          <w:p>
            <w:pPr>
              <w:spacing w:after="0"/>
              <w:rPr>
                <w:sz w:val="20"/>
                <w:szCs w:val="20"/>
                <w:color w:val="auto"/>
              </w:rPr>
            </w:pPr>
            <w:r>
              <w:rPr>
                <w:rFonts w:ascii="Arial" w:cs="Arial" w:eastAsia="Arial" w:hAnsi="Arial"/>
                <w:sz w:val="18"/>
                <w:szCs w:val="18"/>
                <w:color w:val="477258"/>
              </w:rPr>
              <w:t>•</w:t>
            </w:r>
          </w:p>
        </w:tc>
        <w:tc>
          <w:tcPr>
            <w:tcW w:w="4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Prorated payment of PSUs (contingent on actual</w:t>
            </w:r>
          </w:p>
        </w:tc>
        <w:tc>
          <w:tcPr>
            <w:tcW w:w="9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4"/>
        </w:trPr>
        <w:tc>
          <w:tcPr>
            <w:tcW w:w="120" w:type="dxa"/>
            <w:vAlign w:val="bottom"/>
            <w:tcBorders>
              <w:bottom w:val="single" w:sz="8" w:color="477258"/>
            </w:tcBorders>
            <w:shd w:val="clear" w:color="auto" w:fill="CCEEFF"/>
          </w:tcPr>
          <w:p>
            <w:pPr>
              <w:spacing w:after="0"/>
              <w:rPr>
                <w:sz w:val="19"/>
                <w:szCs w:val="19"/>
                <w:color w:val="auto"/>
              </w:rPr>
            </w:pPr>
          </w:p>
        </w:tc>
        <w:tc>
          <w:tcPr>
            <w:tcW w:w="436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color w:val="auto"/>
              </w:rPr>
              <w:t>performance at end of performance period)</w:t>
            </w:r>
          </w:p>
        </w:tc>
        <w:tc>
          <w:tcPr>
            <w:tcW w:w="9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6,713,676</w:t>
            </w:r>
          </w:p>
        </w:tc>
        <w:tc>
          <w:tcPr>
            <w:tcW w:w="1700" w:type="dxa"/>
            <w:vAlign w:val="bottom"/>
            <w:tcBorders>
              <w:bottom w:val="single" w:sz="8" w:color="477258"/>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1,843,9532,028,317</w:t>
            </w:r>
          </w:p>
        </w:tc>
        <w:tc>
          <w:tcPr>
            <w:tcW w:w="960" w:type="dxa"/>
            <w:vAlign w:val="bottom"/>
            <w:tcBorders>
              <w:bottom w:val="single" w:sz="8" w:color="477258"/>
            </w:tcBorders>
            <w:shd w:val="clear" w:color="auto" w:fill="CCEEFF"/>
          </w:tcPr>
          <w:p>
            <w:pPr>
              <w:jc w:val="right"/>
              <w:ind w:right="10"/>
              <w:spacing w:after="0"/>
              <w:rPr>
                <w:sz w:val="20"/>
                <w:szCs w:val="20"/>
                <w:color w:val="auto"/>
              </w:rPr>
            </w:pPr>
            <w:r>
              <w:rPr>
                <w:rFonts w:ascii="Arial" w:cs="Arial" w:eastAsia="Arial" w:hAnsi="Arial"/>
                <w:sz w:val="18"/>
                <w:szCs w:val="18"/>
                <w:color w:val="auto"/>
              </w:rPr>
              <w:t>1,521,218</w:t>
            </w:r>
          </w:p>
        </w:tc>
        <w:tc>
          <w:tcPr>
            <w:tcW w:w="96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1,521,218</w:t>
            </w:r>
          </w:p>
        </w:tc>
      </w:tr>
      <w:tr>
        <w:trPr>
          <w:trHeight w:val="256"/>
        </w:trPr>
        <w:tc>
          <w:tcPr>
            <w:tcW w:w="120" w:type="dxa"/>
            <w:vAlign w:val="bottom"/>
            <w:tcBorders>
              <w:bottom w:val="single" w:sz="8" w:color="477258"/>
            </w:tcBorders>
          </w:tcPr>
          <w:p>
            <w:pPr>
              <w:spacing w:after="0"/>
              <w:rPr>
                <w:sz w:val="20"/>
                <w:szCs w:val="20"/>
                <w:color w:val="auto"/>
              </w:rPr>
            </w:pPr>
            <w:r>
              <w:rPr>
                <w:rFonts w:ascii="Arial" w:cs="Arial" w:eastAsia="Arial" w:hAnsi="Arial"/>
                <w:sz w:val="18"/>
                <w:szCs w:val="18"/>
                <w:color w:val="477258"/>
              </w:rPr>
              <w:t>•</w:t>
            </w:r>
          </w:p>
        </w:tc>
        <w:tc>
          <w:tcPr>
            <w:tcW w:w="436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Prorated vesting of restricted stock units</w:t>
            </w:r>
          </w:p>
        </w:tc>
        <w:tc>
          <w:tcPr>
            <w:tcW w:w="9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77258"/>
            </w:tcBorders>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57,697</w:t>
            </w:r>
          </w:p>
        </w:tc>
      </w:tr>
      <w:tr>
        <w:trPr>
          <w:trHeight w:val="237"/>
        </w:trPr>
        <w:tc>
          <w:tcPr>
            <w:tcW w:w="4480" w:type="dxa"/>
            <w:vAlign w:val="bottom"/>
            <w:tcBorders>
              <w:bottom w:val="single" w:sz="8" w:color="477258"/>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13,116,276</w:t>
            </w:r>
          </w:p>
        </w:tc>
        <w:tc>
          <w:tcPr>
            <w:tcW w:w="1700" w:type="dxa"/>
            <w:vAlign w:val="bottom"/>
            <w:tcBorders>
              <w:bottom w:val="single" w:sz="8" w:color="477258"/>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4,626,5534,918,917</w:t>
            </w:r>
          </w:p>
        </w:tc>
        <w:tc>
          <w:tcPr>
            <w:tcW w:w="960" w:type="dxa"/>
            <w:vAlign w:val="bottom"/>
            <w:tcBorders>
              <w:bottom w:val="single" w:sz="8" w:color="477258"/>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3,737,238</w:t>
            </w:r>
          </w:p>
        </w:tc>
        <w:tc>
          <w:tcPr>
            <w:tcW w:w="96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3,794,936</w:t>
            </w:r>
          </w:p>
        </w:tc>
      </w:tr>
    </w:tbl>
    <w:p>
      <w:pPr>
        <w:ind w:left="820" w:right="3880"/>
        <w:spacing w:after="0" w:line="263" w:lineRule="auto"/>
        <w:rPr>
          <w:sz w:val="20"/>
          <w:szCs w:val="20"/>
          <w:color w:val="auto"/>
        </w:rPr>
      </w:pPr>
      <w:r>
        <w:rPr>
          <w:rFonts w:ascii="Arial" w:cs="Arial" w:eastAsia="Arial" w:hAnsi="Arial"/>
          <w:sz w:val="18"/>
          <w:szCs w:val="18"/>
          <w:b w:val="1"/>
          <w:bCs w:val="1"/>
          <w:i w:val="1"/>
          <w:iCs w:val="1"/>
          <w:color w:val="auto"/>
        </w:rPr>
        <w:t>In Event of Termination Without Cause by the Company or For Good Reasons by the Employee Six Months Following a Change in Control (Double Trigger)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-2540</wp:posOffset>
            </wp:positionV>
            <wp:extent cx="5768975" cy="6000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68975" cy="600075"/>
                    </a:xfrm>
                    <a:prstGeom prst="rect">
                      <a:avLst/>
                    </a:prstGeom>
                    <a:noFill/>
                  </pic:spPr>
                </pic:pic>
              </a:graphicData>
            </a:graphic>
          </wp:anchor>
        </w:drawing>
      </w:r>
    </w:p>
    <w:p>
      <w:pPr>
        <w:spacing w:after="0" w:line="41" w:lineRule="exact"/>
        <w:rPr>
          <w:sz w:val="20"/>
          <w:szCs w:val="20"/>
          <w:color w:val="auto"/>
        </w:rPr>
      </w:pPr>
    </w:p>
    <w:p>
      <w:pPr>
        <w:jc w:val="both"/>
        <w:ind w:left="1000" w:right="4800" w:hanging="184"/>
        <w:spacing w:after="0" w:line="250" w:lineRule="auto"/>
        <w:tabs>
          <w:tab w:leader="none" w:pos="1000" w:val="left"/>
        </w:tabs>
        <w:numPr>
          <w:ilvl w:val="0"/>
          <w:numId w:val="53"/>
        </w:numPr>
        <w:rPr>
          <w:rFonts w:ascii="Arial" w:cs="Arial" w:eastAsia="Arial" w:hAnsi="Arial"/>
          <w:sz w:val="18"/>
          <w:szCs w:val="18"/>
          <w:color w:val="477258"/>
        </w:rPr>
      </w:pPr>
      <w:r>
        <w:rPr>
          <w:rFonts w:ascii="Arial" w:cs="Arial" w:eastAsia="Arial" w:hAnsi="Arial"/>
          <w:sz w:val="18"/>
          <w:szCs w:val="18"/>
          <w:color w:val="auto"/>
        </w:rPr>
        <w:t>Two times base salary plus target annual cash bonus (one-half payable in lump sum; one-half</w:t>
      </w:r>
    </w:p>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Arial" w:cs="Arial" w:eastAsia="Arial" w:hAnsi="Arial"/>
                <w:sz w:val="18"/>
                <w:szCs w:val="18"/>
                <w:color w:val="auto"/>
              </w:rPr>
              <w:t>payable in bi-weekly installments over a two-</w:t>
            </w: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120" w:type="dxa"/>
            <w:vAlign w:val="bottom"/>
            <w:tcBorders>
              <w:bottom w:val="single" w:sz="8" w:color="477258"/>
            </w:tcBorders>
          </w:tcPr>
          <w:p>
            <w:pPr>
              <w:spacing w:after="0"/>
              <w:rPr>
                <w:sz w:val="19"/>
                <w:szCs w:val="19"/>
                <w:color w:val="auto"/>
              </w:rPr>
            </w:pPr>
          </w:p>
        </w:tc>
        <w:tc>
          <w:tcPr>
            <w:tcW w:w="438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year period)</w:t>
            </w:r>
          </w:p>
        </w:tc>
        <w:tc>
          <w:tcPr>
            <w:tcW w:w="96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6,375,000</w:t>
            </w:r>
          </w:p>
        </w:tc>
        <w:tc>
          <w:tcPr>
            <w:tcW w:w="1700" w:type="dxa"/>
            <w:vAlign w:val="bottom"/>
            <w:tcBorders>
              <w:bottom w:val="single" w:sz="8" w:color="477258"/>
            </w:tcBorders>
            <w:gridSpan w:val="2"/>
          </w:tcPr>
          <w:p>
            <w:pPr>
              <w:jc w:val="right"/>
              <w:spacing w:after="0"/>
              <w:rPr>
                <w:sz w:val="20"/>
                <w:szCs w:val="20"/>
                <w:color w:val="auto"/>
              </w:rPr>
            </w:pPr>
            <w:r>
              <w:rPr>
                <w:rFonts w:ascii="Arial" w:cs="Arial" w:eastAsia="Arial" w:hAnsi="Arial"/>
                <w:sz w:val="18"/>
                <w:szCs w:val="18"/>
                <w:color w:val="auto"/>
              </w:rPr>
              <w:t>2,755,0002,863,000</w:t>
            </w:r>
          </w:p>
        </w:tc>
        <w:tc>
          <w:tcPr>
            <w:tcW w:w="96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2,188,420</w:t>
            </w:r>
          </w:p>
        </w:tc>
        <w:tc>
          <w:tcPr>
            <w:tcW w:w="96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2,188,420</w:t>
            </w:r>
          </w:p>
        </w:tc>
      </w:tr>
      <w:tr>
        <w:trPr>
          <w:trHeight w:val="269"/>
        </w:trPr>
        <w:tc>
          <w:tcPr>
            <w:tcW w:w="120" w:type="dxa"/>
            <w:vAlign w:val="bottom"/>
          </w:tcPr>
          <w:p>
            <w:pPr>
              <w:spacing w:after="0"/>
              <w:rPr>
                <w:sz w:val="20"/>
                <w:szCs w:val="20"/>
                <w:color w:val="auto"/>
              </w:rPr>
            </w:pPr>
            <w:r>
              <w:rPr>
                <w:rFonts w:ascii="Arial" w:cs="Arial" w:eastAsia="Arial" w:hAnsi="Arial"/>
                <w:sz w:val="18"/>
                <w:szCs w:val="18"/>
                <w:color w:val="477258"/>
              </w:rPr>
              <w:t>•</w:t>
            </w:r>
          </w:p>
        </w:tc>
        <w:tc>
          <w:tcPr>
            <w:tcW w:w="4380" w:type="dxa"/>
            <w:vAlign w:val="bottom"/>
          </w:tcPr>
          <w:p>
            <w:pPr>
              <w:ind w:left="60"/>
              <w:spacing w:after="0"/>
              <w:rPr>
                <w:sz w:val="20"/>
                <w:szCs w:val="20"/>
                <w:color w:val="auto"/>
              </w:rPr>
            </w:pPr>
            <w:r>
              <w:rPr>
                <w:rFonts w:ascii="Arial" w:cs="Arial" w:eastAsia="Arial" w:hAnsi="Arial"/>
                <w:sz w:val="18"/>
                <w:szCs w:val="18"/>
                <w:color w:val="auto"/>
              </w:rPr>
              <w:t>Continued coverage under health and welfare</w:t>
            </w:r>
          </w:p>
        </w:tc>
        <w:tc>
          <w:tcPr>
            <w:tcW w:w="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4"/>
        </w:trPr>
        <w:tc>
          <w:tcPr>
            <w:tcW w:w="120" w:type="dxa"/>
            <w:vAlign w:val="bottom"/>
            <w:tcBorders>
              <w:bottom w:val="single" w:sz="8" w:color="477258"/>
            </w:tcBorders>
          </w:tcPr>
          <w:p>
            <w:pPr>
              <w:spacing w:after="0"/>
              <w:rPr>
                <w:sz w:val="19"/>
                <w:szCs w:val="19"/>
                <w:color w:val="auto"/>
              </w:rPr>
            </w:pPr>
          </w:p>
        </w:tc>
        <w:tc>
          <w:tcPr>
            <w:tcW w:w="438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benefit plans for two years</w:t>
            </w:r>
          </w:p>
        </w:tc>
        <w:tc>
          <w:tcPr>
            <w:tcW w:w="96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27,600</w:t>
            </w:r>
          </w:p>
        </w:tc>
        <w:tc>
          <w:tcPr>
            <w:tcW w:w="92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27,600</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27,600</w:t>
            </w:r>
          </w:p>
        </w:tc>
        <w:tc>
          <w:tcPr>
            <w:tcW w:w="96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27,600</w:t>
            </w:r>
          </w:p>
        </w:tc>
        <w:tc>
          <w:tcPr>
            <w:tcW w:w="96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27,600</w:t>
            </w:r>
          </w:p>
        </w:tc>
      </w:tr>
      <w:tr>
        <w:trPr>
          <w:trHeight w:val="256"/>
        </w:trPr>
        <w:tc>
          <w:tcPr>
            <w:tcW w:w="120" w:type="dxa"/>
            <w:vAlign w:val="bottom"/>
            <w:tcBorders>
              <w:bottom w:val="single" w:sz="8" w:color="477258"/>
            </w:tcBorders>
            <w:shd w:val="clear" w:color="auto" w:fill="CCEEFF"/>
          </w:tcPr>
          <w:p>
            <w:pPr>
              <w:spacing w:after="0"/>
              <w:rPr>
                <w:sz w:val="20"/>
                <w:szCs w:val="20"/>
                <w:color w:val="auto"/>
              </w:rPr>
            </w:pPr>
            <w:r>
              <w:rPr>
                <w:rFonts w:ascii="Arial" w:cs="Arial" w:eastAsia="Arial" w:hAnsi="Arial"/>
                <w:sz w:val="18"/>
                <w:szCs w:val="18"/>
                <w:color w:val="477258"/>
              </w:rPr>
              <w:t>•</w:t>
            </w:r>
          </w:p>
        </w:tc>
        <w:tc>
          <w:tcPr>
            <w:tcW w:w="438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color w:val="auto"/>
              </w:rPr>
              <w:t>Accelerated vesting of stock options</w:t>
            </w:r>
          </w:p>
        </w:tc>
        <w:tc>
          <w:tcPr>
            <w:tcW w:w="96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3,243,381</w:t>
            </w:r>
          </w:p>
        </w:tc>
        <w:tc>
          <w:tcPr>
            <w:tcW w:w="920" w:type="dxa"/>
            <w:vAlign w:val="bottom"/>
            <w:tcBorders>
              <w:bottom w:val="single" w:sz="8" w:color="477258"/>
            </w:tcBorders>
            <w:shd w:val="clear" w:color="auto" w:fill="CCEEFF"/>
          </w:tcPr>
          <w:p>
            <w:pPr>
              <w:jc w:val="right"/>
              <w:ind w:right="10"/>
              <w:spacing w:after="0"/>
              <w:rPr>
                <w:sz w:val="20"/>
                <w:szCs w:val="20"/>
                <w:color w:val="auto"/>
              </w:rPr>
            </w:pPr>
            <w:r>
              <w:rPr>
                <w:rFonts w:ascii="Arial" w:cs="Arial" w:eastAsia="Arial" w:hAnsi="Arial"/>
                <w:sz w:val="18"/>
                <w:szCs w:val="18"/>
                <w:color w:val="auto"/>
              </w:rPr>
              <w:t>922,877</w:t>
            </w:r>
          </w:p>
        </w:tc>
        <w:tc>
          <w:tcPr>
            <w:tcW w:w="7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996,408</w:t>
            </w:r>
          </w:p>
        </w:tc>
        <w:tc>
          <w:tcPr>
            <w:tcW w:w="960" w:type="dxa"/>
            <w:vAlign w:val="bottom"/>
            <w:tcBorders>
              <w:bottom w:val="single" w:sz="8" w:color="477258"/>
            </w:tcBorders>
            <w:shd w:val="clear" w:color="auto" w:fill="CCEEFF"/>
          </w:tcPr>
          <w:p>
            <w:pPr>
              <w:jc w:val="right"/>
              <w:ind w:right="10"/>
              <w:spacing w:after="0"/>
              <w:rPr>
                <w:sz w:val="20"/>
                <w:szCs w:val="20"/>
                <w:color w:val="auto"/>
              </w:rPr>
            </w:pPr>
            <w:r>
              <w:rPr>
                <w:rFonts w:ascii="Arial" w:cs="Arial" w:eastAsia="Arial" w:hAnsi="Arial"/>
                <w:sz w:val="18"/>
                <w:szCs w:val="18"/>
                <w:color w:val="auto"/>
              </w:rPr>
              <w:t>653,494</w:t>
            </w:r>
          </w:p>
        </w:tc>
        <w:tc>
          <w:tcPr>
            <w:tcW w:w="96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445,505</w:t>
            </w:r>
          </w:p>
        </w:tc>
      </w:tr>
      <w:tr>
        <w:trPr>
          <w:trHeight w:val="250"/>
        </w:trPr>
        <w:tc>
          <w:tcPr>
            <w:tcW w:w="120" w:type="dxa"/>
            <w:vAlign w:val="bottom"/>
            <w:tcBorders>
              <w:bottom w:val="single" w:sz="8" w:color="477258"/>
            </w:tcBorders>
          </w:tcPr>
          <w:p>
            <w:pPr>
              <w:spacing w:after="0"/>
              <w:rPr>
                <w:sz w:val="20"/>
                <w:szCs w:val="20"/>
                <w:color w:val="auto"/>
              </w:rPr>
            </w:pPr>
            <w:r>
              <w:rPr>
                <w:rFonts w:ascii="Arial" w:cs="Arial" w:eastAsia="Arial" w:hAnsi="Arial"/>
                <w:sz w:val="18"/>
                <w:szCs w:val="18"/>
                <w:color w:val="477258"/>
              </w:rPr>
              <w:t>•</w:t>
            </w:r>
          </w:p>
        </w:tc>
        <w:tc>
          <w:tcPr>
            <w:tcW w:w="438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Prorated accelerated payment of PSUs</w:t>
            </w:r>
          </w:p>
        </w:tc>
        <w:tc>
          <w:tcPr>
            <w:tcW w:w="96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6,713,676</w:t>
            </w:r>
          </w:p>
        </w:tc>
        <w:tc>
          <w:tcPr>
            <w:tcW w:w="1700" w:type="dxa"/>
            <w:vAlign w:val="bottom"/>
            <w:tcBorders>
              <w:bottom w:val="single" w:sz="8" w:color="477258"/>
            </w:tcBorders>
            <w:gridSpan w:val="2"/>
          </w:tcPr>
          <w:p>
            <w:pPr>
              <w:jc w:val="right"/>
              <w:spacing w:after="0"/>
              <w:rPr>
                <w:sz w:val="20"/>
                <w:szCs w:val="20"/>
                <w:color w:val="auto"/>
              </w:rPr>
            </w:pPr>
            <w:r>
              <w:rPr>
                <w:rFonts w:ascii="Arial" w:cs="Arial" w:eastAsia="Arial" w:hAnsi="Arial"/>
                <w:sz w:val="18"/>
                <w:szCs w:val="18"/>
                <w:color w:val="auto"/>
              </w:rPr>
              <w:t>1,843,9532,028,317</w:t>
            </w:r>
          </w:p>
        </w:tc>
        <w:tc>
          <w:tcPr>
            <w:tcW w:w="96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1,521,218</w:t>
            </w:r>
          </w:p>
        </w:tc>
        <w:tc>
          <w:tcPr>
            <w:tcW w:w="96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1,521,218</w:t>
            </w:r>
          </w:p>
        </w:tc>
      </w:tr>
      <w:tr>
        <w:trPr>
          <w:trHeight w:val="250"/>
        </w:trPr>
        <w:tc>
          <w:tcPr>
            <w:tcW w:w="120" w:type="dxa"/>
            <w:vAlign w:val="bottom"/>
            <w:tcBorders>
              <w:bottom w:val="single" w:sz="8" w:color="477258"/>
            </w:tcBorders>
            <w:shd w:val="clear" w:color="auto" w:fill="CCEEFF"/>
          </w:tcPr>
          <w:p>
            <w:pPr>
              <w:spacing w:after="0"/>
              <w:rPr>
                <w:sz w:val="20"/>
                <w:szCs w:val="20"/>
                <w:color w:val="auto"/>
              </w:rPr>
            </w:pPr>
            <w:r>
              <w:rPr>
                <w:rFonts w:ascii="Arial" w:cs="Arial" w:eastAsia="Arial" w:hAnsi="Arial"/>
                <w:sz w:val="18"/>
                <w:szCs w:val="18"/>
                <w:color w:val="477258"/>
                <w:shd w:val="clear" w:color="auto" w:fill="CCEEFF"/>
              </w:rPr>
              <w:t>•</w:t>
            </w:r>
          </w:p>
        </w:tc>
        <w:tc>
          <w:tcPr>
            <w:tcW w:w="4380" w:type="dxa"/>
            <w:vAlign w:val="bottom"/>
            <w:tcBorders>
              <w:bottom w:val="single" w:sz="8" w:color="477258"/>
            </w:tcBorders>
            <w:shd w:val="clear" w:color="auto" w:fill="CCEEFF"/>
          </w:tcPr>
          <w:p>
            <w:pPr>
              <w:ind w:left="60"/>
              <w:spacing w:after="0"/>
              <w:rPr>
                <w:sz w:val="20"/>
                <w:szCs w:val="20"/>
                <w:color w:val="auto"/>
              </w:rPr>
            </w:pPr>
            <w:r>
              <w:rPr>
                <w:rFonts w:ascii="Arial" w:cs="Arial" w:eastAsia="Arial" w:hAnsi="Arial"/>
                <w:sz w:val="18"/>
                <w:szCs w:val="18"/>
                <w:color w:val="auto"/>
                <w:shd w:val="clear" w:color="auto" w:fill="CCEEFF"/>
              </w:rPr>
              <w:t>Accelerated payment of PSUs replacement grant</w:t>
            </w:r>
          </w:p>
        </w:tc>
        <w:tc>
          <w:tcPr>
            <w:tcW w:w="96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6,475,615</w:t>
            </w:r>
          </w:p>
        </w:tc>
        <w:tc>
          <w:tcPr>
            <w:tcW w:w="1700" w:type="dxa"/>
            <w:vAlign w:val="bottom"/>
            <w:tcBorders>
              <w:bottom w:val="single" w:sz="8" w:color="477258"/>
            </w:tcBorders>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1,701,7301,871,864</w:t>
            </w:r>
          </w:p>
        </w:tc>
        <w:tc>
          <w:tcPr>
            <w:tcW w:w="960" w:type="dxa"/>
            <w:vAlign w:val="bottom"/>
            <w:tcBorders>
              <w:bottom w:val="single" w:sz="8" w:color="477258"/>
            </w:tcBorders>
            <w:shd w:val="clear" w:color="auto" w:fill="CCEEFF"/>
          </w:tcPr>
          <w:p>
            <w:pPr>
              <w:jc w:val="right"/>
              <w:ind w:right="10"/>
              <w:spacing w:after="0"/>
              <w:rPr>
                <w:sz w:val="20"/>
                <w:szCs w:val="20"/>
                <w:color w:val="auto"/>
              </w:rPr>
            </w:pPr>
            <w:r>
              <w:rPr>
                <w:rFonts w:ascii="Arial" w:cs="Arial" w:eastAsia="Arial" w:hAnsi="Arial"/>
                <w:sz w:val="18"/>
                <w:szCs w:val="18"/>
                <w:color w:val="auto"/>
                <w:shd w:val="clear" w:color="auto" w:fill="CCEEFF"/>
              </w:rPr>
              <w:t>1,403,917</w:t>
            </w:r>
          </w:p>
        </w:tc>
        <w:tc>
          <w:tcPr>
            <w:tcW w:w="96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1,403,917</w:t>
            </w:r>
          </w:p>
        </w:tc>
      </w:tr>
      <w:tr>
        <w:trPr>
          <w:trHeight w:val="250"/>
        </w:trPr>
        <w:tc>
          <w:tcPr>
            <w:tcW w:w="120" w:type="dxa"/>
            <w:vAlign w:val="bottom"/>
            <w:tcBorders>
              <w:bottom w:val="single" w:sz="8" w:color="477258"/>
            </w:tcBorders>
          </w:tcPr>
          <w:p>
            <w:pPr>
              <w:spacing w:after="0"/>
              <w:rPr>
                <w:sz w:val="20"/>
                <w:szCs w:val="20"/>
                <w:color w:val="auto"/>
              </w:rPr>
            </w:pPr>
            <w:r>
              <w:rPr>
                <w:rFonts w:ascii="Arial" w:cs="Arial" w:eastAsia="Arial" w:hAnsi="Arial"/>
                <w:sz w:val="18"/>
                <w:szCs w:val="18"/>
                <w:color w:val="477258"/>
              </w:rPr>
              <w:t>•</w:t>
            </w:r>
          </w:p>
        </w:tc>
        <w:tc>
          <w:tcPr>
            <w:tcW w:w="4380" w:type="dxa"/>
            <w:vAlign w:val="bottom"/>
            <w:tcBorders>
              <w:bottom w:val="single" w:sz="8" w:color="477258"/>
            </w:tcBorders>
          </w:tcPr>
          <w:p>
            <w:pPr>
              <w:ind w:left="60"/>
              <w:spacing w:after="0"/>
              <w:rPr>
                <w:sz w:val="20"/>
                <w:szCs w:val="20"/>
                <w:color w:val="auto"/>
              </w:rPr>
            </w:pPr>
            <w:r>
              <w:rPr>
                <w:rFonts w:ascii="Arial" w:cs="Arial" w:eastAsia="Arial" w:hAnsi="Arial"/>
                <w:sz w:val="18"/>
                <w:szCs w:val="18"/>
                <w:color w:val="auto"/>
              </w:rPr>
              <w:t>Accelerated vesting of restricted stock units</w:t>
            </w:r>
          </w:p>
        </w:tc>
        <w:tc>
          <w:tcPr>
            <w:tcW w:w="96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77258"/>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77258"/>
            </w:tcBorders>
          </w:tcPr>
          <w:p>
            <w:pPr>
              <w:jc w:val="right"/>
              <w:spacing w:after="0"/>
              <w:rPr>
                <w:sz w:val="20"/>
                <w:szCs w:val="20"/>
                <w:color w:val="auto"/>
              </w:rPr>
            </w:pPr>
            <w:r>
              <w:rPr>
                <w:rFonts w:ascii="Arial" w:cs="Arial" w:eastAsia="Arial" w:hAnsi="Arial"/>
                <w:sz w:val="18"/>
                <w:szCs w:val="18"/>
                <w:color w:val="auto"/>
              </w:rPr>
              <w:t>60,734</w:t>
            </w:r>
          </w:p>
        </w:tc>
      </w:tr>
      <w:tr>
        <w:trPr>
          <w:trHeight w:val="263"/>
        </w:trPr>
        <w:tc>
          <w:tcPr>
            <w:tcW w:w="120" w:type="dxa"/>
            <w:vAlign w:val="bottom"/>
            <w:tcBorders>
              <w:bottom w:val="single" w:sz="8" w:color="477258"/>
            </w:tcBorders>
            <w:shd w:val="clear" w:color="auto" w:fill="CCEEFF"/>
          </w:tcPr>
          <w:p>
            <w:pPr>
              <w:spacing w:after="0"/>
              <w:rPr>
                <w:sz w:val="20"/>
                <w:szCs w:val="20"/>
                <w:color w:val="auto"/>
              </w:rPr>
            </w:pPr>
            <w:r>
              <w:rPr>
                <w:rFonts w:ascii="Arial" w:cs="Arial" w:eastAsia="Arial" w:hAnsi="Arial"/>
                <w:sz w:val="18"/>
                <w:szCs w:val="18"/>
                <w:color w:val="477258"/>
              </w:rPr>
              <w:t>•</w:t>
            </w:r>
          </w:p>
        </w:tc>
        <w:tc>
          <w:tcPr>
            <w:tcW w:w="4380" w:type="dxa"/>
            <w:vAlign w:val="bottom"/>
            <w:tcBorders>
              <w:bottom w:val="single" w:sz="8" w:color="477258"/>
            </w:tcBorders>
            <w:shd w:val="clear" w:color="auto" w:fill="CCEEFF"/>
          </w:tcPr>
          <w:p>
            <w:pPr>
              <w:ind w:left="60"/>
              <w:spacing w:after="0" w:line="263" w:lineRule="exact"/>
              <w:rPr>
                <w:sz w:val="20"/>
                <w:szCs w:val="20"/>
                <w:color w:val="auto"/>
              </w:rPr>
            </w:pPr>
            <w:r>
              <w:rPr>
                <w:rFonts w:ascii="Arial" w:cs="Arial" w:eastAsia="Arial" w:hAnsi="Arial"/>
                <w:sz w:val="18"/>
                <w:szCs w:val="18"/>
                <w:color w:val="auto"/>
              </w:rPr>
              <w:t>Prorated annual cash bonus</w:t>
            </w:r>
            <w:r>
              <w:rPr>
                <w:rFonts w:ascii="Arial" w:cs="Arial" w:eastAsia="Arial" w:hAnsi="Arial"/>
                <w:sz w:val="26"/>
                <w:szCs w:val="26"/>
                <w:color w:val="auto"/>
                <w:vertAlign w:val="superscript"/>
              </w:rPr>
              <w:t>(1)</w:t>
            </w:r>
          </w:p>
        </w:tc>
        <w:tc>
          <w:tcPr>
            <w:tcW w:w="96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3,825,000</w:t>
            </w:r>
          </w:p>
        </w:tc>
        <w:tc>
          <w:tcPr>
            <w:tcW w:w="1700" w:type="dxa"/>
            <w:vAlign w:val="bottom"/>
            <w:tcBorders>
              <w:bottom w:val="single" w:sz="8" w:color="477258"/>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1,377,5001,431,500</w:t>
            </w:r>
          </w:p>
        </w:tc>
        <w:tc>
          <w:tcPr>
            <w:tcW w:w="960" w:type="dxa"/>
            <w:vAlign w:val="bottom"/>
            <w:tcBorders>
              <w:bottom w:val="single" w:sz="8" w:color="477258"/>
            </w:tcBorders>
            <w:shd w:val="clear" w:color="auto" w:fill="CCEEFF"/>
          </w:tcPr>
          <w:p>
            <w:pPr>
              <w:jc w:val="right"/>
              <w:ind w:right="10"/>
              <w:spacing w:after="0"/>
              <w:rPr>
                <w:sz w:val="20"/>
                <w:szCs w:val="20"/>
                <w:color w:val="auto"/>
              </w:rPr>
            </w:pPr>
            <w:r>
              <w:rPr>
                <w:rFonts w:ascii="Arial" w:cs="Arial" w:eastAsia="Arial" w:hAnsi="Arial"/>
                <w:sz w:val="18"/>
                <w:szCs w:val="18"/>
                <w:color w:val="auto"/>
              </w:rPr>
              <w:t>518,310</w:t>
            </w:r>
          </w:p>
        </w:tc>
        <w:tc>
          <w:tcPr>
            <w:tcW w:w="96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color w:val="auto"/>
              </w:rPr>
              <w:t>518,310</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26,660,272</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8,628,6609,218,689</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6,312,960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6,165,705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25400</wp:posOffset>
            </wp:positionV>
            <wp:extent cx="57689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87" w:lineRule="exact"/>
        <w:rPr>
          <w:sz w:val="20"/>
          <w:szCs w:val="20"/>
          <w:color w:val="auto"/>
        </w:rPr>
      </w:pPr>
    </w:p>
    <w:p>
      <w:pPr>
        <w:jc w:val="both"/>
        <w:ind w:left="1180" w:right="20" w:hanging="364"/>
        <w:spacing w:after="0" w:line="252"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Pursuant to the Severance Protection Plan, Ms. Hemmer and Mr. Batchelor receive a prorated target annual cash bonus under this scenario. Mr. Fish, Ms. Rankin and Mr. Morris receive a prorated maximum annual cash bonus under this scenario pursuant to their 2017 Employment Agreements. The 2017 Employment Agreements provided for this enhanced treatment partially on account of similar terms in pre-existing employment agreements that executives were agreeing to terminate in order to support the Company’s transition toward a more standardized and flexible approach to severance protections.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-149860</wp:posOffset>
            </wp:positionV>
            <wp:extent cx="454660" cy="1200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54660" cy="120015"/>
                    </a:xfrm>
                    <a:prstGeom prst="rect">
                      <a:avLst/>
                    </a:prstGeom>
                    <a:noFill/>
                  </pic:spPr>
                </pic:pic>
              </a:graphicData>
            </a:graphic>
          </wp:anchor>
        </w:drawing>
      </w:r>
    </w:p>
    <w:p>
      <w:pPr>
        <w:sectPr>
          <w:pgSz w:w="11900" w:h="16838" w:orient="portrait"/>
          <w:cols w:equalWidth="0" w:num="1">
            <w:col w:w="9900"/>
          </w:cols>
          <w:pgMar w:left="580" w:top="132" w:right="1419"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9"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EXECUTIVE COMPENSATION</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Chief Executive Officer Pay Ratio</w:t>
      </w:r>
    </w:p>
    <w:p>
      <w:pPr>
        <w:spacing w:after="0" w:line="116" w:lineRule="exact"/>
        <w:rPr>
          <w:sz w:val="20"/>
          <w:szCs w:val="20"/>
          <w:color w:val="auto"/>
        </w:rPr>
      </w:pPr>
    </w:p>
    <w:p>
      <w:pPr>
        <w:jc w:val="both"/>
        <w:ind w:left="820" w:right="620"/>
        <w:spacing w:after="0"/>
        <w:rPr>
          <w:sz w:val="20"/>
          <w:szCs w:val="20"/>
          <w:color w:val="auto"/>
        </w:rPr>
      </w:pPr>
      <w:r>
        <w:rPr>
          <w:rFonts w:ascii="Arial" w:cs="Arial" w:eastAsia="Arial" w:hAnsi="Arial"/>
          <w:sz w:val="18"/>
          <w:szCs w:val="18"/>
          <w:color w:val="auto"/>
        </w:rPr>
        <w:t>In 2018, we identified the Company’s median employee, based on total annual compensation for all employees other than our Chief Executive Officer, in accordance with SEC Regulation S-K, Item 402(u) (the “Median Employee”). To select the Median Employee, we determined the actual taxable compensation paid to each listed employee in 2017, converted to U.S. dollars at appropriate exchange rates for non-U.S. employees, and annualized for salaried employees hired during the year. We did not apply any cost-of-living adjustments nor did we use any form of statistical sampling. During 2019, a change in such employee’s circumstances made it no longer appropriate to use that individual as the Median Employee. A new Median Employee was selected at the end of 2019, whose compensation is substantially similar to the original median employee based on the compensation measure used to select the original median employee. The Median Employee, a Driver in the U.S., was identified from a list of Company employees as of December 31, 2017. Out of a total worldwide employee population of 42,075 on that date, the list included 41,585 employees and excluded the Chief Executive Officer and our 489 employees based in India. Approximately 90% of these total employees work in the U.S. and approximately 10% work in Canada. Over 99% of these individuals are full- time employees. Any temporary or seasonal employees are included; any subcontracted workers are not employees and are excluded.</w:t>
      </w:r>
    </w:p>
    <w:p>
      <w:pPr>
        <w:spacing w:after="0" w:line="234" w:lineRule="exact"/>
        <w:rPr>
          <w:sz w:val="20"/>
          <w:szCs w:val="20"/>
          <w:color w:val="auto"/>
        </w:rPr>
      </w:pPr>
    </w:p>
    <w:p>
      <w:pPr>
        <w:jc w:val="both"/>
        <w:ind w:left="820" w:right="620"/>
        <w:spacing w:after="0"/>
        <w:rPr>
          <w:sz w:val="20"/>
          <w:szCs w:val="20"/>
          <w:color w:val="auto"/>
        </w:rPr>
      </w:pPr>
      <w:r>
        <w:rPr>
          <w:rFonts w:ascii="Arial" w:cs="Arial" w:eastAsia="Arial" w:hAnsi="Arial"/>
          <w:sz w:val="18"/>
          <w:szCs w:val="18"/>
          <w:color w:val="auto"/>
        </w:rPr>
        <w:t>Since December 31, 2017, there have been no changes to the Company’s employee population, compensation arrangements, or the circumstances of the Median Employee (except as noted above) that the Company believes would significantly impact this pay ratio disclosure. Accordingly, as permitted by SEC Regulation S-K, Item 402(u), the Company is providing the following information based on the Median Employee as identified.</w:t>
      </w:r>
    </w:p>
    <w:p>
      <w:pPr>
        <w:spacing w:after="0" w:line="225" w:lineRule="exact"/>
        <w:rPr>
          <w:sz w:val="20"/>
          <w:szCs w:val="20"/>
          <w:color w:val="auto"/>
        </w:rPr>
      </w:pPr>
    </w:p>
    <w:p>
      <w:pPr>
        <w:jc w:val="both"/>
        <w:ind w:left="820" w:right="620"/>
        <w:spacing w:after="0" w:line="227" w:lineRule="auto"/>
        <w:rPr>
          <w:sz w:val="20"/>
          <w:szCs w:val="20"/>
          <w:color w:val="auto"/>
        </w:rPr>
      </w:pPr>
      <w:r>
        <w:rPr>
          <w:rFonts w:ascii="Arial" w:cs="Arial" w:eastAsia="Arial" w:hAnsi="Arial"/>
          <w:sz w:val="18"/>
          <w:szCs w:val="18"/>
          <w:color w:val="auto"/>
        </w:rPr>
        <w:t>For 2020, total annual compensation for the Median Employee was $80,091. The annual compensation of our Chief Executive Officer was $12,373,925, for a ratio of 1:154. These values were calculated in accordance with SEC Regulation S-K, Item 402(c)(2)(x) requirements for reporting total compensation in the Summary Compensation Table.</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Equity Compensation Plan Table</w:t>
      </w:r>
    </w:p>
    <w:p>
      <w:pPr>
        <w:spacing w:after="0" w:line="116" w:lineRule="exact"/>
        <w:rPr>
          <w:sz w:val="20"/>
          <w:szCs w:val="20"/>
          <w:color w:val="auto"/>
        </w:rPr>
      </w:pPr>
    </w:p>
    <w:p>
      <w:pPr>
        <w:jc w:val="both"/>
        <w:ind w:left="820" w:right="620"/>
        <w:spacing w:after="0" w:line="229" w:lineRule="auto"/>
        <w:rPr>
          <w:sz w:val="20"/>
          <w:szCs w:val="20"/>
          <w:color w:val="auto"/>
        </w:rPr>
      </w:pPr>
      <w:r>
        <w:rPr>
          <w:rFonts w:ascii="Arial" w:cs="Arial" w:eastAsia="Arial" w:hAnsi="Arial"/>
          <w:sz w:val="18"/>
          <w:szCs w:val="18"/>
          <w:color w:val="auto"/>
        </w:rPr>
        <w:t>The following table provides information as of December 31, 2020 about the number of shares to be issued upon vesting or exercise of equity awards and shares remaining available for issuance under our equity compensation plans.</w:t>
      </w:r>
    </w:p>
    <w:p>
      <w:pPr>
        <w:spacing w:after="0" w:line="17"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80" w:type="dxa"/>
            <w:vAlign w:val="bottom"/>
            <w:vMerge w:val="restart"/>
          </w:tcPr>
          <w:p>
            <w:pPr>
              <w:jc w:val="right"/>
              <w:ind w:right="5"/>
              <w:spacing w:after="0"/>
              <w:rPr>
                <w:sz w:val="20"/>
                <w:szCs w:val="20"/>
                <w:color w:val="auto"/>
              </w:rPr>
            </w:pPr>
            <w:r>
              <w:rPr>
                <w:rFonts w:ascii="Arial" w:cs="Arial" w:eastAsia="Arial" w:hAnsi="Arial"/>
                <w:sz w:val="14"/>
                <w:szCs w:val="14"/>
                <w:b w:val="1"/>
                <w:bCs w:val="1"/>
                <w:color w:val="477258"/>
              </w:rPr>
              <w:t>Number of</w:t>
            </w:r>
          </w:p>
        </w:tc>
        <w:tc>
          <w:tcPr>
            <w:tcW w:w="15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477258"/>
              </w:rPr>
              <w:t>Number of</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Securities</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80" w:type="dxa"/>
            <w:vAlign w:val="bottom"/>
          </w:tcPr>
          <w:p>
            <w:pPr>
              <w:jc w:val="right"/>
              <w:ind w:right="5"/>
              <w:spacing w:after="0" w:line="135" w:lineRule="exact"/>
              <w:rPr>
                <w:sz w:val="20"/>
                <w:szCs w:val="20"/>
                <w:color w:val="auto"/>
              </w:rPr>
            </w:pPr>
            <w:r>
              <w:rPr>
                <w:rFonts w:ascii="Arial" w:cs="Arial" w:eastAsia="Arial" w:hAnsi="Arial"/>
                <w:sz w:val="14"/>
                <w:szCs w:val="14"/>
                <w:b w:val="1"/>
                <w:bCs w:val="1"/>
                <w:color w:val="477258"/>
              </w:rPr>
              <w:t>Securities to be</w:t>
            </w:r>
          </w:p>
        </w:tc>
        <w:tc>
          <w:tcPr>
            <w:tcW w:w="158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477258"/>
              </w:rPr>
              <w:t>Weighted-Average</w:t>
            </w:r>
          </w:p>
        </w:tc>
        <w:tc>
          <w:tcPr>
            <w:tcW w:w="144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Remaining</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Issued Upon</w:t>
            </w:r>
          </w:p>
        </w:tc>
        <w:tc>
          <w:tcPr>
            <w:tcW w:w="1580" w:type="dxa"/>
            <w:vAlign w:val="bottom"/>
            <w:vMerge w:val="continue"/>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Available for</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80" w:type="dxa"/>
            <w:vAlign w:val="bottom"/>
          </w:tcPr>
          <w:p>
            <w:pPr>
              <w:jc w:val="right"/>
              <w:ind w:right="5"/>
              <w:spacing w:after="0" w:line="135" w:lineRule="exact"/>
              <w:rPr>
                <w:sz w:val="20"/>
                <w:szCs w:val="20"/>
                <w:color w:val="auto"/>
              </w:rPr>
            </w:pPr>
            <w:r>
              <w:rPr>
                <w:rFonts w:ascii="Arial" w:cs="Arial" w:eastAsia="Arial" w:hAnsi="Arial"/>
                <w:sz w:val="14"/>
                <w:szCs w:val="14"/>
                <w:b w:val="1"/>
                <w:bCs w:val="1"/>
                <w:color w:val="477258"/>
              </w:rPr>
              <w:t>Exercise</w:t>
            </w:r>
          </w:p>
        </w:tc>
        <w:tc>
          <w:tcPr>
            <w:tcW w:w="1580" w:type="dxa"/>
            <w:vAlign w:val="bottom"/>
          </w:tcPr>
          <w:p>
            <w:pPr>
              <w:jc w:val="right"/>
              <w:ind w:right="104"/>
              <w:spacing w:after="0" w:line="135" w:lineRule="exact"/>
              <w:rPr>
                <w:sz w:val="20"/>
                <w:szCs w:val="20"/>
                <w:color w:val="auto"/>
              </w:rPr>
            </w:pPr>
            <w:r>
              <w:rPr>
                <w:rFonts w:ascii="Arial" w:cs="Arial" w:eastAsia="Arial" w:hAnsi="Arial"/>
                <w:sz w:val="14"/>
                <w:szCs w:val="14"/>
                <w:b w:val="1"/>
                <w:bCs w:val="1"/>
                <w:color w:val="477258"/>
              </w:rPr>
              <w:t>Exercise Price of</w:t>
            </w:r>
          </w:p>
        </w:tc>
        <w:tc>
          <w:tcPr>
            <w:tcW w:w="144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Future Issuance</w:t>
            </w:r>
          </w:p>
        </w:tc>
        <w:tc>
          <w:tcPr>
            <w:tcW w:w="0" w:type="dxa"/>
            <w:vAlign w:val="bottom"/>
          </w:tcPr>
          <w:p>
            <w:pPr>
              <w:spacing w:after="0"/>
              <w:rPr>
                <w:sz w:val="1"/>
                <w:szCs w:val="1"/>
                <w:color w:val="auto"/>
              </w:rPr>
            </w:pPr>
          </w:p>
        </w:tc>
      </w:tr>
      <w:tr>
        <w:trPr>
          <w:trHeight w:val="135"/>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477258"/>
              </w:rPr>
              <w:t>Plan Category</w:t>
            </w:r>
          </w:p>
        </w:tc>
        <w:tc>
          <w:tcPr>
            <w:tcW w:w="148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of Outstanding</w:t>
            </w:r>
          </w:p>
        </w:tc>
        <w:tc>
          <w:tcPr>
            <w:tcW w:w="1580" w:type="dxa"/>
            <w:vAlign w:val="bottom"/>
          </w:tcPr>
          <w:p>
            <w:pPr>
              <w:jc w:val="right"/>
              <w:ind w:right="104"/>
              <w:spacing w:after="0" w:line="135" w:lineRule="exact"/>
              <w:rPr>
                <w:sz w:val="20"/>
                <w:szCs w:val="20"/>
                <w:color w:val="auto"/>
              </w:rPr>
            </w:pPr>
            <w:r>
              <w:rPr>
                <w:rFonts w:ascii="Arial" w:cs="Arial" w:eastAsia="Arial" w:hAnsi="Arial"/>
                <w:sz w:val="14"/>
                <w:szCs w:val="14"/>
                <w:b w:val="1"/>
                <w:bCs w:val="1"/>
                <w:color w:val="477258"/>
              </w:rPr>
              <w:t>Outstanding</w:t>
            </w:r>
          </w:p>
        </w:tc>
        <w:tc>
          <w:tcPr>
            <w:tcW w:w="1440" w:type="dxa"/>
            <w:vAlign w:val="bottom"/>
          </w:tcPr>
          <w:p>
            <w:pPr>
              <w:jc w:val="right"/>
              <w:spacing w:after="0" w:line="135" w:lineRule="exact"/>
              <w:rPr>
                <w:sz w:val="20"/>
                <w:szCs w:val="20"/>
                <w:color w:val="auto"/>
              </w:rPr>
            </w:pPr>
            <w:r>
              <w:rPr>
                <w:rFonts w:ascii="Arial" w:cs="Arial" w:eastAsia="Arial" w:hAnsi="Arial"/>
                <w:sz w:val="14"/>
                <w:szCs w:val="14"/>
                <w:b w:val="1"/>
                <w:bCs w:val="1"/>
                <w:color w:val="477258"/>
              </w:rPr>
              <w:t>Under Equity</w:t>
            </w:r>
          </w:p>
        </w:tc>
        <w:tc>
          <w:tcPr>
            <w:tcW w:w="0" w:type="dxa"/>
            <w:vAlign w:val="bottom"/>
          </w:tcPr>
          <w:p>
            <w:pPr>
              <w:spacing w:after="0"/>
              <w:rPr>
                <w:sz w:val="1"/>
                <w:szCs w:val="1"/>
                <w:color w:val="auto"/>
              </w:rPr>
            </w:pPr>
          </w:p>
        </w:tc>
      </w:tr>
      <w:tr>
        <w:trPr>
          <w:trHeight w:val="162"/>
        </w:trPr>
        <w:tc>
          <w:tcPr>
            <w:tcW w:w="5180" w:type="dxa"/>
            <w:vAlign w:val="bottom"/>
            <w:tcBorders>
              <w:bottom w:val="single" w:sz="8" w:color="477258"/>
            </w:tcBorders>
            <w:vMerge w:val="continue"/>
          </w:tcPr>
          <w:p>
            <w:pPr>
              <w:spacing w:after="0"/>
              <w:rPr>
                <w:sz w:val="14"/>
                <w:szCs w:val="14"/>
                <w:color w:val="auto"/>
              </w:rPr>
            </w:pPr>
          </w:p>
        </w:tc>
        <w:tc>
          <w:tcPr>
            <w:tcW w:w="4500" w:type="dxa"/>
            <w:vAlign w:val="bottom"/>
            <w:tcBorders>
              <w:bottom w:val="single" w:sz="8" w:color="477258"/>
            </w:tcBorders>
            <w:gridSpan w:val="3"/>
          </w:tcPr>
          <w:p>
            <w:pPr>
              <w:jc w:val="right"/>
              <w:spacing w:after="0"/>
              <w:rPr>
                <w:sz w:val="20"/>
                <w:szCs w:val="20"/>
                <w:color w:val="auto"/>
              </w:rPr>
            </w:pPr>
            <w:r>
              <w:rPr>
                <w:rFonts w:ascii="Arial" w:cs="Arial" w:eastAsia="Arial" w:hAnsi="Arial"/>
                <w:sz w:val="14"/>
                <w:szCs w:val="14"/>
                <w:b w:val="1"/>
                <w:bCs w:val="1"/>
                <w:color w:val="477258"/>
              </w:rPr>
              <w:t>Options and Rights Options and Rights Compensation Plans</w:t>
            </w:r>
          </w:p>
        </w:tc>
        <w:tc>
          <w:tcPr>
            <w:tcW w:w="0" w:type="dxa"/>
            <w:vAlign w:val="bottom"/>
          </w:tcPr>
          <w:p>
            <w:pPr>
              <w:spacing w:after="0"/>
              <w:rPr>
                <w:sz w:val="1"/>
                <w:szCs w:val="1"/>
                <w:color w:val="auto"/>
              </w:rPr>
            </w:pPr>
          </w:p>
        </w:tc>
      </w:tr>
      <w:tr>
        <w:trPr>
          <w:trHeight w:val="263"/>
        </w:trPr>
        <w:tc>
          <w:tcPr>
            <w:tcW w:w="5180" w:type="dxa"/>
            <w:vAlign w:val="bottom"/>
            <w:tcBorders>
              <w:bottom w:val="single" w:sz="8" w:color="477258"/>
            </w:tcBorders>
            <w:shd w:val="clear" w:color="auto" w:fill="CCEEFF"/>
          </w:tcPr>
          <w:p>
            <w:pPr>
              <w:spacing w:after="0" w:line="263"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6"/>
                <w:szCs w:val="26"/>
                <w:color w:val="auto"/>
                <w:vertAlign w:val="superscript"/>
              </w:rPr>
              <w:t>(1)</w:t>
            </w:r>
          </w:p>
        </w:tc>
        <w:tc>
          <w:tcPr>
            <w:tcW w:w="1480" w:type="dxa"/>
            <w:vAlign w:val="bottom"/>
            <w:tcBorders>
              <w:bottom w:val="single" w:sz="8" w:color="477258"/>
            </w:tcBorders>
            <w:shd w:val="clear" w:color="auto" w:fill="CCEEFF"/>
          </w:tcPr>
          <w:p>
            <w:pPr>
              <w:jc w:val="right"/>
              <w:ind w:right="45"/>
              <w:spacing w:after="0" w:line="263" w:lineRule="exact"/>
              <w:rPr>
                <w:sz w:val="20"/>
                <w:szCs w:val="20"/>
                <w:color w:val="auto"/>
              </w:rPr>
            </w:pPr>
            <w:r>
              <w:rPr>
                <w:rFonts w:ascii="Arial" w:cs="Arial" w:eastAsia="Arial" w:hAnsi="Arial"/>
                <w:sz w:val="18"/>
                <w:szCs w:val="18"/>
                <w:color w:val="auto"/>
              </w:rPr>
              <w:t>5,070,134</w:t>
            </w:r>
            <w:r>
              <w:rPr>
                <w:rFonts w:ascii="Arial" w:cs="Arial" w:eastAsia="Arial" w:hAnsi="Arial"/>
                <w:sz w:val="26"/>
                <w:szCs w:val="26"/>
                <w:color w:val="auto"/>
                <w:vertAlign w:val="superscript"/>
              </w:rPr>
              <w:t>(2)</w:t>
            </w:r>
          </w:p>
        </w:tc>
        <w:tc>
          <w:tcPr>
            <w:tcW w:w="1580" w:type="dxa"/>
            <w:vAlign w:val="bottom"/>
            <w:tcBorders>
              <w:bottom w:val="single" w:sz="8" w:color="477258"/>
            </w:tcBorders>
            <w:shd w:val="clear" w:color="auto" w:fill="CCEEFF"/>
          </w:tcPr>
          <w:p>
            <w:pPr>
              <w:jc w:val="right"/>
              <w:ind w:right="284"/>
              <w:spacing w:after="0" w:line="263" w:lineRule="exact"/>
              <w:rPr>
                <w:sz w:val="20"/>
                <w:szCs w:val="20"/>
                <w:color w:val="auto"/>
              </w:rPr>
            </w:pPr>
            <w:r>
              <w:rPr>
                <w:rFonts w:ascii="Arial" w:cs="Arial" w:eastAsia="Arial" w:hAnsi="Arial"/>
                <w:sz w:val="18"/>
                <w:szCs w:val="18"/>
                <w:color w:val="auto"/>
              </w:rPr>
              <w:t>$ 82.86</w:t>
            </w:r>
            <w:r>
              <w:rPr>
                <w:rFonts w:ascii="Arial" w:cs="Arial" w:eastAsia="Arial" w:hAnsi="Arial"/>
                <w:sz w:val="26"/>
                <w:szCs w:val="26"/>
                <w:color w:val="auto"/>
                <w:vertAlign w:val="superscript"/>
              </w:rPr>
              <w:t>(3)</w:t>
            </w:r>
          </w:p>
        </w:tc>
        <w:tc>
          <w:tcPr>
            <w:tcW w:w="1440" w:type="dxa"/>
            <w:vAlign w:val="bottom"/>
            <w:tcBorders>
              <w:bottom w:val="single" w:sz="8" w:color="477258"/>
            </w:tcBorders>
            <w:shd w:val="clear" w:color="auto" w:fill="CCEEFF"/>
          </w:tcPr>
          <w:p>
            <w:pPr>
              <w:jc w:val="right"/>
              <w:ind w:right="25"/>
              <w:spacing w:after="0" w:line="263" w:lineRule="exact"/>
              <w:rPr>
                <w:sz w:val="20"/>
                <w:szCs w:val="20"/>
                <w:color w:val="auto"/>
              </w:rPr>
            </w:pPr>
            <w:r>
              <w:rPr>
                <w:rFonts w:ascii="Arial" w:cs="Arial" w:eastAsia="Arial" w:hAnsi="Arial"/>
                <w:sz w:val="18"/>
                <w:szCs w:val="18"/>
                <w:color w:val="auto"/>
              </w:rPr>
              <w:t>21,254,870</w:t>
            </w:r>
            <w:r>
              <w:rPr>
                <w:rFonts w:ascii="Arial" w:cs="Arial" w:eastAsia="Arial" w:hAnsi="Arial"/>
                <w:sz w:val="26"/>
                <w:szCs w:val="26"/>
                <w:color w:val="auto"/>
                <w:vertAlign w:val="superscript"/>
              </w:rPr>
              <w:t>(4)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180" w:right="620" w:hanging="364"/>
        <w:spacing w:after="0" w:line="235"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our 2009 Stock Incentive Plan, 2014 Stock Incentive Plan and Employee Stock Purchase Plan (“ESPP”). No additional awards may be granted under our 2009 Stock Incentive Plan.</w:t>
      </w:r>
    </w:p>
    <w:p>
      <w:pPr>
        <w:spacing w:after="0" w:line="13" w:lineRule="exact"/>
        <w:rPr>
          <w:rFonts w:ascii="Arial" w:cs="Arial" w:eastAsia="Arial" w:hAnsi="Arial"/>
          <w:sz w:val="18"/>
          <w:szCs w:val="18"/>
          <w:color w:val="auto"/>
        </w:rPr>
      </w:pPr>
    </w:p>
    <w:p>
      <w:pPr>
        <w:jc w:val="both"/>
        <w:ind w:left="1180" w:right="620" w:hanging="364"/>
        <w:spacing w:after="0" w:line="224"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options outstanding for 3,542,750 shares of Common Stock; 197,105 shares of Common Stock to be issued in connection with deferred compensation obligations; 331,465 shares underlying unvested RSUs and 998,814 shares of Common Stock that would be issued on account of outstanding PSUs if the target performance level is achieved. Assuming, instead, that the maximum performance level was achieved on such PSUs, the amount of Common Stock that would be issued on account of outstanding awards would increase by 998,814 shares.</w:t>
      </w:r>
    </w:p>
    <w:p>
      <w:pPr>
        <w:spacing w:after="0" w:line="1" w:lineRule="exact"/>
        <w:rPr>
          <w:rFonts w:ascii="Arial" w:cs="Arial" w:eastAsia="Arial" w:hAnsi="Arial"/>
          <w:sz w:val="18"/>
          <w:szCs w:val="18"/>
          <w:color w:val="auto"/>
        </w:rPr>
      </w:pPr>
    </w:p>
    <w:p>
      <w:pPr>
        <w:jc w:val="both"/>
        <w:ind w:left="1180" w:right="620"/>
        <w:spacing w:after="0" w:line="223" w:lineRule="auto"/>
        <w:rPr>
          <w:rFonts w:ascii="Arial" w:cs="Arial" w:eastAsia="Arial" w:hAnsi="Arial"/>
          <w:sz w:val="18"/>
          <w:szCs w:val="18"/>
          <w:color w:val="auto"/>
        </w:rPr>
      </w:pPr>
      <w:r>
        <w:rPr>
          <w:rFonts w:ascii="Arial" w:cs="Arial" w:eastAsia="Arial" w:hAnsi="Arial"/>
          <w:sz w:val="18"/>
          <w:szCs w:val="18"/>
          <w:color w:val="auto"/>
        </w:rPr>
        <w:t>The total number of shares subject to outstanding awards in the table above includes 353,534 shares on account of PSUs, at target, with the performance period ended December 31, 2020. The determination of achievement of performance results on such PSUs was performed by the MD&amp;C Committee in February 2021, and the Company achieved (a) maximum performance criteria on the Cash Flow PSUs, yielding a 200% payout and (b) above threshold performance criteria on the TSR PSUs, yielding a 172.84% payout. A total of 436,269 shares of Common Stock were issued on account of such PSUs in February 2021, net of units deferred, of which 234,526 shares of Common Stock were included in the first column of the table above.</w:t>
      </w:r>
    </w:p>
    <w:p>
      <w:pPr>
        <w:spacing w:after="0" w:line="13" w:lineRule="exact"/>
        <w:rPr>
          <w:rFonts w:ascii="Arial" w:cs="Arial" w:eastAsia="Arial" w:hAnsi="Arial"/>
          <w:sz w:val="18"/>
          <w:szCs w:val="18"/>
          <w:color w:val="auto"/>
        </w:rPr>
      </w:pPr>
    </w:p>
    <w:p>
      <w:pPr>
        <w:jc w:val="both"/>
        <w:ind w:left="1180" w:right="620"/>
        <w:spacing w:after="0"/>
        <w:rPr>
          <w:rFonts w:ascii="Arial" w:cs="Arial" w:eastAsia="Arial" w:hAnsi="Arial"/>
          <w:sz w:val="18"/>
          <w:szCs w:val="18"/>
          <w:color w:val="auto"/>
        </w:rPr>
      </w:pPr>
      <w:r>
        <w:rPr>
          <w:rFonts w:ascii="Arial" w:cs="Arial" w:eastAsia="Arial" w:hAnsi="Arial"/>
          <w:sz w:val="18"/>
          <w:szCs w:val="18"/>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126" w:lineRule="exact"/>
        <w:rPr>
          <w:rFonts w:ascii="Arial" w:cs="Arial" w:eastAsia="Arial" w:hAnsi="Arial"/>
          <w:sz w:val="18"/>
          <w:szCs w:val="18"/>
          <w:color w:val="auto"/>
        </w:rPr>
      </w:pPr>
    </w:p>
    <w:p>
      <w:pPr>
        <w:ind w:left="1180" w:hanging="364"/>
        <w:spacing w:after="0" w:line="187" w:lineRule="auto"/>
        <w:tabs>
          <w:tab w:leader="none" w:pos="1180" w:val="left"/>
        </w:tabs>
        <w:numPr>
          <w:ilvl w:val="0"/>
          <w:numId w:val="55"/>
        </w:numPr>
        <w:rPr>
          <w:rFonts w:ascii="Arial" w:cs="Arial" w:eastAsia="Arial" w:hAnsi="Arial"/>
          <w:sz w:val="3"/>
          <w:szCs w:val="3"/>
          <w:color w:val="auto"/>
        </w:rPr>
      </w:pPr>
      <w:r>
        <w:rPr>
          <w:rFonts w:ascii="Arial" w:cs="Arial" w:eastAsia="Arial" w:hAnsi="Arial"/>
          <w:sz w:val="3"/>
          <w:szCs w:val="3"/>
          <w:color w:val="auto"/>
        </w:rPr>
        <w:t>Excludes</w:t>
      </w:r>
      <w:r>
        <w:rPr>
          <w:rFonts w:ascii="Arial" w:cs="Arial" w:eastAsia="Arial" w:hAnsi="Arial"/>
          <w:sz w:val="6"/>
          <w:szCs w:val="6"/>
          <w:b w:val="1"/>
          <w:bCs w:val="1"/>
          <w:color w:val="477258"/>
        </w:rPr>
        <w:t>|</w:t>
      </w:r>
      <w:r>
        <w:rPr>
          <w:rFonts w:ascii="Arial" w:cs="Arial" w:eastAsia="Arial" w:hAnsi="Arial"/>
          <w:sz w:val="3"/>
          <w:szCs w:val="3"/>
          <w:color w:val="auto"/>
        </w:rPr>
        <w:t xml:space="preserve"> PSUs and RSUs because those awards do not have exercise prices associated with</w:t>
      </w:r>
    </w:p>
    <w:p>
      <w:pPr>
        <w:ind w:left="1180"/>
        <w:spacing w:after="0" w:line="187" w:lineRule="auto"/>
        <w:rPr>
          <w:rFonts w:ascii="Arial" w:cs="Arial" w:eastAsia="Arial" w:hAnsi="Arial"/>
          <w:sz w:val="3"/>
          <w:szCs w:val="3"/>
          <w:color w:val="auto"/>
        </w:rPr>
      </w:pPr>
      <w:r>
        <w:rPr>
          <w:rFonts w:ascii="Arial" w:cs="Arial" w:eastAsia="Arial" w:hAnsi="Arial"/>
          <w:sz w:val="15"/>
          <w:szCs w:val="15"/>
          <w:color w:val="auto"/>
        </w:rPr>
        <w:t>482021 Proxy Statement</w:t>
      </w:r>
    </w:p>
    <w:p>
      <w:pPr>
        <w:ind w:left="1180"/>
        <w:spacing w:after="0"/>
        <w:rPr>
          <w:rFonts w:ascii="Arial" w:cs="Arial" w:eastAsia="Arial" w:hAnsi="Arial"/>
          <w:sz w:val="3"/>
          <w:szCs w:val="3"/>
          <w:color w:val="auto"/>
        </w:rPr>
      </w:pPr>
      <w:r>
        <w:rPr>
          <w:rFonts w:ascii="Arial" w:cs="Arial" w:eastAsia="Arial" w:hAnsi="Arial"/>
          <w:sz w:val="18"/>
          <w:szCs w:val="18"/>
          <w:color w:val="auto"/>
        </w:rPr>
        <w:t>them. Also excludes purchase rights under the ESPP for the reasons described in (2) above.</w:t>
      </w:r>
    </w:p>
    <w:p>
      <w:pPr>
        <w:spacing w:after="0" w:line="22" w:lineRule="exact"/>
        <w:rPr>
          <w:rFonts w:ascii="Arial" w:cs="Arial" w:eastAsia="Arial" w:hAnsi="Arial"/>
          <w:sz w:val="3"/>
          <w:szCs w:val="3"/>
          <w:color w:val="auto"/>
        </w:rPr>
      </w:pPr>
    </w:p>
    <w:p>
      <w:pPr>
        <w:jc w:val="both"/>
        <w:ind w:left="1180" w:right="620" w:hanging="364"/>
        <w:spacing w:after="0" w:line="219"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shares remaining available include 3,237,157 shares under our ESPP and 18,017,713 shares under our 2014 Stock Incentive Plan, assuming payout of PSUs at maximum. Assuming payout of PSUs at target, the number of shares remaining available for issuance under our 2014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1211580</wp:posOffset>
            </wp:positionH>
            <wp:positionV relativeFrom="paragraph">
              <wp:posOffset>-589915</wp:posOffset>
            </wp:positionV>
            <wp:extent cx="454660"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54660" cy="12890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Incentive Plan would be 19,016,527.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-117475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500"/>
          </w:cols>
          <w:pgMar w:left="580" w:top="132" w:right="819"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20" w:right="200"/>
        <w:spacing w:after="0" w:line="241" w:lineRule="auto"/>
        <w:rPr>
          <w:sz w:val="20"/>
          <w:szCs w:val="20"/>
          <w:color w:val="auto"/>
        </w:rPr>
      </w:pPr>
      <w:r>
        <w:rPr>
          <w:rFonts w:ascii="Arial" w:cs="Arial" w:eastAsia="Arial" w:hAnsi="Arial"/>
          <w:sz w:val="36"/>
          <w:szCs w:val="36"/>
          <w:b w:val="1"/>
          <w:bCs w:val="1"/>
          <w:color w:val="477258"/>
        </w:rPr>
        <w:t>RATIFICATION OF INDEPENDENT REGISTERED PUBLIC ACCOUNTING FIRM</w:t>
      </w:r>
    </w:p>
    <w:p>
      <w:pPr>
        <w:spacing w:after="0" w:line="7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(ITEM 2 ON THE PROXY CARD)</w:t>
      </w:r>
    </w:p>
    <w:p>
      <w:pPr>
        <w:spacing w:after="0" w:line="116" w:lineRule="exact"/>
        <w:rPr>
          <w:sz w:val="20"/>
          <w:szCs w:val="20"/>
          <w:color w:val="auto"/>
        </w:rPr>
      </w:pPr>
    </w:p>
    <w:p>
      <w:pPr>
        <w:jc w:val="both"/>
        <w:ind w:left="820"/>
        <w:spacing w:after="0" w:line="225" w:lineRule="auto"/>
        <w:rPr>
          <w:sz w:val="20"/>
          <w:szCs w:val="20"/>
          <w:color w:val="auto"/>
        </w:rPr>
      </w:pPr>
      <w:r>
        <w:rPr>
          <w:rFonts w:ascii="Arial" w:cs="Arial" w:eastAsia="Arial" w:hAnsi="Arial"/>
          <w:sz w:val="18"/>
          <w:szCs w:val="18"/>
          <w:color w:val="auto"/>
        </w:rPr>
        <w:t>Our Board of Directors, upon the recommendation of the Audit Committee, has ratified the selection of Ernst &amp; Young LLP to serve as our independent registered public accounting firm for fiscal year 2021, subject to ratification by our stockholders. Representatives of Ernst &amp; Young LLP will attend the virtual Annual Meeting. They will be able to make a statement if they want, and will be available to answer appropriate questions submitted by stockholders during the virtual Annual Meeting.</w:t>
      </w:r>
    </w:p>
    <w:p>
      <w:pPr>
        <w:spacing w:after="0" w:line="83"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Although ratification of the selection of Ernst &amp; Young LLP is not required by our By- 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22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INDEPENDENT REGISTERED PUBLIC ACCOUNTING FIRM FEE INFORMATION</w:t>
      </w:r>
    </w:p>
    <w:p>
      <w:pPr>
        <w:spacing w:after="0" w:line="116" w:lineRule="exact"/>
        <w:rPr>
          <w:sz w:val="20"/>
          <w:szCs w:val="20"/>
          <w:color w:val="auto"/>
        </w:rPr>
      </w:pPr>
    </w:p>
    <w:p>
      <w:pPr>
        <w:jc w:val="both"/>
        <w:ind w:left="820"/>
        <w:spacing w:after="0" w:line="235"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p>
      <w:pPr>
        <w:spacing w:after="0" w:line="109" w:lineRule="exact"/>
        <w:rPr>
          <w:sz w:val="20"/>
          <w:szCs w:val="20"/>
          <w:color w:val="auto"/>
        </w:rPr>
      </w:pPr>
    </w:p>
    <w:tbl>
      <w:tblPr>
        <w:tblLayout w:type="fixed"/>
        <w:tblInd w:w="820" w:type="dxa"/>
        <w:tblCellMar>
          <w:top w:w="0" w:type="dxa"/>
          <w:left w:w="0" w:type="dxa"/>
          <w:bottom w:w="0" w:type="dxa"/>
          <w:right w:w="0" w:type="dxa"/>
        </w:tblCellMar>
      </w:tblPr>
      <w:tr>
        <w:trPr>
          <w:trHeight w:val="189"/>
        </w:trPr>
        <w:tc>
          <w:tcPr>
            <w:tcW w:w="4880" w:type="dxa"/>
            <w:vAlign w:val="bottom"/>
            <w:tcBorders>
              <w:bottom w:val="single" w:sz="8" w:color="477258"/>
            </w:tcBorders>
          </w:tcPr>
          <w:p>
            <w:pPr>
              <w:spacing w:after="0"/>
              <w:rPr>
                <w:sz w:val="16"/>
                <w:szCs w:val="16"/>
                <w:color w:val="auto"/>
              </w:rPr>
            </w:pPr>
          </w:p>
        </w:tc>
        <w:tc>
          <w:tcPr>
            <w:tcW w:w="3600" w:type="dxa"/>
            <w:vAlign w:val="bottom"/>
            <w:tcBorders>
              <w:bottom w:val="single" w:sz="8" w:color="477258"/>
            </w:tcBorders>
          </w:tcPr>
          <w:p>
            <w:pPr>
              <w:jc w:val="right"/>
              <w:ind w:right="35"/>
              <w:spacing w:after="0"/>
              <w:rPr>
                <w:sz w:val="20"/>
                <w:szCs w:val="20"/>
                <w:color w:val="auto"/>
              </w:rPr>
            </w:pPr>
            <w:r>
              <w:rPr>
                <w:rFonts w:ascii="Arial" w:cs="Arial" w:eastAsia="Arial" w:hAnsi="Arial"/>
                <w:sz w:val="14"/>
                <w:szCs w:val="14"/>
                <w:b w:val="1"/>
                <w:bCs w:val="1"/>
                <w:color w:val="477258"/>
              </w:rPr>
              <w:t>2020</w:t>
            </w:r>
          </w:p>
        </w:tc>
        <w:tc>
          <w:tcPr>
            <w:tcW w:w="580" w:type="dxa"/>
            <w:vAlign w:val="bottom"/>
            <w:tcBorders>
              <w:bottom w:val="single" w:sz="8" w:color="477258"/>
            </w:tcBorders>
          </w:tcPr>
          <w:p>
            <w:pPr>
              <w:jc w:val="right"/>
              <w:spacing w:after="0"/>
              <w:rPr>
                <w:sz w:val="20"/>
                <w:szCs w:val="20"/>
                <w:color w:val="auto"/>
              </w:rPr>
            </w:pPr>
            <w:r>
              <w:rPr>
                <w:rFonts w:ascii="Arial" w:cs="Arial" w:eastAsia="Arial" w:hAnsi="Arial"/>
                <w:sz w:val="14"/>
                <w:szCs w:val="14"/>
                <w:b w:val="1"/>
                <w:bCs w:val="1"/>
                <w:color w:val="477258"/>
              </w:rPr>
              <w:t>2019</w:t>
            </w:r>
          </w:p>
        </w:tc>
      </w:tr>
      <w:tr>
        <w:trPr>
          <w:trHeight w:val="196"/>
        </w:trPr>
        <w:tc>
          <w:tcPr>
            <w:tcW w:w="4880" w:type="dxa"/>
            <w:vAlign w:val="bottom"/>
          </w:tcPr>
          <w:p>
            <w:pPr>
              <w:spacing w:after="0"/>
              <w:rPr>
                <w:sz w:val="17"/>
                <w:szCs w:val="17"/>
                <w:color w:val="auto"/>
              </w:rPr>
            </w:pPr>
          </w:p>
        </w:tc>
        <w:tc>
          <w:tcPr>
            <w:tcW w:w="4180" w:type="dxa"/>
            <w:vAlign w:val="bottom"/>
            <w:gridSpan w:val="2"/>
          </w:tcPr>
          <w:p>
            <w:pPr>
              <w:jc w:val="right"/>
              <w:spacing w:after="0"/>
              <w:rPr>
                <w:sz w:val="20"/>
                <w:szCs w:val="20"/>
                <w:color w:val="auto"/>
              </w:rPr>
            </w:pPr>
            <w:r>
              <w:rPr>
                <w:rFonts w:ascii="Arial" w:cs="Arial" w:eastAsia="Arial" w:hAnsi="Arial"/>
                <w:sz w:val="14"/>
                <w:szCs w:val="14"/>
                <w:b w:val="1"/>
                <w:bCs w:val="1"/>
                <w:color w:val="477258"/>
              </w:rPr>
              <w:t>(In millions)</w:t>
            </w:r>
          </w:p>
        </w:tc>
      </w:tr>
      <w:tr>
        <w:trPr>
          <w:trHeight w:val="243"/>
        </w:trPr>
        <w:tc>
          <w:tcPr>
            <w:tcW w:w="488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Audit Fees</w:t>
            </w:r>
          </w:p>
        </w:tc>
        <w:tc>
          <w:tcPr>
            <w:tcW w:w="360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$ 6.2</w:t>
            </w:r>
          </w:p>
        </w:tc>
        <w:tc>
          <w:tcPr>
            <w:tcW w:w="5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$ 4.5</w:t>
            </w:r>
          </w:p>
        </w:tc>
      </w:tr>
      <w:tr>
        <w:trPr>
          <w:trHeight w:val="237"/>
        </w:trPr>
        <w:tc>
          <w:tcPr>
            <w:tcW w:w="488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color w:val="auto"/>
              </w:rPr>
              <w:t>Audit-Related Fees</w:t>
            </w:r>
          </w:p>
        </w:tc>
        <w:tc>
          <w:tcPr>
            <w:tcW w:w="3600" w:type="dxa"/>
            <w:vAlign w:val="bottom"/>
            <w:tcBorders>
              <w:bottom w:val="single" w:sz="8" w:color="477258"/>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477258"/>
            </w:tcBorders>
          </w:tcPr>
          <w:p>
            <w:pPr>
              <w:jc w:val="right"/>
              <w:spacing w:after="0"/>
              <w:rPr>
                <w:sz w:val="20"/>
                <w:szCs w:val="20"/>
                <w:color w:val="auto"/>
              </w:rPr>
            </w:pPr>
            <w:r>
              <w:rPr>
                <w:rFonts w:ascii="Arial" w:cs="Arial" w:eastAsia="Arial" w:hAnsi="Arial"/>
                <w:sz w:val="18"/>
                <w:szCs w:val="18"/>
                <w:b w:val="1"/>
                <w:bCs w:val="1"/>
                <w:color w:val="auto"/>
              </w:rPr>
              <w:t>0.1</w:t>
            </w:r>
          </w:p>
        </w:tc>
      </w:tr>
      <w:tr>
        <w:trPr>
          <w:trHeight w:val="236"/>
        </w:trPr>
        <w:tc>
          <w:tcPr>
            <w:tcW w:w="4880" w:type="dxa"/>
            <w:vAlign w:val="bottom"/>
            <w:tcBorders>
              <w:bottom w:val="single" w:sz="8" w:color="477258"/>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Tax Fees</w:t>
            </w:r>
          </w:p>
        </w:tc>
        <w:tc>
          <w:tcPr>
            <w:tcW w:w="3600" w:type="dxa"/>
            <w:vAlign w:val="bottom"/>
            <w:tcBorders>
              <w:bottom w:val="single" w:sz="8" w:color="477258"/>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477258"/>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4880" w:type="dxa"/>
            <w:vAlign w:val="bottom"/>
            <w:tcBorders>
              <w:bottom w:val="single" w:sz="8" w:color="477258"/>
            </w:tcBorders>
          </w:tcPr>
          <w:p>
            <w:pPr>
              <w:ind w:left="40"/>
              <w:spacing w:after="0"/>
              <w:rPr>
                <w:sz w:val="20"/>
                <w:szCs w:val="20"/>
                <w:color w:val="auto"/>
              </w:rPr>
            </w:pPr>
            <w:r>
              <w:rPr>
                <w:rFonts w:ascii="Arial" w:cs="Arial" w:eastAsia="Arial" w:hAnsi="Arial"/>
                <w:sz w:val="18"/>
                <w:szCs w:val="18"/>
                <w:b w:val="1"/>
                <w:bCs w:val="1"/>
                <w:color w:val="auto"/>
              </w:rPr>
              <w:t>All Other Fees</w:t>
            </w:r>
          </w:p>
        </w:tc>
        <w:tc>
          <w:tcPr>
            <w:tcW w:w="3600" w:type="dxa"/>
            <w:vAlign w:val="bottom"/>
            <w:tcBorders>
              <w:bottom w:val="single" w:sz="8" w:color="477258"/>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477258"/>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$ 6.2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$ 4.6</w:t>
            </w:r>
          </w:p>
        </w:tc>
      </w:tr>
      <w:tr>
        <w:trPr>
          <w:trHeight w:val="20"/>
        </w:trPr>
        <w:tc>
          <w:tcPr>
            <w:tcW w:w="4880" w:type="dxa"/>
            <w:vAlign w:val="bottom"/>
            <w:shd w:val="clear" w:color="auto" w:fill="477258"/>
          </w:tcPr>
          <w:p>
            <w:pPr>
              <w:spacing w:after="0" w:line="20" w:lineRule="exact"/>
              <w:rPr>
                <w:sz w:val="1"/>
                <w:szCs w:val="1"/>
                <w:color w:val="auto"/>
              </w:rPr>
            </w:pPr>
          </w:p>
        </w:tc>
        <w:tc>
          <w:tcPr>
            <w:tcW w:w="3600" w:type="dxa"/>
            <w:vAlign w:val="bottom"/>
            <w:shd w:val="clear" w:color="auto" w:fill="477258"/>
          </w:tcPr>
          <w:p>
            <w:pPr>
              <w:spacing w:after="0" w:line="20" w:lineRule="exact"/>
              <w:rPr>
                <w:sz w:val="1"/>
                <w:szCs w:val="1"/>
                <w:color w:val="auto"/>
              </w:rPr>
            </w:pPr>
          </w:p>
        </w:tc>
        <w:tc>
          <w:tcPr>
            <w:tcW w:w="580" w:type="dxa"/>
            <w:vAlign w:val="bottom"/>
            <w:shd w:val="clear" w:color="auto" w:fill="477258"/>
          </w:tcPr>
          <w:p>
            <w:pPr>
              <w:spacing w:after="0" w:line="20" w:lineRule="exact"/>
              <w:rPr>
                <w:sz w:val="1"/>
                <w:szCs w:val="1"/>
                <w:color w:val="auto"/>
              </w:rPr>
            </w:pPr>
          </w:p>
        </w:tc>
      </w:tr>
    </w:tbl>
    <w:p>
      <w:pPr>
        <w:spacing w:after="0" w:line="40" w:lineRule="exact"/>
        <w:rPr>
          <w:sz w:val="20"/>
          <w:szCs w:val="20"/>
          <w:color w:val="auto"/>
        </w:rPr>
      </w:pPr>
    </w:p>
    <w:p>
      <w:pPr>
        <w:jc w:val="both"/>
        <w:ind w:left="820"/>
        <w:spacing w:after="0" w:line="227" w:lineRule="auto"/>
        <w:rPr>
          <w:sz w:val="20"/>
          <w:szCs w:val="20"/>
          <w:color w:val="auto"/>
        </w:rPr>
      </w:pPr>
      <w:r>
        <w:rPr>
          <w:rFonts w:ascii="Arial" w:cs="Arial" w:eastAsia="Arial" w:hAnsi="Arial"/>
          <w:sz w:val="18"/>
          <w:szCs w:val="18"/>
          <w:color w:val="auto"/>
        </w:rPr>
        <w:t>Audit fees includes fees for the annual audit, reviews of the Company’s Quarterly Reports on Form 10-Q, work performed to support the Company’s debt issuances, accounting consultations, and separate subsidiary audits required by statute or regulation. Audit-related fees principally include financial due diligence services relating to acquisitions.</w:t>
      </w:r>
    </w:p>
    <w:p>
      <w:pPr>
        <w:spacing w:after="0" w:line="81"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The Audit Committee has adopted procedures for the approval of Ernst &amp; Young LLP’s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reported to the full Audit Committee at the next regularly scheduled meeting. The Audit Committee is updated on the status of all services and related fees at every regular meeting. In 2020 and 2019, the Audit Committee or Audit Committee Chairman pre-approved all audit and audit-related services performed by Ernst &amp; Young LLP. As set forth in the Audit Committee Report, the Audit Committee has considered whether the provision of these audit-related services is compatible with maintaining auditor independence and has determined that it is.</w:t>
      </w:r>
    </w:p>
    <w:p>
      <w:pPr>
        <w:spacing w:after="0" w:line="32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-10795</wp:posOffset>
            </wp:positionV>
            <wp:extent cx="24314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31415" cy="8890"/>
                    </a:xfrm>
                    <a:prstGeom prst="rect">
                      <a:avLst/>
                    </a:prstGeom>
                    <a:noFill/>
                  </pic:spPr>
                </pic:pic>
              </a:graphicData>
            </a:graphic>
          </wp:anchor>
        </w:drawing>
      </w:r>
    </w:p>
    <w:p>
      <w:pPr>
        <w:spacing w:after="0" w:line="96"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Approval of this proposal requires the affirmative vote of the holders of a majority of the outstanding shares of Common Stock present at the meeting,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217805</wp:posOffset>
            </wp:positionV>
            <wp:extent cx="5340350" cy="514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2021 Proxy Statement</w:t>
      </w:r>
      <w:r>
        <w:rPr>
          <w:sz w:val="20"/>
          <w:szCs w:val="20"/>
          <w:color w:val="auto"/>
        </w:rPr>
        <w:tab/>
      </w:r>
      <w:r>
        <w:rPr>
          <w:rFonts w:ascii="Arial" w:cs="Arial" w:eastAsia="Arial" w:hAnsi="Arial"/>
          <w:sz w:val="32"/>
          <w:szCs w:val="32"/>
          <w:b w:val="1"/>
          <w:bCs w:val="1"/>
          <w:color w:val="477258"/>
        </w:rPr>
        <w:t xml:space="preserve">| </w:t>
      </w:r>
      <w:r>
        <w:rPr>
          <w:rFonts w:ascii="Arial" w:cs="Arial" w:eastAsia="Arial" w:hAnsi="Arial"/>
          <w:sz w:val="17"/>
          <w:szCs w:val="17"/>
          <w:color w:val="00000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-158750</wp:posOffset>
            </wp:positionV>
            <wp:extent cx="454660"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4660" cy="128905"/>
                    </a:xfrm>
                    <a:prstGeom prst="rect">
                      <a:avLst/>
                    </a:prstGeom>
                    <a:noFill/>
                  </pic:spPr>
                </pic:pic>
              </a:graphicData>
            </a:graphic>
          </wp:anchor>
        </w:drawing>
      </w:r>
    </w:p>
    <w:p>
      <w:pPr>
        <w:sectPr>
          <w:pgSz w:w="11900" w:h="16838" w:orient="portrait"/>
          <w:cols w:equalWidth="0" w:num="1">
            <w:col w:w="9880"/>
          </w:cols>
          <w:pgMar w:left="580" w:top="132" w:right="1439"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168910</wp:posOffset>
            </wp:positionV>
            <wp:extent cx="57607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880"/>
          </w:cols>
          <w:pgMar w:left="580" w:top="132" w:right="1439" w:bottom="1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20" w:right="2880"/>
        <w:spacing w:after="0" w:line="249" w:lineRule="auto"/>
        <w:rPr>
          <w:sz w:val="20"/>
          <w:szCs w:val="20"/>
          <w:color w:val="auto"/>
        </w:rPr>
      </w:pPr>
      <w:r>
        <w:rPr>
          <w:rFonts w:ascii="Arial" w:cs="Arial" w:eastAsia="Arial" w:hAnsi="Arial"/>
          <w:sz w:val="36"/>
          <w:szCs w:val="36"/>
          <w:b w:val="1"/>
          <w:bCs w:val="1"/>
          <w:color w:val="477258"/>
        </w:rPr>
        <w:t>ADVISORY VOTE ON EXECUTIVE COMPENSATION</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(ITEM 3 ON THE PROXY CARD)</w:t>
      </w:r>
    </w:p>
    <w:p>
      <w:pPr>
        <w:spacing w:after="0" w:line="76" w:lineRule="exact"/>
        <w:rPr>
          <w:sz w:val="20"/>
          <w:szCs w:val="20"/>
          <w:color w:val="auto"/>
        </w:rPr>
      </w:pPr>
    </w:p>
    <w:p>
      <w:pPr>
        <w:jc w:val="both"/>
        <w:ind w:left="820"/>
        <w:spacing w:after="0" w:line="225" w:lineRule="auto"/>
        <w:rPr>
          <w:sz w:val="20"/>
          <w:szCs w:val="20"/>
          <w:color w:val="auto"/>
        </w:rPr>
      </w:pPr>
      <w:r>
        <w:rPr>
          <w:rFonts w:ascii="Arial" w:cs="Arial" w:eastAsia="Arial" w:hAnsi="Arial"/>
          <w:sz w:val="18"/>
          <w:szCs w:val="18"/>
          <w:color w:val="auto"/>
        </w:rPr>
        <w:t>Pursuant to Section 14A of the Exchange Act, stockholders are entitled to an advisory (non- binding) vote on compensation programs for our named executive officers (sometimes referred to as “say on pay”). The Board of Directors has determined that it will include this “say on pay” vote in the Company’s proxy materials annually, pending consideration of future advisory stockholder votes on the frequency of this advisory vote on executive compensation.</w:t>
      </w:r>
    </w:p>
    <w:p>
      <w:pPr>
        <w:spacing w:after="0" w:line="24" w:lineRule="exact"/>
        <w:rPr>
          <w:sz w:val="20"/>
          <w:szCs w:val="20"/>
          <w:color w:val="auto"/>
        </w:rPr>
      </w:pPr>
    </w:p>
    <w:p>
      <w:pPr>
        <w:jc w:val="both"/>
        <w:ind w:left="820"/>
        <w:spacing w:after="0" w:line="226" w:lineRule="auto"/>
        <w:rPr>
          <w:sz w:val="20"/>
          <w:szCs w:val="20"/>
          <w:color w:val="auto"/>
        </w:rPr>
      </w:pPr>
      <w:r>
        <w:rPr>
          <w:rFonts w:ascii="Arial" w:cs="Arial" w:eastAsia="Arial" w:hAnsi="Arial"/>
          <w:sz w:val="18"/>
          <w:szCs w:val="18"/>
          <w:color w:val="auto"/>
        </w:rPr>
        <w:t xml:space="preserve">We encourage stockholders to review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Tables </w:t>
      </w:r>
      <w:r>
        <w:rPr>
          <w:rFonts w:ascii="Arial" w:cs="Arial" w:eastAsia="Arial" w:hAnsi="Arial"/>
          <w:sz w:val="18"/>
          <w:szCs w:val="18"/>
          <w:color w:val="auto"/>
        </w:rPr>
        <w:t>on pages 23 to 48 of this Proxy Statement. The Company has designed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 further the objective of our executive compensation program and evidence our dedication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and reasonable compensation practices that are in the best interests of stockholders:</w:t>
      </w:r>
    </w:p>
    <w:p>
      <w:pPr>
        <w:spacing w:after="0" w:line="4" w:lineRule="exact"/>
        <w:rPr>
          <w:sz w:val="20"/>
          <w:szCs w:val="20"/>
          <w:color w:val="auto"/>
        </w:rPr>
      </w:pPr>
    </w:p>
    <w:p>
      <w:pPr>
        <w:jc w:val="both"/>
        <w:ind w:left="1360" w:hanging="184"/>
        <w:spacing w:after="0" w:line="261" w:lineRule="auto"/>
        <w:tabs>
          <w:tab w:leader="none" w:pos="1360" w:val="left"/>
        </w:tabs>
        <w:numPr>
          <w:ilvl w:val="0"/>
          <w:numId w:val="56"/>
        </w:numPr>
        <w:rPr>
          <w:rFonts w:ascii="Arial" w:cs="Arial" w:eastAsia="Arial" w:hAnsi="Arial"/>
          <w:sz w:val="18"/>
          <w:szCs w:val="18"/>
          <w:color w:val="477258"/>
        </w:rPr>
      </w:pPr>
      <w:r>
        <w:rPr>
          <w:rFonts w:ascii="Arial" w:cs="Arial" w:eastAsia="Arial" w:hAnsi="Arial"/>
          <w:sz w:val="18"/>
          <w:szCs w:val="18"/>
          <w:color w:val="auto"/>
        </w:rPr>
        <w:t>a significant portion of our named executive’s target compensation is linked to Company performance and long-term equity awards, which aligns executives’ interests with those of stockholders;</w:t>
      </w:r>
    </w:p>
    <w:p>
      <w:pPr>
        <w:spacing w:after="0" w:line="224" w:lineRule="exact"/>
        <w:rPr>
          <w:rFonts w:ascii="Arial" w:cs="Arial" w:eastAsia="Arial" w:hAnsi="Arial"/>
          <w:sz w:val="18"/>
          <w:szCs w:val="18"/>
          <w:color w:val="477258"/>
        </w:rPr>
      </w:pPr>
    </w:p>
    <w:p>
      <w:pPr>
        <w:ind w:left="1360" w:hanging="184"/>
        <w:spacing w:after="0" w:line="261" w:lineRule="auto"/>
        <w:tabs>
          <w:tab w:leader="none" w:pos="1360" w:val="left"/>
        </w:tabs>
        <w:numPr>
          <w:ilvl w:val="0"/>
          <w:numId w:val="56"/>
        </w:numPr>
        <w:rPr>
          <w:rFonts w:ascii="Arial" w:cs="Arial" w:eastAsia="Arial" w:hAnsi="Arial"/>
          <w:sz w:val="18"/>
          <w:szCs w:val="18"/>
          <w:color w:val="477258"/>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22" w:lineRule="exact"/>
        <w:rPr>
          <w:rFonts w:ascii="Arial" w:cs="Arial" w:eastAsia="Arial" w:hAnsi="Arial"/>
          <w:sz w:val="18"/>
          <w:szCs w:val="18"/>
          <w:color w:val="477258"/>
        </w:rPr>
      </w:pPr>
    </w:p>
    <w:p>
      <w:pPr>
        <w:jc w:val="both"/>
        <w:ind w:left="1360" w:hanging="184"/>
        <w:spacing w:after="0" w:line="256" w:lineRule="auto"/>
        <w:tabs>
          <w:tab w:leader="none" w:pos="1360" w:val="left"/>
        </w:tabs>
        <w:numPr>
          <w:ilvl w:val="0"/>
          <w:numId w:val="56"/>
        </w:numPr>
        <w:rPr>
          <w:rFonts w:ascii="Arial" w:cs="Arial" w:eastAsia="Arial" w:hAnsi="Arial"/>
          <w:sz w:val="18"/>
          <w:szCs w:val="18"/>
          <w:color w:val="477258"/>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26" w:lineRule="exact"/>
        <w:rPr>
          <w:rFonts w:ascii="Arial" w:cs="Arial" w:eastAsia="Arial" w:hAnsi="Arial"/>
          <w:sz w:val="18"/>
          <w:szCs w:val="18"/>
          <w:color w:val="477258"/>
        </w:rPr>
      </w:pPr>
    </w:p>
    <w:p>
      <w:pPr>
        <w:jc w:val="both"/>
        <w:ind w:left="1360" w:hanging="184"/>
        <w:spacing w:after="0" w:line="256" w:lineRule="auto"/>
        <w:tabs>
          <w:tab w:leader="none" w:pos="1360" w:val="left"/>
        </w:tabs>
        <w:numPr>
          <w:ilvl w:val="0"/>
          <w:numId w:val="56"/>
        </w:numPr>
        <w:rPr>
          <w:rFonts w:ascii="Arial" w:cs="Arial" w:eastAsia="Arial" w:hAnsi="Arial"/>
          <w:sz w:val="18"/>
          <w:szCs w:val="18"/>
          <w:color w:val="477258"/>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12" w:lineRule="exact"/>
        <w:rPr>
          <w:rFonts w:ascii="Arial" w:cs="Arial" w:eastAsia="Arial" w:hAnsi="Arial"/>
          <w:sz w:val="18"/>
          <w:szCs w:val="18"/>
          <w:color w:val="477258"/>
        </w:rPr>
      </w:pPr>
    </w:p>
    <w:p>
      <w:pPr>
        <w:ind w:left="1360" w:hanging="184"/>
        <w:spacing w:after="0" w:line="261" w:lineRule="auto"/>
        <w:tabs>
          <w:tab w:leader="none" w:pos="1360" w:val="left"/>
        </w:tabs>
        <w:numPr>
          <w:ilvl w:val="0"/>
          <w:numId w:val="56"/>
        </w:numPr>
        <w:rPr>
          <w:rFonts w:ascii="Arial" w:cs="Arial" w:eastAsia="Arial" w:hAnsi="Arial"/>
          <w:sz w:val="18"/>
          <w:szCs w:val="18"/>
          <w:color w:val="477258"/>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22" w:lineRule="exact"/>
        <w:rPr>
          <w:rFonts w:ascii="Arial" w:cs="Arial" w:eastAsia="Arial" w:hAnsi="Arial"/>
          <w:sz w:val="18"/>
          <w:szCs w:val="18"/>
          <w:color w:val="477258"/>
        </w:rPr>
      </w:pPr>
    </w:p>
    <w:p>
      <w:pPr>
        <w:jc w:val="both"/>
        <w:ind w:left="1360" w:hanging="184"/>
        <w:spacing w:after="0" w:line="256" w:lineRule="auto"/>
        <w:tabs>
          <w:tab w:leader="none" w:pos="1360" w:val="left"/>
        </w:tabs>
        <w:numPr>
          <w:ilvl w:val="0"/>
          <w:numId w:val="56"/>
        </w:numPr>
        <w:rPr>
          <w:rFonts w:ascii="Arial" w:cs="Arial" w:eastAsia="Arial" w:hAnsi="Arial"/>
          <w:sz w:val="18"/>
          <w:szCs w:val="18"/>
          <w:color w:val="477258"/>
        </w:rPr>
      </w:pPr>
      <w:r>
        <w:rPr>
          <w:rFonts w:ascii="Arial" w:cs="Arial" w:eastAsia="Arial" w:hAnsi="Arial"/>
          <w:sz w:val="18"/>
          <w:szCs w:val="18"/>
          <w:color w:val="auto"/>
        </w:rPr>
        <w:t>the Company has clawback provisions in its equity award agreements and executive officer employment agreements, and has adopted a clawback policy applicable to annual incentive compensation, designed to recoup compensation when cause and/or misconduct are found; and</w:t>
      </w:r>
    </w:p>
    <w:p>
      <w:pPr>
        <w:spacing w:after="0" w:line="26" w:lineRule="exact"/>
        <w:rPr>
          <w:rFonts w:ascii="Arial" w:cs="Arial" w:eastAsia="Arial" w:hAnsi="Arial"/>
          <w:sz w:val="18"/>
          <w:szCs w:val="18"/>
          <w:color w:val="477258"/>
        </w:rPr>
      </w:pPr>
    </w:p>
    <w:p>
      <w:pPr>
        <w:jc w:val="both"/>
        <w:ind w:left="1360" w:hanging="184"/>
        <w:spacing w:after="0" w:line="256" w:lineRule="auto"/>
        <w:tabs>
          <w:tab w:leader="none" w:pos="1360" w:val="left"/>
        </w:tabs>
        <w:numPr>
          <w:ilvl w:val="0"/>
          <w:numId w:val="56"/>
        </w:numPr>
        <w:rPr>
          <w:rFonts w:ascii="Arial" w:cs="Arial" w:eastAsia="Arial" w:hAnsi="Arial"/>
          <w:sz w:val="18"/>
          <w:szCs w:val="18"/>
          <w:color w:val="477258"/>
        </w:rPr>
      </w:pPr>
      <w:r>
        <w:rPr>
          <w:rFonts w:ascii="Arial" w:cs="Arial" w:eastAsia="Arial" w:hAnsi="Arial"/>
          <w:sz w:val="18"/>
          <w:szCs w:val="18"/>
          <w:color w:val="auto"/>
        </w:rPr>
        <w:t>the Company has adopted policies that limit executive officer severance benefits and prohibit it from entering into new agreements with executive officers that provide for certain death benefits or tax gross-up payments.</w:t>
      </w:r>
    </w:p>
    <w:p>
      <w:pPr>
        <w:spacing w:after="0" w:line="40" w:lineRule="exact"/>
        <w:rPr>
          <w:sz w:val="20"/>
          <w:szCs w:val="20"/>
          <w:color w:val="auto"/>
        </w:rPr>
      </w:pPr>
    </w:p>
    <w:p>
      <w:pPr>
        <w:jc w:val="both"/>
        <w:ind w:left="820"/>
        <w:spacing w:after="0" w:line="235" w:lineRule="auto"/>
        <w:rPr>
          <w:sz w:val="20"/>
          <w:szCs w:val="20"/>
          <w:color w:val="auto"/>
        </w:rPr>
      </w:pPr>
      <w:r>
        <w:rPr>
          <w:rFonts w:ascii="Arial" w:cs="Arial" w:eastAsia="Arial" w:hAnsi="Arial"/>
          <w:sz w:val="18"/>
          <w:szCs w:val="18"/>
          <w:color w:val="auto"/>
        </w:rPr>
        <w:t>The Board strongly endorses the Company’s executive compensation program and recommends that the stockholders vote in favor of the following resolution:</w:t>
      </w:r>
    </w:p>
    <w:p>
      <w:pPr>
        <w:spacing w:after="0" w:line="40"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 xml:space="preserve">RESOLVED, that the compensation of the Company’s named executive officers as described in this Proxy Statement under “Executive Compensation,” including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and the tabular and narrative disclosure contained in this Proxy Statement, is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77258"/>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-10795</wp:posOffset>
            </wp:positionV>
            <wp:extent cx="24314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56" w:lineRule="exact"/>
        <w:rPr>
          <w:sz w:val="20"/>
          <w:szCs w:val="20"/>
          <w:color w:val="auto"/>
        </w:rPr>
      </w:pPr>
    </w:p>
    <w:p>
      <w:pPr>
        <w:jc w:val="both"/>
        <w:ind w:left="820"/>
        <w:spacing w:after="0"/>
        <w:rPr>
          <w:sz w:val="20"/>
          <w:szCs w:val="20"/>
          <w:color w:val="auto"/>
        </w:rPr>
      </w:pPr>
      <w:r>
        <w:rPr>
          <w:rFonts w:ascii="Arial" w:cs="Arial" w:eastAsia="Arial" w:hAnsi="Arial"/>
          <w:sz w:val="18"/>
          <w:szCs w:val="18"/>
          <w:color w:val="auto"/>
        </w:rPr>
        <w:t>Approval of this proposal requires the affirmative vote of the holders of a majority of the outstanding shares of Common Stock present at the meeting, in person or represented by proxy, and entitled to vote. Because the vote is advisory, it will not be binding, and neither the Board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208915</wp:posOffset>
            </wp:positionV>
            <wp:extent cx="5340350" cy="514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77258"/>
        </w:rPr>
        <w:t>OTHER MATTERS</w:t>
      </w:r>
    </w:p>
    <w:p>
      <w:pPr>
        <w:spacing w:after="0" w:line="119" w:lineRule="exact"/>
        <w:rPr>
          <w:sz w:val="20"/>
          <w:szCs w:val="20"/>
          <w:color w:val="auto"/>
        </w:rPr>
      </w:pPr>
    </w:p>
    <w:p>
      <w:pPr>
        <w:jc w:val="both"/>
        <w:ind w:left="820"/>
        <w:spacing w:after="0" w:line="227" w:lineRule="auto"/>
        <w:rPr>
          <w:sz w:val="20"/>
          <w:szCs w:val="20"/>
          <w:color w:val="auto"/>
        </w:rPr>
      </w:pPr>
      <w:r>
        <w:rPr>
          <w:rFonts w:ascii="Arial" w:cs="Arial" w:eastAsia="Arial" w:hAnsi="Arial"/>
          <w:sz w:val="18"/>
          <w:szCs w:val="18"/>
          <w:color w:val="auto"/>
        </w:rPr>
        <w:t>The Company does not intend to bring any other matters before the Annual Meeting, nor does the 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343"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32"/>
          <w:szCs w:val="32"/>
          <w:b w:val="1"/>
          <w:bCs w:val="1"/>
          <w:color w:val="477258"/>
        </w:rPr>
        <w:t xml:space="preserve">|  </w:t>
      </w:r>
      <w:r>
        <w:rPr>
          <w:sz w:val="1"/>
          <w:szCs w:val="1"/>
          <w:color w:val="auto"/>
        </w:rPr>
        <w:drawing>
          <wp:inline distT="0" distB="0" distL="0" distR="0">
            <wp:extent cx="454025" cy="12001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54025" cy="120015"/>
                    </a:xfrm>
                    <a:prstGeom prst="rect">
                      <a:avLst/>
                    </a:prstGeom>
                    <a:noFill/>
                    <a:ln>
                      <a:noFill/>
                    </a:ln>
                  </pic:spPr>
                </pic:pic>
              </a:graphicData>
            </a:graphic>
          </wp:inline>
        </w:drawing>
      </w:r>
      <w:r>
        <w:rPr>
          <w:rFonts w:ascii="Arial" w:cs="Arial" w:eastAsia="Arial" w:hAnsi="Arial"/>
          <w:sz w:val="18"/>
          <w:szCs w:val="18"/>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454025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132" w:right="1439" w:bottom="1101" w:gutter="0" w:footer="0" w:header="0"/>
          <w:type w:val="continuous"/>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8341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883412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wp:posOffset>
            </wp:positionV>
            <wp:extent cx="6831965" cy="89966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8996680"/>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lvl w:ilvl="1">
      <w:lvlJc w:val="left"/>
      <w:lvlText w:val="(%2)"/>
      <w:numFmt w:val="decimal"/>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bullet"/>
      <w:start w:val="1"/>
    </w:lvl>
  </w:abstractNum>
  <w:abstractNum w:abstractNumId="5">
    <w:nsid w:val="7C3DBD3D"/>
    <w:multiLevelType w:val="hybridMultilevel"/>
    <w:lvl w:ilvl="0">
      <w:lvlJc w:val="left"/>
      <w:lvlText w:val="4"/>
      <w:numFmt w:val="bullet"/>
      <w:start w:val="1"/>
    </w:lvl>
  </w:abstractNum>
  <w:abstractNum w:abstractNumId="6">
    <w:nsid w:val="737B8DDC"/>
    <w:multiLevelType w:val="hybridMultilevel"/>
    <w:lvl w:ilvl="0">
      <w:lvlJc w:val="left"/>
      <w:lvlText w:val="%1"/>
      <w:numFmt w:val="decimal"/>
      <w:start w:val="12"/>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Q"/>
      <w:numFmt w:val="bullet"/>
      <w:start w:val="1"/>
    </w:lvl>
  </w:abstractNum>
  <w:abstractNum w:abstractNumId="16">
    <w:nsid w:val="3804823E"/>
    <w:multiLevelType w:val="hybridMultilevel"/>
    <w:lvl w:ilvl="0">
      <w:lvlJc w:val="left"/>
      <w:lvlText w:val="Q"/>
      <w:numFmt w:val="bullet"/>
      <w:start w:val="1"/>
    </w:lvl>
  </w:abstractNum>
  <w:abstractNum w:abstractNumId="17">
    <w:nsid w:val="77465F01"/>
    <w:multiLevelType w:val="hybridMultilevel"/>
    <w:lvl w:ilvl="0">
      <w:lvlJc w:val="left"/>
      <w:lvlText w:val="Q"/>
      <w:numFmt w:val="bullet"/>
      <w:start w:val="1"/>
    </w:lvl>
  </w:abstractNum>
  <w:abstractNum w:abstractNumId="18">
    <w:nsid w:val="7724C67E"/>
    <w:multiLevelType w:val="hybridMultilevel"/>
    <w:lvl w:ilvl="0">
      <w:lvlJc w:val="left"/>
      <w:lvlText w:val="Q"/>
      <w:numFmt w:val="bullet"/>
      <w:start w:val="1"/>
    </w:lvl>
  </w:abstractNum>
  <w:abstractNum w:abstractNumId="19">
    <w:nsid w:val="5C482A97"/>
    <w:multiLevelType w:val="hybridMultilevel"/>
    <w:lvl w:ilvl="0">
      <w:lvlJc w:val="left"/>
      <w:lvlText w:val="Q"/>
      <w:numFmt w:val="bullet"/>
      <w:start w:val="1"/>
    </w:lvl>
  </w:abstractNum>
  <w:abstractNum w:abstractNumId="20">
    <w:nsid w:val="2463B9EA"/>
    <w:multiLevelType w:val="hybridMultilevel"/>
    <w:lvl w:ilvl="0">
      <w:lvlJc w:val="left"/>
      <w:lvlText w:val="Q"/>
      <w:numFmt w:val="bullet"/>
      <w:start w:val="1"/>
    </w:lvl>
  </w:abstractNum>
  <w:abstractNum w:abstractNumId="21">
    <w:nsid w:val="5E884ADC"/>
    <w:multiLevelType w:val="hybridMultilevel"/>
    <w:lvl w:ilvl="0">
      <w:lvlJc w:val="left"/>
      <w:lvlText w:val="Q"/>
      <w:numFmt w:val="bullet"/>
      <w:start w:val="1"/>
    </w:lvl>
  </w:abstractNum>
  <w:abstractNum w:abstractNumId="22">
    <w:nsid w:val="51EAD36B"/>
    <w:multiLevelType w:val="hybridMultilevel"/>
    <w:lvl w:ilvl="0">
      <w:lvlJc w:val="left"/>
      <w:lvlText w:val="Q"/>
      <w:numFmt w:val="bullet"/>
      <w:start w:val="1"/>
    </w:lvl>
  </w:abstractNum>
  <w:abstractNum w:abstractNumId="23">
    <w:nsid w:val="2D517796"/>
    <w:multiLevelType w:val="hybridMultilevel"/>
    <w:lvl w:ilvl="0">
      <w:lvlJc w:val="left"/>
      <w:lvlText w:val="Q"/>
      <w:numFmt w:val="bullet"/>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lowerLetter"/>
      <w:start w:val="2"/>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2"/>
    </w:lvl>
  </w:abstractNum>
  <w:abstractNum w:abstractNumId="40">
    <w:nsid w:val="32FFF902"/>
    <w:multiLevelType w:val="hybridMultilevel"/>
    <w:lvl w:ilvl="0">
      <w:lvlJc w:val="left"/>
      <w:lvlText w:val="%1"/>
      <w:numFmt w:val="decimal"/>
      <w:start w:val="1"/>
    </w:lvl>
    <w:lvl w:ilvl="1">
      <w:lvlJc w:val="left"/>
      <w:lvlText w:val="(%2)"/>
      <w:numFmt w:val="lowerLetter"/>
      <w:start w:val="1"/>
    </w:lvl>
  </w:abstractNum>
  <w:abstractNum w:abstractNumId="41">
    <w:nsid w:val="684A481A"/>
    <w:multiLevelType w:val="hybridMultilevel"/>
    <w:lvl w:ilvl="0">
      <w:lvlJc w:val="left"/>
      <w:lvlText w:val="(%1)"/>
      <w:numFmt w:val="decimal"/>
      <w:start w:val="5"/>
    </w:lvl>
    <w:lvl w:ilvl="1">
      <w:lvlJc w:val="left"/>
      <w:lvlText w:val="%2"/>
      <w:numFmt w:val="lowerLetter"/>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4"/>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7"/>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lowerLetter"/>
      <w:start w:val="2"/>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2021-03-31T08:08:59Z</dcterms:created>
  <dcterms:modified xsi:type="dcterms:W3CDTF">2021-03-31T08:08:59Z</dcterms:modified>
</cp:coreProperties>
</file>