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21,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294005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21, 2025, the Management Development and Compensation Committee of the Board of Directors of Waste Management, Inc. (the “Company”) approved a one-time retention award (the “Award”) of restricted stock units (“RSUs”) with a value of $2,100,000 to Ms. Tara J. Hemmer, Senior Vice President and Chief Sustainability Officer, under the Company’s 2023 Stock Incentive Plan. The Award will be granted to Ms. Hemmer on September 2, 2025, and the number of RSUs granted to Ms. Hemmer on such date will be calculated by dividing the Award value by the average of the high and low price of the Company’s common stock over the 30 trading days preceding the grant date. Key terms of the RSUs are described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3280" w:type="dxa"/>
            <w:vAlign w:val="bottom"/>
          </w:tcPr>
          <w:p>
            <w:pPr>
              <w:spacing w:after="0"/>
              <w:rPr>
                <w:sz w:val="17"/>
                <w:szCs w:val="17"/>
                <w:color w:val="auto"/>
              </w:rPr>
            </w:pPr>
          </w:p>
        </w:tc>
        <w:tc>
          <w:tcPr>
            <w:tcW w:w="7520" w:type="dxa"/>
            <w:vAlign w:val="bottom"/>
          </w:tcPr>
          <w:p>
            <w:pPr>
              <w:spacing w:after="0"/>
              <w:rPr>
                <w:sz w:val="17"/>
                <w:szCs w:val="17"/>
                <w:color w:val="auto"/>
              </w:rPr>
            </w:pPr>
          </w:p>
        </w:tc>
      </w:tr>
      <w:tr>
        <w:trPr>
          <w:trHeight w:val="4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“Vesting Dates”</w:t>
            </w: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50% on the second anniversary of grant</w:t>
            </w: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50% on the third anniversary of grant</w:t>
            </w:r>
          </w:p>
        </w:tc>
      </w:tr>
      <w:tr>
        <w:trPr>
          <w:trHeight w:val="234"/>
        </w:trPr>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Each RSU will be converted into one share of Company common stock upon vesting.</w:t>
            </w:r>
          </w:p>
        </w:tc>
      </w:tr>
      <w:tr>
        <w:trPr>
          <w:trHeight w:val="43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Equivalents</w:t>
            </w: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will accrue and be paid in cash upon any payout of RSUs.</w:t>
            </w:r>
          </w:p>
        </w:tc>
      </w:tr>
      <w:tr>
        <w:trPr>
          <w:trHeight w:val="43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7520" w:type="dxa"/>
            <w:vAlign w:val="bottom"/>
          </w:tcPr>
          <w:p>
            <w:pPr>
              <w:spacing w:after="0"/>
              <w:rPr>
                <w:sz w:val="24"/>
                <w:szCs w:val="24"/>
                <w:color w:val="auto"/>
              </w:rPr>
            </w:pPr>
          </w:p>
        </w:tc>
      </w:tr>
      <w:tr>
        <w:trPr>
          <w:trHeight w:val="414"/>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 or Disability</w:t>
            </w: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All unvested RSUs will vest and be issued and paid following the date of such death or</w:t>
            </w:r>
          </w:p>
        </w:tc>
      </w:tr>
      <w:tr>
        <w:trPr>
          <w:trHeight w:val="234"/>
        </w:trPr>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disability.</w:t>
            </w:r>
          </w:p>
        </w:tc>
      </w:tr>
      <w:tr>
        <w:trPr>
          <w:trHeight w:val="414"/>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Retirement (as defined in the award</w:t>
            </w: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Ms. Hemmer will not be Retirement eligible until reaching age 55 in October 2027. If</w:t>
            </w:r>
          </w:p>
        </w:tc>
      </w:tr>
      <w:tr>
        <w:trPr>
          <w:trHeight w:val="216"/>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Retirement occurs after such date, but before the final Vesting Date, then the remaining 50%</w:t>
            </w:r>
          </w:p>
        </w:tc>
      </w:tr>
      <w:tr>
        <w:trPr>
          <w:trHeight w:val="234"/>
        </w:trPr>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of the RSUs will vest but will be issued and paid following the final Vesting Date.</w:t>
            </w:r>
          </w:p>
        </w:tc>
      </w:tr>
      <w:tr>
        <w:trPr>
          <w:trHeight w:val="414"/>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Involuntary Termination without Cause</w:t>
            </w: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RSUs equal to the total number of unvested RSUs, prorated based on the portion of the entire</w:t>
            </w: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three-year vesting period that Ms. Hemmer was employed, will vest and be issued and paid</w:t>
            </w:r>
          </w:p>
        </w:tc>
      </w:tr>
      <w:tr>
        <w:trPr>
          <w:trHeight w:val="234"/>
        </w:trPr>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following the normal Vesting Dates.</w:t>
            </w:r>
          </w:p>
        </w:tc>
      </w:tr>
      <w:tr>
        <w:trPr>
          <w:trHeight w:val="414"/>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Resignation;  Involuntary  Termination</w:t>
            </w: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All unvested RSUs are forfeited.</w:t>
            </w:r>
          </w:p>
        </w:tc>
      </w:tr>
      <w:tr>
        <w:trPr>
          <w:trHeight w:val="234"/>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Cause</w:t>
            </w:r>
          </w:p>
        </w:tc>
        <w:tc>
          <w:tcPr>
            <w:tcW w:w="7520" w:type="dxa"/>
            <w:vAlign w:val="bottom"/>
          </w:tcPr>
          <w:p>
            <w:pPr>
              <w:spacing w:after="0"/>
              <w:rPr>
                <w:sz w:val="20"/>
                <w:szCs w:val="20"/>
                <w:color w:val="auto"/>
              </w:rPr>
            </w:pPr>
          </w:p>
        </w:tc>
      </w:tr>
      <w:tr>
        <w:trPr>
          <w:trHeight w:val="414"/>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Involuntary Termination without Cause</w:t>
            </w:r>
          </w:p>
        </w:tc>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All unvested RSUs will vest and be issued and paid following the normal Vesting Dates.</w:t>
            </w:r>
          </w:p>
        </w:tc>
      </w:tr>
      <w:tr>
        <w:trPr>
          <w:trHeight w:val="234"/>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following a Change in Control</w:t>
            </w:r>
          </w:p>
        </w:tc>
        <w:tc>
          <w:tcPr>
            <w:tcW w:w="752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is qualified in its entirety by reference to the form of RSU award agreement that is Exhibit 10.1 to this report and incorporated herein by reference.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Form of 2025 Long Term Incentive Compensation RSU Award Agreement for Tara Hemmer Retention Award.</w:t>
      </w:r>
    </w:p>
    <w:p>
      <w:pPr>
        <w:spacing w:after="0" w:line="225" w:lineRule="exact"/>
        <w:rPr>
          <w:sz w:val="20"/>
          <w:szCs w:val="20"/>
          <w:color w:val="auto"/>
        </w:rPr>
      </w:pPr>
    </w:p>
    <w:p>
      <w:pPr>
        <w:ind w:left="5560" w:right="2479" w:hanging="5552"/>
        <w:spacing w:after="0" w:line="814" w:lineRule="auto"/>
        <w:tabs>
          <w:tab w:leader="none" w:pos="1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27, 2025</w:t>
            </w: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139700</wp:posOffset>
            </wp:positionV>
            <wp:extent cx="7127875" cy="765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765937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4"/>
        <w:spacing w:after="0" w:line="323" w:lineRule="auto"/>
        <w:rPr>
          <w:sz w:val="20"/>
          <w:szCs w:val="20"/>
          <w:color w:val="auto"/>
        </w:rPr>
      </w:pPr>
      <w:r>
        <w:rPr>
          <w:rFonts w:ascii="Arial" w:cs="Arial" w:eastAsia="Arial" w:hAnsi="Arial"/>
          <w:sz w:val="53"/>
          <w:szCs w:val="53"/>
          <w:b w:val="1"/>
          <w:bCs w:val="1"/>
          <w:color w:val="00693C"/>
        </w:rPr>
        <w:t>Long Term Incentive Compensation RSU Award Agreement</w:t>
      </w:r>
    </w:p>
    <w:p>
      <w:pPr>
        <w:spacing w:after="0" w:line="4" w:lineRule="exact"/>
        <w:rPr>
          <w:sz w:val="20"/>
          <w:szCs w:val="20"/>
          <w:color w:val="auto"/>
        </w:rPr>
      </w:pPr>
    </w:p>
    <w:p>
      <w:pPr>
        <w:jc w:val="center"/>
        <w:ind w:right="114"/>
        <w:spacing w:after="0"/>
        <w:rPr>
          <w:sz w:val="20"/>
          <w:szCs w:val="20"/>
          <w:color w:val="auto"/>
        </w:rPr>
      </w:pPr>
      <w:r>
        <w:rPr>
          <w:rFonts w:ascii="Arial" w:cs="Arial" w:eastAsia="Arial" w:hAnsi="Arial"/>
          <w:sz w:val="29"/>
          <w:szCs w:val="29"/>
          <w:b w:val="1"/>
          <w:bCs w:val="1"/>
          <w:color w:val="00693C"/>
        </w:rPr>
        <w:t>under the</w:t>
      </w:r>
    </w:p>
    <w:p>
      <w:pPr>
        <w:spacing w:after="0" w:line="197" w:lineRule="exact"/>
        <w:rPr>
          <w:sz w:val="20"/>
          <w:szCs w:val="20"/>
          <w:color w:val="auto"/>
        </w:rPr>
      </w:pPr>
    </w:p>
    <w:p>
      <w:pPr>
        <w:ind w:left="286"/>
        <w:spacing w:after="0"/>
        <w:rPr>
          <w:sz w:val="20"/>
          <w:szCs w:val="20"/>
          <w:color w:val="auto"/>
        </w:rPr>
      </w:pPr>
      <w:r>
        <w:rPr>
          <w:rFonts w:ascii="Arial" w:cs="Arial" w:eastAsia="Arial" w:hAnsi="Arial"/>
          <w:sz w:val="43"/>
          <w:szCs w:val="43"/>
          <w:b w:val="1"/>
          <w:bCs w:val="1"/>
          <w:color w:val="00693C"/>
        </w:rPr>
        <w:t>Waste Management, Inc. 2023 Stock Incentive Plan</w:t>
      </w:r>
    </w:p>
    <w:p>
      <w:pPr>
        <w:spacing w:after="0" w:line="229" w:lineRule="exact"/>
        <w:rPr>
          <w:sz w:val="20"/>
          <w:szCs w:val="20"/>
          <w:color w:val="auto"/>
        </w:rPr>
      </w:pPr>
    </w:p>
    <w:p>
      <w:pPr>
        <w:ind w:left="6" w:right="300"/>
        <w:spacing w:after="0" w:line="243" w:lineRule="auto"/>
        <w:rPr>
          <w:sz w:val="20"/>
          <w:szCs w:val="20"/>
          <w:color w:val="auto"/>
        </w:rPr>
      </w:pPr>
      <w:r>
        <w:rPr>
          <w:rFonts w:ascii="Arial" w:cs="Arial" w:eastAsia="Arial" w:hAnsi="Arial"/>
          <w:sz w:val="19"/>
          <w:szCs w:val="19"/>
          <w:color w:val="auto"/>
        </w:rPr>
        <w:t>This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effective as of [•] (the “</w:t>
      </w:r>
      <w:r>
        <w:rPr>
          <w:rFonts w:ascii="Arial" w:cs="Arial" w:eastAsia="Arial" w:hAnsi="Arial"/>
          <w:sz w:val="19"/>
          <w:szCs w:val="19"/>
          <w:b w:val="1"/>
          <w:bCs w:val="1"/>
          <w:i w:val="1"/>
          <w:iCs w:val="1"/>
          <w:color w:val="auto"/>
        </w:rPr>
        <w:t>Grant Date</w:t>
      </w:r>
      <w:r>
        <w:rPr>
          <w:rFonts w:ascii="Arial" w:cs="Arial" w:eastAsia="Arial" w:hAnsi="Arial"/>
          <w:sz w:val="19"/>
          <w:szCs w:val="19"/>
          <w:color w:val="auto"/>
        </w:rPr>
        <w:t>”), by and between Waste Management,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(together with its Subsidiaries and Affiliates, “</w:t>
      </w:r>
      <w:r>
        <w:rPr>
          <w:rFonts w:ascii="Arial" w:cs="Arial" w:eastAsia="Arial" w:hAnsi="Arial"/>
          <w:sz w:val="19"/>
          <w:szCs w:val="19"/>
          <w:b w:val="1"/>
          <w:bCs w:val="1"/>
          <w:i w:val="1"/>
          <w:iCs w:val="1"/>
          <w:color w:val="auto"/>
        </w:rPr>
        <w:t>WM</w:t>
      </w:r>
      <w:r>
        <w:rPr>
          <w:rFonts w:ascii="Arial" w:cs="Arial" w:eastAsia="Arial" w:hAnsi="Arial"/>
          <w:sz w:val="19"/>
          <w:szCs w:val="19"/>
          <w:color w:val="auto"/>
        </w:rPr>
        <w:t>”), and [•] (“</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At all times, the Awards under this Agreement are subject to the terms and conditions of the Waste Management, Inc. 2023 Stock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this Agreement, and all applicable administrative interpretations and practices. A copy of the Plan and the Plan Prospectus is available online at www.benefits.ml.com. Please also see the Company’s Form 10-K included in its most recent Annual Report, available on the Investor Relations page of www.wm.com under Financial Reporting – Annual Reports, for information about the Company. By executing this Agreement, you consent to receipt of the Plan, the Prospectus, and the Annual Reports by electronic access as set forth in this paragraph.</w:t>
      </w:r>
    </w:p>
    <w:p>
      <w:pPr>
        <w:spacing w:after="0" w:line="159" w:lineRule="exact"/>
        <w:rPr>
          <w:sz w:val="20"/>
          <w:szCs w:val="20"/>
          <w:color w:val="auto"/>
        </w:rPr>
      </w:pPr>
    </w:p>
    <w:p>
      <w:pPr>
        <w:jc w:val="both"/>
        <w:ind w:left="6" w:right="460"/>
        <w:spacing w:after="0" w:line="247" w:lineRule="auto"/>
        <w:rPr>
          <w:sz w:val="20"/>
          <w:szCs w:val="20"/>
          <w:color w:val="auto"/>
        </w:rPr>
      </w:pPr>
      <w:r>
        <w:rPr>
          <w:rFonts w:ascii="Arial" w:cs="Arial" w:eastAsia="Arial" w:hAnsi="Arial"/>
          <w:sz w:val="20"/>
          <w:szCs w:val="20"/>
          <w:b w:val="1"/>
          <w:bCs w:val="1"/>
          <w:color w:val="auto"/>
        </w:rPr>
        <w:t>You must execute this Agreement in full, online in accordance with the instructions below, prior to [•], in order for this Agreement to become effective. If you do not execute this Agreement by correctly following the instructions below, your Awards may be cancelled.</w:t>
      </w:r>
    </w:p>
    <w:p>
      <w:pPr>
        <w:spacing w:after="0" w:line="332" w:lineRule="exact"/>
        <w:rPr>
          <w:sz w:val="20"/>
          <w:szCs w:val="20"/>
          <w:color w:val="auto"/>
        </w:rPr>
      </w:pPr>
    </w:p>
    <w:p>
      <w:pPr>
        <w:jc w:val="center"/>
        <w:ind w:right="114"/>
        <w:spacing w:after="0"/>
        <w:rPr>
          <w:sz w:val="20"/>
          <w:szCs w:val="20"/>
          <w:color w:val="auto"/>
        </w:rPr>
      </w:pPr>
      <w:r>
        <w:rPr>
          <w:rFonts w:ascii="Arial" w:cs="Arial" w:eastAsia="Arial" w:hAnsi="Arial"/>
          <w:sz w:val="29"/>
          <w:szCs w:val="29"/>
          <w:b w:val="1"/>
          <w:bCs w:val="1"/>
          <w:color w:val="00693C"/>
        </w:rPr>
        <w:t>Important Instructions for Executing this Agreement</w:t>
      </w:r>
    </w:p>
    <w:p>
      <w:pPr>
        <w:spacing w:after="0" w:line="219" w:lineRule="exact"/>
        <w:rPr>
          <w:sz w:val="20"/>
          <w:szCs w:val="20"/>
          <w:color w:val="auto"/>
        </w:rPr>
      </w:pPr>
    </w:p>
    <w:p>
      <w:pPr>
        <w:ind w:left="6" w:right="260"/>
        <w:spacing w:after="0" w:line="237" w:lineRule="auto"/>
        <w:rPr>
          <w:sz w:val="20"/>
          <w:szCs w:val="20"/>
          <w:color w:val="auto"/>
        </w:rPr>
      </w:pPr>
      <w:r>
        <w:rPr>
          <w:rFonts w:ascii="Arial" w:cs="Arial" w:eastAsia="Arial" w:hAnsi="Arial"/>
          <w:sz w:val="20"/>
          <w:szCs w:val="20"/>
          <w:color w:val="auto"/>
        </w:rPr>
        <w:t>If you are a new equity award participant, you must open a Limited Individual Investor Account (LIIA) before you can accept your awards. To open your LIIA, log in to www.benefits.ml.com at the secure website maintained by the third-party stock administrator. Once logged in, follow the prompts to “Open a Brokerage Account”. When you have successfully created your account, follow the online instructions, and complete all the steps required to accept the award.</w:t>
      </w:r>
    </w:p>
    <w:p>
      <w:pPr>
        <w:spacing w:after="0" w:line="158" w:lineRule="exact"/>
        <w:rPr>
          <w:sz w:val="20"/>
          <w:szCs w:val="20"/>
          <w:color w:val="auto"/>
        </w:rPr>
      </w:pPr>
    </w:p>
    <w:p>
      <w:pPr>
        <w:ind w:left="6" w:right="260"/>
        <w:spacing w:after="0" w:line="241" w:lineRule="auto"/>
        <w:rPr>
          <w:sz w:val="20"/>
          <w:szCs w:val="20"/>
          <w:color w:val="auto"/>
        </w:rPr>
      </w:pPr>
      <w:r>
        <w:rPr>
          <w:rFonts w:ascii="Arial" w:cs="Arial" w:eastAsia="Arial" w:hAnsi="Arial"/>
          <w:sz w:val="20"/>
          <w:szCs w:val="20"/>
          <w:color w:val="auto"/>
        </w:rPr>
        <w:t>If you have previously received a stock-based incentive award, log on to www.benefits.ml.com at the secure website maintained by the third-party stock administrator. Follow the online instructions and complete all the steps required to accept the award.</w:t>
      </w:r>
    </w:p>
    <w:p>
      <w:pPr>
        <w:spacing w:after="0" w:line="348" w:lineRule="exact"/>
        <w:rPr>
          <w:sz w:val="20"/>
          <w:szCs w:val="20"/>
          <w:color w:val="auto"/>
        </w:rPr>
      </w:pPr>
    </w:p>
    <w:p>
      <w:pPr>
        <w:jc w:val="center"/>
        <w:ind w:right="114"/>
        <w:spacing w:after="0"/>
        <w:rPr>
          <w:sz w:val="20"/>
          <w:szCs w:val="20"/>
          <w:color w:val="auto"/>
        </w:rPr>
      </w:pPr>
      <w:r>
        <w:rPr>
          <w:rFonts w:ascii="Arial" w:cs="Arial" w:eastAsia="Arial" w:hAnsi="Arial"/>
          <w:sz w:val="29"/>
          <w:szCs w:val="29"/>
          <w:b w:val="1"/>
          <w:bCs w:val="1"/>
          <w:color w:val="00693C"/>
        </w:rPr>
        <w:t>Restricted Stock Units</w:t>
      </w:r>
    </w:p>
    <w:p>
      <w:pPr>
        <w:spacing w:after="0" w:line="219" w:lineRule="exact"/>
        <w:rPr>
          <w:sz w:val="20"/>
          <w:szCs w:val="20"/>
          <w:color w:val="auto"/>
        </w:rPr>
      </w:pPr>
    </w:p>
    <w:p>
      <w:pPr>
        <w:ind w:left="326" w:right="140" w:hanging="326"/>
        <w:spacing w:after="0" w:line="237" w:lineRule="auto"/>
        <w:tabs>
          <w:tab w:leader="none" w:pos="326"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RSU Grant</w:t>
      </w:r>
      <w:r>
        <w:rPr>
          <w:rFonts w:ascii="Arial" w:cs="Arial" w:eastAsia="Arial" w:hAnsi="Arial"/>
          <w:sz w:val="20"/>
          <w:szCs w:val="20"/>
          <w:color w:val="auto"/>
        </w:rPr>
        <w:t>. The Company hereby grants to Employee a Restricted Stock Unit Award of [•] units. RSUs are notational units of measurement denominated in shares of common stock of the Company, $.01 par value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Each RSU represents a hypothetical share of Common Stock. Upon your timely execution of this Agreement, WM will credit your RSUs to an unfunded bookkeeping account for you.</w:t>
      </w:r>
    </w:p>
    <w:p>
      <w:pPr>
        <w:spacing w:after="0" w:line="158" w:lineRule="exact"/>
        <w:rPr>
          <w:rFonts w:ascii="Arial" w:cs="Arial" w:eastAsia="Arial" w:hAnsi="Arial"/>
          <w:sz w:val="20"/>
          <w:szCs w:val="20"/>
          <w:color w:val="auto"/>
        </w:rPr>
      </w:pPr>
    </w:p>
    <w:p>
      <w:pPr>
        <w:ind w:left="326" w:right="140" w:hanging="326"/>
        <w:spacing w:after="0" w:line="234" w:lineRule="auto"/>
        <w:tabs>
          <w:tab w:leader="none" w:pos="326"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Vesting of RSUs</w:t>
      </w:r>
      <w:r>
        <w:rPr>
          <w:rFonts w:ascii="Arial" w:cs="Arial" w:eastAsia="Arial" w:hAnsi="Arial"/>
          <w:sz w:val="20"/>
          <w:szCs w:val="20"/>
          <w:color w:val="auto"/>
        </w:rPr>
        <w:t>. The RSUs granted by this Agreement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RSU Awards</w:t>
      </w:r>
      <w:r>
        <w:rPr>
          <w:rFonts w:ascii="Arial" w:cs="Arial" w:eastAsia="Arial" w:hAnsi="Arial"/>
          <w:sz w:val="20"/>
          <w:szCs w:val="20"/>
          <w:color w:val="auto"/>
        </w:rPr>
        <w:t xml:space="preserve">”) vest on a pro-rata basis over a three-year period following the Grant Date, with 50% of the RSUs vesting on the second anniversary of the Grant Date and the remaining 50% of the RSUs vesting on the third anniversary of the Grant Date. The dates of vesting are the </w:t>
      </w:r>
      <w:r>
        <w:rPr>
          <w:rFonts w:ascii="Arial" w:cs="Arial" w:eastAsia="Arial" w:hAnsi="Arial"/>
          <w:sz w:val="20"/>
          <w:szCs w:val="20"/>
          <w:b w:val="1"/>
          <w:bCs w:val="1"/>
          <w:i w:val="1"/>
          <w:iCs w:val="1"/>
          <w:color w:val="auto"/>
        </w:rPr>
        <w:t>Vesting Dates</w:t>
      </w:r>
      <w:r>
        <w:rPr>
          <w:rFonts w:ascii="Arial" w:cs="Arial" w:eastAsia="Arial" w:hAnsi="Arial"/>
          <w:sz w:val="20"/>
          <w:szCs w:val="20"/>
          <w:color w:val="auto"/>
        </w:rPr>
        <w:t xml:space="preserve">. Except as otherwise provided herein, your RSUs generally vest only if you are continuously employed from the Grant Date to each Vesting Date, subject to the exceptions discussed below. The period from the Grant Date (inclusive) to the last Vesting Date is the </w:t>
      </w:r>
      <w:r>
        <w:rPr>
          <w:rFonts w:ascii="Arial" w:cs="Arial" w:eastAsia="Arial" w:hAnsi="Arial"/>
          <w:sz w:val="20"/>
          <w:szCs w:val="20"/>
          <w:b w:val="1"/>
          <w:bCs w:val="1"/>
          <w:i w:val="1"/>
          <w:iCs w:val="1"/>
          <w:color w:val="auto"/>
        </w:rPr>
        <w:t>Restriction Period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4"/>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6"/>
          </w:cols>
          <w:pgMar w:left="454" w:top="323" w:right="339" w:bottom="1440" w:gutter="0" w:footer="0" w:header="0"/>
        </w:sectPr>
      </w:pPr>
    </w:p>
    <w:bookmarkStart w:id="5" w:name="page6"/>
    <w:bookmarkEnd w:id="5"/>
    <w:p>
      <w:pPr>
        <w:ind w:left="326" w:hanging="326"/>
        <w:spacing w:after="0" w:line="241" w:lineRule="auto"/>
        <w:tabs>
          <w:tab w:leader="none" w:pos="326" w:val="left"/>
        </w:tabs>
        <w:numPr>
          <w:ilvl w:val="0"/>
          <w:numId w:val="4"/>
        </w:numPr>
        <w:rPr>
          <w:rFonts w:ascii="Arial" w:cs="Arial" w:eastAsia="Arial" w:hAnsi="Arial"/>
          <w:sz w:val="20"/>
          <w:szCs w:val="20"/>
          <w:i w:val="1"/>
          <w:iCs w:val="1"/>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127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7127875"/>
                    </a:xfrm>
                    <a:prstGeom prst="rect">
                      <a:avLst/>
                    </a:prstGeom>
                    <a:noFill/>
                  </pic:spPr>
                </pic:pic>
              </a:graphicData>
            </a:graphic>
          </wp:anchor>
        </w:drawing>
        <w:t>Timing and Form of Payment of RSU Award</w:t>
      </w:r>
      <w:r>
        <w:rPr>
          <w:rFonts w:ascii="Arial" w:cs="Arial" w:eastAsia="Arial" w:hAnsi="Arial"/>
          <w:sz w:val="20"/>
          <w:szCs w:val="20"/>
          <w:color w:val="auto"/>
        </w:rPr>
        <w:t>. Upon vesting, each RSU is converted to one share of Common Stock, free of any restrictions. WM will deliver the shares of Common Stock to you and make payment of the corresponding Dividend Equivalents as soon as administratively feasible (and no later than 74 days) following the Vesting Dates.</w:t>
      </w:r>
    </w:p>
    <w:p>
      <w:pPr>
        <w:spacing w:after="0" w:line="348" w:lineRule="exact"/>
        <w:rPr>
          <w:sz w:val="20"/>
          <w:szCs w:val="20"/>
          <w:color w:val="auto"/>
        </w:rPr>
      </w:pPr>
    </w:p>
    <w:p>
      <w:pPr>
        <w:jc w:val="center"/>
        <w:ind w:right="-45"/>
        <w:spacing w:after="0"/>
        <w:rPr>
          <w:sz w:val="20"/>
          <w:szCs w:val="20"/>
          <w:color w:val="auto"/>
        </w:rPr>
      </w:pPr>
      <w:r>
        <w:rPr>
          <w:rFonts w:ascii="Arial" w:cs="Arial" w:eastAsia="Arial" w:hAnsi="Arial"/>
          <w:sz w:val="29"/>
          <w:szCs w:val="29"/>
          <w:b w:val="1"/>
          <w:bCs w:val="1"/>
          <w:color w:val="00693C"/>
        </w:rPr>
        <w:t>Important Award Details</w:t>
      </w:r>
    </w:p>
    <w:p>
      <w:pPr>
        <w:spacing w:after="0" w:line="219" w:lineRule="exact"/>
        <w:rPr>
          <w:sz w:val="20"/>
          <w:szCs w:val="20"/>
          <w:color w:val="auto"/>
        </w:rPr>
      </w:pPr>
    </w:p>
    <w:p>
      <w:pPr>
        <w:ind w:left="6" w:right="80"/>
        <w:spacing w:after="0" w:line="257" w:lineRule="auto"/>
        <w:rPr>
          <w:sz w:val="20"/>
          <w:szCs w:val="20"/>
          <w:color w:val="auto"/>
        </w:rPr>
      </w:pPr>
      <w:r>
        <w:rPr>
          <w:rFonts w:ascii="Arial" w:cs="Arial" w:eastAsia="Arial" w:hAnsi="Arial"/>
          <w:sz w:val="20"/>
          <w:szCs w:val="20"/>
          <w:color w:val="auto"/>
        </w:rPr>
        <w:t>Your Awards under this Agreement are subject to important terms and conditions set forth below. Please read them carefully and seek advice from your own legal and tax advisors before executing this Agreement.</w:t>
      </w:r>
    </w:p>
    <w:p>
      <w:pPr>
        <w:spacing w:after="0" w:line="142" w:lineRule="exact"/>
        <w:rPr>
          <w:sz w:val="20"/>
          <w:szCs w:val="20"/>
          <w:color w:val="auto"/>
        </w:rPr>
      </w:pPr>
    </w:p>
    <w:p>
      <w:pPr>
        <w:ind w:left="326" w:right="200" w:hanging="326"/>
        <w:spacing w:after="0" w:line="233" w:lineRule="auto"/>
        <w:tabs>
          <w:tab w:leader="none" w:pos="326"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specifically Section 409A (a)(2)(C)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Employee (or in the case of Employee’s death, Employee’s beneficiary) shall be entitled to immediate vesting in full of all RSUs under this Agreement (and related unpaid Dividend Equivalents attributable to the time period from the Grant Date to the time of such immediate vesting), which shall be issued and paid within 74 days following the date of such death or Disability, as applicable.</w:t>
      </w:r>
    </w:p>
    <w:p>
      <w:pPr>
        <w:spacing w:after="0" w:line="158" w:lineRule="exact"/>
        <w:rPr>
          <w:rFonts w:ascii="Arial" w:cs="Arial" w:eastAsia="Arial" w:hAnsi="Arial"/>
          <w:sz w:val="20"/>
          <w:szCs w:val="20"/>
          <w:color w:val="auto"/>
        </w:rPr>
      </w:pPr>
    </w:p>
    <w:p>
      <w:pPr>
        <w:ind w:left="326" w:hanging="326"/>
        <w:spacing w:after="0"/>
        <w:tabs>
          <w:tab w:leader="none" w:pos="326"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Involuntary Termination of Employment Without Cause by WM</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646" w:right="160" w:hanging="322"/>
        <w:spacing w:after="0" w:line="232" w:lineRule="auto"/>
        <w:tabs>
          <w:tab w:leader="none" w:pos="646"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Involuntary Termination without Cause</w:t>
      </w:r>
      <w:r>
        <w:rPr>
          <w:rFonts w:ascii="Arial" w:cs="Arial" w:eastAsia="Arial" w:hAnsi="Arial"/>
          <w:sz w:val="20"/>
          <w:szCs w:val="20"/>
          <w:color w:val="auto"/>
        </w:rPr>
        <w:t>. Upon Employee’s involuntary Termination of Employment by WM without Cause, Employee shall be entitled to the amount of unvested RSUs and any related Dividend Equivalents on such RSUs through the Vesting Dates that Employee would have been entitled to under this Agreement if Employee had remained employed until the Vesting Dates multiplied by the fraction which has as its numerator the total number of days that Employee was employed by WM during the period beginning on the Grant Date and ending on the date of Termination of Employment and has as its denominator 1095, which shall be issued and paid no later than 74 days following the normal Vesting Dates.</w:t>
      </w:r>
    </w:p>
    <w:p>
      <w:pPr>
        <w:spacing w:after="0" w:line="158" w:lineRule="exact"/>
        <w:rPr>
          <w:rFonts w:ascii="Arial" w:cs="Arial" w:eastAsia="Arial" w:hAnsi="Arial"/>
          <w:sz w:val="20"/>
          <w:szCs w:val="20"/>
          <w:color w:val="auto"/>
        </w:rPr>
      </w:pPr>
    </w:p>
    <w:p>
      <w:pPr>
        <w:ind w:left="646" w:right="20" w:hanging="322"/>
        <w:spacing w:after="0" w:line="231" w:lineRule="auto"/>
        <w:tabs>
          <w:tab w:leader="none" w:pos="646"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Employee’s Retirement, Employee shall be entitled to the amount of RSUs and any related Dividend Equivalents on such RSUs through the Vesting Dates that Employee would have been entitled to under this Agreement if Employee had remained employed until the first Vesting Date multiplied by the fraction which has as its numerator the total number of days that Employee was employed by WM during the calendar year in which the Grant Date occurred and has as its denominator 365, which shall be issued and paid no later than 74 days following the normal Vesting Dates. To illustrate the preceding sentence, if Employee retires on or after the first day of the calendar year following the calendar year in which the Grant Date occurs, he or she shall be entitled to receive a full payout at such time.</w:t>
      </w:r>
    </w:p>
    <w:p>
      <w:pPr>
        <w:spacing w:after="0" w:line="159" w:lineRule="exact"/>
        <w:rPr>
          <w:rFonts w:ascii="Arial" w:cs="Arial" w:eastAsia="Arial" w:hAnsi="Arial"/>
          <w:sz w:val="20"/>
          <w:szCs w:val="20"/>
          <w:color w:val="auto"/>
        </w:rPr>
      </w:pPr>
    </w:p>
    <w:p>
      <w:pPr>
        <w:ind w:left="646" w:hanging="322"/>
        <w:spacing w:after="0"/>
        <w:tabs>
          <w:tab w:leader="none" w:pos="646" w:val="left"/>
        </w:tabs>
        <w:numPr>
          <w:ilvl w:val="1"/>
          <w:numId w:val="5"/>
        </w:numPr>
        <w:rPr>
          <w:rFonts w:ascii="Arial" w:cs="Arial" w:eastAsia="Arial" w:hAnsi="Arial"/>
          <w:sz w:val="20"/>
          <w:szCs w:val="20"/>
          <w:color w:val="auto"/>
        </w:rPr>
      </w:pPr>
      <w:r>
        <w:rPr>
          <w:rFonts w:ascii="Arial" w:cs="Arial" w:eastAsia="Arial" w:hAnsi="Arial"/>
          <w:sz w:val="20"/>
          <w:szCs w:val="20"/>
          <w:color w:val="auto"/>
        </w:rPr>
        <w:t>In the event Employee is employed by a subsidiary of the Company that is sold by the Company in a transaction</w:t>
      </w:r>
    </w:p>
    <w:p>
      <w:pPr>
        <w:spacing w:after="0" w:line="4" w:lineRule="exact"/>
        <w:rPr>
          <w:rFonts w:ascii="Arial" w:cs="Arial" w:eastAsia="Arial" w:hAnsi="Arial"/>
          <w:sz w:val="20"/>
          <w:szCs w:val="20"/>
          <w:color w:val="auto"/>
        </w:rPr>
      </w:pPr>
    </w:p>
    <w:p>
      <w:pPr>
        <w:jc w:val="both"/>
        <w:ind w:left="646" w:firstLine="2"/>
        <w:spacing w:after="0" w:line="232" w:lineRule="auto"/>
        <w:tabs>
          <w:tab w:leader="none" w:pos="877" w:val="left"/>
        </w:tabs>
        <w:numPr>
          <w:ilvl w:val="2"/>
          <w:numId w:val="5"/>
        </w:numPr>
        <w:rPr>
          <w:rFonts w:ascii="Arial" w:cs="Arial" w:eastAsia="Arial" w:hAnsi="Arial"/>
          <w:sz w:val="20"/>
          <w:szCs w:val="20"/>
          <w:color w:val="auto"/>
        </w:rPr>
      </w:pPr>
      <w:r>
        <w:rPr>
          <w:rFonts w:ascii="Arial" w:cs="Arial" w:eastAsia="Arial" w:hAnsi="Arial"/>
          <w:sz w:val="20"/>
          <w:szCs w:val="20"/>
          <w:color w:val="auto"/>
        </w:rPr>
        <w:t>that would not constitute a Corporate Change of the Company, but (ii) that would constitute a Corporate Change of the subsidiary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159" w:lineRule="exact"/>
        <w:rPr>
          <w:rFonts w:ascii="Arial" w:cs="Arial" w:eastAsia="Arial" w:hAnsi="Arial"/>
          <w:sz w:val="20"/>
          <w:szCs w:val="20"/>
          <w:color w:val="auto"/>
        </w:rPr>
      </w:pPr>
    </w:p>
    <w:p>
      <w:pPr>
        <w:ind w:left="646" w:hanging="322"/>
        <w:spacing w:after="0"/>
        <w:tabs>
          <w:tab w:leader="none" w:pos="646" w:val="left"/>
        </w:tabs>
        <w:numPr>
          <w:ilvl w:val="1"/>
          <w:numId w:val="5"/>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188" w:lineRule="exact"/>
        <w:rPr>
          <w:rFonts w:ascii="Arial" w:cs="Arial" w:eastAsia="Arial" w:hAnsi="Arial"/>
          <w:sz w:val="20"/>
          <w:szCs w:val="20"/>
          <w:color w:val="auto"/>
        </w:rPr>
      </w:pPr>
    </w:p>
    <w:p>
      <w:pPr>
        <w:ind w:left="1286" w:right="20" w:hanging="314"/>
        <w:spacing w:after="0" w:line="234" w:lineRule="auto"/>
        <w:tabs>
          <w:tab w:leader="none" w:pos="1286" w:val="left"/>
        </w:tabs>
        <w:numPr>
          <w:ilvl w:val="3"/>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means Termination of Employment due to the voluntary resignation of employment by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after Employee (1) has reached age 55 or greater; (2) has a sum of age plus years of Service (as defined in paragraph ii. below) with WM equal to 65 or greater; and (3) has completed at least 5 consecutive full years of Service with WM during the 5-year period immediately preceding the resignation;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Employee is not receiving severance benefits pursuant to the severance pay plans of WM.</w:t>
      </w:r>
    </w:p>
    <w:p>
      <w:pPr>
        <w:spacing w:after="0" w:line="200" w:lineRule="exact"/>
        <w:rPr>
          <w:sz w:val="20"/>
          <w:szCs w:val="20"/>
          <w:color w:val="auto"/>
        </w:rPr>
      </w:pPr>
    </w:p>
    <w:p>
      <w:pPr>
        <w:spacing w:after="0" w:line="315"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6"/>
          </w:cols>
          <w:pgMar w:left="454" w:top="1009" w:right="519" w:bottom="1440" w:gutter="0" w:footer="0" w:header="0"/>
        </w:sectPr>
      </w:pPr>
    </w:p>
    <w:bookmarkStart w:id="6" w:name="page7"/>
    <w:bookmarkEnd w:id="6"/>
    <w:p>
      <w:pPr>
        <w:ind w:left="1286" w:right="20" w:hanging="314"/>
        <w:spacing w:after="0" w:line="232" w:lineRule="auto"/>
        <w:tabs>
          <w:tab w:leader="none" w:pos="1286" w:val="left"/>
        </w:tabs>
        <w:numPr>
          <w:ilvl w:val="2"/>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487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487920"/>
                    </a:xfrm>
                    <a:prstGeom prst="rect">
                      <a:avLst/>
                    </a:prstGeom>
                    <a:noFill/>
                  </pic:spPr>
                </pic:pic>
              </a:graphicData>
            </a:graphic>
          </wp:anchor>
        </w:drawing>
        <w:t xml:space="preserve">Service </w:t>
      </w:r>
      <w:r>
        <w:rPr>
          <w:rFonts w:ascii="Arial" w:cs="Arial" w:eastAsia="Arial" w:hAnsi="Arial"/>
          <w:sz w:val="20"/>
          <w:szCs w:val="20"/>
          <w:color w:val="auto"/>
        </w:rPr>
        <w:t>is measured from Employee’s original date of hire by WM, except as provided below. In the case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58" w:lineRule="exact"/>
        <w:rPr>
          <w:rFonts w:ascii="Arial" w:cs="Arial" w:eastAsia="Arial" w:hAnsi="Arial"/>
          <w:sz w:val="20"/>
          <w:szCs w:val="20"/>
          <w:color w:val="auto"/>
        </w:rPr>
      </w:pPr>
    </w:p>
    <w:p>
      <w:pPr>
        <w:ind w:left="1286" w:hanging="314"/>
        <w:spacing w:after="0" w:line="233" w:lineRule="auto"/>
        <w:tabs>
          <w:tab w:leader="none" w:pos="1286" w:val="left"/>
        </w:tabs>
        <w:numPr>
          <w:ilvl w:val="2"/>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w:t>
      </w:r>
      <w:r>
        <w:rPr>
          <w:rFonts w:ascii="Arial" w:cs="Arial" w:eastAsia="Arial" w:hAnsi="Arial"/>
          <w:sz w:val="20"/>
          <w:szCs w:val="20"/>
          <w:color w:val="auto"/>
        </w:rPr>
        <w:t>means the termination of Employee’s employment or other service relationship</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58" w:lineRule="exact"/>
        <w:rPr>
          <w:rFonts w:ascii="Arial" w:cs="Arial" w:eastAsia="Arial" w:hAnsi="Arial"/>
          <w:sz w:val="20"/>
          <w:szCs w:val="20"/>
          <w:color w:val="auto"/>
        </w:rPr>
      </w:pPr>
    </w:p>
    <w:p>
      <w:pPr>
        <w:ind w:left="1286" w:right="120" w:hanging="314"/>
        <w:spacing w:after="0" w:line="230" w:lineRule="auto"/>
        <w:tabs>
          <w:tab w:leader="none" w:pos="1286" w:val="left"/>
        </w:tabs>
        <w:numPr>
          <w:ilvl w:val="2"/>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means any of the following: (1) willful or deliberate and continual refusal to materially perform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20"/>
          <w:szCs w:val="20"/>
          <w:i w:val="1"/>
          <w:iCs w:val="1"/>
          <w:color w:val="auto"/>
        </w:rPr>
        <w:t>nolo contendre</w:t>
      </w:r>
      <w:r>
        <w:rPr>
          <w:rFonts w:ascii="Arial" w:cs="Arial" w:eastAsia="Arial" w:hAnsi="Arial"/>
          <w:sz w:val="20"/>
          <w:szCs w:val="20"/>
          <w:color w:val="auto"/>
        </w:rPr>
        <w:t xml:space="preserve"> to, any felony; (4) Employee willfully or intentionally caused material injury to WM, its property, or its assets; (5)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p>
      <w:pPr>
        <w:spacing w:after="0" w:line="158" w:lineRule="exact"/>
        <w:rPr>
          <w:rFonts w:ascii="Arial" w:cs="Arial" w:eastAsia="Arial" w:hAnsi="Arial"/>
          <w:sz w:val="20"/>
          <w:szCs w:val="20"/>
          <w:color w:val="auto"/>
        </w:rPr>
      </w:pPr>
    </w:p>
    <w:p>
      <w:pPr>
        <w:ind w:left="646" w:hanging="322"/>
        <w:spacing w:after="0" w:line="234" w:lineRule="auto"/>
        <w:tabs>
          <w:tab w:leader="none" w:pos="646" w:val="left"/>
        </w:tabs>
        <w:numPr>
          <w:ilvl w:val="1"/>
          <w:numId w:val="7"/>
        </w:numPr>
        <w:rPr>
          <w:rFonts w:ascii="Arial" w:cs="Arial" w:eastAsia="Arial" w:hAnsi="Arial"/>
          <w:sz w:val="20"/>
          <w:szCs w:val="20"/>
          <w:color w:val="auto"/>
        </w:rPr>
      </w:pPr>
      <w:r>
        <w:rPr>
          <w:rFonts w:ascii="Arial" w:cs="Arial" w:eastAsia="Arial" w:hAnsi="Arial"/>
          <w:sz w:val="20"/>
          <w:szCs w:val="20"/>
          <w:color w:val="auto"/>
        </w:rPr>
        <w:t>In order to receive any of the benefits upon termination described above in paragraphs 1 and 2, Employee (or, if applicable, Employee’s estate) must first (x)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p>
      <w:pPr>
        <w:spacing w:after="0" w:line="161" w:lineRule="exact"/>
        <w:rPr>
          <w:rFonts w:ascii="Arial" w:cs="Arial" w:eastAsia="Arial" w:hAnsi="Arial"/>
          <w:sz w:val="20"/>
          <w:szCs w:val="20"/>
          <w:color w:val="auto"/>
        </w:rPr>
      </w:pPr>
    </w:p>
    <w:p>
      <w:pPr>
        <w:ind w:left="326" w:right="40" w:hanging="326"/>
        <w:spacing w:after="0" w:line="233" w:lineRule="auto"/>
        <w:tabs>
          <w:tab w:leader="none" w:pos="326"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for Other Reasons</w:t>
      </w:r>
      <w:r>
        <w:rPr>
          <w:rFonts w:ascii="Arial" w:cs="Arial" w:eastAsia="Arial" w:hAnsi="Arial"/>
          <w:sz w:val="20"/>
          <w:szCs w:val="20"/>
          <w:color w:val="auto"/>
        </w:rPr>
        <w:t>. Except as provided in paragraphs 1 through 2 above and 5 below, Employee must be an employee of WM continuously from the Grant Date through the close of business on last day of the Restriction Period to be entitled to receive payment of any RSU Awards. Upon Termination of Employment on or before the lapse of the Restriction Period, for any reason other than termination that would qualify Employee for payout under paragraphs 1 through 2 above and 5 below, Employee shall immediately forfeit all unvested RSUs and any related Dividend Equivalents, without the payment of any consideration by WM.</w:t>
      </w:r>
    </w:p>
    <w:p>
      <w:pPr>
        <w:spacing w:after="0" w:line="158" w:lineRule="exact"/>
        <w:rPr>
          <w:rFonts w:ascii="Arial" w:cs="Arial" w:eastAsia="Arial" w:hAnsi="Arial"/>
          <w:sz w:val="20"/>
          <w:szCs w:val="20"/>
          <w:color w:val="auto"/>
        </w:rPr>
      </w:pPr>
    </w:p>
    <w:p>
      <w:pPr>
        <w:ind w:left="326" w:hanging="326"/>
        <w:spacing w:after="0"/>
        <w:tabs>
          <w:tab w:leader="none" w:pos="326"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Recoupment Provisions</w:t>
      </w:r>
    </w:p>
    <w:p>
      <w:pPr>
        <w:spacing w:after="0" w:line="188" w:lineRule="exact"/>
        <w:rPr>
          <w:rFonts w:ascii="Arial" w:cs="Arial" w:eastAsia="Arial" w:hAnsi="Arial"/>
          <w:sz w:val="20"/>
          <w:szCs w:val="20"/>
          <w:color w:val="auto"/>
        </w:rPr>
      </w:pPr>
    </w:p>
    <w:p>
      <w:pPr>
        <w:ind w:left="646" w:hanging="322"/>
        <w:spacing w:after="0"/>
        <w:tabs>
          <w:tab w:leader="none" w:pos="646" w:val="left"/>
        </w:tabs>
        <w:numPr>
          <w:ilvl w:val="1"/>
          <w:numId w:val="8"/>
        </w:numPr>
        <w:rPr>
          <w:rFonts w:ascii="Arial" w:cs="Arial" w:eastAsia="Arial" w:hAnsi="Arial"/>
          <w:sz w:val="20"/>
          <w:szCs w:val="20"/>
          <w:color w:val="auto"/>
        </w:rPr>
      </w:pPr>
      <w:r>
        <w:rPr>
          <w:rFonts w:ascii="Arial" w:cs="Arial" w:eastAsia="Arial" w:hAnsi="Arial"/>
          <w:sz w:val="20"/>
          <w:szCs w:val="20"/>
          <w:u w:val="single" w:color="auto"/>
          <w:color w:val="auto"/>
        </w:rPr>
        <w:t>Clawback Policy</w:t>
      </w:r>
    </w:p>
    <w:p>
      <w:pPr>
        <w:spacing w:after="0" w:line="188" w:lineRule="exact"/>
        <w:rPr>
          <w:rFonts w:ascii="Arial" w:cs="Arial" w:eastAsia="Arial" w:hAnsi="Arial"/>
          <w:sz w:val="20"/>
          <w:szCs w:val="20"/>
          <w:color w:val="auto"/>
        </w:rPr>
      </w:pPr>
    </w:p>
    <w:p>
      <w:pPr>
        <w:ind w:left="1286" w:right="40" w:hanging="314"/>
        <w:spacing w:after="0" w:line="230" w:lineRule="auto"/>
        <w:tabs>
          <w:tab w:leader="none" w:pos="1286" w:val="left"/>
        </w:tabs>
        <w:numPr>
          <w:ilvl w:val="2"/>
          <w:numId w:val="8"/>
        </w:numPr>
        <w:rPr>
          <w:rFonts w:ascii="Arial" w:cs="Arial" w:eastAsia="Arial" w:hAnsi="Arial"/>
          <w:sz w:val="20"/>
          <w:szCs w:val="20"/>
          <w:color w:val="auto"/>
        </w:rPr>
      </w:pPr>
      <w:r>
        <w:rPr>
          <w:rFonts w:ascii="Arial" w:cs="Arial" w:eastAsia="Arial" w:hAnsi="Arial"/>
          <w:sz w:val="20"/>
          <w:szCs w:val="20"/>
          <w:color w:val="auto"/>
        </w:rPr>
        <w:t>Notwithstanding any provisions in the Plan or this Agreement to the contrary, any portion of the payments and benefits provided under this Agreement or the sale of any shares of Common Stock issued hereunder shall be subject to the Waste Management, Inc. Clawback Policy, adopted by the Committee of the Board on August 21, 2023, (as may be amended from time to time, the “</w:t>
      </w:r>
      <w:r>
        <w:rPr>
          <w:rFonts w:ascii="Arial" w:cs="Arial" w:eastAsia="Arial" w:hAnsi="Arial"/>
          <w:sz w:val="20"/>
          <w:szCs w:val="20"/>
          <w:b w:val="1"/>
          <w:bCs w:val="1"/>
          <w:i w:val="1"/>
          <w:iCs w:val="1"/>
          <w:color w:val="auto"/>
        </w:rPr>
        <w:t>Clawback Policy</w:t>
      </w:r>
      <w:r>
        <w:rPr>
          <w:rFonts w:ascii="Arial" w:cs="Arial" w:eastAsia="Arial" w:hAnsi="Arial"/>
          <w:sz w:val="20"/>
          <w:szCs w:val="20"/>
          <w:color w:val="auto"/>
        </w:rPr>
        <w:t>”) and any other clawback or recovery policy adopted by the Committee or the Board from time to time, including, without limitation, any such policy adopted in accordance with the requirements of the Dodd-Frank Wall Street Reform and Consumer Protection Act of 2010 or any rule or regulation of the SEC or New York Stock Exchange. Additionally, notwithstanding the terms of any of the organizational documents of WM, any corporate policy, or any contract between Employee and WM, Employee hereby</w:t>
      </w:r>
    </w:p>
    <w:p>
      <w:pPr>
        <w:spacing w:after="0" w:line="200" w:lineRule="exact"/>
        <w:rPr>
          <w:sz w:val="20"/>
          <w:szCs w:val="20"/>
          <w:color w:val="auto"/>
        </w:rPr>
      </w:pPr>
    </w:p>
    <w:p>
      <w:pPr>
        <w:spacing w:after="0" w:line="317"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8890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6"/>
          </w:cols>
          <w:pgMar w:left="454" w:top="1009" w:right="479" w:bottom="1440" w:gutter="0" w:footer="0" w:header="0"/>
        </w:sectPr>
      </w:pPr>
    </w:p>
    <w:bookmarkStart w:id="7" w:name="page8"/>
    <w:bookmarkEnd w:id="7"/>
    <w:p>
      <w:pPr>
        <w:ind w:left="1286"/>
        <w:spacing w:after="0" w:line="22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350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7350760"/>
                    </a:xfrm>
                    <a:prstGeom prst="rect">
                      <a:avLst/>
                    </a:prstGeom>
                    <a:noFill/>
                  </pic:spPr>
                </pic:pic>
              </a:graphicData>
            </a:graphic>
          </wp:anchor>
        </w:drawing>
        <w:t>acknowledges and agrees that Employee will not be entitled to (i) indemnification for any liability (including any amounts owed by Employee in a judgment or settlement in connection with any action taken by the Committee or the Board to enforce the Clawback Policy) (such action, a “</w:t>
      </w:r>
      <w:r>
        <w:rPr>
          <w:rFonts w:ascii="Arial" w:cs="Arial" w:eastAsia="Arial" w:hAnsi="Arial"/>
          <w:sz w:val="20"/>
          <w:szCs w:val="20"/>
          <w:b w:val="1"/>
          <w:bCs w:val="1"/>
          <w:i w:val="1"/>
          <w:iCs w:val="1"/>
          <w:color w:val="auto"/>
        </w:rPr>
        <w:t>Clawback Proceeding</w:t>
      </w:r>
      <w:r>
        <w:rPr>
          <w:rFonts w:ascii="Arial" w:cs="Arial" w:eastAsia="Arial" w:hAnsi="Arial"/>
          <w:sz w:val="20"/>
          <w:szCs w:val="20"/>
          <w:color w:val="auto"/>
        </w:rPr>
        <w:t>”) or loss (including judgments, fines, taxes, penalties or amounts paid in settlement by or on behalf of Employee incurred by Employee in connection with or as a result of any Clawback Proceeding) or (ii) indemnification or advancement of any expenses (including attorneys’ fees) from WM incurred by Employee in connection any Clawback Proceeding; provided, however, if Employee is successful on the merits in the defense of any claim asserted against Employee in a Clawback Proceeding, Employee shall be indemnified for the expenses (including attorneys' fees) Employee reasonably incurred to defend such claim. Employee knowingly, voluntarily and intentionally waives, and agrees not to asset any claims regarding, any and all rights to indemnification, advancement of expenses and other rights from WM to which Employee is now or may become entitled under any indemnity agreement or other contract between Employee and WM, the organizational documents of WM and the General Corporation Law of the State of Delaware, in each case to the extent such waiver and agreement is necessary to comply with applicable law or give effect to the preceding provisions of this paragraph.</w:t>
      </w:r>
    </w:p>
    <w:p>
      <w:pPr>
        <w:spacing w:after="0" w:line="165" w:lineRule="exact"/>
        <w:rPr>
          <w:sz w:val="20"/>
          <w:szCs w:val="20"/>
          <w:color w:val="auto"/>
        </w:rPr>
      </w:pPr>
    </w:p>
    <w:p>
      <w:pPr>
        <w:ind w:left="646" w:hanging="322"/>
        <w:spacing w:after="0"/>
        <w:tabs>
          <w:tab w:leader="none" w:pos="646" w:val="left"/>
        </w:tabs>
        <w:numPr>
          <w:ilvl w:val="1"/>
          <w:numId w:val="9"/>
        </w:numPr>
        <w:rPr>
          <w:rFonts w:ascii="Arial" w:cs="Arial" w:eastAsia="Arial" w:hAnsi="Arial"/>
          <w:sz w:val="20"/>
          <w:szCs w:val="20"/>
          <w:color w:val="auto"/>
        </w:rPr>
      </w:pPr>
      <w:r>
        <w:rPr>
          <w:rFonts w:ascii="Arial" w:cs="Arial" w:eastAsia="Arial" w:hAnsi="Arial"/>
          <w:sz w:val="20"/>
          <w:szCs w:val="20"/>
          <w:u w:val="single" w:color="auto"/>
          <w:color w:val="auto"/>
        </w:rPr>
        <w:t>Repayment of RSU Award in the Event of Misconduct</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286" w:hanging="314"/>
        <w:spacing w:after="0" w:line="231" w:lineRule="auto"/>
        <w:tabs>
          <w:tab w:leader="none" w:pos="1286" w:val="left"/>
        </w:tabs>
        <w:numPr>
          <w:ilvl w:val="2"/>
          <w:numId w:val="9"/>
        </w:numPr>
        <w:rPr>
          <w:rFonts w:ascii="Arial" w:cs="Arial" w:eastAsia="Arial" w:hAnsi="Arial"/>
          <w:sz w:val="20"/>
          <w:szCs w:val="20"/>
          <w:color w:val="auto"/>
        </w:rPr>
      </w:pPr>
      <w:r>
        <w:rPr>
          <w:rFonts w:ascii="Arial" w:cs="Arial" w:eastAsia="Arial" w:hAnsi="Arial"/>
          <w:sz w:val="20"/>
          <w:szCs w:val="20"/>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20"/>
          <w:szCs w:val="20"/>
          <w:b w:val="1"/>
          <w:bCs w:val="1"/>
          <w:i w:val="1"/>
          <w:iCs w:val="1"/>
          <w:color w:val="auto"/>
        </w:rPr>
        <w:t>Misconduct</w:t>
      </w:r>
      <w:r>
        <w:rPr>
          <w:rFonts w:ascii="Arial" w:cs="Arial" w:eastAsia="Arial" w:hAnsi="Arial"/>
          <w:sz w:val="20"/>
          <w:szCs w:val="20"/>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 materially increased the value of the payment or RSU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20"/>
          <w:szCs w:val="20"/>
          <w:b w:val="1"/>
          <w:bCs w:val="1"/>
          <w:i w:val="1"/>
          <w:iCs w:val="1"/>
          <w:color w:val="auto"/>
        </w:rPr>
        <w:t>Independent Third Party</w:t>
      </w:r>
      <w:r>
        <w:rPr>
          <w:rFonts w:ascii="Arial" w:cs="Arial" w:eastAsia="Arial" w:hAnsi="Arial"/>
          <w:sz w:val="20"/>
          <w:szCs w:val="20"/>
          <w:color w:val="auto"/>
        </w:rPr>
        <w:t>) appointed by the Committee.</w:t>
      </w:r>
    </w:p>
    <w:p>
      <w:pPr>
        <w:spacing w:after="0" w:line="148" w:lineRule="exact"/>
        <w:rPr>
          <w:rFonts w:ascii="Arial" w:cs="Arial" w:eastAsia="Arial" w:hAnsi="Arial"/>
          <w:sz w:val="20"/>
          <w:szCs w:val="20"/>
          <w:color w:val="auto"/>
        </w:rPr>
      </w:pPr>
    </w:p>
    <w:p>
      <w:pPr>
        <w:ind w:left="1286" w:right="40" w:hanging="314"/>
        <w:spacing w:after="0" w:line="237" w:lineRule="auto"/>
        <w:tabs>
          <w:tab w:leader="none" w:pos="1286" w:val="left"/>
        </w:tabs>
        <w:numPr>
          <w:ilvl w:val="2"/>
          <w:numId w:val="9"/>
        </w:numPr>
        <w:rPr>
          <w:rFonts w:ascii="Arial" w:cs="Arial" w:eastAsia="Arial" w:hAnsi="Arial"/>
          <w:sz w:val="20"/>
          <w:szCs w:val="20"/>
          <w:color w:val="auto"/>
        </w:rPr>
      </w:pPr>
      <w:r>
        <w:rPr>
          <w:rFonts w:ascii="Arial" w:cs="Arial" w:eastAsia="Arial" w:hAnsi="Arial"/>
          <w:sz w:val="20"/>
          <w:szCs w:val="20"/>
          <w:color w:val="auto"/>
        </w:rPr>
        <w:t>Following a determination of Misconduct by Employee, Employee may dispute such determination pursuant to binding arbitration as set forth under “General Terms” provided, however, that if Employee is determined to have benefited from, but not engaged in, Misconduct, Employee will have no right to dispute such determination and such determination shall be conclusive and binding.</w:t>
      </w:r>
    </w:p>
    <w:p>
      <w:pPr>
        <w:spacing w:after="0" w:line="158" w:lineRule="exact"/>
        <w:rPr>
          <w:rFonts w:ascii="Arial" w:cs="Arial" w:eastAsia="Arial" w:hAnsi="Arial"/>
          <w:sz w:val="20"/>
          <w:szCs w:val="20"/>
          <w:color w:val="auto"/>
        </w:rPr>
      </w:pPr>
    </w:p>
    <w:p>
      <w:pPr>
        <w:ind w:left="1286" w:right="20" w:hanging="314"/>
        <w:spacing w:after="0" w:line="257" w:lineRule="auto"/>
        <w:tabs>
          <w:tab w:leader="none" w:pos="1286" w:val="left"/>
        </w:tabs>
        <w:numPr>
          <w:ilvl w:val="2"/>
          <w:numId w:val="9"/>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4 by the earliest of (i) one year after discovery of alleged Misconduct, or (ii) the second anniversary of Employee’s Termination of Employment.</w:t>
      </w:r>
    </w:p>
    <w:p>
      <w:pPr>
        <w:spacing w:after="0" w:line="141" w:lineRule="exact"/>
        <w:rPr>
          <w:rFonts w:ascii="Arial" w:cs="Arial" w:eastAsia="Arial" w:hAnsi="Arial"/>
          <w:sz w:val="20"/>
          <w:szCs w:val="20"/>
          <w:color w:val="auto"/>
        </w:rPr>
      </w:pPr>
    </w:p>
    <w:p>
      <w:pPr>
        <w:ind w:left="1286" w:right="220" w:hanging="314"/>
        <w:spacing w:after="0" w:line="257" w:lineRule="auto"/>
        <w:tabs>
          <w:tab w:leader="none" w:pos="1286" w:val="left"/>
        </w:tabs>
        <w:numPr>
          <w:ilvl w:val="2"/>
          <w:numId w:val="9"/>
        </w:numPr>
        <w:rPr>
          <w:rFonts w:ascii="Arial" w:cs="Arial" w:eastAsia="Arial" w:hAnsi="Arial"/>
          <w:sz w:val="20"/>
          <w:szCs w:val="20"/>
          <w:color w:val="auto"/>
        </w:rPr>
      </w:pPr>
      <w:r>
        <w:rPr>
          <w:rFonts w:ascii="Arial" w:cs="Arial" w:eastAsia="Arial" w:hAnsi="Arial"/>
          <w:sz w:val="20"/>
          <w:szCs w:val="20"/>
          <w:color w:val="auto"/>
        </w:rPr>
        <w:t>The provisions of this paragraph 4, without any implication as to any other provision of this Agreement, shall survive the expiration or termination of this Agreement and Employee’s employment.</w:t>
      </w:r>
    </w:p>
    <w:p>
      <w:pPr>
        <w:spacing w:after="0" w:line="141" w:lineRule="exact"/>
        <w:rPr>
          <w:rFonts w:ascii="Arial" w:cs="Arial" w:eastAsia="Arial" w:hAnsi="Arial"/>
          <w:sz w:val="20"/>
          <w:szCs w:val="20"/>
          <w:color w:val="auto"/>
        </w:rPr>
      </w:pPr>
    </w:p>
    <w:p>
      <w:pPr>
        <w:ind w:left="326" w:hanging="326"/>
        <w:spacing w:after="0"/>
        <w:tabs>
          <w:tab w:leader="none" w:pos="326"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Acceleration upon Corporate Change</w:t>
      </w:r>
      <w:r>
        <w:rPr>
          <w:rFonts w:ascii="Arial" w:cs="Arial" w:eastAsia="Arial" w:hAnsi="Arial"/>
          <w:sz w:val="20"/>
          <w:szCs w:val="20"/>
          <w:color w:val="auto"/>
        </w:rPr>
        <w:t>. Overriding any other inconsistent terms of this Agreement:</w:t>
      </w:r>
    </w:p>
    <w:p>
      <w:pPr>
        <w:spacing w:after="0" w:line="188" w:lineRule="exact"/>
        <w:rPr>
          <w:rFonts w:ascii="Arial" w:cs="Arial" w:eastAsia="Arial" w:hAnsi="Arial"/>
          <w:sz w:val="20"/>
          <w:szCs w:val="20"/>
          <w:color w:val="auto"/>
        </w:rPr>
      </w:pPr>
    </w:p>
    <w:p>
      <w:pPr>
        <w:ind w:left="646" w:right="100" w:hanging="322"/>
        <w:spacing w:after="0" w:line="230" w:lineRule="auto"/>
        <w:tabs>
          <w:tab w:leader="none" w:pos="646" w:val="left"/>
        </w:tabs>
        <w:numPr>
          <w:ilvl w:val="1"/>
          <w:numId w:val="10"/>
        </w:numPr>
        <w:rPr>
          <w:rFonts w:ascii="Arial" w:cs="Arial" w:eastAsia="Arial" w:hAnsi="Arial"/>
          <w:sz w:val="20"/>
          <w:szCs w:val="20"/>
          <w:color w:val="auto"/>
        </w:rPr>
      </w:pPr>
      <w:r>
        <w:rPr>
          <w:rFonts w:ascii="Arial" w:cs="Arial" w:eastAsia="Arial" w:hAnsi="Arial"/>
          <w:sz w:val="20"/>
          <w:szCs w:val="20"/>
          <w:color w:val="auto"/>
        </w:rPr>
        <w:t>If there is a Corporate Change prior to the close of the Restriction Period, all outstanding but unvested RSUs will be immediately vested in full and, along with all associated Dividend Equivalents up to the original Vesting Dates, will be due and payable within 74 days following such original Vesting Dates, unless the successor entity assumes all RSU Awards granted under the Plan and converts the awards to equivalent grants in the successor effective as of the Corporate Change. If the successor entity so assumes and converts all RSU Awards granted under the Plan, upon Employee’s involuntary Termination of Employment without Cause during the Window Period or upon Employee’s Retirement, death or Disability, then all outstanding but unvested RSUs (or the equivalent grant in the successor entity) and the associated Dividend Equivalents through such date will become immediately vested in full as of such event and paid (i) in the case of death or Disability, within 74 days of such</w:t>
      </w:r>
    </w:p>
    <w:p>
      <w:pPr>
        <w:spacing w:after="0" w:line="200" w:lineRule="exact"/>
        <w:rPr>
          <w:sz w:val="20"/>
          <w:szCs w:val="20"/>
          <w:color w:val="auto"/>
        </w:rPr>
      </w:pPr>
    </w:p>
    <w:p>
      <w:pPr>
        <w:spacing w:after="0" w:line="317"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8890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6"/>
          </w:cols>
          <w:pgMar w:left="454" w:top="1009" w:right="499" w:bottom="1440" w:gutter="0" w:footer="0" w:header="0"/>
        </w:sectPr>
      </w:pPr>
    </w:p>
    <w:bookmarkStart w:id="8" w:name="page9"/>
    <w:bookmarkEnd w:id="8"/>
    <w:p>
      <w:pPr>
        <w:ind w:left="646"/>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2327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2327275"/>
                    </a:xfrm>
                    <a:prstGeom prst="rect">
                      <a:avLst/>
                    </a:prstGeom>
                    <a:noFill/>
                  </pic:spPr>
                </pic:pic>
              </a:graphicData>
            </a:graphic>
          </wp:anchor>
        </w:drawing>
        <w:t>time or (ii) in the case of Retirement or involuntary Termination of Employment without Cause, within 74 days following the original Vesting Dates.</w:t>
      </w:r>
    </w:p>
    <w:p>
      <w:pPr>
        <w:spacing w:after="0" w:line="155" w:lineRule="exact"/>
        <w:rPr>
          <w:sz w:val="20"/>
          <w:szCs w:val="20"/>
          <w:color w:val="auto"/>
        </w:rPr>
      </w:pPr>
    </w:p>
    <w:p>
      <w:pPr>
        <w:ind w:left="646" w:right="360" w:hanging="322"/>
        <w:spacing w:after="0" w:line="241" w:lineRule="auto"/>
        <w:tabs>
          <w:tab w:leader="none" w:pos="646" w:val="left"/>
        </w:tabs>
        <w:numPr>
          <w:ilvl w:val="1"/>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 the date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which a Corporate Change first occurs and ending on the second anniversary of the date on which a Corporate Change occurs.</w:t>
      </w:r>
    </w:p>
    <w:p>
      <w:pPr>
        <w:spacing w:after="0" w:line="157" w:lineRule="exact"/>
        <w:rPr>
          <w:rFonts w:ascii="Arial" w:cs="Arial" w:eastAsia="Arial" w:hAnsi="Arial"/>
          <w:sz w:val="20"/>
          <w:szCs w:val="20"/>
          <w:color w:val="auto"/>
        </w:rPr>
      </w:pPr>
    </w:p>
    <w:p>
      <w:pPr>
        <w:ind w:left="326" w:right="60" w:hanging="326"/>
        <w:spacing w:after="0" w:line="232" w:lineRule="auto"/>
        <w:tabs>
          <w:tab w:leader="none" w:pos="326"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Company will pay Dividend Equivalents with respect to RSUs as soon as administratively feasible (and no later than 74 days) following the original Vesting Dates. The Company will make such payment in a lump sum cash amount for RSU Award Dividend Equivalents based on the number of RSUs vested multiplied by the per share quarterly dividend payments made to stockholders of the Company’s Common Stock during the Restriction Period (without any interest or compounding). Any accumulated and unpaid Dividend Equivalents attributable to RSUs that do not vest or that are cancelled or forfeited will not be paid and are immediately forfeited upon cancellation or forfeiture of the RSUs.</w:t>
      </w:r>
    </w:p>
    <w:p>
      <w:pPr>
        <w:spacing w:after="0" w:line="200" w:lineRule="exact"/>
        <w:rPr>
          <w:sz w:val="20"/>
          <w:szCs w:val="20"/>
          <w:color w:val="auto"/>
        </w:rPr>
      </w:pPr>
    </w:p>
    <w:p>
      <w:pPr>
        <w:spacing w:after="0" w:line="31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8890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6"/>
          </w:cols>
          <w:pgMar w:left="454" w:top="1009" w:right="479" w:bottom="1440" w:gutter="0" w:footer="0" w:header="0"/>
        </w:sectPr>
      </w:pPr>
    </w:p>
    <w:bookmarkStart w:id="9" w:name="page10"/>
    <w:bookmarkEnd w:id="9"/>
    <w:p>
      <w:pPr>
        <w:jc w:val="center"/>
        <w:ind w:right="-5"/>
        <w:spacing w:after="0"/>
        <w:rPr>
          <w:sz w:val="20"/>
          <w:szCs w:val="20"/>
          <w:color w:val="auto"/>
        </w:rPr>
      </w:pPr>
      <w:r>
        <w:rPr>
          <w:rFonts w:ascii="Arial" w:cs="Arial" w:eastAsia="Arial" w:hAnsi="Arial"/>
          <w:sz w:val="29"/>
          <w:szCs w:val="29"/>
          <w:b w:val="1"/>
          <w:bCs w:val="1"/>
          <w:color w:val="00693C"/>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604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6604635"/>
                    </a:xfrm>
                    <a:prstGeom prst="rect">
                      <a:avLst/>
                    </a:prstGeom>
                    <a:noFill/>
                  </pic:spPr>
                </pic:pic>
              </a:graphicData>
            </a:graphic>
          </wp:anchor>
        </w:drawing>
        <w:t>General Terms</w:t>
      </w:r>
    </w:p>
    <w:p>
      <w:pPr>
        <w:spacing w:after="0" w:line="219" w:lineRule="exact"/>
        <w:rPr>
          <w:sz w:val="20"/>
          <w:szCs w:val="20"/>
          <w:color w:val="auto"/>
        </w:rPr>
      </w:pPr>
    </w:p>
    <w:p>
      <w:pPr>
        <w:ind w:left="326" w:hanging="326"/>
        <w:spacing w:after="0"/>
        <w:tabs>
          <w:tab w:leader="none" w:pos="326"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646" w:right="120" w:hanging="322"/>
        <w:spacing w:after="0" w:line="237" w:lineRule="auto"/>
        <w:tabs>
          <w:tab w:leader="none" w:pos="646" w:val="left"/>
        </w:tabs>
        <w:numPr>
          <w:ilvl w:val="1"/>
          <w:numId w:val="13"/>
        </w:numPr>
        <w:rPr>
          <w:rFonts w:ascii="Arial" w:cs="Arial" w:eastAsia="Arial" w:hAnsi="Arial"/>
          <w:sz w:val="20"/>
          <w:szCs w:val="20"/>
          <w:color w:val="auto"/>
        </w:rPr>
      </w:pPr>
      <w:r>
        <w:rPr>
          <w:rFonts w:ascii="Arial" w:cs="Arial" w:eastAsia="Arial" w:hAnsi="Arial"/>
          <w:sz w:val="20"/>
          <w:szCs w:val="20"/>
          <w:color w:val="auto"/>
        </w:rPr>
        <w:t>Absent prior written consent of the Committee, RSU Awards may not be sold, assigned, transferred, pledged, or otherwise encumbered, whether voluntarily or involuntarily, by operation of law or otherwise, other than pursuant to a domestic relations order; provided, however, that the transfer of any shares of Common Stock issued under the RSU Awards shall not be restricted by virtue of this Agreement once such shares have been paid out.</w:t>
      </w:r>
    </w:p>
    <w:p>
      <w:pPr>
        <w:spacing w:after="0" w:line="158" w:lineRule="exact"/>
        <w:rPr>
          <w:rFonts w:ascii="Arial" w:cs="Arial" w:eastAsia="Arial" w:hAnsi="Arial"/>
          <w:sz w:val="20"/>
          <w:szCs w:val="20"/>
          <w:color w:val="auto"/>
        </w:rPr>
      </w:pPr>
    </w:p>
    <w:p>
      <w:pPr>
        <w:ind w:left="646" w:hanging="322"/>
        <w:spacing w:after="0" w:line="230" w:lineRule="auto"/>
        <w:tabs>
          <w:tab w:leader="none" w:pos="646" w:val="left"/>
        </w:tabs>
        <w:numPr>
          <w:ilvl w:val="1"/>
          <w:numId w:val="13"/>
        </w:numPr>
        <w:rPr>
          <w:rFonts w:ascii="Arial" w:cs="Arial" w:eastAsia="Arial" w:hAnsi="Arial"/>
          <w:sz w:val="20"/>
          <w:szCs w:val="20"/>
          <w:color w:val="auto"/>
        </w:rPr>
      </w:pPr>
      <w:r>
        <w:rPr>
          <w:rFonts w:ascii="Arial" w:cs="Arial" w:eastAsia="Arial" w:hAnsi="Arial"/>
          <w:sz w:val="20"/>
          <w:szCs w:val="20"/>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162" w:lineRule="exact"/>
        <w:rPr>
          <w:rFonts w:ascii="Arial" w:cs="Arial" w:eastAsia="Arial" w:hAnsi="Arial"/>
          <w:sz w:val="20"/>
          <w:szCs w:val="20"/>
          <w:color w:val="auto"/>
        </w:rPr>
      </w:pPr>
    </w:p>
    <w:p>
      <w:pPr>
        <w:ind w:left="326" w:hanging="326"/>
        <w:spacing w:after="0"/>
        <w:tabs>
          <w:tab w:leader="none" w:pos="326"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188" w:lineRule="exact"/>
        <w:rPr>
          <w:rFonts w:ascii="Arial" w:cs="Arial" w:eastAsia="Arial" w:hAnsi="Arial"/>
          <w:sz w:val="20"/>
          <w:szCs w:val="20"/>
          <w:color w:val="auto"/>
        </w:rPr>
      </w:pPr>
    </w:p>
    <w:p>
      <w:pPr>
        <w:ind w:left="326" w:hanging="326"/>
        <w:spacing w:after="0" w:line="243" w:lineRule="auto"/>
        <w:tabs>
          <w:tab w:leader="none" w:pos="326"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Withholding Tax</w:t>
      </w:r>
      <w:r>
        <w:rPr>
          <w:rFonts w:ascii="Arial" w:cs="Arial" w:eastAsia="Arial" w:hAnsi="Arial"/>
          <w:sz w:val="19"/>
          <w:szCs w:val="19"/>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160" w:lineRule="exact"/>
        <w:rPr>
          <w:rFonts w:ascii="Arial" w:cs="Arial" w:eastAsia="Arial" w:hAnsi="Arial"/>
          <w:sz w:val="19"/>
          <w:szCs w:val="19"/>
          <w:color w:val="auto"/>
        </w:rPr>
      </w:pPr>
    </w:p>
    <w:p>
      <w:pPr>
        <w:ind w:left="326" w:right="60" w:hanging="326"/>
        <w:spacing w:after="0" w:line="231" w:lineRule="auto"/>
        <w:tabs>
          <w:tab w:leader="none" w:pos="326"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xml:space="preserve"> WM is not required to deliver any shares of Common Stock under this Agreement, if, in the opinion of counsel for the Company, such issuance would violate the Securities Act of 1933, any other applicable federal or state securities laws or regulations, or the requirements of any stock exchange or market system upon which the Common Stock may then be listed.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159" w:lineRule="exact"/>
        <w:rPr>
          <w:rFonts w:ascii="Arial" w:cs="Arial" w:eastAsia="Arial" w:hAnsi="Arial"/>
          <w:sz w:val="20"/>
          <w:szCs w:val="20"/>
          <w:color w:val="auto"/>
        </w:rPr>
      </w:pPr>
    </w:p>
    <w:p>
      <w:pPr>
        <w:ind w:left="326" w:right="120"/>
        <w:spacing w:after="0" w:line="233" w:lineRule="auto"/>
        <w:rPr>
          <w:rFonts w:ascii="Arial" w:cs="Arial" w:eastAsia="Arial" w:hAnsi="Arial"/>
          <w:sz w:val="20"/>
          <w:szCs w:val="20"/>
          <w:color w:val="auto"/>
        </w:rPr>
      </w:pPr>
      <w:r>
        <w:rPr>
          <w:rFonts w:ascii="Arial" w:cs="Arial" w:eastAsia="Arial" w:hAnsi="Arial"/>
          <w:sz w:val="20"/>
          <w:szCs w:val="20"/>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spacing w:after="0" w:line="200" w:lineRule="exact"/>
        <w:rPr>
          <w:sz w:val="20"/>
          <w:szCs w:val="20"/>
          <w:color w:val="auto"/>
        </w:rPr>
      </w:pPr>
    </w:p>
    <w:p>
      <w:pPr>
        <w:spacing w:after="0" w:line="313"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8890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6"/>
          </w:cols>
          <w:pgMar w:left="454" w:top="996" w:right="479" w:bottom="1440" w:gutter="0" w:footer="0" w:header="0"/>
        </w:sectPr>
      </w:pPr>
    </w:p>
    <w:bookmarkStart w:id="10" w:name="page11"/>
    <w:bookmarkEnd w:id="10"/>
    <w:p>
      <w:pPr>
        <w:ind w:left="326" w:right="20" w:hanging="326"/>
        <w:spacing w:after="0" w:line="236" w:lineRule="auto"/>
        <w:tabs>
          <w:tab w:leader="none" w:pos="32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050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7050405"/>
                    </a:xfrm>
                    <a:prstGeom prst="rect">
                      <a:avLst/>
                    </a:prstGeom>
                    <a:noFill/>
                  </pic:spPr>
                </pic:pic>
              </a:graphicData>
            </a:graphic>
          </wp:anchor>
        </w:drawing>
        <w:t>Employee to Have no Rights as a Stockholder.</w:t>
      </w:r>
      <w:r>
        <w:rPr>
          <w:rFonts w:ascii="Arial" w:cs="Arial" w:eastAsia="Arial" w:hAnsi="Arial"/>
          <w:sz w:val="20"/>
          <w:szCs w:val="20"/>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w:t>
      </w:r>
      <w:r>
        <w:rPr>
          <w:rFonts w:ascii="Arial" w:cs="Arial" w:eastAsia="Arial" w:hAnsi="Arial"/>
          <w:sz w:val="20"/>
          <w:szCs w:val="20"/>
          <w:b w:val="1"/>
          <w:bCs w:val="1"/>
          <w:color w:val="auto"/>
        </w:rPr>
        <w:t>Important Award Details</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jc w:val="both"/>
        <w:ind w:left="326" w:hanging="326"/>
        <w:spacing w:after="0" w:line="232" w:lineRule="auto"/>
        <w:tabs>
          <w:tab w:leader="none" w:pos="32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w:t>
      </w:r>
      <w:r>
        <w:rPr>
          <w:rFonts w:ascii="Arial" w:cs="Arial" w:eastAsia="Arial" w:hAnsi="Arial"/>
          <w:sz w:val="20"/>
          <w:szCs w:val="20"/>
          <w:b w:val="1"/>
          <w:bCs w:val="1"/>
          <w:color w:val="auto"/>
        </w:rPr>
        <w:t>Important</w:t>
      </w:r>
      <w:r>
        <w:rPr>
          <w:rFonts w:ascii="Arial" w:cs="Arial" w:eastAsia="Arial" w:hAnsi="Arial"/>
          <w:sz w:val="20"/>
          <w:szCs w:val="20"/>
          <w:color w:val="auto"/>
        </w:rPr>
        <w:t xml:space="preserve"> </w:t>
      </w:r>
      <w:r>
        <w:rPr>
          <w:rFonts w:ascii="Arial" w:cs="Arial" w:eastAsia="Arial" w:hAnsi="Arial"/>
          <w:sz w:val="20"/>
          <w:szCs w:val="20"/>
          <w:b w:val="1"/>
          <w:bCs w:val="1"/>
          <w:color w:val="auto"/>
        </w:rPr>
        <w:t>Award Details</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ind w:left="326" w:hanging="326"/>
        <w:spacing w:after="0"/>
        <w:tabs>
          <w:tab w:leader="none" w:pos="32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188" w:lineRule="exact"/>
        <w:rPr>
          <w:rFonts w:ascii="Arial" w:cs="Arial" w:eastAsia="Arial" w:hAnsi="Arial"/>
          <w:sz w:val="20"/>
          <w:szCs w:val="20"/>
          <w:color w:val="auto"/>
        </w:rPr>
      </w:pPr>
    </w:p>
    <w:p>
      <w:pPr>
        <w:ind w:left="646" w:hanging="322"/>
        <w:spacing w:after="0"/>
        <w:tabs>
          <w:tab w:leader="none" w:pos="646" w:val="left"/>
        </w:tabs>
        <w:numPr>
          <w:ilvl w:val="1"/>
          <w:numId w:val="14"/>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Awards other than in the sole discretion of the Committee;</w:t>
      </w:r>
    </w:p>
    <w:p>
      <w:pPr>
        <w:spacing w:after="0" w:line="188" w:lineRule="exact"/>
        <w:rPr>
          <w:rFonts w:ascii="Arial" w:cs="Arial" w:eastAsia="Arial" w:hAnsi="Arial"/>
          <w:sz w:val="20"/>
          <w:szCs w:val="20"/>
          <w:color w:val="auto"/>
        </w:rPr>
      </w:pPr>
    </w:p>
    <w:p>
      <w:pPr>
        <w:jc w:val="both"/>
        <w:ind w:left="646" w:hanging="322"/>
        <w:spacing w:after="0" w:line="241" w:lineRule="auto"/>
        <w:tabs>
          <w:tab w:leader="none" w:pos="646" w:val="left"/>
        </w:tabs>
        <w:numPr>
          <w:ilvl w:val="1"/>
          <w:numId w:val="14"/>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157" w:lineRule="exact"/>
        <w:rPr>
          <w:rFonts w:ascii="Arial" w:cs="Arial" w:eastAsia="Arial" w:hAnsi="Arial"/>
          <w:sz w:val="20"/>
          <w:szCs w:val="20"/>
          <w:color w:val="auto"/>
        </w:rPr>
      </w:pPr>
    </w:p>
    <w:p>
      <w:pPr>
        <w:ind w:left="646" w:hanging="322"/>
        <w:spacing w:after="0"/>
        <w:tabs>
          <w:tab w:leader="none" w:pos="646" w:val="left"/>
        </w:tabs>
        <w:numPr>
          <w:ilvl w:val="1"/>
          <w:numId w:val="14"/>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188" w:lineRule="exact"/>
        <w:rPr>
          <w:rFonts w:ascii="Arial" w:cs="Arial" w:eastAsia="Arial" w:hAnsi="Arial"/>
          <w:sz w:val="20"/>
          <w:szCs w:val="20"/>
          <w:color w:val="auto"/>
        </w:rPr>
      </w:pPr>
    </w:p>
    <w:p>
      <w:pPr>
        <w:ind w:left="326" w:right="140" w:hanging="326"/>
        <w:spacing w:after="0" w:line="257" w:lineRule="auto"/>
        <w:tabs>
          <w:tab w:leader="none" w:pos="32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41" w:lineRule="exact"/>
        <w:rPr>
          <w:rFonts w:ascii="Arial" w:cs="Arial" w:eastAsia="Arial" w:hAnsi="Arial"/>
          <w:sz w:val="20"/>
          <w:szCs w:val="20"/>
          <w:color w:val="auto"/>
        </w:rPr>
      </w:pPr>
    </w:p>
    <w:p>
      <w:pPr>
        <w:ind w:left="326" w:right="380" w:hanging="326"/>
        <w:spacing w:after="0" w:line="257" w:lineRule="auto"/>
        <w:tabs>
          <w:tab w:leader="none" w:pos="32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41" w:lineRule="exact"/>
        <w:rPr>
          <w:rFonts w:ascii="Arial" w:cs="Arial" w:eastAsia="Arial" w:hAnsi="Arial"/>
          <w:sz w:val="20"/>
          <w:szCs w:val="20"/>
          <w:color w:val="auto"/>
        </w:rPr>
      </w:pPr>
    </w:p>
    <w:p>
      <w:pPr>
        <w:ind w:left="646" w:hanging="322"/>
        <w:spacing w:after="0" w:line="230" w:lineRule="auto"/>
        <w:tabs>
          <w:tab w:leader="none" w:pos="646" w:val="left"/>
        </w:tabs>
        <w:numPr>
          <w:ilvl w:val="1"/>
          <w:numId w:val="14"/>
        </w:numPr>
        <w:rPr>
          <w:rFonts w:ascii="Arial" w:cs="Arial" w:eastAsia="Arial" w:hAnsi="Arial"/>
          <w:sz w:val="20"/>
          <w:szCs w:val="20"/>
          <w:color w:val="auto"/>
        </w:rPr>
      </w:pPr>
      <w:r>
        <w:rPr>
          <w:rFonts w:ascii="Arial" w:cs="Arial" w:eastAsia="Arial" w:hAnsi="Arial"/>
          <w:sz w:val="20"/>
          <w:szCs w:val="20"/>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which also includes the Clawback Policy to the extent applicable.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158" w:lineRule="exact"/>
        <w:rPr>
          <w:rFonts w:ascii="Arial" w:cs="Arial" w:eastAsia="Arial" w:hAnsi="Arial"/>
          <w:sz w:val="20"/>
          <w:szCs w:val="20"/>
          <w:color w:val="auto"/>
        </w:rPr>
      </w:pPr>
    </w:p>
    <w:p>
      <w:pPr>
        <w:jc w:val="both"/>
        <w:ind w:left="646" w:hanging="322"/>
        <w:spacing w:after="0" w:line="241" w:lineRule="auto"/>
        <w:tabs>
          <w:tab w:leader="none" w:pos="646" w:val="left"/>
        </w:tabs>
        <w:numPr>
          <w:ilvl w:val="1"/>
          <w:numId w:val="14"/>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57" w:lineRule="exact"/>
        <w:rPr>
          <w:rFonts w:ascii="Arial" w:cs="Arial" w:eastAsia="Arial" w:hAnsi="Arial"/>
          <w:sz w:val="20"/>
          <w:szCs w:val="20"/>
          <w:color w:val="auto"/>
        </w:rPr>
      </w:pPr>
    </w:p>
    <w:p>
      <w:pPr>
        <w:jc w:val="both"/>
        <w:ind w:left="646" w:hanging="322"/>
        <w:spacing w:after="0" w:line="241" w:lineRule="auto"/>
        <w:tabs>
          <w:tab w:leader="none" w:pos="646" w:val="left"/>
        </w:tabs>
        <w:numPr>
          <w:ilvl w:val="1"/>
          <w:numId w:val="14"/>
        </w:numPr>
        <w:rPr>
          <w:rFonts w:ascii="Arial" w:cs="Arial" w:eastAsia="Arial" w:hAnsi="Arial"/>
          <w:sz w:val="20"/>
          <w:szCs w:val="20"/>
          <w:color w:val="auto"/>
        </w:rPr>
      </w:pPr>
      <w:r>
        <w:rPr>
          <w:rFonts w:ascii="Arial" w:cs="Arial" w:eastAsia="Arial" w:hAnsi="Arial"/>
          <w:sz w:val="20"/>
          <w:szCs w:val="20"/>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200" w:lineRule="exact"/>
        <w:rPr>
          <w:sz w:val="20"/>
          <w:szCs w:val="20"/>
          <w:color w:val="auto"/>
        </w:rPr>
      </w:pPr>
    </w:p>
    <w:p>
      <w:pPr>
        <w:spacing w:after="0" w:line="311"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8890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6"/>
          </w:cols>
          <w:pgMar w:left="454" w:top="1009" w:right="479" w:bottom="1440" w:gutter="0" w:footer="0" w:header="0"/>
        </w:sectPr>
      </w:pPr>
    </w:p>
    <w:bookmarkStart w:id="11" w:name="page12"/>
    <w:bookmarkEnd w:id="11"/>
    <w:p>
      <w:pPr>
        <w:ind w:left="326" w:right="340" w:hanging="326"/>
        <w:spacing w:after="0" w:line="284" w:lineRule="auto"/>
        <w:tabs>
          <w:tab w:leader="none" w:pos="32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819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6819265"/>
                    </a:xfrm>
                    <a:prstGeom prst="rect">
                      <a:avLst/>
                    </a:prstGeom>
                    <a:noFill/>
                  </pic:spPr>
                </pic:pic>
              </a:graphicData>
            </a:graphic>
          </wp:anchor>
        </w:drawing>
        <w:t>No Waiver</w:t>
      </w:r>
      <w:r>
        <w:rPr>
          <w:rFonts w:ascii="Arial" w:cs="Arial" w:eastAsia="Arial" w:hAnsi="Arial"/>
          <w:sz w:val="19"/>
          <w:szCs w:val="19"/>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17" w:lineRule="exact"/>
        <w:rPr>
          <w:rFonts w:ascii="Arial" w:cs="Arial" w:eastAsia="Arial" w:hAnsi="Arial"/>
          <w:sz w:val="19"/>
          <w:szCs w:val="19"/>
          <w:color w:val="auto"/>
        </w:rPr>
      </w:pPr>
    </w:p>
    <w:p>
      <w:pPr>
        <w:ind w:left="326" w:right="200" w:hanging="326"/>
        <w:spacing w:after="0" w:line="252" w:lineRule="auto"/>
        <w:tabs>
          <w:tab w:leader="none" w:pos="32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Covenant Requirement Essential Part of Award</w:t>
      </w:r>
      <w:r>
        <w:rPr>
          <w:rFonts w:ascii="Arial" w:cs="Arial" w:eastAsia="Arial" w:hAnsi="Arial"/>
          <w:sz w:val="19"/>
          <w:szCs w:val="19"/>
          <w:color w:val="auto"/>
        </w:rPr>
        <w:t>. An overriding condition (even if any other provision of the Plan and this Agreement are conflicting) for Employee to receive any benefit from or payment of any Award under this Agreement, is that Employee must also have entered, and abided by the terms of, an agreement containing restrictive covenants concerning limitations on Employee’s behavior following termination of employment that is satisfactory to WM.</w:t>
      </w:r>
    </w:p>
    <w:p>
      <w:pPr>
        <w:spacing w:after="0" w:line="148" w:lineRule="exact"/>
        <w:rPr>
          <w:rFonts w:ascii="Arial" w:cs="Arial" w:eastAsia="Arial" w:hAnsi="Arial"/>
          <w:sz w:val="19"/>
          <w:szCs w:val="19"/>
          <w:color w:val="auto"/>
        </w:rPr>
      </w:pPr>
    </w:p>
    <w:p>
      <w:pPr>
        <w:ind w:left="326" w:hanging="326"/>
        <w:spacing w:after="0"/>
        <w:tabs>
          <w:tab w:leader="none" w:pos="326"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If not defined in this Agreement, capitalized terms have the meanings set forth in the Plan.</w:t>
      </w:r>
    </w:p>
    <w:p>
      <w:pPr>
        <w:spacing w:after="0" w:line="188" w:lineRule="exact"/>
        <w:rPr>
          <w:rFonts w:ascii="Arial" w:cs="Arial" w:eastAsia="Arial" w:hAnsi="Arial"/>
          <w:sz w:val="20"/>
          <w:szCs w:val="20"/>
          <w:color w:val="auto"/>
        </w:rPr>
      </w:pPr>
    </w:p>
    <w:p>
      <w:pPr>
        <w:ind w:left="326" w:hanging="326"/>
        <w:spacing w:after="0" w:line="227" w:lineRule="auto"/>
        <w:tabs>
          <w:tab w:leader="none" w:pos="326"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 Both WM and Employee intend that this Agreement does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are not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173" w:lineRule="exact"/>
        <w:rPr>
          <w:rFonts w:ascii="Arial" w:cs="Arial" w:eastAsia="Arial" w:hAnsi="Arial"/>
          <w:sz w:val="20"/>
          <w:szCs w:val="20"/>
          <w:color w:val="auto"/>
        </w:rPr>
      </w:pPr>
    </w:p>
    <w:p>
      <w:pPr>
        <w:ind w:left="326" w:hanging="326"/>
        <w:spacing w:after="0" w:line="229" w:lineRule="auto"/>
        <w:tabs>
          <w:tab w:leader="none" w:pos="326"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Use of Personal Data</w:t>
      </w:r>
      <w:r>
        <w:rPr>
          <w:rFonts w:ascii="Arial" w:cs="Arial" w:eastAsia="Arial" w:hAnsi="Arial"/>
          <w:sz w:val="20"/>
          <w:szCs w:val="20"/>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161" w:lineRule="exact"/>
        <w:rPr>
          <w:rFonts w:ascii="Arial" w:cs="Arial" w:eastAsia="Arial" w:hAnsi="Arial"/>
          <w:sz w:val="20"/>
          <w:szCs w:val="20"/>
          <w:color w:val="auto"/>
        </w:rPr>
      </w:pPr>
    </w:p>
    <w:p>
      <w:pPr>
        <w:ind w:left="326" w:hanging="326"/>
        <w:spacing w:after="0" w:line="237" w:lineRule="auto"/>
        <w:tabs>
          <w:tab w:leader="none" w:pos="326"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200" w:lineRule="exact"/>
        <w:rPr>
          <w:sz w:val="20"/>
          <w:szCs w:val="20"/>
          <w:color w:val="auto"/>
        </w:rPr>
      </w:pPr>
    </w:p>
    <w:p>
      <w:pPr>
        <w:spacing w:after="0" w:line="312"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8890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6"/>
          </w:cols>
          <w:pgMar w:left="454" w:top="1009" w:right="479" w:bottom="1440" w:gutter="0" w:footer="0" w:header="0"/>
        </w:sectPr>
      </w:pPr>
    </w:p>
    <w:bookmarkStart w:id="12" w:name="page13"/>
    <w:bookmarkEnd w:id="12"/>
    <w:p>
      <w:pPr>
        <w:ind w:left="326" w:hanging="326"/>
        <w:spacing w:after="0" w:line="234" w:lineRule="auto"/>
        <w:tabs>
          <w:tab w:leader="none" w:pos="32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3004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3004185"/>
                    </a:xfrm>
                    <a:prstGeom prst="rect">
                      <a:avLst/>
                    </a:prstGeom>
                    <a:noFill/>
                  </pic:spPr>
                </pic:pic>
              </a:graphicData>
            </a:graphic>
          </wp:anchor>
        </w:drawing>
        <w:t>Electronic Delivery</w:t>
      </w:r>
      <w:r>
        <w:rPr>
          <w:rFonts w:ascii="Arial" w:cs="Arial" w:eastAsia="Arial" w:hAnsi="Arial"/>
          <w:sz w:val="20"/>
          <w:szCs w:val="20"/>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61" w:lineRule="exact"/>
        <w:rPr>
          <w:rFonts w:ascii="Arial" w:cs="Arial" w:eastAsia="Arial" w:hAnsi="Arial"/>
          <w:sz w:val="20"/>
          <w:szCs w:val="20"/>
          <w:color w:val="auto"/>
        </w:rPr>
      </w:pPr>
    </w:p>
    <w:p>
      <w:pPr>
        <w:ind w:left="326" w:right="60" w:hanging="326"/>
        <w:spacing w:after="0" w:line="230" w:lineRule="auto"/>
        <w:tabs>
          <w:tab w:leader="none" w:pos="32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Binding Arbitration</w:t>
      </w:r>
      <w:r>
        <w:rPr>
          <w:rFonts w:ascii="Arial" w:cs="Arial" w:eastAsia="Arial" w:hAnsi="Arial"/>
          <w:sz w:val="20"/>
          <w:szCs w:val="20"/>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“Important Award Details”), the Company and Employee agree that such dispute shall be settled exclusively by final and binding arbitration, as governed by the Federal Arbitration Act (9 U.S.C. 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20"/>
          <w:szCs w:val="20"/>
          <w:b w:val="1"/>
          <w:bCs w:val="1"/>
          <w:color w:val="auto"/>
        </w:rPr>
        <w:t>www.jamsadr.com</w:t>
      </w:r>
      <w:r>
        <w:rPr>
          <w:rFonts w:ascii="Arial" w:cs="Arial" w:eastAsia="Arial" w:hAnsi="Arial"/>
          <w:sz w:val="20"/>
          <w:szCs w:val="20"/>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158" w:lineRule="exact"/>
        <w:rPr>
          <w:rFonts w:ascii="Arial" w:cs="Arial" w:eastAsia="Arial" w:hAnsi="Arial"/>
          <w:sz w:val="20"/>
          <w:szCs w:val="20"/>
          <w:color w:val="auto"/>
        </w:rPr>
      </w:pPr>
    </w:p>
    <w:p>
      <w:pPr>
        <w:ind w:left="326" w:right="600" w:hanging="326"/>
        <w:spacing w:after="0" w:line="257" w:lineRule="auto"/>
        <w:tabs>
          <w:tab w:leader="none" w:pos="32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200" w:lineRule="exact"/>
        <w:rPr>
          <w:sz w:val="20"/>
          <w:szCs w:val="20"/>
          <w:color w:val="auto"/>
        </w:rPr>
      </w:pPr>
    </w:p>
    <w:p>
      <w:pPr>
        <w:spacing w:after="0" w:line="296" w:lineRule="exact"/>
        <w:rPr>
          <w:sz w:val="20"/>
          <w:szCs w:val="20"/>
          <w:color w:val="auto"/>
        </w:rPr>
      </w:pPr>
    </w:p>
    <w:p>
      <w:pPr>
        <w:jc w:val="center"/>
        <w:ind w:right="-85"/>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8890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6"/>
          </w:cols>
          <w:pgMar w:left="454" w:top="1009" w:right="539" w:bottom="1440" w:gutter="0" w:footer="0" w:header="0"/>
        </w:sectPr>
      </w:pPr>
    </w:p>
    <w:bookmarkStart w:id="13" w:name="page14"/>
    <w:bookmarkEnd w:id="13"/>
    <w:p>
      <w:pPr>
        <w:jc w:val="center"/>
        <w:spacing w:after="0"/>
        <w:rPr>
          <w:sz w:val="20"/>
          <w:szCs w:val="20"/>
          <w:color w:val="auto"/>
        </w:rPr>
      </w:pPr>
      <w:r>
        <w:rPr>
          <w:rFonts w:ascii="Arial" w:cs="Arial" w:eastAsia="Arial" w:hAnsi="Arial"/>
          <w:sz w:val="29"/>
          <w:szCs w:val="29"/>
          <w:b w:val="1"/>
          <w:bCs w:val="1"/>
          <w:color w:val="00693C"/>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17443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1744345"/>
                    </a:xfrm>
                    <a:prstGeom prst="rect">
                      <a:avLst/>
                    </a:prstGeom>
                    <a:noFill/>
                  </pic:spPr>
                </pic:pic>
              </a:graphicData>
            </a:graphic>
          </wp:anchor>
        </w:drawing>
        <w:t>Execution</w:t>
      </w:r>
    </w:p>
    <w:p>
      <w:pPr>
        <w:spacing w:after="0" w:line="217"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one of its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authorized and Employee has executed this Agreement, effective as of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320" w:lineRule="exact"/>
        <w:rPr>
          <w:sz w:val="20"/>
          <w:szCs w:val="20"/>
          <w:color w:val="auto"/>
        </w:rPr>
      </w:pPr>
    </w:p>
    <w:p>
      <w:pPr>
        <w:ind w:left="120"/>
        <w:spacing w:after="0"/>
        <w:tabs>
          <w:tab w:leader="none" w:pos="5460" w:val="left"/>
        </w:tabs>
        <w:rPr>
          <w:sz w:val="20"/>
          <w:szCs w:val="20"/>
          <w:color w:val="auto"/>
        </w:rPr>
      </w:pPr>
      <w:r>
        <w:rPr>
          <w:rFonts w:ascii="Arial" w:cs="Arial" w:eastAsia="Arial" w:hAnsi="Arial"/>
          <w:sz w:val="20"/>
          <w:szCs w:val="20"/>
          <w:b w:val="1"/>
          <w:bCs w:val="1"/>
          <w:color w:val="auto"/>
        </w:rPr>
        <w:t>WASTE MANAGEMENT, INC.</w:t>
      </w:r>
      <w:r>
        <w:rPr>
          <w:sz w:val="20"/>
          <w:szCs w:val="20"/>
          <w:color w:val="auto"/>
        </w:rPr>
        <w:tab/>
      </w:r>
      <w:r>
        <w:rPr>
          <w:rFonts w:ascii="Arial" w:cs="Arial" w:eastAsia="Arial" w:hAnsi="Arial"/>
          <w:sz w:val="19"/>
          <w:szCs w:val="19"/>
          <w:b w:val="1"/>
          <w:bCs w:val="1"/>
          <w:color w:val="auto"/>
        </w:rPr>
        <w:t>Employee</w:t>
      </w:r>
    </w:p>
    <w:p>
      <w:pPr>
        <w:spacing w:after="0" w:line="231" w:lineRule="exact"/>
        <w:rPr>
          <w:sz w:val="20"/>
          <w:szCs w:val="20"/>
          <w:color w:val="auto"/>
        </w:rPr>
      </w:pPr>
    </w:p>
    <w:p>
      <w:pPr>
        <w:ind w:left="5480"/>
        <w:spacing w:after="0"/>
        <w:rPr>
          <w:sz w:val="20"/>
          <w:szCs w:val="20"/>
          <w:color w:val="auto"/>
        </w:rPr>
      </w:pPr>
      <w:r>
        <w:rPr>
          <w:rFonts w:ascii="Arial" w:cs="Arial" w:eastAsia="Arial" w:hAnsi="Arial"/>
          <w:sz w:val="20"/>
          <w:szCs w:val="20"/>
          <w:i w:val="1"/>
          <w:iCs w:val="1"/>
          <w:color w:val="auto"/>
        </w:rPr>
        <w:t>Accepted by Electronic Communication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8890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60"/>
      </w:cols>
      <w:pgMar w:left="460" w:top="99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04"/>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
    <w:nsid w:val="1190CDE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
    <w:nsid w:val="66EF438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
    <w:nsid w:val="140E0F7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
    <w:nsid w:val="3352255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
    <w:nsid w:val="109CF92E"/>
    <w:multiLevelType w:val="hybridMultilevel"/>
    <w:lvl w:ilvl="0">
      <w:lvlJc w:val="left"/>
      <w:lvlText w:val="%1"/>
      <w:numFmt w:val="decimal"/>
      <w:start w:val="1"/>
    </w:lvl>
    <w:lvl w:ilvl="1">
      <w:lvlJc w:val="left"/>
      <w:lvlText w:val="%2."/>
      <w:numFmt w:val="lowerLetter"/>
      <w:start w:val="2"/>
    </w:lvl>
  </w:abstractNum>
  <w:abstractNum w:abstractNumId="11">
    <w:nsid w:val="DED7263"/>
    <w:multiLevelType w:val="hybridMultilevel"/>
    <w:lvl w:ilvl="0">
      <w:lvlJc w:val="left"/>
      <w:lvlText w:val="%1."/>
      <w:numFmt w:val="decimal"/>
      <w:start w:val="6"/>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5"/>
    </w:lvl>
    <w:lvl w:ilvl="1">
      <w:lvlJc w:val="left"/>
      <w:lvlText w:val="%2."/>
      <w:numFmt w:val="lowerLetter"/>
      <w:start w:val="1"/>
    </w:lvl>
  </w:abstractNum>
  <w:abstractNum w:abstractNumId="14">
    <w:nsid w:val="41A7C4C9"/>
    <w:multiLevelType w:val="hybridMultilevel"/>
    <w:lvl w:ilvl="0">
      <w:lvlJc w:val="left"/>
      <w:lvlText w:val="%1."/>
      <w:numFmt w:val="decimal"/>
      <w:start w:val="10"/>
    </w:lvl>
  </w:abstractNum>
  <w:abstractNum w:abstractNumId="15">
    <w:nsid w:val="6B68079A"/>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2025-08-27T16:10:46Z</dcterms:created>
  <dcterms:modified xsi:type="dcterms:W3CDTF">2025-08-27T16:10:46Z</dcterms:modified>
</cp:coreProperties>
</file>