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7"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00" w:type="dxa"/>
            <w:vAlign w:val="bottom"/>
          </w:tcPr>
          <w:p>
            <w:pPr>
              <w:spacing w:after="0"/>
              <w:rPr>
                <w:sz w:val="20"/>
                <w:szCs w:val="20"/>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to</w:t>
            </w:r>
          </w:p>
        </w:tc>
        <w:tc>
          <w:tcPr>
            <w:tcW w:w="32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tc>
        <w:tc>
          <w:tcPr>
            <w:tcW w:w="3200" w:type="dxa"/>
            <w:vAlign w:val="bottom"/>
          </w:tcPr>
          <w:p>
            <w:pPr>
              <w:spacing w:after="0"/>
              <w:rPr>
                <w:sz w:val="24"/>
                <w:szCs w:val="24"/>
                <w:color w:val="auto"/>
              </w:rPr>
            </w:pPr>
          </w:p>
        </w:tc>
      </w:tr>
      <w:tr>
        <w:trPr>
          <w:trHeight w:val="50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260" w:type="dxa"/>
            <w:vAlign w:val="bottom"/>
            <w:gridSpan w:val="6"/>
          </w:tcPr>
          <w:p>
            <w:pPr>
              <w:jc w:val="center"/>
              <w:ind w:right="2897"/>
              <w:spacing w:after="0"/>
              <w:rPr>
                <w:sz w:val="20"/>
                <w:szCs w:val="20"/>
                <w:color w:val="auto"/>
              </w:rPr>
            </w:pPr>
            <w:r>
              <w:rPr>
                <w:rFonts w:ascii="Times New Roman" w:cs="Times New Roman" w:eastAsia="Times New Roman" w:hAnsi="Times New Roman"/>
                <w:sz w:val="40"/>
                <w:szCs w:val="40"/>
                <w:b w:val="1"/>
                <w:bCs w:val="1"/>
                <w:color w:val="auto"/>
                <w:w w:val="98"/>
              </w:rPr>
              <w:t>Waste Management, Inc.</w:t>
            </w:r>
          </w:p>
        </w:tc>
      </w:tr>
      <w:tr>
        <w:trPr>
          <w:trHeight w:val="236"/>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60" w:type="dxa"/>
            <w:vAlign w:val="bottom"/>
            <w:gridSpan w:val="5"/>
          </w:tcPr>
          <w:p>
            <w:pPr>
              <w:jc w:val="center"/>
              <w:ind w:left="103"/>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320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940" w:type="dxa"/>
            <w:vAlign w:val="bottom"/>
          </w:tcPr>
          <w:p>
            <w:pPr>
              <w:jc w:val="center"/>
              <w:ind w:left="207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0" w:type="dxa"/>
            <w:vAlign w:val="bottom"/>
          </w:tcPr>
          <w:p>
            <w:pPr>
              <w:jc w:val="center"/>
              <w:ind w:right="1797"/>
              <w:spacing w:after="0"/>
              <w:rPr>
                <w:sz w:val="20"/>
                <w:szCs w:val="20"/>
                <w:color w:val="auto"/>
              </w:rPr>
            </w:pPr>
            <w:r>
              <w:rPr>
                <w:rFonts w:ascii="Times New Roman" w:cs="Times New Roman" w:eastAsia="Times New Roman" w:hAnsi="Times New Roman"/>
                <w:sz w:val="18"/>
                <w:szCs w:val="18"/>
                <w:b w:val="1"/>
                <w:bCs w:val="1"/>
                <w:color w:val="auto"/>
              </w:rPr>
              <w:t>73-1309529</w:t>
            </w:r>
          </w:p>
        </w:tc>
      </w:tr>
      <w:tr>
        <w:trPr>
          <w:trHeight w:val="203"/>
        </w:trPr>
        <w:tc>
          <w:tcPr>
            <w:tcW w:w="20" w:type="dxa"/>
            <w:vAlign w:val="bottom"/>
          </w:tcPr>
          <w:p>
            <w:pPr>
              <w:spacing w:after="0"/>
              <w:rPr>
                <w:sz w:val="17"/>
                <w:szCs w:val="17"/>
                <w:color w:val="auto"/>
              </w:rPr>
            </w:pPr>
          </w:p>
        </w:tc>
        <w:tc>
          <w:tcPr>
            <w:tcW w:w="7000" w:type="dxa"/>
            <w:vAlign w:val="bottom"/>
            <w:gridSpan w:val="6"/>
          </w:tcPr>
          <w:p>
            <w:pPr>
              <w:jc w:val="center"/>
              <w:ind w:right="1900"/>
              <w:spacing w:after="0" w:line="202"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right="190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200" w:type="dxa"/>
            <w:vAlign w:val="bottom"/>
          </w:tcPr>
          <w:p>
            <w:pPr>
              <w:jc w:val="center"/>
              <w:ind w:right="1797"/>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275"/>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2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640" w:type="dxa"/>
            <w:vAlign w:val="bottom"/>
            <w:gridSpan w:val="3"/>
          </w:tcPr>
          <w:p>
            <w:pPr>
              <w:jc w:val="center"/>
              <w:ind w:left="523"/>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60" w:type="dxa"/>
            <w:vAlign w:val="bottom"/>
            <w:gridSpan w:val="5"/>
          </w:tcPr>
          <w:p>
            <w:pPr>
              <w:jc w:val="center"/>
              <w:ind w:left="123"/>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297"/>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940" w:type="dxa"/>
            <w:vAlign w:val="bottom"/>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2940" w:type="dxa"/>
            <w:vAlign w:val="bottom"/>
            <w:tcBorders>
              <w:top w:val="single" w:sz="8" w:color="auto"/>
            </w:tcBorders>
          </w:tcPr>
          <w:p>
            <w:pPr>
              <w:jc w:val="center"/>
              <w:ind w:left="276"/>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WM</w:t>
            </w: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87" w:right="839" w:bottom="1440" w:gutter="0" w:footer="0" w:header="0"/>
        </w:sectPr>
      </w:pPr>
    </w:p>
    <w:p>
      <w:pPr>
        <w:spacing w:after="0" w:line="1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ind w:left="760"/>
        <w:spacing w:after="0" w:line="19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82" w:lineRule="exact"/>
        <w:rPr>
          <w:sz w:val="24"/>
          <w:szCs w:val="24"/>
          <w:color w:val="auto"/>
        </w:rPr>
      </w:pPr>
    </w:p>
    <w:p>
      <w:pPr>
        <w:sectPr>
          <w:pgSz w:w="11900" w:h="16838" w:orient="portrait"/>
          <w:cols w:equalWidth="0" w:num="2">
            <w:col w:w="7320" w:space="720"/>
            <w:col w:w="2180"/>
          </w:cols>
          <w:pgMar w:left="840" w:top="887" w:right="8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October 24, 2025 was 402,867,051 (excluding treasury shares of 227,415,410).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388620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87"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10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$122 and $165,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$3 and $4,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depletion of $24,781 and $23,777,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19,340</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8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36,313</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15,858</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227,420,930 and 228,788,284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(12,993)</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8,254</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20" w:type="dxa"/>
            <w:vAlign w:val="bottom"/>
            <w:gridSpan w:val="1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in net (income) loss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New borrowings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60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2025</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$ 9,202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5,566</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$ 16,553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(227,680)</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(12,933)</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$0.825 per</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(332)</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2025</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$ 9,520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5,640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$ 16,823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(227,421)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(12,919)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$ 7,451</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$ 15,104</w:t>
            </w: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(229,183)</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(13,013)</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$0.75 per</w:t>
            </w: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2024</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$ 7,972</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5,485</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$ 15,563</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(228,928)</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(12,999)</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8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2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8,254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5,496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$ 15,858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(228,788)</w:t>
            </w:r>
          </w:p>
        </w:tc>
        <w:tc>
          <w:tcPr>
            <w:tcW w:w="7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(12,993)</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2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$2.475 per</w:t>
            </w: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(1,001)</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(1,001)</w:t>
            </w: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2025</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9,520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$ 16,823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(227,421)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(12,919)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6,896</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$ 14,334</w:t>
            </w:r>
          </w:p>
        </w:tc>
        <w:tc>
          <w:tcPr>
            <w:tcW w:w="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(12,751)</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2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$2.25 per</w:t>
            </w: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(909)</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(909)</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2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2024</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7,972</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5,485</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$ 15,563</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(228,928)</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(12,999)</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14.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(“RNG”), which is a significant source of fuel that we allocate to our natural gas fleet.</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4, 2024, we completed the acquisition of all outstanding shares of Stericycle, Inc. (“Stericycle”), the operations of which are presented in this report as our new WM Healthcare Solutions segment. The acquisition expands our offerings in the U.S. and Canada and adds operations in parts of Western Europe. This business provides regulated waste and compliance services and secure information destruction services that protect people and brands, promote health and well-being and safeguard the environment. Refer to Note 8 for further discussion.</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 Refer to Note 7 for further discussion.</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2025 and for the three and nine months ended September 30, 2025 and 2024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2024.</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7" w:name="page8"/>
    <w:bookmarkEnd w:id="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16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September 30, 2025 and December 31, 2024, we had $235 million and $218 million, respectively, of deferred contract costs, of which $173 million and $154 million, respectively, were related to deferred sales incentives.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other long-term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and other receivables.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8" w:name="page9"/>
    <w:bookmarkEnd w:id="8"/>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20" w:type="dxa"/>
            <w:vAlign w:val="bottom"/>
            <w:gridSpan w:val="4"/>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4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nine months ended September 30, 2025 are reflected in the table below (in millions):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8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Obligations settled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accretion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Revisions in estimates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76"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September 30, 2025:</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8"/>
        </w:trPr>
        <w:tc>
          <w:tcPr>
            <w:tcW w:w="69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4.3% as of</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4"/>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 and 4.7% as of December 31, 2024)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69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2054, interest rates ranging from 0.75% to 7.75% (weighted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interest rate of 4.2% as of September 30, 2025 and December 31, 2024)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w:t>
            </w:r>
          </w:p>
        </w:tc>
      </w:tr>
      <w:tr>
        <w:trPr>
          <w:trHeight w:val="21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198"/>
        </w:trPr>
        <w:tc>
          <w:tcPr>
            <w:tcW w:w="69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2055, fixed and variable interest rates ranging from</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0.70% to 4.60% (weighted average interest rate of 3.5% as of September 30, 2025 and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198"/>
        </w:trPr>
        <w:tc>
          <w:tcPr>
            <w:tcW w:w="69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2082 (weighted average interest rate of 4.8% as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September 30, 2025 and 4.9% as of December 31, 2024) (a)</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216"/>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0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r>
      <w:tr>
        <w:trPr>
          <w:trHeight w:val="20"/>
        </w:trPr>
        <w:tc>
          <w:tcPr>
            <w:tcW w:w="22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9" w:name="page10"/>
    <w:bookmarkEnd w:id="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2025, we had approximately $3.9 billion of debt maturing within the next 12 months, including</w:t>
      </w:r>
    </w:p>
    <w:p>
      <w:pPr>
        <w:spacing w:after="0" w:line="27" w:lineRule="exact"/>
        <w:rPr>
          <w:sz w:val="20"/>
          <w:szCs w:val="20"/>
          <w:color w:val="auto"/>
        </w:rPr>
      </w:pPr>
    </w:p>
    <w:p>
      <w:pPr>
        <w:jc w:val="both"/>
        <w:ind w:left="60" w:right="59" w:hanging="10"/>
        <w:spacing w:after="0" w:line="251" w:lineRule="auto"/>
        <w:tabs>
          <w:tab w:leader="none" w:pos="2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of tax-exempt bonds with term interest rate periods that expire within the next 12 months, which is prior to their scheduled maturities; (ii) $861 million of short-term borrowings under our commercial paper program (net of related discount on issuance); (iii) $500 million of 0.75% senior notes that mature in November 2025; (iv) $223 million of 7.1% senior notes that mature in August 2026; (v) $359 million of 2.6% Canadian senior notes that mature in September 2026 and (vi) $380 million of other debt with scheduled maturities within the next 12 months, including $188 million of tax-exempt bonds. As of September 30, 2025, we have classified $3.0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$880 million of debt maturing in the next 12 months is classified as current obligations.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May 2029,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credit capacity to be used for cash borrowings, to support letters of credit and to support our commercial paper program. The interest rates we pay on outstanding U.S. or Canadian loans are based on the Secured Overnight Financing Rate (“SOFR”) administered by the Federal Reserve Bank of New York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September 30, 2025, we had no outstanding borrowings under this facility. We had $861 million of outstanding borrowings (net of related discount on issuance) under our commercial paper program and $227 million of letters of credit issued, both supported by the facility, leaving unused and available credit capacity of $2.4 billion as of September 30, 2025. WM Holdings, a wholly-owned subsidiary of WMI, guarantees all of the obligations under the $3.5 billion revolving credit facility.</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September 30, 2025, we had $861 million of outstanding borrowings (net of related discount on issuance) under our commercial paper program.</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September 30, 2025, we had utilized $887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maturing through December 2028.</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nine months ended September 30, 2025, we made cash repayments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$15.1 billion, which were partially offset by $14.7 billion of cash borrowings (net of related discount on issuance).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We repaid $422 million of 3.125% senior notes upon maturity in March 2025.</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Senior Notes Exchange Offer </w:t>
      </w:r>
      <w:r>
        <w:rPr>
          <w:rFonts w:ascii="Times New Roman" w:cs="Times New Roman" w:eastAsia="Times New Roman" w:hAnsi="Times New Roman"/>
          <w:sz w:val="17"/>
          <w:szCs w:val="17"/>
          <w:color w:val="auto"/>
        </w:rPr>
        <w:t>— On June 25, 2025, we completed an exchange offer pursuant to which we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$483 million in new notes (the “Registered Notes”) registered under the Securities Act of 1933, as amended, in exchange for a like amount of our outstanding unregistered 3.875% Senior Notes due 2029 (the “Restricted Notes”). This amount represented approximately 99% of the $485 million aggregate principal amount of Restricted Notes that were originally issued on November 8, 2024, in a private offer in exchange for notes of Stericycle. The terms of the Registered Notes are substantially identical in all material respects to the terms of the Restricted Notes, except that the Registered Notes are not subject to restrictions on transfer. The debt exchange is accounted for as a modification of debt, as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 w:name="page11"/>
    <w:bookmarkEnd w:id="10"/>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financial terms of the Registered Notes do not differ from the Restricted Notes, and there is no substantial difference between the present value of cash flows under each respective set of notes.</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Tax-Exempt Bonds </w:t>
      </w:r>
      <w:r>
        <w:rPr>
          <w:rFonts w:ascii="Times New Roman" w:cs="Times New Roman" w:eastAsia="Times New Roman" w:hAnsi="Times New Roman"/>
          <w:sz w:val="18"/>
          <w:szCs w:val="18"/>
          <w:color w:val="auto"/>
        </w:rPr>
        <w:t>— We issued $252 million of tax-exempt bonds in the nine months ended September 30,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issuance of these bonds were deposited directly into a restricted trust fund to be used for the specific purpose for which the money was raised, which is generally to finance expenditures for solid waste disposal and recycling facility construction and development. In 2025, we also repaid $110 million of our tax-exempt bonds at their respective scheduled maturities with available cash on hand.</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w:t>
      </w:r>
      <w:r>
        <w:rPr>
          <w:rFonts w:ascii="Times New Roman" w:cs="Times New Roman" w:eastAsia="Times New Roman" w:hAnsi="Times New Roman"/>
          <w:sz w:val="18"/>
          <w:szCs w:val="18"/>
          <w:color w:val="auto"/>
        </w:rPr>
        <w:t>— The increase in our financing leases and other debt obligations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is due to an increase of $208 million primarily related to non-cash financing leases, partially offset by $107 million of cash repayments of other debt at maturity.</w:t>
      </w:r>
    </w:p>
    <w:p>
      <w:pPr>
        <w:spacing w:after="0" w:line="171"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effective income tax rate was 22.2% and 21.0% for the three and nine months ended September 30, 2025, respectively, compared to 23.6% and 22.2% for the three and nine months ended September 30, 2024, respectively. The decrease in our effective income tax rate when comparing the three and nine months ended September 30, 2025 and 2024 was primarily driven by an increase in federal tax credits partially offset by unfavorable adjustments to accruals and related deferred taxes.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evaluate our effective income tax rate at each interim period and adjust it as facts and circumstances warrant.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 Qualifying for Federal Tax Credits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w:t>
      </w:r>
      <w:r>
        <w:rPr>
          <w:rFonts w:ascii="Times New Roman" w:cs="Times New Roman" w:eastAsia="Times New Roman" w:hAnsi="Times New Roman"/>
          <w:sz w:val="18"/>
          <w:szCs w:val="18"/>
          <w:color w:val="auto"/>
        </w:rPr>
        <w:t>— Through our subsidiaries, including our WM Renewable Energy segment,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building landfill gas-to-energy facilities in the U.S. and Canada that produce renewable electricity and RNG. We expect our new RNG facilities to qualify for federal tax credits and to realize those credits through 2026 under Section 48 of the Internal Revenue Code.</w:t>
      </w:r>
    </w:p>
    <w:p>
      <w:pPr>
        <w:spacing w:after="0" w:line="18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recognized a reduction in our income tax expense of $49 million and $138 million, respectively, due to federal tax credits expected to be realized from our RNG investments compared to $37 million and $111 million, respectively, for the comparable prior year periods.</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2036 under Section 42 and Section 45D of the Internal Revenue Code.</w:t>
      </w:r>
    </w:p>
    <w:p>
      <w:pPr>
        <w:spacing w:after="0" w:line="18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Condensed Consolidated Statements of Operations.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recognized income tax expense of $26 million and $71 million, respectively, related to amortization under the proportional amortization method and a reduction in our income tax expense of $37 million and $99 million, respectively, primarily due to federal tax credits realized from these investments. In addition, during the three and nine months ended September 30, 2025, we recognized interest expense of $8 million and $25 million, respectively, associated with our investments in low-income housing properties.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we recognized income tax expense of $19 million and $56 million related to amortization under the proportional amortization method and a reduction in our income tax expense of $26 million and $76 million, respectively, primarily due to federal tax credits realized from these investments. In addition, during the three and nine months ended September 30, 2024, we recognized interest expense of $5 million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1" w:name="page12"/>
    <w:bookmarkEnd w:id="11"/>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$16 million, respectively, associated with our investments in low-income housing properties. See Note 14 for additional information related to these unconsolidated variable interest entities.</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Adjustments to Accruals and Related Deferred Taxes </w:t>
      </w:r>
      <w:r>
        <w:rPr>
          <w:rFonts w:ascii="Times New Roman" w:cs="Times New Roman" w:eastAsia="Times New Roman" w:hAnsi="Times New Roman"/>
          <w:sz w:val="18"/>
          <w:szCs w:val="18"/>
          <w:color w:val="auto"/>
        </w:rPr>
        <w:t>— During the three and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recognized income tax expense of $22 million due to certain adjustments to accruals and related deferred taxes primarily related to a change from our initial expectations of the federal tax credits expected to be realized from our RNG investments. During the three and nine months ended September 30, 2024, there were immaterial adjustments to accruals and related deferred taxes.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On July 4, 2025, President Trump signed the One Big Beautiful Bill Act into law. We are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several business tax provisions in the legislation, none of which are expected to have a material impact on our effective tax rate. However, we expect a beneficial impact to cash taxes related to bonus depreciation.</w:t>
      </w:r>
    </w:p>
    <w:p>
      <w:pPr>
        <w:spacing w:after="0" w:line="171"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and nine months ended September 30 were computed using the following common share data (shares in millions):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198"/>
        </w:trPr>
        <w:tc>
          <w:tcPr>
            <w:tcW w:w="5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issuable 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21"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2" w:name="page13"/>
    <w:bookmarkEnd w:id="12"/>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amounts that exceed our insured limits. Our exposure could increase if our insurers are unable to meet their commitments on a timely basis.</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2025,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18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$10 million higher than the $215 million recorded in the Condensed Consolidated Balance Sheet as of September 30, 2025.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we had been notified by the government that we are a PRP in connection with 74 locations listed on the Environmental Protection Agency’s (“EPA’s”) Superfund National Priorities List, or NPL. Of the 74 sites 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3" w:name="page14"/>
    <w:bookmarkEnd w:id="13"/>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In November 2024, MIMC and IPC publicly issued a proposed revised full remedial design that was approved by the EPA in September 2025. The recorded liability as of September 30, 2025, and December 31, 2024, was approximately $101 million and $97 million, respectively. MIMC’s ultimate liability could be materially different from current estimates, including potential increases resulting from MIMC’s continued engagement with the EPA regarding the newly-approved remedial design for the site.</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We are not aware of any matters in the third quarter of 2025 that are required to be disclosed pursuant to this standard.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4" w:name="page15"/>
    <w:bookmarkEnd w:id="14"/>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November 4, 2024, the Company acquired Stericycle. At the time of the acquisition, Stericycle was subject to the following legal matter, which is now a legal matter of our wholly-owned subsidiary.</w:t>
      </w:r>
    </w:p>
    <w:p>
      <w:pPr>
        <w:spacing w:after="0" w:line="162" w:lineRule="exact"/>
        <w:rPr>
          <w:sz w:val="20"/>
          <w:szCs w:val="20"/>
          <w:color w:val="auto"/>
        </w:rPr>
      </w:pPr>
    </w:p>
    <w:p>
      <w:pPr>
        <w:jc w:val="both"/>
        <w:ind w:left="380" w:right="59"/>
        <w:spacing w:after="0" w:line="252" w:lineRule="auto"/>
        <w:rPr>
          <w:sz w:val="20"/>
          <w:szCs w:val="20"/>
          <w:color w:val="auto"/>
        </w:rPr>
      </w:pPr>
      <w:r>
        <w:rPr>
          <w:rFonts w:ascii="Times New Roman" w:cs="Times New Roman" w:eastAsia="Times New Roman" w:hAnsi="Times New Roman"/>
          <w:sz w:val="18"/>
          <w:szCs w:val="18"/>
          <w:color w:val="auto"/>
        </w:rPr>
        <w:t>On February 11, 2020, Stericycle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 Stericycle’s historical operation and ownership of the ESOL Retail Controlled Substances Business from 2015 through 2020. While the ultimate disposition of this matter remains uncertain, we do not currently believe that it will have a material adverse effect on the Company’s business, financial condition, results of operations or cash flows.</w:t>
      </w:r>
    </w:p>
    <w:p>
      <w:pPr>
        <w:spacing w:after="0" w:line="19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was appointed and an amended complaint was filed in January 2023. The amended complaint sought damages on behalf of a putative class of secondary market purchasers of our senior notes with a special mandatory redemption feature issued in May 2019, asserting claims under the Securities Exchange Act of 1934, as amended, based on alleged misrepresentations and omissions concerning the anticipated time for completion of our acquisition of Advanced Disposal. In August 2025, the court granted preliminary approval of a settlement that will be covered by insurance, with a final approval hearing scheduled for December 2025. We do not believe that the eventual outcome of this matter will have a material adverse effect on the Company’s business, financial condition, results of operations or cash flows.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and certain parts of Europe.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5" w:name="page16"/>
    <w:bookmarkEnd w:id="15"/>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September 30, 2025 and December 31, 2024, the IRS deposit, net of reserve for uncertain tax positions, was classified as a component of other long-term assets in the Company’s Condensed Consolidated Balance Sheets.</w:t>
      </w:r>
    </w:p>
    <w:p>
      <w:pPr>
        <w:spacing w:after="0" w:line="190"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East Tier; (ii) West Tier; (iii) Recycling Processing and Sales; (iv) WM Renewable Energy and (v) WM Healthcare Solutions. Our East and West Tiers along with Other Ancillary services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6" w:name="page17"/>
    <w:bookmarkEnd w:id="16"/>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and nine months ended September 30 is shown in the following table (in millions):</w:t>
      </w:r>
    </w:p>
    <w:p>
      <w:pPr>
        <w:spacing w:after="0" w:line="51"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Intercompany</w:t>
            </w:r>
          </w:p>
        </w:tc>
        <w:tc>
          <w:tcPr>
            <w:tcW w:w="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Selling,</w:t>
            </w:r>
          </w:p>
        </w:tc>
        <w:tc>
          <w:tcPr>
            <w:tcW w:w="100" w:type="dxa"/>
            <w:vAlign w:val="bottom"/>
          </w:tcPr>
          <w:p>
            <w:pPr>
              <w:spacing w:after="0"/>
              <w:rPr>
                <w:sz w:val="12"/>
                <w:szCs w:val="12"/>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Depreciation,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2"/>
                <w:szCs w:val="12"/>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35"/>
        </w:trPr>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tcPr>
          <w:p>
            <w:pPr>
              <w:spacing w:after="0"/>
              <w:rPr>
                <w:sz w:val="11"/>
                <w:szCs w:val="11"/>
                <w:color w:val="auto"/>
              </w:rPr>
            </w:pPr>
          </w:p>
        </w:tc>
        <w:tc>
          <w:tcPr>
            <w:tcW w:w="58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r>
      <w:tr>
        <w:trPr>
          <w:trHeight w:val="155"/>
        </w:trPr>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Administrative</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Expenses(b)</w:t>
            </w:r>
          </w:p>
        </w:tc>
        <w:tc>
          <w:tcPr>
            <w:tcW w:w="6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80" w:type="dxa"/>
            <w:vAlign w:val="bottom"/>
          </w:tcPr>
          <w:p>
            <w:pPr>
              <w:spacing w:after="0"/>
              <w:rPr>
                <w:sz w:val="13"/>
                <w:szCs w:val="13"/>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Operations(c)</w:t>
            </w:r>
          </w:p>
        </w:tc>
        <w:tc>
          <w:tcPr>
            <w:tcW w:w="14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(d)</w:t>
            </w:r>
          </w:p>
        </w:tc>
      </w:tr>
      <w:tr>
        <w:trPr>
          <w:trHeight w:val="102"/>
        </w:trPr>
        <w:tc>
          <w:tcPr>
            <w:tcW w:w="1960" w:type="dxa"/>
            <w:vAlign w:val="bottom"/>
            <w:tcBorders>
              <w:top w:val="single" w:sz="8" w:color="CCEEFF"/>
              <w:left w:val="single" w:sz="8" w:color="CCEEFF"/>
            </w:tcBorders>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15"/>
        </w:trPr>
        <w:tc>
          <w:tcPr>
            <w:tcW w:w="1160" w:type="dxa"/>
            <w:vAlign w:val="bottom"/>
            <w:tcBorders>
              <w:top w:val="single" w:sz="8" w:color="auto"/>
              <w:left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r>
      <w:tr>
        <w:trPr>
          <w:trHeight w:val="20"/>
        </w:trPr>
        <w:tc>
          <w:tcPr>
            <w:tcW w:w="780" w:type="dxa"/>
            <w:vAlign w:val="bottom"/>
            <w:tcBorders>
              <w:lef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35"/>
        </w:trPr>
        <w:tc>
          <w:tcPr>
            <w:tcW w:w="19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96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2,336</w:t>
            </w:r>
          </w:p>
        </w:tc>
        <w:tc>
          <w:tcPr>
            <w:tcW w:w="6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2,974</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1,813</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20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60" w:type="dxa"/>
            <w:vAlign w:val="bottom"/>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w:t>
            </w:r>
          </w:p>
        </w:tc>
      </w:tr>
      <w:tr>
        <w:trPr>
          <w:trHeight w:val="135"/>
        </w:trPr>
        <w:tc>
          <w:tcPr>
            <w:tcW w:w="1960" w:type="dxa"/>
            <w:vAlign w:val="bottom"/>
            <w:tcBorders>
              <w:left w:val="single" w:sz="8" w:color="CCEEFF"/>
            </w:tcBorders>
            <w:gridSpan w:val="3"/>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w:t>
            </w:r>
          </w:p>
        </w:tc>
      </w:tr>
      <w:tr>
        <w:trPr>
          <w:trHeight w:val="135"/>
        </w:trPr>
        <w:tc>
          <w:tcPr>
            <w:tcW w:w="196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r>
      <w:tr>
        <w:trPr>
          <w:trHeight w:val="97"/>
        </w:trPr>
        <w:tc>
          <w:tcPr>
            <w:tcW w:w="1960" w:type="dxa"/>
            <w:vAlign w:val="bottom"/>
            <w:tcBorders>
              <w:top w:val="single" w:sz="8" w:color="CCEEFF"/>
              <w:left w:val="single" w:sz="8" w:color="CCEEFF"/>
            </w:tcBorders>
            <w:gridSpan w:val="3"/>
            <w:shd w:val="clear" w:color="auto" w:fill="CCEEFF"/>
          </w:tcPr>
          <w:p>
            <w:pPr>
              <w:ind w:left="340"/>
              <w:spacing w:after="0" w:line="97" w:lineRule="exact"/>
              <w:rPr>
                <w:sz w:val="20"/>
                <w:szCs w:val="20"/>
                <w:color w:val="auto"/>
              </w:rPr>
            </w:pPr>
            <w:r>
              <w:rPr>
                <w:rFonts w:ascii="Times New Roman" w:cs="Times New Roman" w:eastAsia="Times New Roman" w:hAnsi="Times New Roman"/>
                <w:sz w:val="10"/>
                <w:szCs w:val="10"/>
                <w:color w:val="auto"/>
              </w:rPr>
              <w:t>Collection and Disposal(e)(f)</w:t>
            </w: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53"/>
        </w:trPr>
        <w:tc>
          <w:tcPr>
            <w:tcW w:w="1960" w:type="dxa"/>
            <w:vAlign w:val="bottom"/>
            <w:tcBorders>
              <w:left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r>
      <w:tr>
        <w:trPr>
          <w:trHeight w:val="135"/>
        </w:trPr>
        <w:tc>
          <w:tcPr>
            <w:tcW w:w="1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r>
      <w:tr>
        <w:trPr>
          <w:trHeight w:val="135"/>
        </w:trPr>
        <w:tc>
          <w:tcPr>
            <w:tcW w:w="19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w:t>
            </w:r>
          </w:p>
        </w:tc>
      </w:tr>
      <w:tr>
        <w:trPr>
          <w:trHeight w:val="135"/>
        </w:trPr>
        <w:tc>
          <w:tcPr>
            <w:tcW w:w="1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WM Healthcare Solutions(g)(h)</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r>
      <w:tr>
        <w:trPr>
          <w:trHeight w:val="135"/>
        </w:trPr>
        <w:tc>
          <w:tcPr>
            <w:tcW w:w="19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(342)</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r>
      <w:tr>
        <w:trPr>
          <w:trHeight w:val="168"/>
        </w:trPr>
        <w:tc>
          <w:tcPr>
            <w:tcW w:w="1960" w:type="dxa"/>
            <w:vAlign w:val="bottom"/>
            <w:tcBorders>
              <w:bottom w:val="single" w:sz="8" w:color="CCEEFF"/>
            </w:tcBorders>
            <w:gridSpan w:val="3"/>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6,443</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1,465</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7,908</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5,293</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670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989</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847</w:t>
            </w:r>
          </w:p>
        </w:tc>
      </w:tr>
      <w:tr>
        <w:trPr>
          <w:trHeight w:val="116"/>
        </w:trPr>
        <w:tc>
          <w:tcPr>
            <w:tcW w:w="780" w:type="dxa"/>
            <w:vAlign w:val="bottom"/>
            <w:tcBorders>
              <w:lef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(1,465)</w:t>
            </w: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(1,460)</w:t>
            </w:r>
          </w:p>
        </w:tc>
        <w:tc>
          <w:tcPr>
            <w:tcW w:w="80" w:type="dxa"/>
            <w:vAlign w:val="bottom"/>
          </w:tcPr>
          <w:p>
            <w:pPr>
              <w:spacing w:after="0"/>
              <w:rPr>
                <w:sz w:val="11"/>
                <w:szCs w:val="11"/>
                <w:color w:val="auto"/>
              </w:rPr>
            </w:pPr>
          </w:p>
        </w:tc>
        <w:tc>
          <w:tcPr>
            <w:tcW w:w="8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8"/>
        </w:trPr>
        <w:tc>
          <w:tcPr>
            <w:tcW w:w="1960" w:type="dxa"/>
            <w:vAlign w:val="bottom"/>
            <w:tcBorders>
              <w:top w:val="single" w:sz="8" w:color="CCEEFF"/>
              <w:left w:val="single" w:sz="8" w:color="CCEEFF"/>
              <w:bottom w:val="single" w:sz="8" w:color="CCEEFF"/>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6,443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3,833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8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Intercompany</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Selling,</w:t>
            </w:r>
          </w:p>
        </w:tc>
        <w:tc>
          <w:tcPr>
            <w:tcW w:w="10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Depreciation,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6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8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80" w:type="dxa"/>
            <w:vAlign w:val="bottom"/>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Administrative</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Expenses(b)</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80" w:type="dxa"/>
            <w:vAlign w:val="bottom"/>
          </w:tcPr>
          <w:p>
            <w:pPr>
              <w:spacing w:after="0"/>
              <w:rPr>
                <w:sz w:val="12"/>
                <w:szCs w:val="12"/>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Operations(c)</w:t>
            </w:r>
          </w:p>
        </w:tc>
        <w:tc>
          <w:tcPr>
            <w:tcW w:w="140" w:type="dxa"/>
            <w:vAlign w:val="bottom"/>
          </w:tcPr>
          <w:p>
            <w:pPr>
              <w:spacing w:after="0"/>
              <w:rPr>
                <w:sz w:val="12"/>
                <w:szCs w:val="12"/>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w:t>
            </w:r>
          </w:p>
        </w:tc>
        <w:tc>
          <w:tcPr>
            <w:tcW w:w="20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Disposal(e)(f)</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5,084</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1,154</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6,238</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4,118</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1,426</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Energy(f)</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(356)</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6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5,609</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1,231</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6,840</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4,625</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530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558</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1,119</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(1,231)</w:t>
            </w: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(1,226)</w:t>
            </w:r>
          </w:p>
        </w:tc>
        <w:tc>
          <w:tcPr>
            <w:tcW w:w="80" w:type="dxa"/>
            <w:vAlign w:val="bottom"/>
          </w:tcPr>
          <w:p>
            <w:pPr>
              <w:spacing w:after="0"/>
              <w:rPr>
                <w:sz w:val="11"/>
                <w:szCs w:val="11"/>
                <w:color w:val="auto"/>
              </w:rPr>
            </w:pPr>
          </w:p>
        </w:tc>
        <w:tc>
          <w:tcPr>
            <w:tcW w:w="8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5,609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3,399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1,119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7" w:name="page18"/>
    <w:bookmarkEnd w:id="17"/>
    <w:tbl>
      <w:tblPr>
        <w:tblLayout w:type="fixed"/>
        <w:tblInd w:w="5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Intercompany</w:t>
            </w:r>
          </w:p>
        </w:tc>
        <w:tc>
          <w:tcPr>
            <w:tcW w:w="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Selling,</w:t>
            </w:r>
          </w:p>
        </w:tc>
        <w:tc>
          <w:tcPr>
            <w:tcW w:w="100" w:type="dxa"/>
            <w:vAlign w:val="bottom"/>
          </w:tcPr>
          <w:p>
            <w:pPr>
              <w:spacing w:after="0"/>
              <w:rPr>
                <w:sz w:val="12"/>
                <w:szCs w:val="12"/>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Depreciation,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2"/>
                <w:szCs w:val="12"/>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35"/>
        </w:trPr>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tcPr>
          <w:p>
            <w:pPr>
              <w:spacing w:after="0"/>
              <w:rPr>
                <w:sz w:val="11"/>
                <w:szCs w:val="11"/>
                <w:color w:val="auto"/>
              </w:rPr>
            </w:pPr>
          </w:p>
        </w:tc>
        <w:tc>
          <w:tcPr>
            <w:tcW w:w="58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r>
      <w:tr>
        <w:trPr>
          <w:trHeight w:val="155"/>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Administrative</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Expenses(b)</w:t>
            </w:r>
          </w:p>
        </w:tc>
        <w:tc>
          <w:tcPr>
            <w:tcW w:w="6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80" w:type="dxa"/>
            <w:vAlign w:val="bottom"/>
          </w:tcPr>
          <w:p>
            <w:pPr>
              <w:spacing w:after="0"/>
              <w:rPr>
                <w:sz w:val="13"/>
                <w:szCs w:val="13"/>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Operations(c)</w:t>
            </w:r>
          </w:p>
        </w:tc>
        <w:tc>
          <w:tcPr>
            <w:tcW w:w="14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(d)</w:t>
            </w:r>
          </w:p>
        </w:tc>
      </w:tr>
      <w:tr>
        <w:trPr>
          <w:trHeight w:val="102"/>
        </w:trPr>
        <w:tc>
          <w:tcPr>
            <w:tcW w:w="1960" w:type="dxa"/>
            <w:vAlign w:val="bottom"/>
            <w:tcBorders>
              <w:top w:val="single" w:sz="8" w:color="CCEEFF"/>
              <w:left w:val="single" w:sz="8" w:color="CCEEFF"/>
            </w:tcBorders>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15"/>
        </w:trPr>
        <w:tc>
          <w:tcPr>
            <w:tcW w:w="1080" w:type="dxa"/>
            <w:vAlign w:val="bottom"/>
            <w:tcBorders>
              <w:top w:val="single" w:sz="8" w:color="auto"/>
              <w:left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r>
      <w:tr>
        <w:trPr>
          <w:trHeight w:val="20"/>
        </w:trPr>
        <w:tc>
          <w:tcPr>
            <w:tcW w:w="78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35"/>
        </w:trPr>
        <w:tc>
          <w:tcPr>
            <w:tcW w:w="19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96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6,768</w:t>
            </w:r>
          </w:p>
        </w:tc>
        <w:tc>
          <w:tcPr>
            <w:tcW w:w="6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1,826</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8,594</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5,336</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264</w:t>
            </w:r>
          </w:p>
        </w:tc>
        <w:tc>
          <w:tcPr>
            <w:tcW w:w="8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810</w:t>
            </w:r>
          </w:p>
        </w:tc>
        <w:tc>
          <w:tcPr>
            <w:tcW w:w="20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2,130</w:t>
            </w:r>
          </w:p>
        </w:tc>
        <w:tc>
          <w:tcPr>
            <w:tcW w:w="60" w:type="dxa"/>
            <w:vAlign w:val="bottom"/>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905</w:t>
            </w:r>
          </w:p>
        </w:tc>
      </w:tr>
      <w:tr>
        <w:trPr>
          <w:trHeight w:val="135"/>
        </w:trPr>
        <w:tc>
          <w:tcPr>
            <w:tcW w:w="1960" w:type="dxa"/>
            <w:vAlign w:val="bottom"/>
            <w:tcBorders>
              <w:left w:val="single" w:sz="8" w:color="CCEEFF"/>
            </w:tcBorders>
            <w:gridSpan w:val="3"/>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828</w:t>
            </w:r>
          </w:p>
        </w:tc>
      </w:tr>
      <w:tr>
        <w:trPr>
          <w:trHeight w:val="135"/>
        </w:trPr>
        <w:tc>
          <w:tcPr>
            <w:tcW w:w="196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r>
      <w:tr>
        <w:trPr>
          <w:trHeight w:val="97"/>
        </w:trPr>
        <w:tc>
          <w:tcPr>
            <w:tcW w:w="1960" w:type="dxa"/>
            <w:vAlign w:val="bottom"/>
            <w:tcBorders>
              <w:top w:val="single" w:sz="8" w:color="CCEEFF"/>
              <w:left w:val="single" w:sz="8" w:color="CCEEFF"/>
            </w:tcBorders>
            <w:gridSpan w:val="3"/>
            <w:shd w:val="clear" w:color="auto" w:fill="CCEEFF"/>
          </w:tcPr>
          <w:p>
            <w:pPr>
              <w:ind w:left="340"/>
              <w:spacing w:after="0" w:line="97" w:lineRule="exact"/>
              <w:rPr>
                <w:sz w:val="20"/>
                <w:szCs w:val="20"/>
                <w:color w:val="auto"/>
              </w:rPr>
            </w:pPr>
            <w:r>
              <w:rPr>
                <w:rFonts w:ascii="Times New Roman" w:cs="Times New Roman" w:eastAsia="Times New Roman" w:hAnsi="Times New Roman"/>
                <w:sz w:val="10"/>
                <w:szCs w:val="10"/>
                <w:color w:val="auto"/>
              </w:rPr>
              <w:t>Collection and Disposal(e)(f)</w:t>
            </w: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r>
      <w:tr>
        <w:trPr>
          <w:trHeight w:val="153"/>
        </w:trPr>
        <w:tc>
          <w:tcPr>
            <w:tcW w:w="1960" w:type="dxa"/>
            <w:vAlign w:val="bottom"/>
            <w:tcBorders>
              <w:left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w:t>
            </w:r>
          </w:p>
        </w:tc>
      </w:tr>
      <w:tr>
        <w:trPr>
          <w:trHeight w:val="135"/>
        </w:trPr>
        <w:tc>
          <w:tcPr>
            <w:tcW w:w="1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r>
      <w:tr>
        <w:trPr>
          <w:trHeight w:val="135"/>
        </w:trPr>
        <w:tc>
          <w:tcPr>
            <w:tcW w:w="19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w:t>
            </w:r>
          </w:p>
        </w:tc>
      </w:tr>
      <w:tr>
        <w:trPr>
          <w:trHeight w:val="135"/>
        </w:trPr>
        <w:tc>
          <w:tcPr>
            <w:tcW w:w="1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WM Healthcare Solutions(g)(h)</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r>
      <w:tr>
        <w:trPr>
          <w:trHeight w:val="135"/>
        </w:trPr>
        <w:tc>
          <w:tcPr>
            <w:tcW w:w="19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r>
      <w:tr>
        <w:trPr>
          <w:trHeight w:val="168"/>
        </w:trPr>
        <w:tc>
          <w:tcPr>
            <w:tcW w:w="1960" w:type="dxa"/>
            <w:vAlign w:val="bottom"/>
            <w:tcBorders>
              <w:bottom w:val="single" w:sz="8" w:color="CCEEFF"/>
            </w:tcBorders>
            <w:gridSpan w:val="3"/>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18,891</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4,231</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23,122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15,533</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2,065</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278</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2,093</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3,153</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2,303</w:t>
            </w:r>
          </w:p>
        </w:tc>
      </w:tr>
      <w:tr>
        <w:trPr>
          <w:trHeight w:val="116"/>
        </w:trPr>
        <w:tc>
          <w:tcPr>
            <w:tcW w:w="780" w:type="dxa"/>
            <w:vAlign w:val="bottom"/>
            <w:tcBorders>
              <w:left w:val="single" w:sz="8" w:color="CCEEFF"/>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(4,231)</w:t>
            </w: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(4,214)</w:t>
            </w:r>
          </w:p>
        </w:tc>
        <w:tc>
          <w:tcPr>
            <w:tcW w:w="80" w:type="dxa"/>
            <w:vAlign w:val="bottom"/>
          </w:tcPr>
          <w:p>
            <w:pPr>
              <w:spacing w:after="0"/>
              <w:rPr>
                <w:sz w:val="11"/>
                <w:szCs w:val="11"/>
                <w:color w:val="auto"/>
              </w:rPr>
            </w:pPr>
          </w:p>
        </w:tc>
        <w:tc>
          <w:tcPr>
            <w:tcW w:w="8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8"/>
        </w:trPr>
        <w:tc>
          <w:tcPr>
            <w:tcW w:w="1960" w:type="dxa"/>
            <w:vAlign w:val="bottom"/>
            <w:tcBorders>
              <w:top w:val="single" w:sz="8" w:color="CCEEFF"/>
              <w:left w:val="single" w:sz="8" w:color="CCEEFF"/>
              <w:bottom w:val="single" w:sz="8" w:color="CCEEFF"/>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18,891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11,319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2,048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2,093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3,153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8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Intercompany</w:t>
            </w:r>
          </w:p>
        </w:tc>
        <w:tc>
          <w:tcPr>
            <w:tcW w:w="6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Selling,</w:t>
            </w:r>
          </w:p>
        </w:tc>
        <w:tc>
          <w:tcPr>
            <w:tcW w:w="100" w:type="dxa"/>
            <w:vAlign w:val="bottom"/>
          </w:tcPr>
          <w:p>
            <w:pPr>
              <w:spacing w:after="0"/>
              <w:rPr>
                <w:sz w:val="11"/>
                <w:szCs w:val="11"/>
                <w:color w:val="auto"/>
              </w:rPr>
            </w:pPr>
          </w:p>
        </w:tc>
        <w:tc>
          <w:tcPr>
            <w:tcW w:w="6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Depreciation,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35"/>
        </w:trPr>
        <w:tc>
          <w:tcPr>
            <w:tcW w:w="1960" w:type="dxa"/>
            <w:vAlign w:val="bottom"/>
            <w:shd w:val="clear" w:color="auto" w:fill="CCEEFF"/>
          </w:tcPr>
          <w:p>
            <w:pPr>
              <w:spacing w:after="0"/>
              <w:rPr>
                <w:sz w:val="11"/>
                <w:szCs w:val="11"/>
                <w:color w:val="auto"/>
              </w:rPr>
            </w:pPr>
          </w:p>
        </w:tc>
        <w:tc>
          <w:tcPr>
            <w:tcW w:w="62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6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8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80" w:type="dxa"/>
            <w:vAlign w:val="bottom"/>
            <w:gridSpan w:val="2"/>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r>
      <w:tr>
        <w:trPr>
          <w:trHeight w:val="148"/>
        </w:trPr>
        <w:tc>
          <w:tcPr>
            <w:tcW w:w="1960" w:type="dxa"/>
            <w:vAlign w:val="bottom"/>
          </w:tcPr>
          <w:p>
            <w:pPr>
              <w:spacing w:after="0"/>
              <w:rPr>
                <w:sz w:val="12"/>
                <w:szCs w:val="12"/>
                <w:color w:val="auto"/>
              </w:rPr>
            </w:pPr>
          </w:p>
        </w:tc>
        <w:tc>
          <w:tcPr>
            <w:tcW w:w="6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8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Administrative</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Expenses(b)</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80" w:type="dxa"/>
            <w:vAlign w:val="bottom"/>
          </w:tcPr>
          <w:p>
            <w:pPr>
              <w:spacing w:after="0"/>
              <w:rPr>
                <w:sz w:val="12"/>
                <w:szCs w:val="12"/>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Operations(c)</w:t>
            </w:r>
          </w:p>
        </w:tc>
        <w:tc>
          <w:tcPr>
            <w:tcW w:w="140" w:type="dxa"/>
            <w:vAlign w:val="bottom"/>
          </w:tcPr>
          <w:p>
            <w:pPr>
              <w:spacing w:after="0"/>
              <w:rPr>
                <w:sz w:val="12"/>
                <w:szCs w:val="12"/>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(d)</w:t>
            </w: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9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6,501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8,178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757</w:t>
            </w:r>
          </w:p>
        </w:tc>
        <w:tc>
          <w:tcPr>
            <w:tcW w:w="200" w:type="dxa"/>
            <w:vAlign w:val="bottom"/>
            <w:gridSpan w:val="2"/>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726</w:t>
            </w:r>
          </w:p>
        </w:tc>
      </w:tr>
      <w:tr>
        <w:trPr>
          <w:trHeight w:val="135"/>
        </w:trPr>
        <w:tc>
          <w:tcPr>
            <w:tcW w:w="196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6,207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7,736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725</w:t>
            </w:r>
          </w:p>
        </w:tc>
      </w:tr>
      <w:tr>
        <w:trPr>
          <w:trHeight w:val="135"/>
        </w:trPr>
        <w:tc>
          <w:tcPr>
            <w:tcW w:w="19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r>
      <w:tr>
        <w:trPr>
          <w:trHeight w:val="128"/>
        </w:trPr>
        <w:tc>
          <w:tcPr>
            <w:tcW w:w="196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Disposal(e)(f)</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14,722</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3,341</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18,063</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11,961</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639</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1,416</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4,064</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1,491</w:t>
            </w: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Sales(e)</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w:t>
            </w: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Energy(f)</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361</w:t>
            </w:r>
          </w:p>
        </w:tc>
      </w:tr>
      <w:tr>
        <w:trPr>
          <w:trHeight w:val="135"/>
        </w:trPr>
        <w:tc>
          <w:tcPr>
            <w:tcW w:w="1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Other(f)</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(1,056)</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r>
      <w:tr>
        <w:trPr>
          <w:trHeight w:val="168"/>
        </w:trPr>
        <w:tc>
          <w:tcPr>
            <w:tcW w:w="196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16,170</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3,571</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19,741</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13,386</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1,532</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1,615</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3,144</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2,218</w:t>
            </w:r>
          </w:p>
        </w:tc>
      </w:tr>
      <w:tr>
        <w:trPr>
          <w:trHeight w:val="116"/>
        </w:trPr>
        <w:tc>
          <w:tcPr>
            <w:tcW w:w="1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(3,571)</w:t>
            </w: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(3,556)</w:t>
            </w:r>
          </w:p>
        </w:tc>
        <w:tc>
          <w:tcPr>
            <w:tcW w:w="80" w:type="dxa"/>
            <w:vAlign w:val="bottom"/>
          </w:tcPr>
          <w:p>
            <w:pPr>
              <w:spacing w:after="0"/>
              <w:rPr>
                <w:sz w:val="11"/>
                <w:szCs w:val="11"/>
                <w:color w:val="auto"/>
              </w:rPr>
            </w:pPr>
          </w:p>
        </w:tc>
        <w:tc>
          <w:tcPr>
            <w:tcW w:w="8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28"/>
        </w:trPr>
        <w:tc>
          <w:tcPr>
            <w:tcW w:w="19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16,170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9,830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1,615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3,144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9"/>
        </w:trPr>
        <w:tc>
          <w:tcPr>
            <w:tcW w:w="1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expenses include restructuring expenses, (gain) loss from divestitures, and asset impairments and unusual items, net.</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1.</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Additionally, our Corporate and Other business recognizes construction work in progress for fleet purchases during the period. Capital expenditures are reported in our reportable segments at the time they are recorded within the segments’ property and equipment balances and, therefore, include timing differences for amounts accrued but not yet paid as well as amounts transferred from Corporate and Other for fleet placed in service.</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recyclable material we collect are included within our Collection and Disposal businesses. The amounts in income from operations for the three and nine months ended September 30, 2025 are $19 million and $59 million, respectively. The amounts in income from operations for three and nine months ended September 30, 2024, are $29 million and $77 million, respectively.</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and Corporate and Other businesses for landfill gas. The total amount of royalties in gross and intercompany operating revenues for the East Tier, West Tier, and Corporate and Other and in operating expenses for WM Renewable Energy for the three and nine months ended September 30, 2025 are $17 million and $48 million, respectively. The total amount of royalties in gross and intercompany operating revenues for the East Tier, West Tier, and Corporate and Other and in operating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8" w:name="page19"/>
    <w:bookmarkEnd w:id="18"/>
    <w:p>
      <w:pPr>
        <w:jc w:val="both"/>
        <w:ind w:left="380" w:right="79"/>
        <w:spacing w:after="0" w:line="266" w:lineRule="auto"/>
        <w:rPr>
          <w:sz w:val="20"/>
          <w:szCs w:val="20"/>
          <w:color w:val="auto"/>
        </w:rPr>
      </w:pPr>
      <w:r>
        <w:rPr>
          <w:rFonts w:ascii="Times New Roman" w:cs="Times New Roman" w:eastAsia="Times New Roman" w:hAnsi="Times New Roman"/>
          <w:sz w:val="18"/>
          <w:szCs w:val="18"/>
          <w:color w:val="auto"/>
        </w:rPr>
        <w:t>expenses for WM Renewable Energy for the three and nine months ended September 30, 2024 are $13 million and $34 million, respectively. Prior to the fourth quarter of 2024, amounts related to intercompany royalty payments were adjusted through income from operations. Prior periods have been recast to conform to current year presentation.</w:t>
      </w:r>
    </w:p>
    <w:p>
      <w:pPr>
        <w:spacing w:after="0" w:line="68" w:lineRule="exact"/>
        <w:rPr>
          <w:sz w:val="20"/>
          <w:szCs w:val="20"/>
          <w:color w:val="auto"/>
        </w:rPr>
      </w:pPr>
    </w:p>
    <w:p>
      <w:pPr>
        <w:jc w:val="both"/>
        <w:ind w:left="380" w:right="7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Disposal business records intercompany operating revenue for collection and disposal services provided to WM Healthcare Solutions. The total amount of intercompany operating revenues reflected in our Collection and Disposal businesses and in operating expenses for WM Healthcare Solutions for the three and nine months ended September 30, 2025 are $16 million and $36 million, respectively.</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as a result of continued integration efforts and to enhance transparency and accountability, the Company began reflecting intra-segment activity within the WM Healthcare Solutions segment. These charges were designed to measure profitability at more granular levels of the enterprise and to facilitate clearer financial accountability within operating units. Accordingly, adjustments to the nine months ended September 30, 2025 were made to properly reflect the year to date intra-segment activity. Intra-segment operating revenues and operating expenses within WM Healthcare Solutions for the three and nine months ended September 30, 2025 are $108 million and $315 million, respectively.</w:t>
      </w:r>
    </w:p>
    <w:p>
      <w:pPr>
        <w:spacing w:after="0" w:line="80"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by reportable segment are presented in the table below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per Condensed Consolidated Balance Sheet</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4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19" w:name="page20"/>
    <w:bookmarkEnd w:id="19"/>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three and nine months ended September 30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28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c>
          <w:tcPr>
            <w:tcW w:w="3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6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3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6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3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6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20" w:name="page21"/>
    <w:bookmarkEnd w:id="2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6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5"/>
        </w:trPr>
        <w:tc>
          <w:tcPr>
            <w:tcW w:w="614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16"/>
        </w:trPr>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16"/>
        </w:trPr>
        <w:tc>
          <w:tcPr>
            <w:tcW w:w="6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09"/>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r>
      <w:tr>
        <w:trPr>
          <w:trHeight w:val="216"/>
        </w:trPr>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10"/>
        </w:trPr>
        <w:tc>
          <w:tcPr>
            <w:tcW w:w="20" w:type="dxa"/>
            <w:vAlign w:val="bottom"/>
          </w:tcPr>
          <w:p>
            <w:pPr>
              <w:spacing w:after="0"/>
              <w:rPr>
                <w:sz w:val="18"/>
                <w:szCs w:val="18"/>
                <w:color w:val="auto"/>
              </w:rPr>
            </w:pPr>
          </w:p>
        </w:tc>
        <w:tc>
          <w:tcPr>
            <w:tcW w:w="6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16"/>
        </w:trPr>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6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1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09"/>
        </w:trPr>
        <w:tc>
          <w:tcPr>
            <w:tcW w:w="20" w:type="dxa"/>
            <w:vAlign w:val="bottom"/>
          </w:tcPr>
          <w:p>
            <w:pPr>
              <w:spacing w:after="0"/>
              <w:rPr>
                <w:sz w:val="18"/>
                <w:szCs w:val="18"/>
                <w:color w:val="auto"/>
              </w:rPr>
            </w:pPr>
          </w:p>
        </w:tc>
        <w:tc>
          <w:tcPr>
            <w:tcW w:w="6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16"/>
        </w:trPr>
        <w:tc>
          <w:tcPr>
            <w:tcW w:w="6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09"/>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r>
      <w:tr>
        <w:trPr>
          <w:trHeight w:val="216"/>
        </w:trPr>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6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1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2024 Form 10-K, the Company adjusted gross and intercompany operating revenues to reflect the 15% royalty paid by WM Renewable Energy to our Collection and Disposal and Corporate and Other businesses for the purchase of landfill gas. There was no change to net operating revenues. Prior periods have been recast to conform to current presentation.</w:t>
      </w:r>
    </w:p>
    <w:p>
      <w:pPr>
        <w:spacing w:after="0" w:line="7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1" w:name="page22"/>
    <w:bookmarkEnd w:id="21"/>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pacing w:after="0" w:line="172" w:lineRule="exact"/>
        <w:rPr>
          <w:sz w:val="20"/>
          <w:szCs w:val="20"/>
          <w:color w:val="auto"/>
        </w:rPr>
      </w:pPr>
    </w:p>
    <w:p>
      <w:pPr>
        <w:ind w:left="420" w:hanging="370"/>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Stericycle Acquisition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June 3, 2024, we entered into an Agreement and Plan of Merger (the “Merger Agreement”) to acquire all outstanding shares of Stericycle for $62.00 per share in cash, representing a total enterprise value of approximately $7.2 billion (net of cash acquired) when including the assumption of $0.5 billion of debt and the repayment of approximately $0.8 billion of net debt. The acquisition expands our offerings in the U.S., Canada and parts of Western Europe by providing regulated waste and compliance services and secure information destruction services that protect people and brands, promote health and well-being and safeguard the environment. The transaction closed on November 4, 2024 and was funded using borrowings under a term credit agreement, commercial paper program and available cash on hand. Shortly thereafter, we repaid all outstanding borrowings under the term credit agreement with net proceeds from our November 2024 issuance of $5.2 billion of senior notes.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have not been retroactively restated to include Stericycle’s historical financial position or results of operations. The acquisition is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estimates and assumptions are subject to change during the measurement period, not to exceed one year from the acquisition date. The areas of acquisition accounting that are not yet finalized primarily relate to (i) finalizing the review and valuation of trade names, permits, customer relationships and certain property plant and equipment and other intangibles (including the models, key assumptions, estimates and inputs used) and assignment of remaining useful lives associated with the depreciable and amortizable assets and (ii) finalizing the review and valuation of accrued expenses, contingent liabilities, deferred taxes and goodwill (including key assumptions, inputs and estimates).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of $3.8 billion was calculated as the excess of the consideration paid over the net assets recognized and represents the future economic benefits expected to arise from other assets acquired that could not be individually identified and separately recognized and from synergies of the combination. In the first quarter of 2025, we finalized the determination of our reporting units related to the Stericycle acquisition and allocated the goodwill balance to two reporting units within our WM Healthcare Solutions segment using a relative fair value allocation method. Substantially all of the goodwill is not deductible for income tax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2" w:name="page23"/>
    <w:bookmarkEnd w:id="22"/>
    <w:p>
      <w:pPr>
        <w:ind w:left="380"/>
        <w:spacing w:after="0"/>
        <w:rPr>
          <w:sz w:val="20"/>
          <w:szCs w:val="20"/>
          <w:color w:val="auto"/>
        </w:rPr>
      </w:pPr>
      <w:r>
        <w:rPr>
          <w:rFonts w:ascii="Times New Roman" w:cs="Times New Roman" w:eastAsia="Times New Roman" w:hAnsi="Times New Roman"/>
          <w:sz w:val="18"/>
          <w:szCs w:val="18"/>
          <w:color w:val="auto"/>
        </w:rPr>
        <w:t>The following table shows the preliminary purchase price allocation as of the date acquired and adjustments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(in millions):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November 4, 2024</w:t>
            </w:r>
          </w:p>
        </w:tc>
        <w:tc>
          <w:tcPr>
            <w:tcW w:w="14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(a)</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 (a)</w:t>
            </w:r>
          </w:p>
        </w:tc>
        <w:tc>
          <w:tcPr>
            <w:tcW w:w="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09"/>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purchase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4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Represents Stericycle’s Spain and Portugal subsidiaries. See “Divestitures” below for additional information.</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preliminary allocation of $3,482 million for other intangible assets includes (i) $2,296 million for customer relationships with a weighted average amortization period of 15 years; (ii) $610 million for indefinite lived trade names;</w:t>
      </w:r>
    </w:p>
    <w:p>
      <w:pPr>
        <w:jc w:val="both"/>
        <w:ind w:left="60" w:right="59" w:hanging="10"/>
        <w:spacing w:after="0" w:line="255" w:lineRule="auto"/>
        <w:tabs>
          <w:tab w:leader="none" w:pos="4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 million for indefinite lived permits; (iv) $114 million for finite lived trade names with a weighted average amortization period of 2.9 years; (v) $138 million for enterprise resource planning software with a weighted average amortization period of 4.7 years and (vi) $5 million for developed technology with an amortization period of 17 years.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completed solid waste and recycling acquisitions with total consideration of $442 million, which included $399 million in net cash paid and $43 million of other consideration, specifically purchase price holdbacks. In addition, we paid $8 million of holdbacks related to prior year acquisitions.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Total consideration for our 2025 acquisitions was primarily allocated to $91 million of property and equipment, $45 million of other intangible assets, primarily customer relationships, and $322 million of goodwill. The goodwill was primarily a result of expected synergies from combining the acquired businesses with our existing operations and substantially all was tax deductible. We remain in the measurement period for most of our 2025 acquisitions, and adjustments to our preliminary purchase price allocation may occur.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January 2, 2025, we completed the sale of our WM Healthcare Solutions’ Spain and Portugal subsidiaries. As the fair value of consideration transferred was equal to the carrying value of the divested subsidiaries, no gain or loss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b w:val="1"/>
          <w:bCs w:val="1"/>
          <w:color w:val="auto"/>
        </w:rPr>
        <w:t>9. Restructuring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recognized $14 million and $39 million of pre-tax restructuring charges, primarily related to employee costs associated with the integration of Stericycle as well as employee retention and severance costs incurred to support automation at our recycling facilities and in certain back-office functions.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(Gain) Loss from Divestitures, Asset Impairments and Unusual Items, Net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2025 includes (i) a $152 million impairment charge related to the decision to temporarily suspend the operations of a business engaged in 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and (iii) an $11 million negotiated payment for early termination of a contract in our WM Renewable Energy segment. The nine months ended September 30, 2025 also includes a $16 million goodwill impairment charge related to a business engaged in oil recovery and sludge processing services. This charge is reflected in Other Ancillary within our Collection and Disposal businesses.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2024 primarily relates to a $14 million loss associated with the divestiture of a minority investment in a medical waste company within Corporate and Other, in connection with our November 2024 acquisition of Stericycle. The nine months ended September 30, 2024 included a $54 million charge required to increase the estimated fair value of a liability associated with the expected disposition of an investment the Company holds in a waste diversion technology business. This charge is reflected in our Corporate and Other measures within our segment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480" w:type="dxa"/>
            <w:vAlign w:val="bottom"/>
            <w:gridSpan w:val="9"/>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for-Sale   Translation</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2"/>
                <w:szCs w:val="12"/>
                <w:color w:val="auto"/>
              </w:rPr>
            </w:pPr>
          </w:p>
        </w:tc>
        <w:tc>
          <w:tcPr>
            <w:tcW w:w="4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50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tax expense (benefit) of $0, $5, $0 and $0, respectively</w:t>
            </w:r>
          </w:p>
        </w:tc>
        <w:tc>
          <w:tcPr>
            <w:tcW w:w="3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net of tax (expense) benefit of $(1), $0, $0 and $0,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Common Stock Repurchase Program</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may repurchase shares of its common stock as part of capital allocation programs authorized by our Board of Directors.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common stock repurchases during the nine months ended September 30, 2025. As a result of the incremental debt incurred to fund the Stericycle acquisition, the Company has temporarily suspended share repurchases. We expect to resume share repurchases once the Company’s leverage returns to targeted levels.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0"/>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Our available-for-sale securities primarily relate to debt securities with maturities over the next ten years.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carrying value of our debt was $23.4 billion and $23.9 billion, respectively. The estimated fair value of our debt was approximately $23.0 billion and $22.9 billion as of September 30, 2025 and December 31, 2024, respectively.</w:t>
      </w:r>
    </w:p>
    <w:p>
      <w:pPr>
        <w:spacing w:after="0" w:line="14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2025 and December 31, 2024. These amounts have not been revalued since those dates, and current estimates of fair value could differ significantly from the amounts presented.</w:t>
      </w:r>
    </w:p>
    <w:p>
      <w:pPr>
        <w:spacing w:after="0" w:line="14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See Note 8 for information related to the nonrecurring fair value measurement of assets and liabilities acquired in connection with our acquisition of Stericycle. See Note 10 for information related to our nonrecurring Level 3 fair value measurements.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Variable Interest Entities</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$636 million and $707 million as of September 30, 2025 and December 31, 2024, respectively. The debt balance related to our investments in low-income housing properties was $635 million and $670 million as of September 30, 2025 and December 31, 2024, respectively. Additional information related to these investments is discussed in Note 4.</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other long-term assets in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5" w:name="page26"/>
    <w:bookmarkEnd w:id="25"/>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$121 million and $111 million as of September 30, 2025 and December 31, 2024, respectively.</w:t>
      </w:r>
    </w:p>
    <w:p>
      <w:pPr>
        <w:spacing w:after="0" w:line="13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$138 million and $128 million as of September 30, 2025 and December 31, 2024,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2024.</w:t>
      </w:r>
    </w:p>
    <w:p>
      <w:pPr>
        <w:spacing w:after="0" w:line="180"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opinions, views or beliefs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operational, technological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recyclables,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and tariffs; competitive disposal alternatives, diversion of waste from landfills and declining waste volumes; changing conditions in the healthcare industry; changing conditions in the recycling industry, including impacts on demand, pricing and availability of counterparties;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and other risks discussed in our filings with the SEC, including Part I, Item 1A of our Annual Report on Form 10-K for the year ended December 31, 2024.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(“RNG”), which is a significant source of fuel that we allocate to our natural gas fleet. Additionally, we are a leading recycler in the U.S. and Canada, handling materials that include paper, cardboard, glass, plastic and metal.</w:t>
      </w:r>
    </w:p>
    <w:p>
      <w:pPr>
        <w:spacing w:after="0" w:line="190"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Stericycle Acquisition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4, 2024, we completed our acquisition of all outstanding shares of Stericycle, Inc., a provider of regulated waste and compliance services and secure information destruction services that protect people and brands, promote health and well-being and safeguard the environment. The post-closing operating results of Stericycle have been included in our Condensed Consolidated Financial Statements as a new reportable segment referred to as WM Healthcare Solutions. Since closing the acquisition we have prioritized service delivery for our customers and the integration of operations into WM’s organizational structure, ensuring business alignment with WM’s core values and capturing synergies through reduction of duplicative processes and costs. We have also focused on business integration and process optimization through technological enhancements, establishing a performance management approach aimed at accountability, improving customer engagement, billing and collection processes to deliver cash flow, enhancing customer lifetime value and optimizing disposal costs by internalizing waste within our integrated asset portfolio.</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16" w:lineRule="exact"/>
        <w:rPr>
          <w:sz w:val="20"/>
          <w:szCs w:val="20"/>
          <w:color w:val="auto"/>
        </w:rPr>
      </w:pPr>
    </w:p>
    <w:p>
      <w:pPr>
        <w:jc w:val="both"/>
        <w:ind w:left="60" w:right="59" w:firstLine="324"/>
        <w:spacing w:after="0" w:line="234"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are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are furthering our strategy of focused differentiation and continuous improvement beyond our traditional waste operations through our sustainability growth strategy that includes significant investments in our WM Renewable Energy and Recycling Processing and Sales segments, while increasing automation and reducing labor dependency. In addition, with our acquisition of Stericycle, we have advanced our growth strategy and built upon our sustainability initiatives. The acquisition provides a complementary business platform in regulated waste and compliance services involving medical waste, a sector with attractive near- and long-term growth dynamics and in secure information destruction services to further our leading suite of comprehensive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8" w:name="page29"/>
    <w:bookmarkEnd w:id="28"/>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waste and environmental solutions. Furthermore, we are also evaluating and pursuing emerging diversion technologies that may generate additional value.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regulated waste and compliance services and secure information destruction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2025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sustainability.wm.com but it does not constitute a part of, and is not incorporated by reference into, this Quarterly Report on Form 10-Q.</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for certain high-turnover positions, particularly in customer experience, recycling and residential collection, while further elevating our customer self-service through digitalization and implementation of technologies to enhance the safety, reliability and efficiency within our collection operations.</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and WM Renewable Energy segments. During the nine months ended September 30, 2025, we experienced decreases in market prices for recycled commodities when compared to the prior year period caused by a number of factors, including the closure of domestic paper mills, a decrease in demand for recycled content by certain consumer goods producers, focused reduction in cardboard packaging and overall market conditions. While the combined impacts of commodity price fluctuations from the prior year had a modestly favorable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29" w:name="page30"/>
    <w:bookmarkEnd w:id="29"/>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impact on the WM Renewable Energy segment in the first nine months of 2025, we may experience more significant impacts from fluctuations in the prices of renewable identification numbers (“RINs”) and natural gas in the future.</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 our customers.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third quarter of 2025, we continued to focus on our priorities to advance our strategy – enhancing employee engagement, permanently reducing our cost to serve our customers through the use of technology and automation, investing in growth through our Recycling Processing and Sales and WM Renewable Energy segments and integrating the Stericycle business. We continue to invest in our people through paying a competitive market wage, investing in our digital platform and providing training for our team members. We remain committed to our investment in recycling automation, which reduces costs and increases throughput, positioning us to overcome commodity price headwinds and deliver a differentiated service. As part of the integration of Stericycle, which constitutes our new WM Healthcare Solutions segment, we achieved synergies by reducing costs of duplicative business processes, established a performance management approach aimed at accountability and continued to improve customer engagement, billing and collection processes to deliver cash flow.</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third quarter include:</w:t>
      </w:r>
    </w:p>
    <w:p>
      <w:pPr>
        <w:spacing w:after="0" w:line="117" w:lineRule="exact"/>
        <w:rPr>
          <w:sz w:val="20"/>
          <w:szCs w:val="20"/>
          <w:color w:val="auto"/>
        </w:rPr>
      </w:pPr>
    </w:p>
    <w:p>
      <w:pPr>
        <w:jc w:val="both"/>
        <w:ind w:left="720" w:right="79" w:hanging="319"/>
        <w:spacing w:after="0" w:line="258"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$6,443 million, compared to $5,609 million in the prior year period, an increase of $834 million, or 14.9%. The increase is primarily attributable to (i) our recent acquisitions, particularly Stericycle; (ii) higher yield in our Collection and Disposal businesses and (iii) higher volumes primarily in our landfill, renewable energy, industrial collection and recycling businesses. The increase was partially offset by lower residential collection volumes and a reduction in single-stream and brokerage recycled commodity prices;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$3,833 million, or 59.5% of revenues, compared to $3,399 million, or 60.6% of revenues, in the prior year period. Despite the increase in operating expenses, efficiency gains, improved turnover and momentum in truck deliveries, combined with the benefit of price increases and high margin special waste volumes, positioned us to reduce our operating expenses as a percentage of revenue when compared to the prior year period;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$665 million, or 10.3% of revenues, compared to $525 million, or 9.4% of revenues, in the prior year period. The $140 million increase is primarily attributable to our recent acquisitions, particularly Stericycle, including consulting and technology costs incurred to support Stericycle’s integration;</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$989 million, or 15.3% of revenues, compared to $1,119 million, or 20.0% of revenues, in the prior year period. The $130 million decrease is primarily attributable to (i) a $152 million charge related to the decision to temporarily suspend the operations of a business engaged in accelerating plastic film and wrap recycling capabilities resulting from significant deterioration of market pricing and demand for post-consumer plastics; (ii) higher depreciation and amortization costs and integration-related expenses arising from our Stericycle acquisition; (iii) a $45 million impairment charge related to the decision to accelerate the closure of a landfill within our East Tier and (iv) an $11 million negotiated payment for early termination of a contract in our WM Renewable Energy segment. These reductions were partially offset by growth in our Collection and Disposal businesses and declines in annual incentive compensation and employee benefit expenses;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$603 million, or $1.49 per diluted share, compared to $760 million, or $1.88 per diluted share, in the prior year period. The $157 million decrease was primarily driven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0" w:name="page31"/>
    <w:bookmarkEnd w:id="30"/>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by a decrease in income from operations, discussed above, and increased interest expense related to the additional debt incurred to finance our Stericycle acquisition. These decreases were partially offset by lower income tax expense;</w:t>
      </w:r>
    </w:p>
    <w:p>
      <w:pPr>
        <w:spacing w:after="0" w:line="68" w:lineRule="exact"/>
        <w:rPr>
          <w:sz w:val="20"/>
          <w:szCs w:val="20"/>
          <w:color w:val="auto"/>
        </w:rPr>
      </w:pPr>
    </w:p>
    <w:p>
      <w:pPr>
        <w:jc w:val="both"/>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$1,592 million compared to $1,358 million in the prior year period, with the increase driven by (i) higher earnings in our Collection and Disposal businesses; (ii) contributions from our recent acquisitions and (iii) lower cash tax payments. These increases were partially offset by higher cash interest payments primarily due to additional debt incurred to fund our acquisition of Stericycle;</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$821 million compared to $618 million in the prior year period. The increase in free cash flow is attributable to the increase in net cash provided by operating activities discussed above, partially offset by a planned reduction in capital investment in our sustainability growth projects as we move from peak construction of this portfolio into a period where we will harvest strong returns on these businesses.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three and nine months ended September 30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2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3" w:right="1440" w:bottom="1440" w:gutter="0" w:footer="0" w:header="0"/>
        </w:sectPr>
      </w:pPr>
    </w:p>
    <w:bookmarkStart w:id="32" w:name="page33"/>
    <w:bookmarkEnd w:id="3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3"/>
                <w:szCs w:val="13"/>
                <w:color w:val="auto"/>
              </w:rPr>
            </w:pPr>
          </w:p>
        </w:tc>
        <w:tc>
          <w:tcPr>
            <w:tcW w:w="60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6"/>
              </w:rPr>
              <w:t>Gross</w:t>
            </w: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6"/>
        </w:trPr>
        <w:tc>
          <w:tcPr>
            <w:tcW w:w="612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16"/>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16"/>
        </w:trPr>
        <w:tc>
          <w:tcPr>
            <w:tcW w:w="6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09"/>
        </w:trPr>
        <w:tc>
          <w:tcPr>
            <w:tcW w:w="20" w:type="dxa"/>
            <w:vAlign w:val="bottom"/>
            <w:shd w:val="clear" w:color="auto" w:fill="CCEEFF"/>
          </w:tcPr>
          <w:p>
            <w:pPr>
              <w:spacing w:after="0"/>
              <w:rPr>
                <w:sz w:val="18"/>
                <w:szCs w:val="18"/>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r>
      <w:tr>
        <w:trPr>
          <w:trHeight w:val="216"/>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09"/>
        </w:trPr>
        <w:tc>
          <w:tcPr>
            <w:tcW w:w="20" w:type="dxa"/>
            <w:vAlign w:val="bottom"/>
          </w:tcPr>
          <w:p>
            <w:pPr>
              <w:spacing w:after="0"/>
              <w:rPr>
                <w:sz w:val="18"/>
                <w:szCs w:val="18"/>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16"/>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6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1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09"/>
        </w:trPr>
        <w:tc>
          <w:tcPr>
            <w:tcW w:w="20" w:type="dxa"/>
            <w:vAlign w:val="bottom"/>
          </w:tcPr>
          <w:p>
            <w:pPr>
              <w:spacing w:after="0"/>
              <w:rPr>
                <w:sz w:val="18"/>
                <w:szCs w:val="18"/>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16"/>
        </w:trPr>
        <w:tc>
          <w:tcPr>
            <w:tcW w:w="6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10"/>
        </w:trPr>
        <w:tc>
          <w:tcPr>
            <w:tcW w:w="20" w:type="dxa"/>
            <w:vAlign w:val="bottom"/>
            <w:shd w:val="clear" w:color="auto" w:fill="CCEEFF"/>
          </w:tcPr>
          <w:p>
            <w:pPr>
              <w:spacing w:after="0"/>
              <w:rPr>
                <w:sz w:val="18"/>
                <w:szCs w:val="18"/>
                <w:color w:val="auto"/>
              </w:rPr>
            </w:pPr>
          </w:p>
        </w:tc>
        <w:tc>
          <w:tcPr>
            <w:tcW w:w="6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r>
      <w:tr>
        <w:trPr>
          <w:trHeight w:val="216"/>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6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1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2024 Form 10-K, the Company adjusted gross and intercompany operating revenues to reflect the 15% royalty paid by WM Renewable Energy to our Collection and Disposal and Corporate and Other businesses for the purchase of landfill gas. There was no change to net operating revenues. Prior periods have been recast to conform to current presentation.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33" w:name="page34"/>
    <w:bookmarkEnd w:id="33"/>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8"/>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gridSpan w:val="7"/>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center"/>
              <w:ind w:left="6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7"/>
          </w:tcPr>
          <w:p>
            <w:pPr>
              <w:jc w:val="center"/>
              <w:ind w:right="890"/>
              <w:spacing w:after="0"/>
              <w:rPr>
                <w:sz w:val="20"/>
                <w:szCs w:val="20"/>
                <w:color w:val="auto"/>
              </w:rPr>
            </w:pPr>
            <w:r>
              <w:rPr>
                <w:rFonts w:ascii="Times New Roman" w:cs="Times New Roman" w:eastAsia="Times New Roman" w:hAnsi="Times New Roman"/>
                <w:sz w:val="14"/>
                <w:szCs w:val="14"/>
                <w:b w:val="1"/>
                <w:bCs w:val="1"/>
                <w:color w:val="auto"/>
              </w:rPr>
              <w:t>September 30, 2025 vs. 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7"/>
          </w:tcPr>
          <w:p>
            <w:pPr>
              <w:jc w:val="center"/>
              <w:ind w:right="690"/>
              <w:spacing w:after="0"/>
              <w:rPr>
                <w:sz w:val="20"/>
                <w:szCs w:val="20"/>
                <w:color w:val="auto"/>
              </w:rPr>
            </w:pPr>
            <w:r>
              <w:rPr>
                <w:rFonts w:ascii="Times New Roman" w:cs="Times New Roman" w:eastAsia="Times New Roman" w:hAnsi="Times New Roman"/>
                <w:sz w:val="14"/>
                <w:szCs w:val="14"/>
                <w:b w:val="1"/>
                <w:bCs w:val="1"/>
                <w:color w:val="auto"/>
              </w:rPr>
              <w:t>September 30, 2025 vs. 2024</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8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680" w:type="dxa"/>
            <w:vAlign w:val="bottom"/>
            <w:gridSpan w:val="3"/>
            <w:vMerge w:val="continue"/>
          </w:tcPr>
          <w:p>
            <w:pPr>
              <w:spacing w:after="0"/>
              <w:rPr>
                <w:sz w:val="15"/>
                <w:szCs w:val="15"/>
                <w:color w:val="auto"/>
              </w:rPr>
            </w:pPr>
          </w:p>
        </w:tc>
        <w:tc>
          <w:tcPr>
            <w:tcW w:w="11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700" w:type="dxa"/>
            <w:vAlign w:val="bottom"/>
            <w:gridSpan w:val="3"/>
            <w:vMerge w:val="continue"/>
          </w:tcPr>
          <w:p>
            <w:pPr>
              <w:spacing w:after="0"/>
              <w:rPr>
                <w:sz w:val="15"/>
                <w:szCs w:val="15"/>
                <w:color w:val="auto"/>
              </w:rPr>
            </w:pPr>
          </w:p>
        </w:tc>
        <w:tc>
          <w:tcPr>
            <w:tcW w:w="9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780" w:type="dxa"/>
            <w:vAlign w:val="bottom"/>
            <w:gridSpan w:val="3"/>
            <w:vMerge w:val="continue"/>
          </w:tcPr>
          <w:p>
            <w:pPr>
              <w:spacing w:after="0"/>
              <w:rPr>
                <w:sz w:val="15"/>
                <w:szCs w:val="15"/>
                <w:color w:val="auto"/>
              </w:rPr>
            </w:pPr>
          </w:p>
        </w:tc>
        <w:tc>
          <w:tcPr>
            <w:tcW w:w="10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and Sales and WM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Renewable Energy (c)</w:t>
            </w:r>
          </w:p>
        </w:tc>
        <w:tc>
          <w:tcPr>
            <w:tcW w:w="14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surcharge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mandated fees</w:t>
            </w:r>
          </w:p>
        </w:tc>
        <w:tc>
          <w:tcPr>
            <w:tcW w:w="1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6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average yield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 (e)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6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Internal revenue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growth</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1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revenues attributable to average yield for the total Company.</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provides further details about our period-to-period change in revenues: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revenues from the pricing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80" w:hanging="230"/>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average price changes related to the overall mix of services, which are due to the types of services provided;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price from new and lost business and (iii) price decreases to retain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4" w:name="page35"/>
    <w:bookmarkEnd w:id="34"/>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00" w:type="dxa"/>
            <w:vAlign w:val="bottom"/>
          </w:tcPr>
          <w:p>
            <w:pPr>
              <w:spacing w:after="0"/>
              <w:rPr>
                <w:sz w:val="13"/>
                <w:szCs w:val="13"/>
                <w:color w:val="auto"/>
              </w:rPr>
            </w:pPr>
          </w:p>
        </w:tc>
        <w:tc>
          <w:tcPr>
            <w:tcW w:w="224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2"/>
                <w:szCs w:val="12"/>
                <w:color w:val="auto"/>
              </w:rPr>
            </w:pPr>
          </w:p>
        </w:tc>
        <w:tc>
          <w:tcPr>
            <w:tcW w:w="2240" w:type="dxa"/>
            <w:vAlign w:val="bottom"/>
            <w:gridSpan w:val="4"/>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4"/>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September 30, 2025 vs. 2024</w:t>
            </w:r>
          </w:p>
        </w:tc>
        <w:tc>
          <w:tcPr>
            <w:tcW w:w="100" w:type="dxa"/>
            <w:vAlign w:val="bottom"/>
          </w:tcPr>
          <w:p>
            <w:pPr>
              <w:spacing w:after="0"/>
              <w:rPr>
                <w:sz w:val="15"/>
                <w:szCs w:val="15"/>
                <w:color w:val="auto"/>
              </w:rPr>
            </w:pPr>
          </w:p>
        </w:tc>
        <w:tc>
          <w:tcPr>
            <w:tcW w:w="224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September 30, 2025 vs. 2024</w:t>
            </w:r>
          </w:p>
        </w:tc>
      </w:tr>
      <w:tr>
        <w:trPr>
          <w:trHeight w:val="117"/>
        </w:trPr>
        <w:tc>
          <w:tcPr>
            <w:tcW w:w="4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2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5"/>
                <w:szCs w:val="15"/>
                <w:color w:val="auto"/>
              </w:rPr>
            </w:pP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11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r>
      <w:tr>
        <w:trPr>
          <w:trHeight w:val="20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Borders>
              <w:bottom w:val="single" w:sz="8" w:color="CCEEFF"/>
            </w:tcBorders>
            <w:gridSpan w:val="2"/>
          </w:tcPr>
          <w:p>
            <w:pPr>
              <w:ind w:left="98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tcBorders>
              <w:bottom w:val="single" w:sz="8" w:color="CCEEFF"/>
            </w:tcBorders>
            <w:gridSpan w:val="2"/>
          </w:tcPr>
          <w:p>
            <w:pPr>
              <w:ind w:left="98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r>
      <w:tr>
        <w:trPr>
          <w:trHeight w:val="210"/>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500" w:type="dxa"/>
            <w:vAlign w:val="bottom"/>
            <w:tcBorders>
              <w:bottom w:val="single" w:sz="8" w:color="CCEEFF"/>
            </w:tcBorders>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20" w:type="dxa"/>
            <w:vAlign w:val="bottom"/>
            <w:tcBorders>
              <w:bottom w:val="single" w:sz="8" w:color="CCEEFF"/>
            </w:tcBorders>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3.9 %</w:t>
            </w: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continue to see yield growth in our landfill business primarily driven by municipal solid waste, which achieved average yield of 6.7% and 6.0% for the three and nine months ended September 30, 2025, respectively.</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w:t>
      </w:r>
      <w:r>
        <w:rPr>
          <w:rFonts w:ascii="Times New Roman" w:cs="Times New Roman" w:eastAsia="Times New Roman" w:hAnsi="Times New Roman"/>
          <w:sz w:val="18"/>
          <w:szCs w:val="18"/>
          <w:color w:val="auto"/>
        </w:rPr>
        <w:t>— Recycling Processing and Sales revenues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yield decreased $72 million and $113 million for the three and nine months ended September 30, 2025, respectively, as compared to the prior year periods. Average market prices for single-stream recycled commodities declined nearly 35% and 15% for the three and nine months ended September 30, 2025, respectively, as compared to the prior year periods. Revenues attributable to yield in our WM Renewable Energy segment decreased $2 million and increased $14 million for the three and nine months ended September 30, 2025, respectively, as compared to the prior year periods. Year-to-date increases in natural gas and electricity pricing were partially offset by declines in RINs pricing. While there may be short-term fluctuations in our commodity-driven businesses as prices change, we continue to take proactive steps to adjust our business models to protect against the downside risk of changes in commodity prices.</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increased $12 million and $19 million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respectively, as compared to the prior year periods. During the three and nine months ended September 30, 2025, as compared to the prior year periods, mandated fees increased $4 million and $29 million, respectively. Fluctuations in energy surcharges drove an increase of $8 million for the quarter to date period and a decrease of $10 million for the year to date period. The mandated fees are primarily related to fees and taxes assessed by various state, county and municipal government agencies at our landfills and transfer stations, particularly in our West Tier.</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$43 million and $166 million for the three and nine months ended September 30, 2025, respectively, as compared to the prior year periods. For the three months ended September 30, 2025, volume growth was led by our landfill business, with increases in municipal solid waste and special waste. Industrial collection volumes rose for the first time since 2022, and growth projects drove gains in our WM Renewable Energy and Recycling Processing and Sales segments. These gains were partially offset by a decline in residential collection volumes, reflecting our strategic exit from lower-margin contracts. In addition to the growth in the quarter, the year-to-date period benefited from elevated special waste volumes in the West Tier driven by wildfire clean-up efforts that were completed by August 2025, and an increase in Strategic Business Solutions volumes due to our differentiated service model. These gains were also partially offset by a decline in residential collection volumes, reflecting our strategic exit from lower-margin contracts.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Acquisitions and divestitures resulted in a net increase in revenues of $671 million, or 11.9%, and $2,101 million, or 13.0%, respectively, for the three and nine months ended September 30, 2025, as compared to the prior year periods. This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5" w:name="page36"/>
    <w:bookmarkEnd w:id="35"/>
    <w:p>
      <w:pPr>
        <w:ind w:left="60" w:right="59"/>
        <w:spacing w:after="0" w:line="282" w:lineRule="auto"/>
        <w:rPr>
          <w:sz w:val="20"/>
          <w:szCs w:val="20"/>
          <w:color w:val="auto"/>
        </w:rPr>
      </w:pPr>
      <w:r>
        <w:rPr>
          <w:rFonts w:ascii="Times New Roman" w:cs="Times New Roman" w:eastAsia="Times New Roman" w:hAnsi="Times New Roman"/>
          <w:sz w:val="18"/>
          <w:szCs w:val="18"/>
          <w:color w:val="auto"/>
        </w:rPr>
        <w:t>increase was primarily due to our acquisition of Stericycle in November 2024. The remaining increase was related to our ongoing investment in tuck-in collection and disposal businesses.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for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(in millions of dollars and as a percentage of revenues):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27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r>
      <w:tr>
        <w:trPr>
          <w:trHeight w:val="198"/>
        </w:trPr>
        <w:tc>
          <w:tcPr>
            <w:tcW w:w="2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Disposal and franchise fees and</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20"/>
                <w:szCs w:val="20"/>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09"/>
        </w:trPr>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for the three and nine months ended September 30, 2025 increased as compared to the three and nine months ended September 30, 2024, primarily due to (i) our recent acquisitions, particularly Stericycle;</w:t>
      </w:r>
    </w:p>
    <w:p>
      <w:pPr>
        <w:jc w:val="both"/>
        <w:ind w:left="60" w:right="59" w:hanging="10"/>
        <w:spacing w:after="0" w:line="252" w:lineRule="auto"/>
        <w:tabs>
          <w:tab w:leader="none" w:pos="3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landfill volumes and (iii) moderate inflationary pressures. These increases were offset, in part, by (i) lower residential volumes; (ii) decreased cost of goods sold attributable to lower recycling commodity prices; (iii) continued operating efficiency and cost control initiatives in our Collection and Disposal businesses and (iv) lower annual incentive compensation and employee benefit expenses. Despite the overall increase in operating expenses, efficiency gains, improved turnover and momentum in truck deliveries, combined with the benefit of price increases and high margin special waste volumes, positioned us to reduce our operating expenses as a percentage of revenue when compared to the prior year period.</w:t>
      </w:r>
    </w:p>
    <w:p>
      <w:pPr>
        <w:spacing w:after="0" w:line="188" w:lineRule="exact"/>
        <w:rPr>
          <w:sz w:val="20"/>
          <w:szCs w:val="20"/>
          <w:color w:val="auto"/>
        </w:rPr>
      </w:pPr>
    </w:p>
    <w:p>
      <w:pPr>
        <w:jc w:val="both"/>
        <w:ind w:left="60" w:right="79" w:firstLine="396"/>
        <w:spacing w:after="0" w:line="282" w:lineRule="auto"/>
        <w:rPr>
          <w:sz w:val="20"/>
          <w:szCs w:val="20"/>
          <w:color w:val="auto"/>
        </w:rPr>
      </w:pPr>
      <w:r>
        <w:rPr>
          <w:rFonts w:ascii="Times New Roman" w:cs="Times New Roman" w:eastAsia="Times New Roman" w:hAnsi="Times New Roman"/>
          <w:sz w:val="18"/>
          <w:szCs w:val="18"/>
          <w:color w:val="auto"/>
        </w:rPr>
        <w:t>Significant items affecting operating expenses during the three and nine months ended September 30, 2025, as compared to the prior year periods, are summarized below:</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—The increase in labor and related benefits costs was driven by the addition of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our recent acquisitions, particularly Stericycle, and annual employee wage increases. The increase was offset, in part, by (i) lower annual incentive compensation and employee benefit expenses; (ii) residential collection efficiency improvements; (iii) lower residential volumes attributable to intentional shedding of lower margin contracts and (iv) improved driver retention.</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primarily due to our recent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inflationary cost pressures, which includes increased disposal fees at third-party sites and higher rates from our third-party haulers. This increase was partially offset by lower residential volumes attributable to intentional shedding of lower margin contracts.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driven by (i) additional costs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part of our recent acquisitions; (ii) inflation in parts, supplies and third-party services and (iii) annual employee wage increases and higher technician headcount. These increases were offset, in part, by an increase in new truck deliveries, which lowered the average fleet age and reduced demand for parts, supplies and third-party services.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6" w:name="page37"/>
    <w:bookmarkEnd w:id="36"/>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primarily due to additional costs incurred as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recent acquisitions and continued inflationary cost pressures, particularly labor costs from third-party haulers.</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decrease in cost of goods sold was primarily driven by a 35% and 15% decrease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single-stream recycled commodities for the three and nine months ended September 30, 2025, respectively, as compared to the prior year periods. This decrease was partially offset by additional pipeline transportation costs attributable to new RNG facilities brought on-line since the prior year periods.</w:t>
      </w:r>
    </w:p>
    <w:p>
      <w:pPr>
        <w:spacing w:after="0" w:line="180"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increase in fuel costs was primarily due to our recent acquisitions and the expiration of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fuel tax credit on December 31, 2024. For the nine months ended September 30, 2025, the increase was partially offset by declines in diesel prices.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was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increased landfill volumes and an overall rate increase in fees and taxes paid to municipalities on our disposal volumes.</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in landfill operating costs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the prior year periods, was primarily due to an increase in volumes and higher leachate treatment costs in our West Tier. Partially offsetting the increase for the nine months ended September 30, 2025 were certain adjustments to increase our environmental remediation reserve during the first quarter of 2024.</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Risk management costs decreased for the three months ended September 30, 2025,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prior year period, primarily due to an insurance recovery associated with a 2022 transfer station fire and improved claims experience. These reductions were offset, in part, by additional claims and premiums attributable to our recent acquisitions, particularly Stericycle. The increase for the nine months ended September 30, 2025, as compared to the prior year period, was due to additional claims and premiums attributable to our recent acquisitions, particularly, Stericycle, and increases in claims costs due to negative claim development on a limited population of severe cases during the first quarter of 2025. These increases were offset, in part, by increased insurance recoveries and improved claims experience.</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 increases were primarily due to (i) additional expenses attributable to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particularly Stericycle; (ii) gains on the sale of real estate in 2024 and, to a much lesser extent, (iii) increased utility costs and property taxes largely attributable to new RNG plants brought on-line since the prior year periods.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three and nine months ended September 30 (in millions of dollars and as a percentage of revenues):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4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2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7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$ 402</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$ 324</w:t>
            </w: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$ 1,241</w:t>
            </w: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2"/>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425"/>
        </w:trPr>
        <w:tc>
          <w:tcPr>
            <w:tcW w:w="27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$ 665</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10.3 %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$ 525</w:t>
            </w:r>
          </w:p>
        </w:tc>
        <w:tc>
          <w:tcPr>
            <w:tcW w:w="16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$ 2,048</w:t>
            </w:r>
          </w:p>
        </w:tc>
        <w:tc>
          <w:tcPr>
            <w:tcW w:w="14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10.8 %</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1,517</w:t>
            </w:r>
          </w:p>
        </w:tc>
        <w:tc>
          <w:tcPr>
            <w:tcW w:w="1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9.4 %</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nine months ended September 30, 2025, as compared to the prior year periods, primarily due to our recent acquisitions, particularly Stericycle, including consulting and technology costs incurred to support Stericycle’s integration.</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selling, general and administrative expenses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as compared to the prior year periods, are summarized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7" w:name="page38"/>
    <w:bookmarkEnd w:id="37"/>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 </w:t>
      </w:r>
      <w:r>
        <w:rPr>
          <w:rFonts w:ascii="Times New Roman" w:cs="Times New Roman" w:eastAsia="Times New Roman" w:hAnsi="Times New Roman"/>
          <w:sz w:val="18"/>
          <w:szCs w:val="18"/>
          <w:color w:val="auto"/>
        </w:rPr>
        <w:t>The increase in labor and related benefits costs was primarily related to (i)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particularly Stericycle; (ii) higher long-term incentive compensation costs and (iii) annual employee wage increases. These increases were partially offset by lower annual incentive compensation and employee benefit costs.</w:t>
      </w:r>
    </w:p>
    <w:p>
      <w:pPr>
        <w:spacing w:after="0" w:line="65"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—The increase in professional fees was primarily attributable to our acquisition of Stericycle,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integration, business optimization and system development costs.</w:t>
      </w:r>
    </w:p>
    <w:p>
      <w:pPr>
        <w:spacing w:after="0" w:line="5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provision for bad debts during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the prior year period, was primarily due to variability in the adjustments to our allowance for doubtful accounts driven by changes in the balance and slight changes in mix of accounts receivable. Additionally, there was an increase for the nine months ended September 30, 2025, as compared to the prior year period, primarily attributable to our WM Healthcare Solutions segment driven by legacy Stericycle data and system challenges.</w:t>
      </w:r>
    </w:p>
    <w:p>
      <w:pPr>
        <w:spacing w:after="0" w:line="75"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increase in other expenses was primarily related to increased spend across multiple cost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technology, risk management and travel, largely driven by the acquisition and integration of Stericycle.</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for the three and nine months ended September 30 (in millions of dollars and as a percentage of revenues):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5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1"/>
        </w:trPr>
        <w:tc>
          <w:tcPr>
            <w:tcW w:w="35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$ 394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$ 323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$ 1,151</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4"/>
                <w:szCs w:val="24"/>
                <w:color w:val="auto"/>
              </w:rPr>
            </w:pPr>
          </w:p>
        </w:tc>
      </w:tr>
      <w:tr>
        <w:trPr>
          <w:trHeight w:val="43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4"/>
                <w:szCs w:val="24"/>
                <w:color w:val="auto"/>
              </w:rPr>
            </w:pPr>
          </w:p>
        </w:tc>
      </w:tr>
      <w:tr>
        <w:trPr>
          <w:trHeight w:val="425"/>
        </w:trPr>
        <w:tc>
          <w:tcPr>
            <w:tcW w:w="3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$ 729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11.3 %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$ 558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$ 2,093</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1,615</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for the three and nine months ended September 30, 2025, as compared to the prior year periods, was driven by our recent acquisitions and increased investments in capital assets such as trucks, equipment and landfills. The increase in depletion of landfill airspace for the three months ended September 30, 2025, as compared to the prior year period, was primarily driven by volume increases. The increase in depletion of landfill airspace for the nine months ended September 30, 2025, as compared to the prior year period, was primarily driven by volume increases, including increases driven by wildfire volumes. The increase in amortization of intangible assets for the three and nine months ended September 30, 2025 was primarily driven by the amortization of customer relationships and other intangibles acquired as part of the Stericycle acquisition.</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left="60" w:right="59" w:firstLine="396"/>
        <w:spacing w:after="0" w:line="266" w:lineRule="auto"/>
        <w:rPr>
          <w:sz w:val="20"/>
          <w:szCs w:val="20"/>
          <w:color w:val="auto"/>
        </w:rPr>
      </w:pPr>
      <w:r>
        <w:rPr>
          <w:rFonts w:ascii="Times New Roman" w:cs="Times New Roman" w:eastAsia="Times New Roman" w:hAnsi="Times New Roman"/>
          <w:sz w:val="18"/>
          <w:szCs w:val="18"/>
          <w:color w:val="auto"/>
        </w:rPr>
        <w:t>Restructuring charges for the three and nine months ended September 30, 2025 were primarily driven by employee costs related to integration of our acquisition of Stericycle as well as employee retention and severance costs incurred to support automation at our recycling facilities and in certain back-office functions.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2025 includes (i) a $152 million impairment charge related to the decision to temporarily suspend the operations of a business engaged in 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and (iii) an $11 million negotiated payment for early termination of a contract in our WM Renewable Energy segment. The nine months ended September 30, 2025 also includes a $16 million goodwill impairment charge related to a business engaged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8" w:name="page39"/>
    <w:bookmarkEnd w:id="38"/>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oil recovery and sludge processing services. This charge is reflected in Other Ancillary within our Collection and Disposal businesses.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2024 primarily relates to a $14 million loss associated with the divestiture of a minority investment in a medical waste company within Corporate and Other, in connection with our November 2024 acquisition of Stericycle. The nine months ended September 30, 2024 included a $54 million charge required to increase the estimated fair value of a liability associated with the expected disposition of an investment the Company holds in a waste diversion technology business. This charge is reflected in our Corporate and Other measures within our segment reporting.</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for the three and nine months ended September 30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6"/>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6"/>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change does not provide a meaningful comparison.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as compared to the prior year periods, are summarized below:</w:t>
      </w:r>
    </w:p>
    <w:p>
      <w:pPr>
        <w:spacing w:after="0" w:line="205" w:lineRule="exact"/>
        <w:rPr>
          <w:sz w:val="20"/>
          <w:szCs w:val="20"/>
          <w:color w:val="auto"/>
        </w:rPr>
      </w:pPr>
    </w:p>
    <w:p>
      <w:pPr>
        <w:jc w:val="both"/>
        <w:ind w:left="720" w:right="79" w:hanging="319"/>
        <w:spacing w:after="0" w:line="254"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Collection and Disposal </w:t>
      </w:r>
      <w:r>
        <w:rPr>
          <w:rFonts w:ascii="Times New Roman" w:cs="Times New Roman" w:eastAsia="Times New Roman" w:hAnsi="Times New Roman"/>
          <w:sz w:val="18"/>
          <w:szCs w:val="18"/>
          <w:color w:val="auto"/>
        </w:rPr>
        <w:t>— Income from operations in our Collection and Disposal businesses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due to (i) revenue growth from price increases, which translate into increased yield or average unit price; (ii) elevated special waste volume in our West Tier, which was favorably impacted by the wildfire clean-up activities that were completed by August 2025; (iii) contributions from our strategic acquisitions; (iv) actions to improve the efficiency and operating costs incurred to serve our customers and (v) a decline in employee benefit expenses. These increases were partially offset by (i) higher depreciation and depletion costs as discussed in </w:t>
      </w:r>
      <w:r>
        <w:rPr>
          <w:rFonts w:ascii="Times New Roman" w:cs="Times New Roman" w:eastAsia="Times New Roman" w:hAnsi="Times New Roman"/>
          <w:sz w:val="18"/>
          <w:szCs w:val="18"/>
          <w:i w:val="1"/>
          <w:iCs w:val="1"/>
          <w:color w:val="auto"/>
        </w:rPr>
        <w:t xml:space="preserve">Depreciation, Depletion and Amortization Expenses </w:t>
      </w:r>
      <w:r>
        <w:rPr>
          <w:rFonts w:ascii="Times New Roman" w:cs="Times New Roman" w:eastAsia="Times New Roman" w:hAnsi="Times New Roman"/>
          <w:sz w:val="18"/>
          <w:szCs w:val="18"/>
          <w:color w:val="auto"/>
        </w:rPr>
        <w:t>above; (ii) prior year gains on the sale of non-strategic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(iii) a $45 million impairment charge in the current year related to the decision to accelerate the closure of a landfill within our East Tier.</w:t>
      </w:r>
    </w:p>
    <w:p>
      <w:pPr>
        <w:spacing w:after="0" w:line="188"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The decline in income from operations in Recycling Processing and Sales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$152 million impairment charge related to the decision to temporarily suspend the operations of a business engaged in accelerating plastic film and wrap recycling capabilities resulting from significant deterioration of market pricing and demand for post-consumer plastics and declining commodity prices compared to the prior year periods. These decreases were partially offset by increased volumes, which can be attributed to the improved throughput of our facilities and the addition of new market facilities, and improved operating costs from the automation of our recycling facilities.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9" w:name="page40"/>
    <w:bookmarkEnd w:id="39"/>
    <w:p>
      <w:pPr>
        <w:jc w:val="both"/>
        <w:ind w:left="720" w:right="79" w:hanging="319"/>
        <w:spacing w:after="0" w:line="273" w:lineRule="auto"/>
        <w:tabs>
          <w:tab w:leader="none" w:pos="7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WM Renewable Energy </w:t>
      </w:r>
      <w:r>
        <w:rPr>
          <w:rFonts w:ascii="Times New Roman" w:cs="Times New Roman" w:eastAsia="Times New Roman" w:hAnsi="Times New Roman"/>
          <w:sz w:val="17"/>
          <w:szCs w:val="17"/>
          <w:color w:val="auto"/>
        </w:rPr>
        <w:t>— The decline in income from operations in WM Renewable Energy for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2025, as compared to the prior year period, was primarily due to declines in RINs pricing and a negotiated payment for early termination of a contract. This decline was partially offset by higher volumes resulting from the completion of projects that increase the beneficial use of landfill gas sold to third parties and an increase in electricity pricing. The increase in income from operations for the nine months ended September 30, 2025, as compared to the prior year period, was due to higher electricity pricing and higher volumes resulting from the completion of projects that increase the beneficial use of landfill gas sold to third parties.</w:t>
      </w:r>
    </w:p>
    <w:p>
      <w:pPr>
        <w:spacing w:after="0" w:line="171" w:lineRule="exact"/>
        <w:rPr>
          <w:rFonts w:ascii="Times New Roman" w:cs="Times New Roman" w:eastAsia="Times New Roman" w:hAnsi="Times New Roman"/>
          <w:sz w:val="17"/>
          <w:szCs w:val="17"/>
          <w:color w:val="auto"/>
        </w:rPr>
      </w:pPr>
    </w:p>
    <w:p>
      <w:pPr>
        <w:jc w:val="both"/>
        <w:ind w:left="720" w:right="79" w:hanging="319"/>
        <w:spacing w:after="0" w:line="26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WM Healthcare Solutions </w:t>
      </w:r>
      <w:r>
        <w:rPr>
          <w:rFonts w:ascii="Times New Roman" w:cs="Times New Roman" w:eastAsia="Times New Roman" w:hAnsi="Times New Roman"/>
          <w:sz w:val="18"/>
          <w:szCs w:val="18"/>
          <w:color w:val="auto"/>
        </w:rPr>
        <w:t>— The positive earnings contributions from the WM Healthcare Solutions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and nine months ended September 30, 2025, were more than offset by depreciation and amortization expenses and integration related expenses, driving a loss in both periods.</w:t>
      </w:r>
    </w:p>
    <w:p>
      <w:pPr>
        <w:spacing w:after="0" w:line="17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increase in income from operations for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as compared to the prior year periods, was due to (i) lower annual incentive compensation; (ii) transaction costs incurred in the prior year in connection with our Stericycle acquisition and (iii) a prior year charge associated with the divestiture of a minority investment in a medical waste company. The increase was partially offset by (i) higher long term incentive compensation; (ii) annual employee wage increases and (iii) increases in consulting fees driven by integration and business optimization activities related to the acquisition of Stericycle. Additionally, for the nine months ended September 30, 2025, the increase was further offset by a $54 million charge in the prior year period to increase the estimated fair value of a liability associated with the expected disposition of an investment we hold in a waste diversion technology business.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29" w:lineRule="exact"/>
        <w:rPr>
          <w:sz w:val="20"/>
          <w:szCs w:val="20"/>
          <w:color w:val="auto"/>
        </w:rPr>
      </w:pPr>
    </w:p>
    <w:p>
      <w:pPr>
        <w:jc w:val="both"/>
        <w:ind w:left="60" w:right="59" w:firstLine="259"/>
        <w:spacing w:after="0" w:line="261" w:lineRule="auto"/>
        <w:rPr>
          <w:sz w:val="20"/>
          <w:szCs w:val="20"/>
          <w:color w:val="auto"/>
        </w:rPr>
      </w:pPr>
      <w:r>
        <w:rPr>
          <w:rFonts w:ascii="Times New Roman" w:cs="Times New Roman" w:eastAsia="Times New Roman" w:hAnsi="Times New Roman"/>
          <w:sz w:val="18"/>
          <w:szCs w:val="18"/>
          <w:color w:val="auto"/>
        </w:rPr>
        <w:t>Our interest expense, net was $225 million and $689 million for the three and nine months ended September 30, 2025, respectively, compared to $131 million and $397 million for the three and nine months ended September 30, 2024, respectively. The increase is primarily related to an increase in our average debt balances to fund our November 2024 acquisition of Stericycle.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income tax expense and effective income tax rate was $172 million, or 22.2%, and $524 million, or 21.0%, for the three and nine months ended September 30, 2025, respectively, compared to $235 million, or 23.6%, and $611 million, or 22.2%, for the three and nine months ended September 30, 2024, respectively. See Note 4 to the Condensed Consolidated Financial Statements for more information related to income taxes.</w:t>
      </w:r>
    </w:p>
    <w:p>
      <w:pPr>
        <w:spacing w:after="0" w:line="17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On July 4, 2025, President Trump signed the One Big Beautiful Bill Act into law. We are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several business tax provisions in the legislation, none of which are expected to have a material impact on our effective tax rate. However, the permanent reinstatement of 100% bonus depreciation is expected to reduce our cash taxes by approximately $125 million in 2025.</w:t>
      </w:r>
    </w:p>
    <w:p>
      <w:pPr>
        <w:spacing w:after="0" w:line="18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(“IRA”) contains several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concerning investment tax credits are expected to generate a cumulative benefit of approximately $400 million, $145 million of which was recognized in 2023 and 2024 with the remainder anticipated to be realized in 2025 and 2026. The expected benefit from the investment tax credit for 2025 and 2026 is dependent on a number of estimates and assumptions, including the timing of project completion. Additionally, we expect that the production tax credit incentives for investments in renewable energy and carbon capture, as expanded by the IRA, could result in an incremental benefit to the Company, although at this time, the anticipated amount of such benefit has not been quantified due, in part, to the lack of regulatory guidance.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8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 and other:</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9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restricted funds and other (a)</w:t>
            </w: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9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and December 31, 2024, $130 million and $100 million, respectively, of these account balances were included in other current assets in our Condensed Consolidated Balance Sheets.</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As of September 30, 2025, we had approximately $3.9 billion of debt maturing within the next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$1.5 billion of tax-exempt bonds with term interest rate periods that expire within the next 12 months, which is prior to their scheduled maturities; (ii) $861 million of short-term borrowings under our commercial paper program (net of related discount on issuance); (iii) $500 million of 0.75% senior notes that mature in November 2025; (iv) $223 million of 7.1% senior notes that mature in August 2026; (v) $359 million of 2.6% Canadian senior notes that mature in September 2026 and (vi) $380 million of other debt with scheduled maturities within the next 12 months, including $188 million of tax-exempt bonds. As of September 30, 2025, we have classified $3.0 billion of debt maturing in the next 12 months as long-term because we have the intent and ability to refinance these borrowings on a long-term basis as supported by the forecasted available capacity under our $3.5 billion long-term U.S. and Canadian revolving credit facility. The remaining $880 million of debt maturing in the next 12 months is classified as current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1" w:name="page42"/>
    <w:bookmarkEnd w:id="4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r>
      <w:tr>
        <w:trPr>
          <w:trHeight w:val="353"/>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8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nine months ended September 30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(2,699)</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197"/>
        </w:trPr>
        <w:tc>
          <w:tcPr>
            <w:tcW w:w="69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(1,830)</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$466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as compared to the prior year period, driven by higher earnings in the majority of our segments, including the contributions from our recent acquisitions, and lower cash tax payments. These increases were partially offset by higher cash interest primarily due to additional debt incurred to fund our acquisition of Stericycle and higher annual incentive compensation payments. We continue to execute well in optimizing working capital, particularly in reducing days sales outstanding and aligning our days-to-pay measure with contract terms, though overall working capital changes have been pressured by the Stericycle acquisition.</w:t>
      </w:r>
    </w:p>
    <w:p>
      <w:pPr>
        <w:spacing w:after="0" w:line="18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and 2024 are summarized below:</w:t>
      </w:r>
    </w:p>
    <w:p>
      <w:pPr>
        <w:spacing w:after="0" w:line="158" w:lineRule="exact"/>
        <w:rPr>
          <w:sz w:val="20"/>
          <w:szCs w:val="20"/>
          <w:color w:val="auto"/>
        </w:rPr>
      </w:pPr>
    </w:p>
    <w:p>
      <w:pPr>
        <w:jc w:val="both"/>
        <w:ind w:left="720" w:right="79" w:hanging="319"/>
        <w:spacing w:after="0" w:line="26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$2,339 million and $2,116 million for capital expenditures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and 2024, respectively. The increase in capital spending is primarily driven by</w:t>
      </w:r>
    </w:p>
    <w:p>
      <w:pPr>
        <w:jc w:val="both"/>
        <w:ind w:left="720" w:right="79" w:firstLine="5"/>
        <w:spacing w:after="0" w:line="253" w:lineRule="auto"/>
        <w:tabs>
          <w:tab w:leader="none" w:pos="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investments in capital assets such as trucks, equipment and landfills and (ii) capital expenditures within our WM Healthcare Solutions segment to support the business. The increase in capital spending was partially offset by a planned reduction in capital investment in our sustainability growth projects as we move from peak construction of this portfolio into a period where we will harvest strong returns on these businesses.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2" w:name="page43"/>
    <w:bookmarkEnd w:id="42"/>
    <w:p>
      <w:pPr>
        <w:jc w:val="both"/>
        <w:ind w:left="720" w:right="79" w:hanging="319"/>
        <w:spacing w:after="0" w:line="258"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Our spending on acquisitions was $403 million and $790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and 2024, respectively, of which $395 million and $782 million, respectively, are considered cash used in investing activities. The remaining spend is cash used in financing activities related to the timing of contingent consideration paid. Substantially all of these acquisitions are related to our solid waste and recycling businesses.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w:t>
      </w:r>
      <w:r>
        <w:rPr>
          <w:rFonts w:ascii="Times New Roman" w:cs="Times New Roman" w:eastAsia="Times New Roman" w:hAnsi="Times New Roman"/>
          <w:sz w:val="18"/>
          <w:szCs w:val="18"/>
          <w:color w:val="auto"/>
        </w:rPr>
        <w:t>— Proceeds from divestitures of businesses and other assets, net of cash divested were $108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$99 million for the nine months ended September 30, 2025 and 2024, respectively. Proceeds in 2025 primarily related to the sale of our WM Healthcare Solutions’ Spain and Portugal subsidiaries. The remaining 2025 and 2024 proceeds were from the sale of certain non-strategic assets.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 The year-over-year changes in other investing activities are primarily driven by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portfolio associated with a wholly-owned insurance captive. During the nine months ended September 30, 2025 and 2024, we used $75 million and $38 million, respectively, of cash from restricted cash and cash equivalents to invest in available-for-sale securities.</w:t>
      </w:r>
    </w:p>
    <w:p>
      <w:pPr>
        <w:spacing w:after="0" w:line="180"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nine months ended September 30, 2025 and 2024 are summarized below:</w:t>
      </w:r>
    </w:p>
    <w:p>
      <w:pPr>
        <w:spacing w:after="0" w:line="158" w:lineRule="exact"/>
        <w:rPr>
          <w:sz w:val="20"/>
          <w:szCs w:val="20"/>
          <w:color w:val="auto"/>
        </w:rPr>
      </w:pPr>
    </w:p>
    <w:p>
      <w:pPr>
        <w:ind w:left="720" w:right="79" w:hanging="319"/>
        <w:spacing w:after="0" w:line="284"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and Repayments — </w:t>
      </w:r>
      <w:r>
        <w:rPr>
          <w:rFonts w:ascii="Times New Roman" w:cs="Times New Roman" w:eastAsia="Times New Roman" w:hAnsi="Times New Roman"/>
          <w:sz w:val="18"/>
          <w:szCs w:val="18"/>
          <w:color w:val="auto"/>
        </w:rPr>
        <w:t>The following summarizes our cash borrowings and repayments of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6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16"/>
        </w:trPr>
        <w:tc>
          <w:tcPr>
            <w:tcW w:w="6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32"/>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25"/>
        </w:trPr>
        <w:tc>
          <w:tcPr>
            <w:tcW w:w="60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160" w:lineRule="exact"/>
        <w:rPr>
          <w:sz w:val="20"/>
          <w:szCs w:val="20"/>
          <w:color w:val="auto"/>
        </w:rPr>
      </w:pPr>
    </w:p>
    <w:p>
      <w:pPr>
        <w:jc w:val="both"/>
        <w:ind w:left="720" w:right="79" w:hanging="319"/>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nine months ended September 30, 2024, we used $262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repurchase shares of our common stock under accelerated share repurchase agreements. In the fourth quarter of 2024, we announced our temporary suspension of share repurchase activity as a result of the acquisition of Stericycle. We expect to resume share repurchases once the Company’s leverage returns to targeted levels, which is currently projected to be the second quarter of 2026.</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$1,001 million and $909 million during the nine months ended September 30, 2025 and 2024, respectively. The increase in dividend payments is primarily due to our quarterly per share dividend increasing from $0.75 in 2024 to $0.825 in 2025.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43" w:name="page44"/>
    <w:bookmarkEnd w:id="4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for the three and nine months ended September 30, 2025 and 2024 is shown in the table below (in millions) and may not be calculated the same as similarly-titled measures presented by other companies: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0"/>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198"/>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divested</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9"/>
        </w:trPr>
        <w:tc>
          <w:tcPr>
            <w:tcW w:w="20" w:type="dxa"/>
            <w:vAlign w:val="bottom"/>
          </w:tcPr>
          <w:p>
            <w:pPr>
              <w:spacing w:after="0"/>
              <w:rPr>
                <w:sz w:val="18"/>
                <w:szCs w:val="18"/>
                <w:color w:val="auto"/>
              </w:rPr>
            </w:pPr>
          </w:p>
        </w:tc>
        <w:tc>
          <w:tcPr>
            <w:tcW w:w="4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76" w:lineRule="exact"/>
        <w:rPr>
          <w:sz w:val="20"/>
          <w:szCs w:val="20"/>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2024.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16" w:lineRule="exact"/>
        <w:rPr>
          <w:sz w:val="20"/>
          <w:szCs w:val="20"/>
          <w:color w:val="auto"/>
        </w:rPr>
      </w:pPr>
    </w:p>
    <w:p>
      <w:pPr>
        <w:jc w:val="both"/>
        <w:ind w:left="80" w:right="59" w:firstLine="324"/>
        <w:spacing w:after="0"/>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5" w:lineRule="exact"/>
        <w:rPr>
          <w:sz w:val="20"/>
          <w:szCs w:val="20"/>
          <w:color w:val="auto"/>
        </w:rPr>
      </w:pPr>
    </w:p>
    <w:p>
      <w:pPr>
        <w:jc w:val="both"/>
        <w:ind w:left="80" w:right="79" w:firstLine="324"/>
        <w:spacing w:after="0" w:line="266"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4" w:name="page45"/>
    <w:bookmarkEnd w:id="44"/>
    <w:p>
      <w:pPr>
        <w:ind w:left="80" w:right="79"/>
        <w:spacing w:after="0" w:line="266" w:lineRule="auto"/>
        <w:rPr>
          <w:sz w:val="20"/>
          <w:szCs w:val="20"/>
          <w:color w:val="auto"/>
        </w:rPr>
      </w:pPr>
      <w:r>
        <w:rPr>
          <w:rFonts w:ascii="Times New Roman" w:cs="Times New Roman" w:eastAsia="Times New Roman" w:hAnsi="Times New Roman"/>
          <w:sz w:val="18"/>
          <w:szCs w:val="18"/>
          <w:color w:val="auto"/>
        </w:rPr>
        <w:t>supply chain disruption and delayed project development, or disruption of our customers’ businesses, reducing the amount of waste generated by their operations.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8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September 30, 2025 does not materially differ from that discussed under Item 7A in our Annual Report on Form 10-K for the year ended December 31, 2024.</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(the “Exchange Act”)) in ensuring that the information required to be disclosed in reports that we file or submit under the Exchange Act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2025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September 30, 2025. We determined that there were no changes in our internal control over financial reporting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August 11, 2025, James C. Fish, Jr., Chief Executive Officer and member of our Board of Directors, adopted a stock trading plan (the “Fish Plan”) intended to satisfy the affirmative defense of Rule 10b5-1(c) under the Exchange Act. The Fish Plan will commence on February 2, 2026, and will automatically terminate on the earlier of June 30, 2026, and the completion of all the contemplated transactions set forth therein. The Fish plan provides for the potential sale of all net after-tax shares of our common stock received from the payout of performance share unit (“PSU”) equity compensation awards for the performance period ended December 31, 2025, upon our common stock reaching specified market prices. Mr. Fish received a target grant of 51,316 PSU awards with a performance period ended December 31, 2025; the number of shares to be paid out to Mr. Fish on account of these PSU awards can range from zero to 200% of the initial target grant. As a result, the number of shares of common stock to potentially be sold pursuant to the Fish Plan will be determined in the first quarter of 2026 based on certification by the Management Development and Compensation Committee of the Board of Directors of the Company’s achievement relative to applicable performance measures for the underlying PSU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14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tcBorders>
              <w:top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2025 Long Term Incentive Compensation RSU Award Agreement for Tara Hemmer Retention</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Award [incorporated by reference to Exhibit 10.1 to Form 8-K dated August 27, 2025].</w:t>
              </w:r>
            </w:hyperlink>
          </w:p>
        </w:tc>
        <w:tc>
          <w:tcPr>
            <w:tcW w:w="14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Guarantor Subsidiary.</w:t>
            </w: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James</w:t>
            </w:r>
          </w:p>
        </w:tc>
        <w:tc>
          <w:tcPr>
            <w:tcW w:w="12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 Fish, Jr., Chief Executive Officer.</w:t>
            </w:r>
          </w:p>
        </w:tc>
        <w:tc>
          <w:tcPr>
            <w:tcW w:w="5140" w:type="dxa"/>
            <w:vAlign w:val="bottom"/>
            <w:gridSpan w:val="8"/>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Devina</w:t>
            </w:r>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 Rankin, Executive Vice President and Chief Financial Officer.</w:t>
            </w: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6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Chief Executive Officer.</w:t>
            </w:r>
          </w:p>
        </w:tc>
        <w:tc>
          <w:tcPr>
            <w:tcW w:w="1400" w:type="dxa"/>
            <w:vAlign w:val="bottom"/>
            <w:gridSpan w:val="5"/>
          </w:tcPr>
          <w:p>
            <w:pPr>
              <w:spacing w:after="0"/>
              <w:rPr>
                <w:sz w:val="24"/>
                <w:szCs w:val="24"/>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Devina A. Rankin, Executive Vice President and Chief</w:t>
            </w:r>
          </w:p>
        </w:tc>
        <w:tc>
          <w:tcPr>
            <w:tcW w:w="56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w:t>
            </w:r>
          </w:p>
        </w:tc>
        <w:tc>
          <w:tcPr>
            <w:tcW w:w="6500" w:type="dxa"/>
            <w:vAlign w:val="bottom"/>
            <w:gridSpan w:val="11"/>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35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5960" w:type="dxa"/>
            <w:vAlign w:val="bottom"/>
            <w:gridSpan w:val="9"/>
          </w:tcPr>
          <w:p>
            <w:pPr>
              <w:spacing w:after="0"/>
              <w:rPr>
                <w:sz w:val="24"/>
                <w:szCs w:val="24"/>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300" w:hanging="250"/>
        <w:spacing w:after="0"/>
        <w:tabs>
          <w:tab w:leader="none" w:pos="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CARROLL</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John Carroll</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gridSpan w:val="3"/>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gridSpan w:val="2"/>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1.250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4.500%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1.25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5.350%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10/15/2054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484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6/25/2025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hanging="142"/>
        <w:spacing w:after="0" w:line="282" w:lineRule="auto"/>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Senior Notes were issued pursuant to an offer to exchange up to $485 million of outstanding unregistered notes previously issued by WMI in a private exchange offer in connection with WMI’s acquisition of Stericycle,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6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28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2025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319" w:firstLine="318"/>
        <w:spacing w:after="0" w:line="282" w:lineRule="auto"/>
        <w:tabs>
          <w:tab w:leader="none" w:pos="10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2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2025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59" w:firstLine="318"/>
        <w:spacing w:after="0" w:line="282" w:lineRule="auto"/>
        <w:tabs>
          <w:tab w:leader="none" w:pos="10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20" w:type="dxa"/>
            <w:vAlign w:val="bottom"/>
          </w:tcPr>
          <w:p>
            <w:pPr>
              <w:spacing w:after="0"/>
              <w:rPr>
                <w:sz w:val="16"/>
                <w:szCs w:val="16"/>
                <w:color w:val="auto"/>
              </w:rPr>
            </w:pPr>
          </w:p>
        </w:tc>
        <w:tc>
          <w:tcPr>
            <w:tcW w:w="4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quarter ended September 30, 2025,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during the quarter ended September 30, 2025,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7"/>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7"/>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lowerRoman"/>
      <w:start w:val="3"/>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Roman"/>
      <w:start w:val="1"/>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
      <w:numFmt w:val="bullet"/>
      <w:start w:val="1"/>
    </w:lvl>
    <w:lvl w:ilvl="1">
      <w:lvlJc w:val="left"/>
      <w:lvlText w:val="(%2)"/>
      <w:numFmt w:val="lowerRoman"/>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5" Type="http://schemas.openxmlformats.org/officeDocument/2006/relationships/hyperlink" Target="https://www.sec.gov/Archives/edgar/data/823768/000110465925084026/tm2524148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2025-10-28T15:12:54Z</dcterms:created>
  <dcterms:modified xsi:type="dcterms:W3CDTF">2025-10-28T15:12:54Z</dcterms:modified>
</cp:coreProperties>
</file>