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May 26, 2009</w:t>
      </w:r>
    </w:p>
    <w:p>
      <w:pPr>
        <w:spacing w:after="0" w:line="225" w:lineRule="exact"/>
        <w:rPr>
          <w:sz w:val="20"/>
          <w:szCs w:val="20"/>
          <w:color w:val="auto"/>
        </w:rPr>
      </w:pPr>
    </w:p>
    <w:p>
      <w:pPr>
        <w:ind w:left="95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0"/>
          <w:szCs w:val="20"/>
          <w:color w:val="auto"/>
        </w:rPr>
      </w:pPr>
    </w:p>
    <w:p>
      <w:pPr>
        <w:sectPr>
          <w:pgSz w:w="11900" w:h="16838" w:orient="portrait"/>
          <w:cols w:equalWidth="0" w:num="2">
            <w:col w:w="6460" w:space="720"/>
            <w:col w:w="4240"/>
          </w:cols>
          <w:pgMar w:left="240" w:top="122"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 EMPLOYEE STOCK PURCHASE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 titles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20" w:firstLine="225"/>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42"/>
        </w:trPr>
        <w:tc>
          <w:tcPr>
            <w:tcW w:w="264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340" w:type="dxa"/>
            <w:vAlign w:val="bottom"/>
          </w:tcPr>
          <w:p>
            <w:pPr>
              <w:spacing w:after="0"/>
              <w:rPr>
                <w:sz w:val="20"/>
                <w:szCs w:val="20"/>
                <w:color w:val="auto"/>
              </w:rPr>
            </w:pPr>
            <w:r>
              <w:rPr>
                <w:rFonts w:ascii="Arial" w:cs="Arial" w:eastAsia="Arial" w:hAnsi="Arial"/>
                <w:sz w:val="18"/>
                <w:szCs w:val="18"/>
                <w:color w:val="auto"/>
                <w:w w:val="91"/>
              </w:rPr>
              <w:t>Accelerated filer o</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20" w:type="dxa"/>
            <w:vAlign w:val="bottom"/>
            <w:gridSpan w:val="3"/>
          </w:tcPr>
          <w:p>
            <w:pPr>
              <w:jc w:val="center"/>
              <w:ind w:right="920"/>
              <w:spacing w:after="0"/>
              <w:rPr>
                <w:sz w:val="20"/>
                <w:szCs w:val="20"/>
                <w:color w:val="auto"/>
              </w:rPr>
            </w:pPr>
            <w:r>
              <w:rPr>
                <w:rFonts w:ascii="Arial" w:cs="Arial" w:eastAsia="Arial" w:hAnsi="Arial"/>
                <w:sz w:val="18"/>
                <w:szCs w:val="18"/>
                <w:color w:val="auto"/>
                <w:w w:val="91"/>
              </w:rPr>
              <w:t>Non-accelerated filer o</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Smaller reporting company o</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40" w:type="dxa"/>
            <w:vAlign w:val="bottom"/>
            <w:gridSpan w:val="4"/>
          </w:tcPr>
          <w:p>
            <w:pPr>
              <w:jc w:val="center"/>
              <w:ind w:left="319"/>
              <w:spacing w:after="0"/>
              <w:rPr>
                <w:sz w:val="20"/>
                <w:szCs w:val="20"/>
                <w:color w:val="auto"/>
              </w:rPr>
            </w:pPr>
            <w:r>
              <w:rPr>
                <w:rFonts w:ascii="Arial" w:cs="Arial" w:eastAsia="Arial" w:hAnsi="Arial"/>
                <w:sz w:val="18"/>
                <w:szCs w:val="18"/>
                <w:color w:val="auto"/>
                <w:w w:val="91"/>
              </w:rPr>
              <w:t>(Do not check if a smaller reporting company)</w:t>
            </w: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CALCULATION OF REGISTRATION FEE</w:t>
            </w: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640" w:type="dxa"/>
            <w:vAlign w:val="bottom"/>
            <w:vMerge w:val="restart"/>
          </w:tcPr>
          <w:p>
            <w:pPr>
              <w:jc w:val="center"/>
              <w:ind w:left="1479"/>
              <w:spacing w:after="0"/>
              <w:rPr>
                <w:sz w:val="20"/>
                <w:szCs w:val="20"/>
                <w:color w:val="auto"/>
              </w:rPr>
            </w:pPr>
            <w:r>
              <w:rPr>
                <w:rFonts w:ascii="Arial" w:cs="Arial" w:eastAsia="Arial" w:hAnsi="Arial"/>
                <w:sz w:val="14"/>
                <w:szCs w:val="14"/>
                <w:b w:val="1"/>
                <w:bCs w:val="1"/>
                <w:color w:val="auto"/>
                <w:w w:val="90"/>
              </w:rPr>
              <w:t>Title of securities</w:t>
            </w:r>
          </w:p>
        </w:tc>
        <w:tc>
          <w:tcPr>
            <w:tcW w:w="134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320" w:type="dxa"/>
            <w:vAlign w:val="bottom"/>
            <w:vMerge w:val="restart"/>
          </w:tcPr>
          <w:p>
            <w:pPr>
              <w:jc w:val="center"/>
              <w:ind w:left="359"/>
              <w:spacing w:after="0"/>
              <w:rPr>
                <w:sz w:val="20"/>
                <w:szCs w:val="20"/>
                <w:color w:val="auto"/>
              </w:rPr>
            </w:pPr>
            <w:r>
              <w:rPr>
                <w:rFonts w:ascii="Arial" w:cs="Arial" w:eastAsia="Arial" w:hAnsi="Arial"/>
                <w:sz w:val="14"/>
                <w:szCs w:val="14"/>
                <w:b w:val="1"/>
                <w:bCs w:val="1"/>
                <w:color w:val="auto"/>
                <w:w w:val="93"/>
              </w:rPr>
              <w:t>Amount to be</w:t>
            </w:r>
          </w:p>
        </w:tc>
        <w:tc>
          <w:tcPr>
            <w:tcW w:w="46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320" w:type="dxa"/>
            <w:vAlign w:val="bottom"/>
          </w:tcPr>
          <w:p>
            <w:pPr>
              <w:spacing w:after="0"/>
              <w:rPr>
                <w:sz w:val="9"/>
                <w:szCs w:val="9"/>
                <w:color w:val="auto"/>
              </w:rPr>
            </w:pPr>
          </w:p>
        </w:tc>
        <w:tc>
          <w:tcPr>
            <w:tcW w:w="1760" w:type="dxa"/>
            <w:vAlign w:val="bottom"/>
            <w:tcBorders>
              <w:right w:val="single" w:sz="8" w:color="auto"/>
            </w:tcBorders>
          </w:tcPr>
          <w:p>
            <w:pPr>
              <w:jc w:val="center"/>
              <w:ind w:right="243"/>
              <w:spacing w:after="0" w:line="106" w:lineRule="exact"/>
              <w:rPr>
                <w:sz w:val="20"/>
                <w:szCs w:val="20"/>
                <w:color w:val="auto"/>
              </w:rPr>
            </w:pPr>
            <w:r>
              <w:rPr>
                <w:rFonts w:ascii="Arial" w:cs="Arial" w:eastAsia="Arial" w:hAnsi="Arial"/>
                <w:sz w:val="12"/>
                <w:szCs w:val="12"/>
                <w:b w:val="1"/>
                <w:bCs w:val="1"/>
                <w:color w:val="auto"/>
              </w:rPr>
              <w:t>Proposed maximum</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6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320" w:type="dxa"/>
            <w:vAlign w:val="bottom"/>
            <w:vMerge w:val="continue"/>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w:t>
            </w:r>
          </w:p>
        </w:tc>
        <w:tc>
          <w:tcPr>
            <w:tcW w:w="320" w:type="dxa"/>
            <w:vAlign w:val="bottom"/>
          </w:tcPr>
          <w:p>
            <w:pPr>
              <w:spacing w:after="0"/>
              <w:rPr>
                <w:sz w:val="12"/>
                <w:szCs w:val="12"/>
                <w:color w:val="auto"/>
              </w:rPr>
            </w:pPr>
          </w:p>
        </w:tc>
        <w:tc>
          <w:tcPr>
            <w:tcW w:w="1760" w:type="dxa"/>
            <w:vAlign w:val="bottom"/>
            <w:tcBorders>
              <w:right w:val="single" w:sz="8" w:color="auto"/>
            </w:tcBorders>
          </w:tcPr>
          <w:p>
            <w:pPr>
              <w:jc w:val="center"/>
              <w:ind w:right="243"/>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40" w:type="dxa"/>
            <w:vAlign w:val="bottom"/>
            <w:tcBorders>
              <w:bottom w:val="single" w:sz="8" w:color="auto"/>
            </w:tcBorders>
          </w:tcPr>
          <w:p>
            <w:pPr>
              <w:jc w:val="center"/>
              <w:ind w:left="1479"/>
              <w:spacing w:after="0"/>
              <w:rPr>
                <w:sz w:val="20"/>
                <w:szCs w:val="20"/>
                <w:color w:val="auto"/>
              </w:rPr>
            </w:pPr>
            <w:r>
              <w:rPr>
                <w:rFonts w:ascii="Arial" w:cs="Arial" w:eastAsia="Arial" w:hAnsi="Arial"/>
                <w:sz w:val="14"/>
                <w:szCs w:val="14"/>
                <w:b w:val="1"/>
                <w:bCs w:val="1"/>
                <w:color w:val="auto"/>
                <w:w w:val="91"/>
              </w:rPr>
              <w:t>to be registered</w:t>
            </w:r>
          </w:p>
        </w:tc>
        <w:tc>
          <w:tcPr>
            <w:tcW w:w="134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w w:val="92"/>
              </w:rPr>
              <w:t>Registered (1)</w:t>
            </w:r>
          </w:p>
        </w:tc>
        <w:tc>
          <w:tcPr>
            <w:tcW w:w="46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(2)</w:t>
            </w: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w w:val="95"/>
              </w:rPr>
              <w:t>price (2)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Common Stock, par value $0.01 per share</w:t>
            </w:r>
          </w:p>
        </w:tc>
        <w:tc>
          <w:tcPr>
            <w:tcW w:w="3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jc w:val="center"/>
              <w:ind w:left="399"/>
              <w:spacing w:after="0"/>
              <w:rPr>
                <w:sz w:val="20"/>
                <w:szCs w:val="20"/>
                <w:color w:val="auto"/>
              </w:rPr>
            </w:pPr>
            <w:r>
              <w:rPr>
                <w:rFonts w:ascii="Arial" w:cs="Arial" w:eastAsia="Arial" w:hAnsi="Arial"/>
                <w:sz w:val="18"/>
                <w:szCs w:val="18"/>
                <w:color w:val="auto"/>
                <w:w w:val="89"/>
              </w:rPr>
              <w:t>3,000,000</w:t>
            </w:r>
          </w:p>
        </w:tc>
        <w:tc>
          <w:tcPr>
            <w:tcW w:w="46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right"/>
              <w:ind w:right="566"/>
              <w:spacing w:after="0"/>
              <w:rPr>
                <w:sz w:val="20"/>
                <w:szCs w:val="20"/>
                <w:color w:val="auto"/>
              </w:rPr>
            </w:pPr>
            <w:r>
              <w:rPr>
                <w:rFonts w:ascii="Arial" w:cs="Arial" w:eastAsia="Arial" w:hAnsi="Arial"/>
                <w:sz w:val="18"/>
                <w:szCs w:val="18"/>
                <w:color w:val="auto"/>
              </w:rPr>
              <w:t>$23.8723</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right"/>
              <w:ind w:right="563"/>
              <w:spacing w:after="0"/>
              <w:rPr>
                <w:sz w:val="20"/>
                <w:szCs w:val="20"/>
                <w:color w:val="auto"/>
              </w:rPr>
            </w:pPr>
            <w:r>
              <w:rPr>
                <w:rFonts w:ascii="Arial" w:cs="Arial" w:eastAsia="Arial" w:hAnsi="Arial"/>
                <w:sz w:val="18"/>
                <w:szCs w:val="18"/>
                <w:color w:val="auto"/>
              </w:rPr>
              <w:t>$71,616,900</w:t>
            </w:r>
          </w:p>
        </w:tc>
        <w:tc>
          <w:tcPr>
            <w:tcW w:w="1440" w:type="dxa"/>
            <w:vAlign w:val="bottom"/>
            <w:tcBorders>
              <w:bottom w:val="single" w:sz="8" w:color="auto"/>
            </w:tcBorders>
          </w:tcPr>
          <w:p>
            <w:pPr>
              <w:jc w:val="right"/>
              <w:ind w:right="402"/>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20" w:hanging="452"/>
        <w:spacing w:after="0" w:line="26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Relates to Common Stock to be issued pursuant to the Waste Management, Inc. Employee Stock Purchase Plan. Pursuant to Rule 416(a) under the Securities Act of 1933, as amended, this registration statement on Form S-8 also shall cover any additional shares of Common Stock in respect of the securities identified in the above table as a result of any anti-dilution provisions of the Plan.</w:t>
      </w:r>
    </w:p>
    <w:p>
      <w:pPr>
        <w:spacing w:after="0" w:line="34"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maximum offering price per share is estimated solely for the purpose of calculating the registration fee pursuant to Rule 457(c) and Rule 457(h) under the Securities Act based upon 85% of the average of the high and low sales prices of the Common Stock as reported on the New York Stock Exchange on May 21, 2009, which was $28.085. Under the terms of the Waste Management, Inc., Employee Stock Purchase Plan, the purchase price of Common Stock with respect to an offering period is 85% of the fair market value of the Common Stock on the last day of the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Plan Information.*</w:t>
        </w:r>
      </w:hyperlink>
    </w:p>
    <w:p>
      <w:pPr>
        <w:ind w:right="3019" w:firstLine="311"/>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 Registrant Information and Employee Plan Annual Information.*</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EX-5.1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STATEMENT</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accordance with the principles set forth under General Instruction E of Form S-8 under the Securities Act of 1933, as amended, the Registrant has filed this registration statement on Form S-8 to register the issuance of an additional 3,000,000 shares of Common Stock pursuant to the Waste Management, Inc. Employee Stock Purchase Plan (the “Plan”). The contents of the Registration Statement on Form S-8 (Registration No. 333-135379) filed by the Registrant with the Securities and Exchange Commission on June 27, 2006 are incorporated herein by reference except to the extent otherwise updated or modified by this Registration Statement. The additional 3,000,000 shares of Common Stock that are the subject of this Registration Statement relate to the increase of the number of authorized shares available for issuance under the Plan as approved by the Company’s stockholders at the Company’s Annual Meeting held on May 8, 2009.</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this registration statement’s effectiveness, there will be 3,469,091 shares of Common Stock registered for issuance under the Plan.</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of 1933, as amended, and the “Note” to Part I of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are hereby incorporated by reference into this Registration Statement:</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2008.</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2009.</w:t>
      </w:r>
    </w:p>
    <w:p>
      <w:pPr>
        <w:spacing w:after="0" w:line="130" w:lineRule="exact"/>
        <w:rPr>
          <w:rFonts w:ascii="Arial" w:cs="Arial" w:eastAsia="Arial" w:hAnsi="Arial"/>
          <w:sz w:val="18"/>
          <w:szCs w:val="18"/>
          <w:color w:val="auto"/>
        </w:rPr>
      </w:pPr>
    </w:p>
    <w:p>
      <w:pPr>
        <w:ind w:left="660" w:right="22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February 26, 2009.</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February 27, 2009.</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March 2, 2009</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May 12, 2009.</w:t>
      </w:r>
    </w:p>
    <w:p>
      <w:pPr>
        <w:spacing w:after="0" w:line="117" w:lineRule="exact"/>
        <w:rPr>
          <w:sz w:val="20"/>
          <w:szCs w:val="20"/>
          <w:color w:val="auto"/>
        </w:rPr>
      </w:pPr>
    </w:p>
    <w:p>
      <w:pPr>
        <w:ind w:right="80" w:firstLine="215"/>
        <w:spacing w:after="0" w:line="312" w:lineRule="auto"/>
        <w:rPr>
          <w:sz w:val="20"/>
          <w:szCs w:val="20"/>
          <w:color w:val="auto"/>
        </w:rPr>
      </w:pPr>
      <w:r>
        <w:rPr>
          <w:rFonts w:ascii="Arial" w:cs="Arial" w:eastAsia="Arial" w:hAnsi="Arial"/>
          <w:sz w:val="16"/>
          <w:szCs w:val="16"/>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Certificate of Incorporation (the “Charter”) and the Bylaws of the Registrant provide in effect that the Registrant shall indemnify its directors and officers (as well as persons serving as a director or officer of any of the Registrant’s direct or indirect subsidiaries) to the extent permitted by the General Corporation Law of the State of Delaware (the “DGCL”). Sections 102 and 145 of the DGCL provide that a Delaware corporation has the power to indemnify its directors, officers, employees and agents in certain circumstances, as described below.</w:t>
      </w:r>
    </w:p>
    <w:p>
      <w:pPr>
        <w:spacing w:after="0" w:line="79"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In accordance with Section 102 of the DGCL, the Registrant’s Charter contains a provision that eliminates the personal liability of directors of the Registrant or its stockholders for monetary damages for breach of fiduciary duty as a director, except in cases where the director breached his or her duty of loyalty to the Registrant or its stockholders, failed to act in good faith, engaged in intentional misconduct or a knowing violation of the law, willfully or negligently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authorized the unlawful payment of a dividend or approved an unlawful stock redemption or repurchase or obtained an improper personal benefit.</w:t>
      </w:r>
    </w:p>
    <w:p>
      <w:pPr>
        <w:spacing w:after="0" w:line="12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Pursuant to Subsection (a) of Section 145 of the DGCL, the Registrant’s Bylaws provide that the Registrant shall indemnify and upon request advance expenses to any director or officer who was or is a party or is threatened to be made a party to any threatened, pending or completed action, suit, proceeding or claim, whether civil, criminal, administrative or investigative (other than an action by or in the name of the Registrant), against all liability, loss suffered and expenses (including attorney’s fees and expenses), judgments, fines, penalties and amounts paid in settlement reasonably incurred in connection with such action, suit, proceeding or claim provided that the Registrant shall not be required to indemnify or advance expenses to any person in connection with any action, suit, proceeding or claim initiated by or on behalf of such person unless the initiation of such action, suit, proceeding, or claim was authorized in the specific case by the Board of Directors.</w:t>
      </w:r>
    </w:p>
    <w:p>
      <w:pPr>
        <w:spacing w:after="0" w:line="81"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Pursuant to Subsection (b) of Section 145 of the DGCL, the Registrant’s Bylaws provide that the Registrant shall indemnify and upon request advance expenses to any director or officer who was or is a party or is threatened to be made a party to any threatened, pending or completed action, suit, proceeding or claim by or in the right of the Registrant to procure a judgment in its favor by reason of the fact that such person acted in any of the capacities set forth above, against all expenses (including attorney’s fees and expenses), reasonably incurred in connection with the investigation, preparation to defend or defense of such action, suit, proceeding or claim provided that the Registrant shall not be required to indemnify or advance expenses to any person in connection with any action, suit, proceeding or claim initiated by or on behalf of such person.</w:t>
      </w:r>
    </w:p>
    <w:p>
      <w:pPr>
        <w:spacing w:after="0" w:line="70"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Registrant’s Bylaws further provide that, to the extent that a director or officer has been successful in the defense of any action, suit or proceeding referred to in subsections (a) and (b) of Section 145 of the DGCL or in the defense of any claim, issue or matter therein, he shall be indemnified against expenses (including attorneys’ fees) actually and reasonably incurred by him in connection therewith. Any person seeking indemnification as described above shall be deemed to have met the standard of conduct required for such indemnification unless the contrary shall be established. The indemnification provided by Section 145 of the DGCL shall not be exclusive of any other rights to which the party seeking indemnification may be entitled.</w:t>
      </w:r>
    </w:p>
    <w:p>
      <w:pPr>
        <w:spacing w:after="0" w:line="5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Section 145 of the DGCL also provides that a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The Registrant has purchased certain liability insurance for its officers and directors.</w:t>
      </w:r>
    </w:p>
    <w:p>
      <w:pPr>
        <w:spacing w:after="0" w:line="79"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Registrant has entered into indemnification agreements with its directors and certain of its executive officers and certain of its executive officers’ employment agreements contain indemnification provisions. Such agreements and provisions generally provide that such persons will be indemnified and held harmless to the fullest extent of Delaware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4.1</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10340" w:type="dxa"/>
            <w:vAlign w:val="bottom"/>
          </w:tcPr>
          <w:p>
            <w:pPr>
              <w:ind w:left="100"/>
              <w:spacing w:after="0"/>
              <w:rPr>
                <w:sz w:val="20"/>
                <w:szCs w:val="20"/>
                <w:color w:val="auto"/>
              </w:rPr>
            </w:pPr>
            <w:r>
              <w:rPr>
                <w:rFonts w:ascii="Arial" w:cs="Arial" w:eastAsia="Arial" w:hAnsi="Arial"/>
                <w:sz w:val="18"/>
                <w:szCs w:val="18"/>
                <w:color w:val="auto"/>
                <w:w w:val="92"/>
              </w:rPr>
              <w:t>Second Amended and Restated Certificate of Incorporation (Incorporated by reference to Exhibit 3.1 to the Registrant’s Quarterly Report on</w:t>
            </w:r>
          </w:p>
        </w:tc>
      </w:tr>
      <w:tr>
        <w:trPr>
          <w:trHeight w:val="230"/>
        </w:trPr>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40" w:type="dxa"/>
            <w:vAlign w:val="bottom"/>
          </w:tcPr>
          <w:p>
            <w:pPr>
              <w:ind w:left="100"/>
              <w:spacing w:after="0"/>
              <w:rPr>
                <w:sz w:val="20"/>
                <w:szCs w:val="20"/>
                <w:color w:val="auto"/>
              </w:rPr>
            </w:pPr>
            <w:r>
              <w:rPr>
                <w:rFonts w:ascii="Arial" w:cs="Arial" w:eastAsia="Arial" w:hAnsi="Arial"/>
                <w:sz w:val="18"/>
                <w:szCs w:val="18"/>
                <w:color w:val="auto"/>
              </w:rPr>
              <w:t>Form 10-Q for the Quarter ended June 30, 2002).</w:t>
            </w:r>
          </w:p>
        </w:tc>
      </w:tr>
      <w:tr>
        <w:trPr>
          <w:trHeight w:val="418"/>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4.2</w:t>
            </w: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10340" w:type="dxa"/>
            <w:vAlign w:val="bottom"/>
          </w:tcPr>
          <w:p>
            <w:pPr>
              <w:ind w:left="100"/>
              <w:spacing w:after="0"/>
              <w:rPr>
                <w:sz w:val="20"/>
                <w:szCs w:val="20"/>
                <w:color w:val="auto"/>
              </w:rPr>
            </w:pPr>
            <w:r>
              <w:rPr>
                <w:rFonts w:ascii="Arial" w:cs="Arial" w:eastAsia="Arial" w:hAnsi="Arial"/>
                <w:sz w:val="18"/>
                <w:szCs w:val="18"/>
                <w:color w:val="auto"/>
                <w:w w:val="91"/>
              </w:rPr>
              <w:t>Bylaws (Incorporated by reference to Exhibit 3.2 to the Registrant’s Current Report on Form 8-K filed with the Commission on December 16,</w:t>
            </w:r>
          </w:p>
        </w:tc>
      </w:tr>
      <w:tr>
        <w:trPr>
          <w:trHeight w:val="230"/>
        </w:trPr>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40" w:type="dxa"/>
            <w:vAlign w:val="bottom"/>
          </w:tcPr>
          <w:p>
            <w:pPr>
              <w:ind w:left="100"/>
              <w:spacing w:after="0"/>
              <w:rPr>
                <w:sz w:val="20"/>
                <w:szCs w:val="20"/>
                <w:color w:val="auto"/>
              </w:rPr>
            </w:pPr>
            <w:r>
              <w:rPr>
                <w:rFonts w:ascii="Arial" w:cs="Arial" w:eastAsia="Arial" w:hAnsi="Arial"/>
                <w:sz w:val="18"/>
                <w:szCs w:val="18"/>
                <w:color w:val="auto"/>
              </w:rPr>
              <w:t>2008).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4.3</w:t>
            </w:r>
          </w:p>
        </w:tc>
        <w:tc>
          <w:tcPr>
            <w:tcW w:w="10340" w:type="dxa"/>
            <w:vAlign w:val="bottom"/>
          </w:tcPr>
          <w:p>
            <w:pPr>
              <w:ind w:left="180"/>
              <w:spacing w:after="0"/>
              <w:rPr>
                <w:sz w:val="20"/>
                <w:szCs w:val="20"/>
                <w:color w:val="auto"/>
              </w:rPr>
            </w:pPr>
            <w:r>
              <w:rPr>
                <w:rFonts w:ascii="Arial" w:cs="Arial" w:eastAsia="Arial" w:hAnsi="Arial"/>
                <w:sz w:val="18"/>
                <w:szCs w:val="18"/>
                <w:color w:val="auto"/>
                <w:w w:val="91"/>
              </w:rPr>
              <w:t>—   Waste Management, Inc. Employee Stock Purchase Plan (Incorporated by reference to Appendix A of the Company’s Notice and Proxy</w:t>
            </w:r>
          </w:p>
        </w:tc>
      </w:tr>
      <w:tr>
        <w:trPr>
          <w:trHeight w:val="230"/>
        </w:trPr>
        <w:tc>
          <w:tcPr>
            <w:tcW w:w="48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rPr>
              <w:t>Statement dated March 25, 2009, for the Annual Meeting of Stockholders held on May 8, 2009).</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5.1</w:t>
            </w:r>
          </w:p>
        </w:tc>
        <w:tc>
          <w:tcPr>
            <w:tcW w:w="10340" w:type="dxa"/>
            <w:vAlign w:val="bottom"/>
          </w:tcPr>
          <w:p>
            <w:pPr>
              <w:ind w:left="180"/>
              <w:spacing w:after="0"/>
              <w:rPr>
                <w:sz w:val="20"/>
                <w:szCs w:val="20"/>
                <w:color w:val="auto"/>
              </w:rPr>
            </w:pPr>
            <w:r>
              <w:rPr>
                <w:rFonts w:ascii="Arial" w:cs="Arial" w:eastAsia="Arial" w:hAnsi="Arial"/>
                <w:sz w:val="18"/>
                <w:szCs w:val="18"/>
                <w:color w:val="auto"/>
              </w:rPr>
              <w:t>—   Opinion of Amanda K. Maki with respect to the legality of the securities.</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23.1</w:t>
            </w:r>
          </w:p>
        </w:tc>
        <w:tc>
          <w:tcPr>
            <w:tcW w:w="10340" w:type="dxa"/>
            <w:vAlign w:val="bottom"/>
          </w:tcPr>
          <w:p>
            <w:pPr>
              <w:ind w:left="180"/>
              <w:spacing w:after="0"/>
              <w:rPr>
                <w:sz w:val="20"/>
                <w:szCs w:val="20"/>
                <w:color w:val="auto"/>
              </w:rPr>
            </w:pPr>
            <w:r>
              <w:rPr>
                <w:rFonts w:ascii="Arial" w:cs="Arial" w:eastAsia="Arial" w:hAnsi="Arial"/>
                <w:sz w:val="18"/>
                <w:szCs w:val="18"/>
                <w:color w:val="auto"/>
              </w:rPr>
              <w:t>—   Consent of Ernst &amp; Young LLP.</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23.2</w:t>
            </w:r>
          </w:p>
        </w:tc>
        <w:tc>
          <w:tcPr>
            <w:tcW w:w="10340" w:type="dxa"/>
            <w:vAlign w:val="bottom"/>
          </w:tcPr>
          <w:p>
            <w:pPr>
              <w:ind w:left="180"/>
              <w:spacing w:after="0"/>
              <w:rPr>
                <w:sz w:val="20"/>
                <w:szCs w:val="20"/>
                <w:color w:val="auto"/>
              </w:rPr>
            </w:pPr>
            <w:r>
              <w:rPr>
                <w:rFonts w:ascii="Arial" w:cs="Arial" w:eastAsia="Arial" w:hAnsi="Arial"/>
                <w:sz w:val="18"/>
                <w:szCs w:val="18"/>
                <w:color w:val="auto"/>
              </w:rPr>
              <w:t>—   Consent of Amanda K. Maki (included in Exhibit 5.1).</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24.1</w:t>
            </w:r>
          </w:p>
        </w:tc>
        <w:tc>
          <w:tcPr>
            <w:tcW w:w="10340" w:type="dxa"/>
            <w:vAlign w:val="bottom"/>
          </w:tcPr>
          <w:p>
            <w:pPr>
              <w:ind w:left="180"/>
              <w:spacing w:after="0"/>
              <w:rPr>
                <w:sz w:val="20"/>
                <w:szCs w:val="20"/>
                <w:color w:val="auto"/>
              </w:rPr>
            </w:pPr>
            <w:r>
              <w:rPr>
                <w:rFonts w:ascii="Arial" w:cs="Arial" w:eastAsia="Arial" w:hAnsi="Arial"/>
                <w:sz w:val="18"/>
                <w:szCs w:val="18"/>
                <w:color w:val="auto"/>
              </w:rPr>
              <w:t>—   Powers of Attorney (included on the signature page of this Registration Statement).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jc w:val="both"/>
        <w:ind w:left="1120" w:right="220" w:hanging="437"/>
        <w:spacing w:after="0" w:line="264"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120" w:right="520" w:hanging="437"/>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73" w:lineRule="exact"/>
        <w:rPr>
          <w:sz w:val="20"/>
          <w:szCs w:val="20"/>
          <w:color w:val="auto"/>
        </w:rPr>
      </w:pPr>
    </w:p>
    <w:p>
      <w:pPr>
        <w:ind w:left="660" w:right="20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86" w:lineRule="exact"/>
        <w:rPr>
          <w:rFonts w:ascii="Arial" w:cs="Arial" w:eastAsia="Arial" w:hAnsi="Arial"/>
          <w:sz w:val="18"/>
          <w:szCs w:val="18"/>
          <w:color w:val="auto"/>
        </w:rPr>
      </w:pPr>
    </w:p>
    <w:p>
      <w:pPr>
        <w:ind w:left="660" w:right="160" w:hanging="43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that remain unsold at the termination of the offering.</w:t>
      </w:r>
    </w:p>
    <w:p>
      <w:pPr>
        <w:spacing w:after="0" w:line="62" w:lineRule="exact"/>
        <w:rPr>
          <w:rFonts w:ascii="Arial" w:cs="Arial" w:eastAsia="Arial" w:hAnsi="Arial"/>
          <w:sz w:val="18"/>
          <w:szCs w:val="18"/>
          <w:color w:val="auto"/>
        </w:rPr>
      </w:pPr>
    </w:p>
    <w:p>
      <w:pPr>
        <w:ind w:right="260" w:firstLine="233"/>
        <w:spacing w:after="0" w:line="259" w:lineRule="auto"/>
        <w:tabs>
          <w:tab w:leader="none" w:pos="47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firstLine="233"/>
        <w:spacing w:after="0" w:line="257" w:lineRule="auto"/>
        <w:tabs>
          <w:tab w:leader="none" w:pos="47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David P. Steiner, Robert G. Simpson and Rick L Wittenbraker,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20" w:firstLine="225"/>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26</w:t>
      </w:r>
      <w:r>
        <w:rPr>
          <w:rFonts w:ascii="Arial" w:cs="Arial" w:eastAsia="Arial" w:hAnsi="Arial"/>
          <w:sz w:val="30"/>
          <w:szCs w:val="30"/>
          <w:color w:val="auto"/>
          <w:vertAlign w:val="superscript"/>
        </w:rPr>
        <w:t>th</w:t>
      </w:r>
      <w:r>
        <w:rPr>
          <w:rFonts w:ascii="Arial" w:cs="Arial" w:eastAsia="Arial" w:hAnsi="Arial"/>
          <w:sz w:val="18"/>
          <w:szCs w:val="18"/>
          <w:color w:val="auto"/>
        </w:rPr>
        <w:t>day of May, 2009.</w:t>
      </w:r>
    </w:p>
    <w:p>
      <w:pPr>
        <w:spacing w:after="0" w:line="5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P. Steiner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ind w:right="540" w:firstLine="225"/>
        <w:spacing w:after="0" w:line="280"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26</w:t>
      </w:r>
      <w:r>
        <w:rPr>
          <w:rFonts w:ascii="Arial" w:cs="Arial" w:eastAsia="Arial" w:hAnsi="Arial"/>
          <w:sz w:val="30"/>
          <w:szCs w:val="30"/>
          <w:color w:val="auto"/>
          <w:vertAlign w:val="superscript"/>
        </w:rPr>
        <w:t>th</w:t>
      </w:r>
      <w:r>
        <w:rPr>
          <w:rFonts w:ascii="Arial" w:cs="Arial" w:eastAsia="Arial" w:hAnsi="Arial"/>
          <w:sz w:val="18"/>
          <w:szCs w:val="18"/>
          <w:color w:val="auto"/>
        </w:rPr>
        <w:t>day of May, 2009.</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680" w:type="dxa"/>
            <w:vAlign w:val="bottom"/>
          </w:tcPr>
          <w:p>
            <w:pPr>
              <w:spacing w:after="0"/>
              <w:rPr>
                <w:sz w:val="14"/>
                <w:szCs w:val="1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 Steiner</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David P. Steiner</w:t>
            </w:r>
          </w:p>
        </w:tc>
        <w:tc>
          <w:tcPr>
            <w:tcW w:w="68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 Simpson</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Financial Officer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Robert G. Simpson</w:t>
            </w:r>
          </w:p>
        </w:tc>
        <w:tc>
          <w:tcPr>
            <w:tcW w:w="68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Robertson</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Greg A. Robertson</w:t>
            </w:r>
          </w:p>
        </w:tc>
        <w:tc>
          <w:tcPr>
            <w:tcW w:w="68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r>
      <w:tr>
        <w:trPr>
          <w:trHeight w:val="404"/>
        </w:trPr>
        <w:tc>
          <w:tcPr>
            <w:tcW w:w="5380" w:type="dxa"/>
            <w:vAlign w:val="bottom"/>
          </w:tcPr>
          <w:p>
            <w:pPr>
              <w:spacing w:after="0"/>
              <w:rPr>
                <w:sz w:val="24"/>
                <w:szCs w:val="24"/>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II-5</w:t>
            </w:r>
          </w:p>
        </w:tc>
      </w:tr>
      <w:tr>
        <w:trPr>
          <w:trHeight w:val="226"/>
        </w:trPr>
        <w:tc>
          <w:tcPr>
            <w:tcW w:w="5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Signature</w:t>
            </w:r>
          </w:p>
        </w:tc>
        <w:tc>
          <w:tcPr>
            <w:tcW w:w="680" w:type="dxa"/>
            <w:vAlign w:val="bottom"/>
          </w:tcPr>
          <w:p>
            <w:pPr>
              <w:spacing w:after="0"/>
              <w:rPr>
                <w:sz w:val="14"/>
                <w:szCs w:val="1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Pastora San Juan Cafferty</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Clark, Jr.</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Frank M. Clark, Jr.</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W. Gross</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Patrick W. Gross</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Pope</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John C. Pope</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Robert Reum</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W. Robert Reum</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/s/Steven G. Rothmeier</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Steven G. Rothmeier</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H. Weidemeyer</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Thomas H. Weidemeyer</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04"/>
        </w:trPr>
        <w:tc>
          <w:tcPr>
            <w:tcW w:w="5380" w:type="dxa"/>
            <w:vAlign w:val="bottom"/>
          </w:tcPr>
          <w:p>
            <w:pPr>
              <w:spacing w:after="0"/>
              <w:rPr>
                <w:sz w:val="24"/>
                <w:szCs w:val="24"/>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II-6</w:t>
            </w:r>
          </w:p>
        </w:tc>
      </w:tr>
      <w:tr>
        <w:trPr>
          <w:trHeight w:val="226"/>
        </w:trPr>
        <w:tc>
          <w:tcPr>
            <w:tcW w:w="5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INDEX TO EXHIBITS</w:t>
            </w:r>
          </w:p>
        </w:tc>
        <w:tc>
          <w:tcPr>
            <w:tcW w:w="4680" w:type="dxa"/>
            <w:vAlign w:val="bottom"/>
          </w:tcPr>
          <w:p>
            <w:pPr>
              <w:spacing w:after="0"/>
              <w:rPr>
                <w:sz w:val="17"/>
                <w:szCs w:val="17"/>
                <w:color w:val="auto"/>
              </w:rPr>
            </w:pP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10820" w:type="dxa"/>
            <w:vAlign w:val="bottom"/>
            <w:gridSpan w:val="3"/>
          </w:tcPr>
          <w:p>
            <w:pPr>
              <w:ind w:left="180"/>
              <w:spacing w:after="0"/>
              <w:rPr>
                <w:sz w:val="20"/>
                <w:szCs w:val="20"/>
                <w:color w:val="auto"/>
              </w:rPr>
            </w:pPr>
            <w:r>
              <w:rPr>
                <w:rFonts w:ascii="Arial" w:cs="Arial" w:eastAsia="Arial" w:hAnsi="Arial"/>
                <w:sz w:val="18"/>
                <w:szCs w:val="18"/>
                <w:color w:val="auto"/>
                <w:w w:val="92"/>
              </w:rPr>
              <w:t>—   Second Amended and Restated Certificate of Incorporation (Incorporated by reference to Exhibit 3.1 to the Registrant’s Quarterly Report on</w:t>
            </w:r>
          </w:p>
        </w:tc>
      </w:tr>
      <w:tr>
        <w:trPr>
          <w:trHeight w:val="230"/>
        </w:trPr>
        <w:tc>
          <w:tcPr>
            <w:tcW w:w="48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Form 10-Q for the Quarter ended June 30, 2002).</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10820" w:type="dxa"/>
            <w:vAlign w:val="bottom"/>
            <w:gridSpan w:val="3"/>
          </w:tcPr>
          <w:p>
            <w:pPr>
              <w:ind w:left="180"/>
              <w:spacing w:after="0"/>
              <w:rPr>
                <w:sz w:val="20"/>
                <w:szCs w:val="20"/>
                <w:color w:val="auto"/>
              </w:rPr>
            </w:pPr>
            <w:r>
              <w:rPr>
                <w:rFonts w:ascii="Arial" w:cs="Arial" w:eastAsia="Arial" w:hAnsi="Arial"/>
                <w:sz w:val="18"/>
                <w:szCs w:val="18"/>
                <w:color w:val="auto"/>
                <w:w w:val="92"/>
              </w:rPr>
              <w:t>—   Bylaws (Incorporated by reference to Exhibit 3.2 to the Registrant’s Current Report on Form 8-K filed with the Commission on December 16,</w:t>
            </w:r>
          </w:p>
        </w:tc>
      </w:tr>
      <w:tr>
        <w:trPr>
          <w:trHeight w:val="230"/>
        </w:trPr>
        <w:tc>
          <w:tcPr>
            <w:tcW w:w="480" w:type="dxa"/>
            <w:vAlign w:val="bottom"/>
          </w:tcPr>
          <w:p>
            <w:pPr>
              <w:spacing w:after="0"/>
              <w:rPr>
                <w:sz w:val="20"/>
                <w:szCs w:val="20"/>
                <w:color w:val="auto"/>
              </w:rPr>
            </w:pPr>
          </w:p>
        </w:tc>
        <w:tc>
          <w:tcPr>
            <w:tcW w:w="4340" w:type="dxa"/>
            <w:vAlign w:val="bottom"/>
          </w:tcPr>
          <w:p>
            <w:pPr>
              <w:ind w:left="580"/>
              <w:spacing w:after="0"/>
              <w:rPr>
                <w:sz w:val="20"/>
                <w:szCs w:val="20"/>
                <w:color w:val="auto"/>
              </w:rPr>
            </w:pPr>
            <w:r>
              <w:rPr>
                <w:rFonts w:ascii="Arial" w:cs="Arial" w:eastAsia="Arial" w:hAnsi="Arial"/>
                <w:sz w:val="18"/>
                <w:szCs w:val="18"/>
                <w:color w:val="auto"/>
              </w:rPr>
              <w:t>2008).</w:t>
            </w:r>
          </w:p>
        </w:tc>
        <w:tc>
          <w:tcPr>
            <w:tcW w:w="180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4.3</w:t>
            </w:r>
          </w:p>
        </w:tc>
        <w:tc>
          <w:tcPr>
            <w:tcW w:w="10820" w:type="dxa"/>
            <w:vAlign w:val="bottom"/>
            <w:gridSpan w:val="3"/>
          </w:tcPr>
          <w:p>
            <w:pPr>
              <w:ind w:left="180"/>
              <w:spacing w:after="0"/>
              <w:rPr>
                <w:sz w:val="20"/>
                <w:szCs w:val="20"/>
                <w:color w:val="auto"/>
              </w:rPr>
            </w:pPr>
            <w:r>
              <w:rPr>
                <w:rFonts w:ascii="Arial" w:cs="Arial" w:eastAsia="Arial" w:hAnsi="Arial"/>
                <w:sz w:val="18"/>
                <w:szCs w:val="18"/>
                <w:color w:val="auto"/>
                <w:w w:val="95"/>
              </w:rPr>
              <w:t>—   Waste Management, Inc. Employee Stock Purchase Plan (Incorporated by reference to Appendix A of the Company’s Notice and Proxy</w:t>
            </w:r>
          </w:p>
        </w:tc>
      </w:tr>
      <w:tr>
        <w:trPr>
          <w:trHeight w:val="230"/>
        </w:trPr>
        <w:tc>
          <w:tcPr>
            <w:tcW w:w="480" w:type="dxa"/>
            <w:vAlign w:val="bottom"/>
          </w:tcPr>
          <w:p>
            <w:pPr>
              <w:spacing w:after="0"/>
              <w:rPr>
                <w:sz w:val="20"/>
                <w:szCs w:val="20"/>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Statement dated March 25, 2009, for the Annual Meeting of Stockholders held on May 8, 2009).</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5.1</w:t>
            </w:r>
          </w:p>
        </w:tc>
        <w:tc>
          <w:tcPr>
            <w:tcW w:w="10820" w:type="dxa"/>
            <w:vAlign w:val="bottom"/>
            <w:gridSpan w:val="3"/>
          </w:tcPr>
          <w:p>
            <w:pPr>
              <w:ind w:left="180"/>
              <w:spacing w:after="0"/>
              <w:rPr>
                <w:sz w:val="20"/>
                <w:szCs w:val="20"/>
                <w:color w:val="auto"/>
              </w:rPr>
            </w:pPr>
            <w:r>
              <w:rPr>
                <w:rFonts w:ascii="Arial" w:cs="Arial" w:eastAsia="Arial" w:hAnsi="Arial"/>
                <w:sz w:val="18"/>
                <w:szCs w:val="18"/>
                <w:color w:val="auto"/>
              </w:rPr>
              <w:t>—   Opinion of Amanda K. Maki with respect to the legality of the securities.</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23.1</w:t>
            </w:r>
          </w:p>
        </w:tc>
        <w:tc>
          <w:tcPr>
            <w:tcW w:w="10820" w:type="dxa"/>
            <w:vAlign w:val="bottom"/>
            <w:gridSpan w:val="3"/>
          </w:tcPr>
          <w:p>
            <w:pPr>
              <w:ind w:left="180"/>
              <w:spacing w:after="0"/>
              <w:rPr>
                <w:sz w:val="20"/>
                <w:szCs w:val="20"/>
                <w:color w:val="auto"/>
              </w:rPr>
            </w:pPr>
            <w:r>
              <w:rPr>
                <w:rFonts w:ascii="Arial" w:cs="Arial" w:eastAsia="Arial" w:hAnsi="Arial"/>
                <w:sz w:val="18"/>
                <w:szCs w:val="18"/>
                <w:color w:val="auto"/>
              </w:rPr>
              <w:t>—   Consent of Ernst &amp; Young LLP.</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23.2</w:t>
            </w:r>
          </w:p>
        </w:tc>
        <w:tc>
          <w:tcPr>
            <w:tcW w:w="10820" w:type="dxa"/>
            <w:vAlign w:val="bottom"/>
            <w:gridSpan w:val="3"/>
          </w:tcPr>
          <w:p>
            <w:pPr>
              <w:ind w:left="180"/>
              <w:spacing w:after="0"/>
              <w:rPr>
                <w:sz w:val="20"/>
                <w:szCs w:val="20"/>
                <w:color w:val="auto"/>
              </w:rPr>
            </w:pPr>
            <w:r>
              <w:rPr>
                <w:rFonts w:ascii="Arial" w:cs="Arial" w:eastAsia="Arial" w:hAnsi="Arial"/>
                <w:sz w:val="18"/>
                <w:szCs w:val="18"/>
                <w:color w:val="auto"/>
              </w:rPr>
              <w:t>—   Consent of Amanda K. Maki (included in Exhibit 5.1).</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24.1</w:t>
            </w:r>
          </w:p>
        </w:tc>
        <w:tc>
          <w:tcPr>
            <w:tcW w:w="10820" w:type="dxa"/>
            <w:vAlign w:val="bottom"/>
            <w:gridSpan w:val="3"/>
          </w:tcPr>
          <w:p>
            <w:pPr>
              <w:ind w:left="180"/>
              <w:spacing w:after="0"/>
              <w:rPr>
                <w:sz w:val="20"/>
                <w:szCs w:val="20"/>
                <w:color w:val="auto"/>
              </w:rPr>
            </w:pPr>
            <w:r>
              <w:rPr>
                <w:rFonts w:ascii="Arial" w:cs="Arial" w:eastAsia="Arial" w:hAnsi="Arial"/>
                <w:sz w:val="18"/>
                <w:szCs w:val="18"/>
                <w:color w:val="auto"/>
              </w:rPr>
              <w:t>—   Powers of Attorney (included on the signature page of this Registration Statement).</w:t>
            </w:r>
          </w:p>
        </w:tc>
      </w:tr>
    </w:tbl>
    <w:p>
      <w:pPr>
        <w:sectPr>
          <w:pgSz w:w="11900" w:h="16838" w:orient="portrait"/>
          <w:cols w:equalWidth="0" w:num="1">
            <w:col w:w="11300"/>
          </w:cols>
          <w:pgMar w:left="240" w:top="419" w:right="3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26,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9" w:lineRule="exact"/>
        <w:rPr>
          <w:sz w:val="20"/>
          <w:szCs w:val="20"/>
          <w:color w:val="auto"/>
        </w:rPr>
      </w:pPr>
    </w:p>
    <w:p>
      <w:pPr>
        <w:ind w:left="1040"/>
        <w:spacing w:after="0"/>
        <w:tabs>
          <w:tab w:leader="none" w:pos="15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Registration Statement on Form S-8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 am Senior Counsel for Waste Management, Inc., a Delaware corporation (the “Company”), and have acted in such capacity in connection with the registration under the Securities Act of 1933, as amended (the “Act”), of 3,000,000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May 26, 2009.</w:t>
      </w:r>
    </w:p>
    <w:p>
      <w:pPr>
        <w:spacing w:after="0" w:line="79"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In connection therewith, I have examined originals or copies certified or otherwise identified to my satisfaction of the Certificate of Incorporation of the Company, the By-laws of the Company, the corporate proceedings with respect to the offering of the shares and such other documents and instruments as I have deemed necessary or appropriate for the expression of the opinions contained herein.</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 have assumed the authenticity and completeness of all records, certificates and other instruments submitted to me as originals, the conformity to original documents of all records, certificates and other instruments submitted to me as copies, the authenticity and completeness of the originals of those records, certificates and other instruments submitted to me as copies and the correctness of all statements of fact contained in all records, certificates and other instruments that I have examined.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Based on the foregoing, and having a regard for such legal considerations as I have deemed relevant, I am of the opinion that:</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in good standing under the laws of the State of Delaware.</w:t>
      </w:r>
    </w:p>
    <w:p>
      <w:pPr>
        <w:spacing w:after="0" w:line="130" w:lineRule="exact"/>
        <w:rPr>
          <w:rFonts w:ascii="Arial" w:cs="Arial" w:eastAsia="Arial" w:hAnsi="Arial"/>
          <w:sz w:val="18"/>
          <w:szCs w:val="18"/>
          <w:color w:val="auto"/>
        </w:rPr>
      </w:pPr>
    </w:p>
    <w:p>
      <w:pPr>
        <w:ind w:left="660" w:right="40" w:hanging="43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of Common Stock proposed to be sold by the Company have been duly and validly authorized for issuance and, when issued and paid for in accordance with the Waste Management Inc. Employee Stock Purchase Plan, and subject to the Registration Statement becoming effective under the Act and to compliance with such state securities rules, regulations and laws as may be applicable, will be duly and validly issued, fully paid and nonassessable.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Counsel</w:t>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on Form S-8 to be filed on May 26, 2009 pertaining to the Waste Management, Inc. Employee Stock Purchase Plan of our reports dated February 17, 2009, with respect to the consolidated financial statements and schedule of Waste Management, Inc., and the effectiveness of internal control over financial reporting of Waste Management, Inc., included in its Annual Report (Form 10-K) for the year ended December 31, 2008, filed with the Securities and Exchange Commission.</w:t>
      </w:r>
    </w:p>
    <w:p>
      <w:pPr>
        <w:spacing w:after="0" w:line="38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2009</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decimal"/>
      <w:start w:val="2"/>
    </w:lvl>
    <w:lvl w:ilvl="1">
      <w:lvlJc w:val="left"/>
      <w:lvlText w:val="(%2)"/>
      <w:numFmt w:val="lowerLetter"/>
      <w:start w:val="2"/>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2019-12-10T08:13:25Z</dcterms:created>
  <dcterms:modified xsi:type="dcterms:W3CDTF">2019-12-10T08:13:25Z</dcterms:modified>
</cp:coreProperties>
</file>