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m-20241231x11k.htm"/>
        <w:bookmarkStart w:id="1" w:name="kswm20241231x11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11-K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(Mark One)</w:t>
      </w:r>
    </w:p>
    <w:p>
      <w:pPr>
        <w:pStyle w:val="TextBody"/>
        <w:pBdr/>
        <w:bidi w:val="0"/>
        <w:spacing w:before="0" w:after="0"/>
        <w:ind w:left="720" w:right="0" w:hanging="691"/>
        <w:jc w:val="left"/>
        <w:rPr/>
      </w:pPr>
      <w:r>
        <w:rPr/>
        <w:t>☑        </w:t>
      </w:r>
      <w:r>
        <w:rPr>
          <w:rFonts w:ascii="Times New Roman;Times;serif" w:hAnsi="Times New Roman;Times;serif"/>
          <w:b/>
          <w:sz w:val="24"/>
        </w:rPr>
        <w:t>ANNUAL REPORT PURSUANT TO SECTION 15(d) OF THE SECURITIES EXCHANGE ACT OF 1934</w:t>
      </w:r>
    </w:p>
    <w:p>
      <w:pPr>
        <w:pStyle w:val="TextBody"/>
        <w:bidi w:val="0"/>
        <w:spacing w:before="0" w:after="240"/>
        <w:ind w:left="0" w:right="0" w:hanging="0"/>
        <w:jc w:val="left"/>
        <w:rPr/>
      </w:pPr>
      <w:r>
        <w:rPr/>
        <w:t>​</w:t>
      </w:r>
    </w:p>
    <w:p>
      <w:pPr>
        <w:pStyle w:val="TextBody"/>
        <w:bidi w:val="0"/>
        <w:spacing w:before="0" w:after="0"/>
        <w:ind w:left="1440" w:right="0" w:hanging="0"/>
        <w:jc w:val="left"/>
        <w:rPr>
          <w:rFonts w:ascii="Times New Roman;Times;serif" w:hAnsi="Times New Roman;Times;serif"/>
          <w:b/>
          <w:sz w:val="20"/>
        </w:rPr>
      </w:pPr>
      <w:r>
        <w:rPr>
          <w:rFonts w:ascii="Times New Roman;Times;serif" w:hAnsi="Times New Roman;Times;serif"/>
          <w:b/>
          <w:sz w:val="20"/>
        </w:rPr>
        <w:t>For the fiscal year ended December 31, 2024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left"/>
        <w:rPr/>
      </w:pPr>
      <w:r>
        <w:rPr/>
        <w:t>​</w:t>
      </w:r>
    </w:p>
    <w:p>
      <w:pPr>
        <w:pStyle w:val="TextBody"/>
        <w:pBdr/>
        <w:bidi w:val="0"/>
        <w:spacing w:before="0" w:after="0"/>
        <w:ind w:left="720" w:right="0" w:hanging="691"/>
        <w:jc w:val="left"/>
        <w:rPr/>
      </w:pPr>
      <w:r>
        <w:rPr/>
        <w:t>☐        </w:t>
      </w:r>
      <w:r>
        <w:rPr>
          <w:rFonts w:ascii="Times New Roman;Times;serif" w:hAnsi="Times New Roman;Times;serif"/>
          <w:b/>
          <w:sz w:val="24"/>
        </w:rPr>
        <w:t>TRANSITION REPORT PURSUANT TO SECTION 15(d) OF THE SECURITIES EXCHANGE ACT OF 1934</w:t>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b/>
          <w:sz w:val="20"/>
        </w:rPr>
        <w:t>For the transition period from</w:t>
      </w:r>
      <w:r>
        <w:rPr>
          <w:rFonts w:ascii="Times New Roman;Times;serif" w:hAnsi="Times New Roman;Times;serif"/>
          <w:sz w:val="20"/>
        </w:rPr>
        <w:t>                    </w:t>
      </w:r>
      <w:r>
        <w:rPr>
          <w:rFonts w:ascii="Times New Roman;Times;serif" w:hAnsi="Times New Roman;Times;serif"/>
          <w:b/>
          <w:sz w:val="20"/>
        </w:rPr>
        <w:t>to</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Commission file number 1-12154</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WASTE MANAGEMENT RETIREMENT SAVINGS PLAN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Waste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 Capitol Street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Suite 3000</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Houston, TX 77002</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WASTE MANAGEMENT RETIREMENT SAVINGS PLAN</w:t>
      </w:r>
    </w:p>
    <w:p>
      <w:pPr>
        <w:pStyle w:val="TextBody"/>
        <w:bidi w:val="0"/>
        <w:spacing w:before="0" w:after="240"/>
        <w:ind w:left="0" w:right="0" w:hanging="0"/>
        <w:jc w:val="center"/>
        <w:rPr>
          <w:rFonts w:ascii="Times New Roman;Times;serif" w:hAnsi="Times New Roman;Times;serif"/>
          <w:sz w:val="20"/>
          <w:u w:val="single"/>
        </w:rPr>
      </w:pPr>
      <w:bookmarkStart w:id="2" w:name="TOC"/>
      <w:bookmarkEnd w:id="2"/>
      <w:r>
        <w:rPr>
          <w:rFonts w:ascii="Times New Roman;Times;serif" w:hAnsi="Times New Roman;Times;serif"/>
          <w:sz w:val="20"/>
          <w:u w:val="single"/>
        </w:rPr>
        <w:t>INDEX TO FINANCIAL STATEMENTS AND SUPPLEMENTAL SCHEDULES</w:t>
      </w:r>
    </w:p>
    <w:tbl>
      <w:tblPr>
        <w:tblW w:w="8683" w:type="dxa"/>
        <w:jc w:val="left"/>
        <w:tblInd w:w="0" w:type="dxa"/>
        <w:tblLayout w:type="fixed"/>
        <w:tblCellMar>
          <w:top w:w="0" w:type="dxa"/>
          <w:left w:w="0" w:type="dxa"/>
          <w:bottom w:w="0" w:type="dxa"/>
          <w:right w:w="0" w:type="dxa"/>
        </w:tblCellMar>
      </w:tblPr>
      <w:tblGrid>
        <w:gridCol w:w="7996"/>
        <w:gridCol w:w="326"/>
        <w:gridCol w:w="361"/>
      </w:tblGrid>
      <w:tr>
        <w:trPr/>
        <w:tc>
          <w:tcPr>
            <w:tcW w:w="7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77460" cy="175260"/>
                      <wp:effectExtent l="0" t="0" r="0" b="0"/>
                      <wp:wrapNone/>
                      <wp:docPr id="1" name="Frame1"/>
                      <a:graphic xmlns:a="http://schemas.openxmlformats.org/drawingml/2006/main">
                        <a:graphicData uri="http://schemas.microsoft.com/office/word/2010/wordprocessingShape">
                          <wps:wsp>
                            <wps:cNvSpPr txBox="1"/>
                            <wps:spPr>
                              <a:xfrm>
                                <a:off x="0" y="0"/>
                                <a:ext cx="507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9235" cy="175260"/>
                      <wp:effectExtent l="0" t="0" r="0" b="0"/>
                      <wp:wrapNone/>
                      <wp:docPr id="2" name="Frame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9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9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right"/>
              <w:rPr/>
            </w:pPr>
            <w:r>
              <w:rPr/>
              <w:t>​</w:t>
            </w:r>
          </w:p>
        </w:tc>
      </w:tr>
      <w:tr>
        <w:trPr/>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Audited Financial Statements</w:t>
            </w:r>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right"/>
              <w:rPr/>
            </w:pPr>
            <w:r>
              <w:rPr/>
              <w:t>​</w:t>
            </w:r>
          </w:p>
        </w:tc>
      </w:tr>
      <w:tr>
        <w:trPr/>
        <w:tc>
          <w:tcPr>
            <w:tcW w:w="799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right"/>
              <w:rPr/>
            </w:pPr>
            <w:r>
              <w:rPr/>
              <w:t>​</w:t>
            </w:r>
          </w:p>
        </w:tc>
      </w:tr>
      <w:tr>
        <w:trPr/>
        <w:tc>
          <w:tcPr>
            <w:tcW w:w="7996" w:type="dxa"/>
            <w:tcBorders/>
            <w:vAlign w:val="center"/>
          </w:tcPr>
          <w:p>
            <w:pPr>
              <w:pStyle w:val="TableContents"/>
              <w:bidi w:val="0"/>
              <w:spacing w:before="0" w:after="0"/>
              <w:ind w:left="0" w:right="0" w:hanging="0"/>
              <w:jc w:val="left"/>
              <w:rPr/>
            </w:pPr>
            <w:hyperlink w:anchor="StatementsofNetAssetsAvailableforBenefit">
              <w:r>
                <w:rPr>
                  <w:rStyle w:val="InternetLink"/>
                  <w:rFonts w:ascii="Times New Roman;Times;serif" w:hAnsi="Times New Roman;Times;serif"/>
                  <w:b w:val="false"/>
                  <w:i w:val="false"/>
                  <w:caps w:val="false"/>
                  <w:smallCaps w:val="false"/>
                  <w:sz w:val="20"/>
                </w:rPr>
                <w:t>Statements of Net Assets Available for Benefits as of December 31, 2024 and 2023</w:t>
              </w:r>
            </w:hyperlink>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996" w:type="dxa"/>
            <w:tcBorders/>
            <w:vAlign w:val="center"/>
          </w:tcPr>
          <w:p>
            <w:pPr>
              <w:pStyle w:val="TableContents"/>
              <w:bidi w:val="0"/>
              <w:spacing w:before="0" w:after="0"/>
              <w:ind w:left="0" w:right="0" w:hanging="0"/>
              <w:jc w:val="left"/>
              <w:rPr/>
            </w:pPr>
            <w:hyperlink w:anchor="StatementofChangesinNetAssetsAvailablefo">
              <w:r>
                <w:rPr>
                  <w:rStyle w:val="InternetLink"/>
                  <w:rFonts w:ascii="Times New Roman;Times;serif" w:hAnsi="Times New Roman;Times;serif"/>
                  <w:b w:val="false"/>
                  <w:i w:val="false"/>
                  <w:caps w:val="false"/>
                  <w:smallCaps w:val="false"/>
                  <w:sz w:val="20"/>
                </w:rPr>
                <w:t>Statement of Changes in Net Assets Available for Benefits for the Year Ended December 31, 2024</w:t>
              </w:r>
            </w:hyperlink>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96" w:type="dxa"/>
            <w:tcBorders/>
            <w:vAlign w:val="center"/>
          </w:tcPr>
          <w:p>
            <w:pPr>
              <w:pStyle w:val="TableContents"/>
              <w:bidi w:val="0"/>
              <w:spacing w:before="0" w:after="0"/>
              <w:ind w:left="0" w:right="0" w:hanging="0"/>
              <w:jc w:val="left"/>
              <w:rPr/>
            </w:pPr>
            <w:hyperlink w:anchor="NotestoFinancialStatements_153911">
              <w:r>
                <w:rPr>
                  <w:rStyle w:val="InternetLink"/>
                  <w:rFonts w:ascii="Times New Roman;Times;serif" w:hAnsi="Times New Roman;Times;serif"/>
                  <w:b w:val="false"/>
                  <w:i w:val="false"/>
                  <w:caps w:val="false"/>
                  <w:smallCaps w:val="false"/>
                  <w:sz w:val="20"/>
                </w:rPr>
                <w:t>Notes to Financial Statements</w:t>
              </w:r>
            </w:hyperlink>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99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right"/>
              <w:rPr/>
            </w:pPr>
            <w:r>
              <w:rPr/>
              <w:t>​</w:t>
            </w:r>
          </w:p>
        </w:tc>
      </w:tr>
      <w:tr>
        <w:trPr/>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Schedules</w:t>
            </w:r>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right"/>
              <w:rPr/>
            </w:pPr>
            <w:r>
              <w:rPr/>
              <w:t>​</w:t>
            </w:r>
          </w:p>
        </w:tc>
      </w:tr>
      <w:tr>
        <w:trPr/>
        <w:tc>
          <w:tcPr>
            <w:tcW w:w="7996" w:type="dxa"/>
            <w:tcBorders/>
            <w:vAlign w:val="center"/>
          </w:tcPr>
          <w:p>
            <w:pPr>
              <w:pStyle w:val="TableContents"/>
              <w:bidi w:val="0"/>
              <w:spacing w:before="0" w:after="0"/>
              <w:ind w:left="0" w:right="0" w:hanging="0"/>
              <w:jc w:val="left"/>
              <w:rPr/>
            </w:pPr>
            <w:hyperlink w:anchor="ScheduleofDelinquentParticipantContrib">
              <w:r>
                <w:rPr>
                  <w:rStyle w:val="InternetLink"/>
                  <w:rFonts w:ascii="Times New Roman;Times;serif" w:hAnsi="Times New Roman;Times;serif"/>
                  <w:b w:val="false"/>
                  <w:i w:val="false"/>
                  <w:caps w:val="false"/>
                  <w:smallCaps w:val="false"/>
                  <w:sz w:val="20"/>
                </w:rPr>
                <w:t>Schedule H, Line 4(a) - Schedule of Delinquent Participant Contributions</w:t>
              </w:r>
            </w:hyperlink>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996" w:type="dxa"/>
            <w:tcBorders/>
            <w:vAlign w:val="center"/>
          </w:tcPr>
          <w:p>
            <w:pPr>
              <w:pStyle w:val="TableContents"/>
              <w:bidi w:val="0"/>
              <w:spacing w:before="0" w:after="0"/>
              <w:ind w:left="0" w:right="0" w:hanging="0"/>
              <w:jc w:val="left"/>
              <w:rPr/>
            </w:pPr>
            <w:hyperlink w:anchor="ScheduleHLine4iScheduleofAssetsHeldatEnd">
              <w:r>
                <w:rPr>
                  <w:rStyle w:val="InternetLink"/>
                  <w:rFonts w:ascii="Times New Roman;Times;serif" w:hAnsi="Times New Roman;Times;serif"/>
                  <w:b w:val="false"/>
                  <w:i w:val="false"/>
                  <w:caps w:val="false"/>
                  <w:smallCaps w:val="false"/>
                  <w:sz w:val="20"/>
                </w:rPr>
                <w:t>Schedule H, Line 4(i) - Schedule of Assets (Held at End of Year)</w:t>
              </w:r>
            </w:hyperlink>
          </w:p>
        </w:tc>
        <w:tc>
          <w:tcPr>
            <w:tcW w:w="3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bookmarkStart w:id="3" w:name="ReportofIndependentRegisteredPublicAccou"/>
      <w:bookmarkEnd w:id="3"/>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Benefit Plans Committee of the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Waste Management Retirement Savings Plan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statements of net assets available for benefits of the Waste Management Retirement Savings Plan (the Plan) as of December 31, 2024 and 2023, and the related statement of changes in net assets available for benefits for the year ended December 31, 2024, and the related notes and schedules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 ended December 31, 2024, in conformity with accounting principles generally accepted in the United States of America.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for Opinion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Supplemental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supplemental information in the accompanying schedule of assets (held at end of year) as of December 31, 2024 and the schedule of delinquent participant contributions for the year ended December 31, 2024 have been subjected to audit procedures performed in conjunction with the audit of the Plan’s financial statements. The supplemental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WEAVER AND TIDWELL, L.L.P.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served as the Plan’s auditor since 2014.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June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Waste Management Retirement Savings Plan</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Statements of Net Assets Available for Benefits</w:t>
      </w:r>
      <w:bookmarkStart w:id="4" w:name="StatementsofNetAssetsAvailableforBenefit"/>
      <w:bookmarkEnd w:id="4"/>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2024 and 2023</w:t>
      </w:r>
    </w:p>
    <w:tbl>
      <w:tblPr>
        <w:tblW w:w="7497" w:type="dxa"/>
        <w:jc w:val="center"/>
        <w:tblInd w:w="0" w:type="dxa"/>
        <w:tblLayout w:type="fixed"/>
        <w:tblCellMar>
          <w:top w:w="0" w:type="dxa"/>
          <w:left w:w="0" w:type="dxa"/>
          <w:bottom w:w="0" w:type="dxa"/>
          <w:right w:w="0" w:type="dxa"/>
        </w:tblCellMar>
      </w:tblPr>
      <w:tblGrid>
        <w:gridCol w:w="3736"/>
        <w:gridCol w:w="326"/>
        <w:gridCol w:w="211"/>
        <w:gridCol w:w="1291"/>
        <w:gridCol w:w="326"/>
        <w:gridCol w:w="211"/>
        <w:gridCol w:w="139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72360" cy="175260"/>
                      <wp:effectExtent l="0" t="0" r="0" b="0"/>
                      <wp:wrapNone/>
                      <wp:docPr id="3" name="Frame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819785" cy="175260"/>
                      <wp:effectExtent l="0" t="0" r="0" b="0"/>
                      <wp:wrapNone/>
                      <wp:docPr id="6" name="Frame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886460" cy="175260"/>
                      <wp:effectExtent l="0" t="0" r="0" b="0"/>
                      <wp:wrapNone/>
                      <wp:docPr id="9" name="Frame9"/>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3,981,178,891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3,599,405,991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3,981,178,891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3,599,405,991</w:t>
            </w:r>
          </w:p>
        </w:tc>
      </w:tr>
      <w:tr>
        <w:trPr/>
        <w:tc>
          <w:tcPr>
            <w:tcW w:w="37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contributions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2,427,550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2,148,576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 contributions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1,511,376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1,373,353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receivable from participants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91,408,250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83,458,139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pending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95,464,812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87,052,637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AVAILABLE FOR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4,076,643,703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3,686,458,628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Waste Management Retirement Savings Plan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Statement of Changes in Net Assets Available for Benefits</w:t>
      </w:r>
      <w:bookmarkStart w:id="5" w:name="StatementofChangesinNetAssetsAvailablefo"/>
      <w:bookmarkEnd w:id="5"/>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Year Ended December 31, 2024</w:t>
      </w:r>
    </w:p>
    <w:tbl>
      <w:tblPr>
        <w:tblW w:w="7589" w:type="dxa"/>
        <w:jc w:val="center"/>
        <w:tblInd w:w="0" w:type="dxa"/>
        <w:tblLayout w:type="fixed"/>
        <w:tblCellMar>
          <w:top w:w="0" w:type="dxa"/>
          <w:left w:w="0" w:type="dxa"/>
          <w:bottom w:w="0" w:type="dxa"/>
          <w:right w:w="0" w:type="dxa"/>
        </w:tblCellMar>
      </w:tblPr>
      <w:tblGrid>
        <w:gridCol w:w="5656"/>
        <w:gridCol w:w="326"/>
        <w:gridCol w:w="211"/>
        <w:gridCol w:w="1396"/>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591560" cy="175260"/>
                      <wp:effectExtent l="0" t="0" r="0" b="0"/>
                      <wp:wrapNone/>
                      <wp:docPr id="10" name="Frame10"/>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86460" cy="175260"/>
                      <wp:effectExtent l="0" t="0" r="0" b="0"/>
                      <wp:wrapNone/>
                      <wp:docPr id="13" name="Frame13"/>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NET ASSETS AVAILABLE FOR BENEFITS: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pPr>
            <w:r>
              <w:rPr/>
              <w:t>  </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210,645,659</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120,149,981</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Rollover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15,017,181</w:t>
            </w:r>
          </w:p>
        </w:tc>
      </w:tr>
      <w:tr>
        <w:trPr/>
        <w:tc>
          <w:tcPr>
            <w:tcW w:w="5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345,812,821</w:t>
            </w:r>
          </w:p>
        </w:tc>
      </w:tr>
      <w:tr>
        <w:trPr/>
        <w:tc>
          <w:tcPr>
            <w:tcW w:w="5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appreciation in Plan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465,590,738</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12,662,301</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income on notes receivable from participants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6,834,992</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526,332</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additions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831,427,184</w:t>
            </w:r>
          </w:p>
        </w:tc>
      </w:tr>
      <w:tr>
        <w:trPr/>
        <w:tc>
          <w:tcPr>
            <w:tcW w:w="56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left"/>
              <w:rPr/>
            </w:pPr>
            <w:r>
              <w:rPr/>
              <w:t>​</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DEDUCTIONS FROM NET ASSETS AVAILABLE FOR BENEFITS: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pPr>
            <w:r>
              <w:rPr/>
              <w:t>  </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paid to participants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439,723,946</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1,518,163</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deductions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441,242,109</w:t>
            </w:r>
          </w:p>
        </w:tc>
      </w:tr>
      <w:tr>
        <w:trPr/>
        <w:tc>
          <w:tcPr>
            <w:tcW w:w="5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NET ASSETS AVAILABLE FOR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390,185,075</w:t>
            </w:r>
          </w:p>
        </w:tc>
      </w:tr>
      <w:tr>
        <w:trPr/>
        <w:tc>
          <w:tcPr>
            <w:tcW w:w="5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left"/>
              <w:rPr/>
            </w:pPr>
            <w:r>
              <w:rPr/>
              <w:t>​</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ASSETS AVAILABLE FOR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pPr>
            <w:r>
              <w:rPr/>
              <w:t>  </w:t>
            </w:r>
          </w:p>
        </w:tc>
      </w:tr>
      <w:tr>
        <w:trPr/>
        <w:tc>
          <w:tcPr>
            <w:tcW w:w="5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3,686,458,628</w:t>
            </w:r>
          </w:p>
        </w:tc>
      </w:tr>
      <w:tr>
        <w:trPr/>
        <w:tc>
          <w:tcPr>
            <w:tcW w:w="5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4,076,643,703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Waste Management Retirement Savings Plan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Notes to Financial Statements</w:t>
      </w:r>
      <w:bookmarkStart w:id="6" w:name="NotestoFinancialStatements_153911"/>
      <w:bookmarkEnd w:id="6"/>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Description of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description of the Waste Management Retirement Savings Plan (the “Plan”) provides only general information. Participants should refer to the Summary Plan Description and the plan document for a more complete description of the Plan’s provisions.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is a defined contribution plan sponsored by Waste Management, Inc. (the “Company” or “WMI”), and eligible affiliates (as defined in the Plan) (collectively “Waste Management”) for the benefit of eligible employees and their beneficiaries. The Plan is subject to the provisions of the Employee Retirement Income Security Act of 1974, as amended (“ERISA”).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Administration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Administrative Committee of the Waste Management Employee Benefit Plans (the “Administrative Committee”) has been named to serve as administrator and fiduciary of the Plan. Bank of America, N.A. (“Bank of America”) serves as trustee of the Plan pursuant to a Defined Contribution Plan Trust Agreement and also serves as the Plan’s third-party recordkeeper.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Eligibility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Employees (as defined by the Plan) are eligible to participate in the Plan following completion of a 90-day period of service (as defined by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Individuals who are ineligible to participate in the Plan consist of (a) leased employees; (b) employees whose employment is governed by a collective bargaining agreement that does not provide for participation in the Plan for such individual; (c) 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permitted to contribute as much as 50% of their eligible annual compensation, as defined by the Plan, and 80% of their annual incentive plan bonus, subject to annual contribution limitations established by the Internal Revenue Service (“Employee Contribution”). In addition, participants that are age 50 or older are eligible to make pre-tax catch-up contributions not to exceed certain limits described in the Plan document. After-tax contributions are permitted by the Plan. Participants may also contribute amounts representing distributions from other qualified plans (“Rollover Contributions”).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each participant whose employment is not governed by a collective bargaining agreement, Waste Management matches 100% of each participant’s Employee Contribution up to 3% of the participant’s eligible annual compensation, as defined by the Plan, plus 50% of the participant’s Employee Contribution on the next 3% of the participant’s eligible annual compensation. Any such employee is automatically enrolled in the Plan at a contribution rate of 3% of eligible compensation, unless changed by the employee.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each participant whose employment relationship is covered by a collective bargaining agreement, the amount of contributions by Waste Management, if any, is provided for in the applicable collective bargaining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Nonvested Forfeitures, Unclaimed Distributions and Other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2024 and 2023, nonvested forfeitures, unclaimed distributions and other unallocated accounts, including settlements, totaled $1,466,883 and $1,070,817, respectively. These accounts will be used to reduce future Waste Management contributions and/or to pay Plan expenses. During 2024, $203,533 from these accounts was used to fund Waste Management’s required contributions and pay Plan expenses.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offers participants diversified investment options. As of December 31, 2024, the Plan offered (a) 15 common collective trust funds (including nine target retirement-date funds and a stable value fund); (b) three mutual funds; (c) a WMI common stock fund (which is an Employee Stock Ownership Plan) and (d)  a self-directed brokerage account, which allows participants to select various securities sold on the New York Stock Exchange, NYSE American (formerly the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participant invests in the WMI common stock fund, the participant can elect to receive in cash any dividends paid on the common stock in the participant’s account. If a participant does not make such an election, dividends will automatically be reinvested in the WMI common stock fund. Each participant who has invested in the WMI common stock fund has the right to vote the shares of stock in his or her account with respect to any matter that comes before the shareholders for a vote.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self-directed brokerage account, several restrictions apply and a minimum balance is required to participate. Additionally, if a participant invests in the self-directed brokerage account, the participant has the right to vote the shares of securities held in the participant’s account.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Vesting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Participants are immediately vested in their Employee Contributions, Rollover Contributions and Employer Contributions, plus earnings thereon.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Participant Accounts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Payment of Benefits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WMI common stock may be taken in whole shares of common stock or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Participants may make withdrawals from their contributions, including certain earnings on those contributions, in the event of proven financial hardship of the participant.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Receivable from Participants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2024 and 2023.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of a participant’s vested accounts (excluding any amounts invested in the self-directed brokerage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 (b) repayments be made no less frequently than quarterly; (c) loans be repaid over a period not to exceed 54 months and (d) repayments, including interest, be made in equal periodic payments over the term of the loan and applied to principal using a level amortization over the repayment period. Prepayment of a participant’s total principal amount outstanding is allowed at any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Administrative expenses of the Plan are generally allocated among participants. Loan administration fees and certain other expenses are charged directly to the account balance of the applicable participant. In 2024, Waste Management elected to pay certain audit and legal fees of the Plan.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Accounting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financial statements of the Plan have been prepared using the accrual basis of accounting in accordance with accounting principles generally accepted in the United States (“GAAP”). Benefits are recorded when paid to participants.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the Plan’s management to make estimates and assumptions that affect the reported amounts of net assets available for benefits as of the date of the financial statements and the changes in net assets available for benefits during the reporting period and, when applicable, disclosures of contingent assets and liabilities as of the date of the financial statements. Actual results could differ materially from the estimates and assumptions used in the preparation of the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Corporate stocks, mutual funds and publicly-traded partnership interests held by the Plan are stated at fair value based on quoted market prices as of the financial statement date. The fair values of the common collective trust funds held by the Plan are generally based on net asset values established by the issuer of the common collective trust funds based on fair values of the underlying assets. Short-term investments (included in amounts reported as common collective trust funds herein) are stated at cost, which approximates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records purchases and sales of securities on a trade-date basis and dividends on the ex-dividend date. Interest income is recorded on the accrual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Contributions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Contributions from Plan participants and the matching contributions from the Company are recorded in the year in which the employee contributions are withheld from compensation.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both"/>
        <w:rPr>
          <w:rFonts w:ascii="Helvetica;sans-serif" w:hAnsi="Helvetica;sans-serif"/>
          <w:sz w:val="20"/>
        </w:rPr>
      </w:pPr>
      <w:r>
        <w:rPr>
          <w:rFonts w:ascii="Times New Roman;Times;serif" w:hAnsi="Times New Roman;Times;serif"/>
          <w:sz w:val="20"/>
        </w:rPr>
        <w:t>The Plan makes investments in securities. Investment securities are exposed to various risks, such as interest rate, macroeconomic, market and credit risks that impact the value of such securities. Risks include, but are not limited to, general economic conditions, political developments, international conflict and instability of markets and financial institutions. The impacts of any such risks cannot be predicted at this time, but it is possible that changes in values of investment securities could materially affect participant account balances and the amounts reported in the Statements of Net Assets Available for Benefits.</w:t>
      </w:r>
      <w:r>
        <w:rPr>
          <w:rFonts w:ascii="Helvetica;sans-serif" w:hAnsi="Helvetica;sans-serif"/>
          <w:sz w:val="20"/>
        </w:rPr>
        <w:t> </w:t>
      </w:r>
    </w:p>
    <w:p>
      <w:pPr>
        <w:pStyle w:val="TextBody"/>
        <w:bidi w:val="0"/>
        <w:spacing w:before="100" w:after="10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Reclassifications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necessary, reclassifications are made to the prior year financial information to conform to the current year presentation.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Investment in Stable Value Fund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Plan’s investment option for the stable value fund is managed by the John Hancock Stable Value Return Trust, a Collective Investment Trust offered by the John Hancock Trust Company and is included in investments at fair value in the Statement of Net Assets Available for Benefits as of December 31, 2024. The fund also invests in an uninsured separately managed account portfolio of short-term investments, the John Hancock Short Term Investment Fund (STIF) to provide daily liquidity for plan and participant level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Risks arise when entering into any investment contract due to the potential inability of the issuer to meet the terms of the contract. In addition, security‐backed investment contracts, also called stabilizing agreements or synthetic guaranteed investment contracts, have the risk of default or the lack of liquidity of the underlying portfolio assets. The credit risk of each issuer was evaluated and monitored through the portfolio manager’s credit analysis. The credit analysis included, but was not limited to, asset quality and liquidity, management quality, surplus adequacy, and profitability. John Hancock on behalf of the Plan, requires that the issuers of each contract have a minimum quality rating as of the contract effective date and that all underlying portfolio assets be rated investment grade at the time of purchase.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120"/>
        <w:ind w:left="288" w:right="0" w:hanging="0"/>
        <w:jc w:val="both"/>
        <w:rPr>
          <w:rFonts w:ascii="Times New Roman;Times;serif" w:hAnsi="Times New Roman;Times;serif"/>
          <w:sz w:val="20"/>
        </w:rPr>
      </w:pPr>
      <w:r>
        <w:rPr>
          <w:rFonts w:ascii="Times New Roman;Times;serif" w:hAnsi="Times New Roman;Times;serif"/>
          <w:i/>
          <w:sz w:val="20"/>
        </w:rPr>
        <w:t>Level 1 —</w:t>
      </w:r>
      <w:r>
        <w:rPr>
          <w:rFonts w:ascii="Times New Roman;Times;serif" w:hAnsi="Times New Roman;Times;serif"/>
          <w:sz w:val="20"/>
        </w:rPr>
        <w:t xml:space="preserve"> Quoted prices in active markets for identical assets or liabilities.</w:t>
      </w:r>
    </w:p>
    <w:p>
      <w:pPr>
        <w:pStyle w:val="TextBody"/>
        <w:bidi w:val="0"/>
        <w:spacing w:before="0" w:after="120"/>
        <w:ind w:left="288" w:right="0" w:hanging="0"/>
        <w:jc w:val="both"/>
        <w:rPr>
          <w:rFonts w:ascii="Times New Roman;Times;serif" w:hAnsi="Times New Roman;Times;serif"/>
          <w:sz w:val="20"/>
        </w:rPr>
      </w:pPr>
      <w:r>
        <w:rPr>
          <w:rFonts w:ascii="Times New Roman;Times;serif" w:hAnsi="Times New Roman;Times;serif"/>
          <w:i/>
          <w:sz w:val="20"/>
        </w:rPr>
        <w:t>Level 2 —</w:t>
      </w:r>
      <w:r>
        <w:rPr>
          <w:rFonts w:ascii="Times New Roman;Times;serif" w:hAnsi="Times New Roman;Times;serif"/>
          <w:sz w:val="20"/>
        </w:rPr>
        <w:t xml:space="preserve">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240"/>
        <w:ind w:left="288" w:right="0" w:hanging="0"/>
        <w:jc w:val="both"/>
        <w:rPr>
          <w:rFonts w:ascii="Times New Roman;Times;serif" w:hAnsi="Times New Roman;Times;serif"/>
          <w:sz w:val="20"/>
        </w:rPr>
      </w:pPr>
      <w:r>
        <w:rPr>
          <w:rFonts w:ascii="Times New Roman;Times;serif" w:hAnsi="Times New Roman;Times;serif"/>
          <w:i/>
          <w:sz w:val="20"/>
        </w:rPr>
        <w:t>Level 3 —</w:t>
      </w:r>
      <w:r>
        <w:rPr>
          <w:rFonts w:ascii="Times New Roman;Times;serif" w:hAnsi="Times New Roman;Times;serif"/>
          <w:sz w:val="20"/>
        </w:rPr>
        <w:t xml:space="preserve"> Inputs that are generally unobservable and typically reflect the Plan’s estimate of assumptions that market participants would use in pricing the asset or liability. The Plan had no Level 3 assets as of December 31, 2024 or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by level, within the fair value hierarchy, a summary of investments of the Plan as of December 31 measured at fair value on a recurring basis:</w:t>
      </w:r>
    </w:p>
    <w:tbl>
      <w:tblPr>
        <w:tblW w:w="7782" w:type="dxa"/>
        <w:jc w:val="center"/>
        <w:tblInd w:w="0" w:type="dxa"/>
        <w:tblLayout w:type="fixed"/>
        <w:tblCellMar>
          <w:top w:w="0" w:type="dxa"/>
          <w:left w:w="0" w:type="dxa"/>
          <w:bottom w:w="0" w:type="dxa"/>
          <w:right w:w="0" w:type="dxa"/>
        </w:tblCellMar>
      </w:tblPr>
      <w:tblGrid>
        <w:gridCol w:w="4201"/>
        <w:gridCol w:w="326"/>
        <w:gridCol w:w="211"/>
        <w:gridCol w:w="1291"/>
        <w:gridCol w:w="146"/>
        <w:gridCol w:w="211"/>
        <w:gridCol w:w="139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667635" cy="175260"/>
                      <wp:effectExtent l="0" t="0" r="0" b="0"/>
                      <wp:wrapNone/>
                      <wp:docPr id="14" name="Frame14"/>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819785" cy="175260"/>
                      <wp:effectExtent l="0" t="0" r="0" b="0"/>
                      <wp:wrapNone/>
                      <wp:docPr id="17" name="Frame1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2710" cy="175260"/>
                      <wp:effectExtent l="0" t="0" r="0" b="0"/>
                      <wp:wrapNone/>
                      <wp:docPr id="18" name="Frame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87095" cy="175260"/>
                      <wp:effectExtent l="0" t="0" r="0" b="0"/>
                      <wp:wrapNone/>
                      <wp:docPr id="20" name="Frame20"/>
                      <a:graphic xmlns:a="http://schemas.openxmlformats.org/drawingml/2006/main">
                        <a:graphicData uri="http://schemas.microsoft.com/office/word/2010/wordprocessingShape">
                          <wps:wsp>
                            <wps:cNvSpPr txBox="1"/>
                            <wps:spPr>
                              <a:xfrm>
                                <a:off x="0" y="0"/>
                                <a:ext cx="887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Quoted Prices in Active Markets (Level 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396"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282,199,040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263,940,693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WMI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341,492,867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319,974,315</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Self-directed brokerage accounts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127,065,199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90,947,526</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collective trust funds (b)</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324,325,665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Level 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1,075,082,771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674,862,534</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Significant Other Observable Inputs (Level 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6" w:type="dxa"/>
            <w:tcBorders/>
            <w:vAlign w:val="center"/>
          </w:tcPr>
          <w:p>
            <w:pPr>
              <w:pStyle w:val="TableContents"/>
              <w:bidi w:val="0"/>
              <w:spacing w:before="0" w:after="1"/>
              <w:ind w:left="0" w:right="0" w:hanging="0"/>
              <w:jc w:val="right"/>
              <w:rPr/>
            </w:pPr>
            <w:r>
              <w:rPr/>
              <w:t>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Self-directed brokerage accounts — FedFund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9,490,019</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9,083,850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FedFund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2,193,944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1,106,888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Level 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11,683,963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10,190,738</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96" w:type="dxa"/>
            <w:tcBorders/>
            <w:vAlign w:val="center"/>
          </w:tcPr>
          <w:p>
            <w:pPr>
              <w:pStyle w:val="TableContents"/>
              <w:bidi w:val="0"/>
              <w:spacing w:before="0" w:after="1"/>
              <w:ind w:left="0" w:right="0" w:hanging="0"/>
              <w:jc w:val="lef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Investments Measured at Net Asset Value (a):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collective trust funds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2,894,412,157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2,914,352,719</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 Investments Measured at Net Asset Value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2,894,412,157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2,914,352,719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 at Fair Value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3,981,178,891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3,599,405,991</w:t>
            </w:r>
          </w:p>
        </w:tc>
      </w:tr>
    </w:tbl>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Statements of Net Assets Available for Benefits. As of December 31, 2024 and 2023, there were no redemption restrictions on the investments held at net asset value other than possible advance notice requirements. </w:t>
            </w:r>
          </w:p>
        </w:tc>
      </w:tr>
    </w:tbl>
    <w:tbl>
      <w:tblPr>
        <w:tblW w:w="5560" w:type="dxa"/>
        <w:jc w:val="left"/>
        <w:tblInd w:w="0" w:type="dxa"/>
        <w:tblLayout w:type="fixed"/>
        <w:tblCellMar>
          <w:top w:w="0" w:type="dxa"/>
          <w:left w:w="0" w:type="dxa"/>
          <w:bottom w:w="0" w:type="dxa"/>
          <w:right w:w="0" w:type="dxa"/>
        </w:tblCellMar>
      </w:tblPr>
      <w:tblGrid>
        <w:gridCol w:w="245"/>
        <w:gridCol w:w="531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2024, these investments were measured at net asset value.</w:t>
            </w:r>
          </w:p>
        </w:tc>
      </w:tr>
    </w:tbl>
    <w:p>
      <w:pPr>
        <w:pStyle w:val="TextBody"/>
        <w:bidi w:val="0"/>
        <w:spacing w:before="0" w:after="240"/>
        <w:ind w:left="0" w:right="0" w:hanging="0"/>
        <w:jc w:val="left"/>
        <w:rPr>
          <w:rFonts w:ascii="Times New Roman;Times;serif" w:hAnsi="Times New Roman;Times;serif"/>
          <w:b/>
          <w:sz w:val="20"/>
        </w:rPr>
      </w:pPr>
      <w:bookmarkStart w:id="7" w:name="_Hlk199948767"/>
      <w:bookmarkStart w:id="8" w:name="_Hlk199948738"/>
      <w:bookmarkStart w:id="9" w:name="_Hlk199948629"/>
      <w:bookmarkEnd w:id="7"/>
      <w:bookmarkEnd w:id="8"/>
      <w:bookmarkEnd w:id="9"/>
      <w:r>
        <w:rPr>
          <w:rFonts w:ascii="Times New Roman;Times;serif" w:hAnsi="Times New Roman;Times;serif"/>
          <w:b/>
          <w:sz w:val="20"/>
        </w:rPr>
        <w:t>5. Federal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Plan has received a determination letter from the Internal Revenue Service (“IRS”) dated April 30, 2015, stating that the Plan, as amended and restated as of January 1, 2015, was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2024, there are no uncertain tax positions taken or expected to be taken. The Plan is subject to routine audits by taxing jurisdictions; however, there are currently no audits for any tax periods in progress. The Plan administrator believes it is no longer subject to income tax examinations for years prior to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Reconciliation of Financial Statements to Form 5500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reconciliation of net assets available for benefits per the financial statements to the Form 5500 as of December 31:</w:t>
      </w:r>
    </w:p>
    <w:tbl>
      <w:tblPr>
        <w:tblW w:w="8697" w:type="dxa"/>
        <w:jc w:val="center"/>
        <w:tblInd w:w="0" w:type="dxa"/>
        <w:tblLayout w:type="fixed"/>
        <w:tblCellMar>
          <w:top w:w="0" w:type="dxa"/>
          <w:left w:w="0" w:type="dxa"/>
          <w:bottom w:w="0" w:type="dxa"/>
          <w:right w:w="0" w:type="dxa"/>
        </w:tblCellMar>
      </w:tblPr>
      <w:tblGrid>
        <w:gridCol w:w="4936"/>
        <w:gridCol w:w="326"/>
        <w:gridCol w:w="211"/>
        <w:gridCol w:w="1291"/>
        <w:gridCol w:w="326"/>
        <w:gridCol w:w="211"/>
        <w:gridCol w:w="139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134360" cy="175260"/>
                      <wp:effectExtent l="0" t="0" r="0" b="0"/>
                      <wp:wrapNone/>
                      <wp:docPr id="21" name="Frame21"/>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819785" cy="175260"/>
                      <wp:effectExtent l="0" t="0" r="0" b="0"/>
                      <wp:wrapNone/>
                      <wp:docPr id="24" name="Frame2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886460" cy="175260"/>
                      <wp:effectExtent l="0" t="0" r="0" b="0"/>
                      <wp:wrapNone/>
                      <wp:docPr id="27" name="Frame27"/>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pBdr/>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6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assets available for benefits per the financial statements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4,076,643,703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3,686,458,628</w:t>
            </w:r>
          </w:p>
        </w:tc>
      </w:tr>
      <w:tr>
        <w:trPr/>
        <w:tc>
          <w:tcPr>
            <w:tcW w:w="49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Amounts pending distribution to participants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1,087,988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(81,465)</w:t>
            </w:r>
          </w:p>
        </w:tc>
      </w:tr>
      <w:tr>
        <w:trPr/>
        <w:tc>
          <w:tcPr>
            <w:tcW w:w="49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assets available for benefits per the Form 5500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4,077,731,691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3,686,377,163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reconciliation of the net increase in net assets available for benefits per the financial statements to the Form 5500 for the year ended December 31, 2024:</w:t>
      </w:r>
    </w:p>
    <w:tbl>
      <w:tblPr>
        <w:tblW w:w="7717" w:type="dxa"/>
        <w:jc w:val="center"/>
        <w:tblInd w:w="0" w:type="dxa"/>
        <w:tblLayout w:type="fixed"/>
        <w:tblCellMar>
          <w:top w:w="0" w:type="dxa"/>
          <w:left w:w="0" w:type="dxa"/>
          <w:bottom w:w="0" w:type="dxa"/>
          <w:right w:w="0" w:type="dxa"/>
        </w:tblCellMar>
      </w:tblPr>
      <w:tblGrid>
        <w:gridCol w:w="6151"/>
        <w:gridCol w:w="109"/>
        <w:gridCol w:w="211"/>
        <w:gridCol w:w="1246"/>
      </w:tblGrid>
      <w:tr>
        <w:trPr/>
        <w:tc>
          <w:tcPr>
            <w:tcW w:w="6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905885" cy="175260"/>
                      <wp:effectExtent l="0" t="0" r="0" b="0"/>
                      <wp:wrapNone/>
                      <wp:docPr id="28" name="Frame28"/>
                      <a:graphic xmlns:a="http://schemas.openxmlformats.org/drawingml/2006/main">
                        <a:graphicData uri="http://schemas.microsoft.com/office/word/2010/wordprocessingShape">
                          <wps:wsp>
                            <wps:cNvSpPr txBox="1"/>
                            <wps:spPr>
                              <a:xfrm>
                                <a:off x="0" y="0"/>
                                <a:ext cx="3905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91210" cy="175260"/>
                      <wp:effectExtent l="0" t="0" r="0" b="0"/>
                      <wp:wrapNone/>
                      <wp:docPr id="31" name="Frame3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net assets available for benefits per the financial statements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390,185,075</w:t>
            </w:r>
          </w:p>
        </w:tc>
      </w:tr>
      <w:tr>
        <w:trPr/>
        <w:tc>
          <w:tcPr>
            <w:tcW w:w="6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pending distribution to participants as of December 31, 2023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81,465</w:t>
            </w:r>
          </w:p>
        </w:tc>
      </w:tr>
      <w:tr>
        <w:trPr/>
        <w:tc>
          <w:tcPr>
            <w:tcW w:w="61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pending distribution to participants as of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1,087,988</w:t>
            </w:r>
          </w:p>
        </w:tc>
      </w:tr>
      <w:tr>
        <w:trPr/>
        <w:tc>
          <w:tcPr>
            <w:tcW w:w="61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assets available for benefits per the Form 5500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391,354,528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Plan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it has not expressed any intention to do so, the Company has the right to discontinue its Plan contribution at any time and to terminate the Plan subject to the provisions of ERISA.</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8. Related-Party Transactions</w:t>
      </w:r>
    </w:p>
    <w:p>
      <w:pPr>
        <w:pStyle w:val="TextBody"/>
        <w:bidi w:val="0"/>
        <w:spacing w:before="0" w:after="240"/>
        <w:ind w:left="0" w:right="0" w:hanging="0"/>
        <w:jc w:val="both"/>
        <w:rPr>
          <w:rFonts w:ascii="Times New Roman;Times;serif" w:hAnsi="Times New Roman;Times;serif"/>
          <w:sz w:val="20"/>
        </w:rPr>
      </w:pPr>
      <w:bookmarkStart w:id="10" w:name="_Hlk41662634"/>
      <w:bookmarkEnd w:id="10"/>
      <w:r>
        <w:rPr>
          <w:rFonts w:ascii="Times New Roman;Times;serif" w:hAnsi="Times New Roman;Times;serif"/>
          <w:sz w:val="20"/>
        </w:rPr>
        <w:t>Bank of America serves as the trustee and third-party recordkeeper of the Plan. Merrill Lynch, Pierce, Fenner &amp; Smith Incorporated, a Bank of America Company, provides securities brokerage services for the self-directed brokerage account. State Street Bank and Trust Company serves as the independent fiduciary for the WMI common stock fund. The Plan also holds notes receivable representing participant loans. These transactions qualify as party-in-interest transactions.  Additionally, a portion of the Plan’s assets are invested in WMI common stock. As WMI is the Plan sponsor, transactions involving WMI common stock also qualify as party-in-interest transactions. The Plan sponsor believes that all of these transactions are exempt from the prohibited transactions rules.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Waste Management Retirement Savings Plan</w:t>
      </w:r>
      <w:bookmarkStart w:id="11" w:name="ScheduleofDelinquentParticipantContrib"/>
      <w:bookmarkEnd w:id="11"/>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Schedule H, Line 4(a) - Schedule of Delinquent Participant Contributions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EIN: 73 1309529 Plan: 001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Year Ended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2024</w:t>
      </w:r>
    </w:p>
    <w:tbl>
      <w:tblPr>
        <w:tblW w:w="10160" w:type="dxa"/>
        <w:jc w:val="left"/>
        <w:tblInd w:w="0" w:type="dxa"/>
        <w:tblLayout w:type="fixed"/>
        <w:tblCellMar>
          <w:top w:w="0" w:type="dxa"/>
          <w:left w:w="0" w:type="dxa"/>
          <w:bottom w:w="0" w:type="dxa"/>
          <w:right w:w="0" w:type="dxa"/>
        </w:tblCellMar>
      </w:tblPr>
      <w:tblGrid>
        <w:gridCol w:w="541"/>
        <w:gridCol w:w="109"/>
        <w:gridCol w:w="557"/>
        <w:gridCol w:w="2068"/>
        <w:gridCol w:w="326"/>
        <w:gridCol w:w="328"/>
        <w:gridCol w:w="1215"/>
        <w:gridCol w:w="507"/>
        <w:gridCol w:w="437"/>
        <w:gridCol w:w="718"/>
        <w:gridCol w:w="507"/>
        <w:gridCol w:w="420"/>
        <w:gridCol w:w="691"/>
        <w:gridCol w:w="326"/>
        <w:gridCol w:w="449"/>
        <w:gridCol w:w="96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43535" cy="175260"/>
                      <wp:effectExtent l="0" t="0" r="0" b="0"/>
                      <wp:wrapNone/>
                      <wp:docPr id="32" name="Frame3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53695" cy="175260"/>
                      <wp:effectExtent l="0" t="0" r="0" b="0"/>
                      <wp:wrapNone/>
                      <wp:docPr id="34" name="Frame34"/>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13180" cy="175260"/>
                      <wp:effectExtent l="0" t="0" r="0" b="0"/>
                      <wp:wrapNone/>
                      <wp:docPr id="35" name="Frame35"/>
                      <a:graphic xmlns:a="http://schemas.openxmlformats.org/drawingml/2006/main">
                        <a:graphicData uri="http://schemas.microsoft.com/office/word/2010/wordprocessingShape">
                          <wps:wsp>
                            <wps:cNvSpPr txBox="1"/>
                            <wps:spPr>
                              <a:xfrm>
                                <a:off x="0" y="0"/>
                                <a:ext cx="1313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8280" cy="175260"/>
                      <wp:effectExtent l="0" t="0" r="0" b="0"/>
                      <wp:wrapNone/>
                      <wp:docPr id="37" name="Frame3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71525" cy="175260"/>
                      <wp:effectExtent l="0" t="0" r="0" b="0"/>
                      <wp:wrapNone/>
                      <wp:docPr id="38" name="Frame38"/>
                      <a:graphic xmlns:a="http://schemas.openxmlformats.org/drawingml/2006/main">
                        <a:graphicData uri="http://schemas.microsoft.com/office/word/2010/wordprocessingShape">
                          <wps:wsp>
                            <wps:cNvSpPr txBox="1"/>
                            <wps:spPr>
                              <a:xfrm>
                                <a:off x="0" y="0"/>
                                <a:ext cx="771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21945" cy="175260"/>
                      <wp:effectExtent l="0" t="0" r="0" b="0"/>
                      <wp:wrapNone/>
                      <wp:docPr id="39" name="Frame39"/>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77495" cy="175260"/>
                      <wp:effectExtent l="0" t="0" r="0" b="0"/>
                      <wp:wrapNone/>
                      <wp:docPr id="40" name="Frame4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5930" cy="175260"/>
                      <wp:effectExtent l="0" t="0" r="0" b="0"/>
                      <wp:wrapNone/>
                      <wp:docPr id="41" name="Frame41"/>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21945" cy="175260"/>
                      <wp:effectExtent l="0" t="0" r="0" b="0"/>
                      <wp:wrapNone/>
                      <wp:docPr id="42" name="Frame42"/>
                      <a:graphic xmlns:a="http://schemas.openxmlformats.org/drawingml/2006/main">
                        <a:graphicData uri="http://schemas.microsoft.com/office/word/2010/wordprocessingShape">
                          <wps:wsp>
                            <wps:cNvSpPr txBox="1"/>
                            <wps:spPr>
                              <a:xfrm>
                                <a:off x="0" y="0"/>
                                <a:ext cx="321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6700" cy="175260"/>
                      <wp:effectExtent l="0" t="0" r="0" b="0"/>
                      <wp:wrapNone/>
                      <wp:docPr id="43" name="Frame4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44" name="Frame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85115" cy="175260"/>
                      <wp:effectExtent l="0" t="0" r="0" b="0"/>
                      <wp:wrapNone/>
                      <wp:docPr id="46" name="Frame46"/>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10235" cy="175260"/>
                      <wp:effectExtent l="0" t="0" r="0" b="0"/>
                      <wp:wrapNone/>
                      <wp:docPr id="47" name="Frame4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7" w:type="dxa"/>
            <w:tcBorders/>
            <w:vAlign w:val="center"/>
          </w:tcPr>
          <w:p>
            <w:pPr>
              <w:pStyle w:val="TableContents"/>
              <w:bidi w:val="0"/>
              <w:spacing w:before="0" w:after="1"/>
              <w:ind w:left="0" w:right="0" w:hanging="0"/>
              <w:jc w:val="left"/>
              <w:rPr/>
            </w:pPr>
            <w:r>
              <w:rPr/>
              <w:t>​</w:t>
            </w:r>
          </w:p>
        </w:tc>
        <w:tc>
          <w:tcPr>
            <w:tcW w:w="2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2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that Constitute Nonexempt Prohibited Transactions</w:t>
            </w:r>
          </w:p>
        </w:tc>
        <w:tc>
          <w:tcPr>
            <w:tcW w:w="326" w:type="dxa"/>
            <w:tcBorders/>
            <w:vAlign w:val="center"/>
          </w:tcPr>
          <w:p>
            <w:pPr>
              <w:pStyle w:val="TableContents"/>
              <w:bidi w:val="0"/>
              <w:spacing w:before="0" w:after="1"/>
              <w:ind w:left="0" w:right="0" w:hanging="0"/>
              <w:jc w:val="left"/>
              <w:rPr/>
            </w:pPr>
            <w:r>
              <w:rPr/>
              <w:t>​</w:t>
            </w:r>
          </w:p>
        </w:tc>
        <w:tc>
          <w:tcPr>
            <w:tcW w:w="44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Participant Contributions </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5"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pPr>
            <w:r>
              <w:rPr/>
              <w:t>​</w:t>
            </w:r>
          </w:p>
        </w:tc>
        <w:tc>
          <w:tcPr>
            <w:tcW w:w="718"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Contributions</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Fully</w:t>
            </w:r>
          </w:p>
        </w:tc>
      </w:tr>
      <w:tr>
        <w:trPr/>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Transferred Late to Plan</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5" w:type="dxa"/>
            <w:tcBorders/>
            <w:vAlign w:val="center"/>
          </w:tcPr>
          <w:p>
            <w:pPr>
              <w:pStyle w:val="TableContents"/>
              <w:bidi w:val="0"/>
              <w:spacing w:before="0" w:after="1"/>
              <w:ind w:left="0" w:right="0" w:hanging="0"/>
              <w:jc w:val="left"/>
              <w:rPr/>
            </w:pPr>
            <w:r>
              <w:rPr/>
              <w:t>​</w:t>
            </w:r>
          </w:p>
        </w:tc>
        <w:tc>
          <w:tcPr>
            <w:tcW w:w="507" w:type="dxa"/>
            <w:tcBorders/>
            <w:vAlign w:val="center"/>
          </w:tcPr>
          <w:p>
            <w:pPr>
              <w:pStyle w:val="TableContents"/>
              <w:bidi w:val="0"/>
              <w:spacing w:before="0" w:after="1"/>
              <w:ind w:left="0" w:right="0" w:hanging="0"/>
              <w:jc w:val="left"/>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Contributions</w:t>
            </w:r>
          </w:p>
        </w:tc>
        <w:tc>
          <w:tcPr>
            <w:tcW w:w="50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Pending</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Corrected</w:t>
            </w:r>
          </w:p>
        </w:tc>
      </w:tr>
      <w:tr>
        <w:trPr/>
        <w:tc>
          <w:tcPr>
            <w:tcW w:w="5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Check here if Late Participant</w:t>
            </w:r>
          </w:p>
        </w:tc>
        <w:tc>
          <w:tcPr>
            <w:tcW w:w="326" w:type="dxa"/>
            <w:tcBorders/>
            <w:vAlign w:val="center"/>
          </w:tcPr>
          <w:p>
            <w:pPr>
              <w:pStyle w:val="TableContents"/>
              <w:bidi w:val="0"/>
              <w:spacing w:before="0" w:after="1"/>
              <w:ind w:left="0" w:right="0" w:hanging="0"/>
              <w:jc w:val="left"/>
              <w:rPr/>
            </w:pPr>
            <w:r>
              <w:rPr/>
              <w:t>​</w:t>
            </w:r>
          </w:p>
        </w:tc>
        <w:tc>
          <w:tcPr>
            <w:tcW w:w="15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Contributions </w:t>
            </w:r>
          </w:p>
        </w:tc>
        <w:tc>
          <w:tcPr>
            <w:tcW w:w="507" w:type="dxa"/>
            <w:tcBorders/>
            <w:vAlign w:val="center"/>
          </w:tcPr>
          <w:p>
            <w:pPr>
              <w:pStyle w:val="TableContents"/>
              <w:bidi w:val="0"/>
              <w:spacing w:before="0" w:after="1"/>
              <w:ind w:left="0" w:right="0" w:hanging="0"/>
              <w:jc w:val="left"/>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Corrected </w:t>
            </w:r>
          </w:p>
        </w:tc>
        <w:tc>
          <w:tcPr>
            <w:tcW w:w="507"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Correction</w:t>
            </w:r>
          </w:p>
        </w:tc>
        <w:tc>
          <w:tcPr>
            <w:tcW w:w="326"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VFCP and</w:t>
            </w:r>
          </w:p>
        </w:tc>
      </w:tr>
      <w:tr>
        <w:trPr/>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1"/>
              <w:ind w:left="0" w:right="0" w:hanging="0"/>
              <w:jc w:val="left"/>
              <w:rPr/>
            </w:pPr>
            <w:r>
              <w:rPr/>
              <w:t>​</w:t>
            </w:r>
          </w:p>
        </w:tc>
        <w:tc>
          <w:tcPr>
            <w:tcW w:w="26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 xml:space="preserve">Loan Repayments are included: </w:t>
            </w:r>
            <w:r>
              <w:rPr>
                <w:rFonts w:ascii="Wingdings" w:hAnsi="Wingdings"/>
                <w:b/>
                <w:sz w:val="20"/>
              </w:rPr>
              <w:t>o</w:t>
            </w:r>
          </w:p>
        </w:tc>
        <w:tc>
          <w:tcPr>
            <w:tcW w:w="326" w:type="dxa"/>
            <w:tcBorders/>
            <w:vAlign w:val="center"/>
          </w:tcPr>
          <w:p>
            <w:pPr>
              <w:pStyle w:val="TableContents"/>
              <w:bidi w:val="0"/>
              <w:spacing w:before="0" w:after="1"/>
              <w:ind w:left="0" w:right="0" w:hanging="0"/>
              <w:jc w:val="left"/>
              <w:rPr/>
            </w:pPr>
            <w:r>
              <w:rPr/>
              <w:t>    </w:t>
            </w:r>
          </w:p>
        </w:tc>
        <w:tc>
          <w:tcPr>
            <w:tcW w:w="15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 Corrected</w:t>
            </w:r>
          </w:p>
        </w:tc>
        <w:tc>
          <w:tcPr>
            <w:tcW w:w="507" w:type="dxa"/>
            <w:tcBorders/>
            <w:vAlign w:val="center"/>
          </w:tcPr>
          <w:p>
            <w:pPr>
              <w:pStyle w:val="TableContents"/>
              <w:bidi w:val="0"/>
              <w:spacing w:before="0" w:after="1"/>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Outside VFCP</w:t>
            </w:r>
          </w:p>
        </w:tc>
        <w:tc>
          <w:tcPr>
            <w:tcW w:w="507" w:type="dxa"/>
            <w:tcBorders/>
            <w:vAlign w:val="center"/>
          </w:tcPr>
          <w:p>
            <w:pPr>
              <w:pStyle w:val="TableContents"/>
              <w:bidi w:val="0"/>
              <w:spacing w:before="0" w:after="1"/>
              <w:ind w:left="0" w:right="0" w:hanging="0"/>
              <w:jc w:val="left"/>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VFCP</w:t>
            </w:r>
          </w:p>
        </w:tc>
        <w:tc>
          <w:tcPr>
            <w:tcW w:w="326" w:type="dxa"/>
            <w:tcBorders/>
            <w:vAlign w:val="center"/>
          </w:tcPr>
          <w:p>
            <w:pPr>
              <w:pStyle w:val="TableContents"/>
              <w:bidi w:val="0"/>
              <w:spacing w:before="0" w:after="1"/>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PTE 2001-51</w:t>
            </w:r>
          </w:p>
        </w:tc>
      </w:tr>
      <w:tr>
        <w:trPr/>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0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383,767</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383,767</w:t>
            </w:r>
          </w:p>
        </w:tc>
        <w:tc>
          <w:tcPr>
            <w:tcW w:w="507"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1"/>
              <w:ind w:left="0" w:right="0" w:hanging="0"/>
              <w:jc w:val="right"/>
              <w:rPr/>
            </w:pPr>
            <w:r>
              <w:rPr/>
              <w:t>—</w:t>
            </w:r>
          </w:p>
        </w:tc>
        <w:tc>
          <w:tcPr>
            <w:tcW w:w="507"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Waste Management Retirement Savings Plan</w:t>
      </w:r>
    </w:p>
    <w:p>
      <w:pPr>
        <w:pStyle w:val="TextBody"/>
        <w:bidi w:val="0"/>
        <w:spacing w:before="0" w:after="240"/>
        <w:ind w:left="0" w:right="0" w:hanging="0"/>
        <w:jc w:val="center"/>
        <w:rPr>
          <w:rFonts w:ascii="Times New Roman;Times;serif" w:hAnsi="Times New Roman;Times;serif"/>
          <w:sz w:val="20"/>
        </w:rPr>
      </w:pPr>
      <w:bookmarkStart w:id="12" w:name="_Hlk199863642"/>
      <w:bookmarkEnd w:id="12"/>
      <w:r>
        <w:rPr>
          <w:rFonts w:ascii="Times New Roman;Times;serif" w:hAnsi="Times New Roman;Times;serif"/>
          <w:sz w:val="20"/>
        </w:rPr>
        <w:t>Schedule H, Line 4(i) - Schedule of Assets (Held at End of Year)</w:t>
      </w:r>
      <w:bookmarkStart w:id="13" w:name="ScheduleHLine4iScheduleofAssetsHeldatEnd"/>
      <w:bookmarkEnd w:id="13"/>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EIN: 73-1309529 Plan: 001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2024</w:t>
      </w:r>
    </w:p>
    <w:tbl>
      <w:tblPr>
        <w:tblW w:w="10205" w:type="dxa"/>
        <w:jc w:val="center"/>
        <w:tblInd w:w="0" w:type="dxa"/>
        <w:tblLayout w:type="fixed"/>
        <w:tblCellMar>
          <w:top w:w="0" w:type="dxa"/>
          <w:left w:w="0" w:type="dxa"/>
          <w:bottom w:w="0" w:type="dxa"/>
          <w:right w:w="0" w:type="dxa"/>
        </w:tblCellMar>
      </w:tblPr>
      <w:tblGrid>
        <w:gridCol w:w="3663"/>
        <w:gridCol w:w="326"/>
        <w:gridCol w:w="4282"/>
        <w:gridCol w:w="326"/>
        <w:gridCol w:w="211"/>
        <w:gridCol w:w="1397"/>
      </w:tblGrid>
      <w:tr>
        <w:trPr/>
        <w:tc>
          <w:tcPr>
            <w:tcW w:w="3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26005" cy="175260"/>
                      <wp:effectExtent l="0" t="0" r="0" b="0"/>
                      <wp:wrapNone/>
                      <wp:docPr id="48" name="Frame48"/>
                      <a:graphic xmlns:a="http://schemas.openxmlformats.org/drawingml/2006/main">
                        <a:graphicData uri="http://schemas.microsoft.com/office/word/2010/wordprocessingShape">
                          <wps:wsp>
                            <wps:cNvSpPr txBox="1"/>
                            <wps:spPr>
                              <a:xfrm>
                                <a:off x="0" y="0"/>
                                <a:ext cx="2326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19070" cy="175260"/>
                      <wp:effectExtent l="0" t="0" r="0" b="0"/>
                      <wp:wrapNone/>
                      <wp:docPr id="50" name="Frame50"/>
                      <a:graphic xmlns:a="http://schemas.openxmlformats.org/drawingml/2006/main">
                        <a:graphicData uri="http://schemas.microsoft.com/office/word/2010/wordprocessingShape">
                          <wps:wsp>
                            <wps:cNvSpPr txBox="1"/>
                            <wps:spPr>
                              <a:xfrm>
                                <a:off x="0" y="0"/>
                                <a:ext cx="271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887095" cy="175260"/>
                      <wp:effectExtent l="0" t="0" r="0" b="0"/>
                      <wp:wrapNone/>
                      <wp:docPr id="53" name="Frame53"/>
                      <a:graphic xmlns:a="http://schemas.openxmlformats.org/drawingml/2006/main">
                        <a:graphicData uri="http://schemas.microsoft.com/office/word/2010/wordprocessingShape">
                          <wps:wsp>
                            <wps:cNvSpPr txBox="1"/>
                            <wps:spPr>
                              <a:xfrm>
                                <a:off x="0" y="0"/>
                                <a:ext cx="887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Identity of Issue</w:t>
            </w:r>
          </w:p>
        </w:tc>
        <w:tc>
          <w:tcPr>
            <w:tcW w:w="326" w:type="dxa"/>
            <w:tcBorders/>
            <w:vAlign w:val="center"/>
          </w:tcPr>
          <w:p>
            <w:pPr>
              <w:pStyle w:val="TableContents"/>
              <w:bidi w:val="0"/>
              <w:spacing w:before="0" w:after="1"/>
              <w:ind w:left="0" w:right="0" w:hanging="0"/>
              <w:jc w:val="left"/>
              <w:rPr/>
            </w:pPr>
            <w:r>
              <w:rPr/>
              <w:t>    </w:t>
            </w:r>
          </w:p>
        </w:tc>
        <w:tc>
          <w:tcPr>
            <w:tcW w:w="428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Description of Investment</w:t>
            </w:r>
          </w:p>
        </w:tc>
        <w:tc>
          <w:tcPr>
            <w:tcW w:w="326" w:type="dxa"/>
            <w:tcBorders/>
            <w:vAlign w:val="center"/>
          </w:tcPr>
          <w:p>
            <w:pPr>
              <w:pStyle w:val="TableContents"/>
              <w:bidi w:val="0"/>
              <w:spacing w:before="0" w:after="1"/>
              <w:ind w:left="0" w:right="0" w:hanging="0"/>
              <w:jc w:val="left"/>
              <w:rPr/>
            </w:pPr>
            <w:r>
              <w:rPr/>
              <w:t>    </w:t>
            </w:r>
          </w:p>
        </w:tc>
        <w:tc>
          <w:tcPr>
            <w:tcW w:w="16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 Value</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BlackRock</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BlackRock Liquidity Fund - FedFund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2,193,944</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*Waste Management, Inc.</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341,492,867</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Great Gray Collective Investment Trust</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BlackRock EAFE Equity Index Fund, Class 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194,820,326</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BlackRock Institutional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BlackRock Equity Index Fund J</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1,072,534,606</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Great Gray Collective Investment Trust</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Lord Abbett Total Return Fund II BP</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129,505,339</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2025 Collective Trust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92,433,648</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2030 Collective Trust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408,069,227</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2035 Collective Trust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155,486,526</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2040 Collective Trust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287,317,896</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2045 Collective Trust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128,446,634</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2050 Collective Trust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132,397,725</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2055 Collective Trust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110,242,431</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2060 Collective Trust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29,878,228</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vAlign w:val="center"/>
          </w:tcPr>
          <w:p>
            <w:pPr>
              <w:pStyle w:val="TableContents"/>
              <w:bidi w:val="0"/>
              <w:spacing w:before="0" w:after="1"/>
              <w:ind w:left="0" w:right="0" w:hanging="0"/>
              <w:jc w:val="left"/>
              <w:rPr/>
            </w:pPr>
            <w:r>
              <w:rPr/>
              <w:t>​</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2065 Collective Trust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1,463,413</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RealPath Blend Income Collective Trust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123,693,413</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Global Investors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Diversified Real Asset Tier 1 CIT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3,782,384</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Hancock Trust Company Collective Investment Trust</w:t>
            </w:r>
          </w:p>
        </w:tc>
        <w:tc>
          <w:tcPr>
            <w:tcW w:w="326" w:type="dxa"/>
            <w:tcBorders/>
            <w:shd w:fill="CCEEFF" w:val="clear"/>
            <w:vAlign w:val="center"/>
          </w:tcPr>
          <w:p>
            <w:pPr>
              <w:pStyle w:val="TableContents"/>
              <w:bidi w:val="0"/>
              <w:spacing w:before="0" w:after="1"/>
              <w:ind w:left="0" w:right="0" w:hanging="0"/>
              <w:jc w:val="left"/>
              <w:rPr/>
            </w:pPr>
            <w:r>
              <w:rPr/>
              <w:t>​</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Hancock Stable Value Return Trust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348,666,026</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SEI Trust Company</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PIMCO International Bond (US-HDG) Instl.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12,294,022</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Fidelity</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Fidelity Small Cap Index Fund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3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202,839,265</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Dimensional Fund Advisors</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DFA Emerging Markets Core Equity Portfolio</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67,065,753</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*Merrill Lynch, Pierce, Fenner &amp; Smith Incorporated</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Self-Directed Brokerage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136,555,218</w:t>
            </w:r>
          </w:p>
        </w:tc>
      </w:tr>
      <w:tr>
        <w:trPr/>
        <w:tc>
          <w:tcPr>
            <w:tcW w:w="36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3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3,981,178,891</w:t>
            </w:r>
          </w:p>
        </w:tc>
      </w:tr>
      <w:tr>
        <w:trPr/>
        <w:tc>
          <w:tcPr>
            <w:tcW w:w="36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*Notes receivable from participants</w:t>
            </w:r>
          </w:p>
        </w:tc>
        <w:tc>
          <w:tcPr>
            <w:tcW w:w="326" w:type="dxa"/>
            <w:tcBorders/>
            <w:shd w:fill="CCEEFF" w:val="clear"/>
            <w:vAlign w:val="center"/>
          </w:tcPr>
          <w:p>
            <w:pPr>
              <w:pStyle w:val="TableContents"/>
              <w:bidi w:val="0"/>
              <w:spacing w:before="0" w:after="1"/>
              <w:ind w:left="0" w:right="0" w:hanging="0"/>
              <w:jc w:val="left"/>
              <w:rPr/>
            </w:pPr>
            <w:r>
              <w:rPr/>
              <w:t> </w:t>
            </w:r>
          </w:p>
        </w:tc>
        <w:tc>
          <w:tcPr>
            <w:tcW w:w="4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Various maturity dates with interest rates ranging from 3.25% to 9.50%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91,408,250</w:t>
            </w:r>
          </w:p>
        </w:tc>
      </w:tr>
      <w:tr>
        <w:trPr/>
        <w:tc>
          <w:tcPr>
            <w:tcW w:w="366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42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4,072,587,141</w:t>
            </w:r>
          </w:p>
        </w:tc>
      </w:tr>
    </w:tbl>
    <w:p>
      <w:pPr>
        <w:pStyle w:val="HorizontalLine"/>
        <w:pBdr>
          <w:bottom w:val="single" w:sz="6" w:space="0" w:color="000000"/>
        </w:pBdr>
        <w:bidi w:val="0"/>
        <w:spacing w:before="0" w:after="0"/>
        <w:ind w:left="0" w:right="7654" w:hanging="0"/>
        <w:jc w:val="left"/>
        <w:rPr/>
      </w:pPr>
      <w:r>
        <w:rPr/>
      </w:r>
    </w:p>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xml:space="preserve">*   Party-in-interest </w:t>
      </w:r>
    </w:p>
    <w:p>
      <w:pPr>
        <w:pStyle w:val="TextBody"/>
        <w:pBdr/>
        <w:bidi w:val="0"/>
        <w:spacing w:before="0" w:after="240"/>
        <w:ind w:left="0" w:right="0" w:hanging="360"/>
        <w:jc w:val="left"/>
        <w:rPr/>
      </w:pPr>
      <w:r>
        <w:rPr/>
        <w:t>​</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EXHIBITS</w:t>
      </w:r>
    </w:p>
    <w:tbl>
      <w:tblPr>
        <w:tblW w:w="6043" w:type="dxa"/>
        <w:jc w:val="left"/>
        <w:tblInd w:w="0" w:type="dxa"/>
        <w:tblLayout w:type="fixed"/>
        <w:tblCellMar>
          <w:top w:w="0" w:type="dxa"/>
          <w:left w:w="0" w:type="dxa"/>
          <w:bottom w:w="0" w:type="dxa"/>
          <w:right w:w="0" w:type="dxa"/>
        </w:tblCellMar>
      </w:tblPr>
      <w:tblGrid>
        <w:gridCol w:w="706"/>
        <w:gridCol w:w="326"/>
        <w:gridCol w:w="5011"/>
      </w:tblGrid>
      <w:tr>
        <w:trPr/>
        <w:tc>
          <w:tcPr>
            <w:tcW w:w="7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1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50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left"/>
              <w:rPr/>
            </w:pPr>
            <w:hyperlink w:anchor="wm-20241231xex23d1.htm">
              <w:r>
                <w:rPr>
                  <w:rStyle w:val="InternetLink"/>
                  <w:rFonts w:ascii="Times New Roman;Times;serif" w:hAnsi="Times New Roman;Times;serif"/>
                  <w:b w:val="false"/>
                  <w:i w:val="false"/>
                  <w:caps w:val="false"/>
                  <w:smallCaps w:val="false"/>
                  <w:sz w:val="20"/>
                </w:rPr>
                <w:t>Consent of Independent Registered Public Accounting Firm</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The Plan</w:t>
      </w:r>
      <w:r>
        <w:rPr>
          <w:rFonts w:ascii="Times New Roman;Times;serif" w:hAnsi="Times New Roman;Times;serif"/>
          <w:sz w:val="20"/>
        </w:rPr>
        <w:t>. Pursuant to the requirements of the Securities Exchange Act of 1934, the Administrative Committee has duly caused this annual report to be signed on its behalf by the undersigned hereunto duly authorized.</w:t>
      </w:r>
    </w:p>
    <w:tbl>
      <w:tblPr>
        <w:tblW w:w="7002" w:type="dxa"/>
        <w:jc w:val="left"/>
        <w:tblInd w:w="0" w:type="dxa"/>
        <w:tblLayout w:type="fixed"/>
        <w:tblCellMar>
          <w:top w:w="0" w:type="dxa"/>
          <w:left w:w="0" w:type="dxa"/>
          <w:bottom w:w="0" w:type="dxa"/>
          <w:right w:w="0" w:type="dxa"/>
        </w:tblCellMar>
      </w:tblPr>
      <w:tblGrid>
        <w:gridCol w:w="1741"/>
        <w:gridCol w:w="326"/>
        <w:gridCol w:w="455"/>
        <w:gridCol w:w="4480"/>
      </w:tblGrid>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4480"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9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WASTE MANAGEMENT RETIREMENT SAVINGS PLAN</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4480"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27, 2025</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Kimberly Moore</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448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Kimberly Moore</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4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 Benefit Plans Committee of the Waste</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4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Employee Benefit Plans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448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 w:name="wm-20241231xex23d1.htm"/>
      <w:bookmarkStart w:id="15" w:name="kswm20241231xex23d1"/>
      <w:bookmarkEnd w:id="14"/>
      <w:bookmarkEnd w:id="15"/>
      <w:r>
        <w:rPr>
          <w:rFonts w:ascii="Times New Roman;Times;serif" w:hAnsi="Times New Roman;Times;serif"/>
          <w:b/>
          <w:sz w:val="20"/>
        </w:rPr>
        <w:t>Exhibit 23.1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 (Form S-8 No. 333-253683) pertaining to the Waste Management Retirement Savings Plan of our report dated June 27, 2025, with respect to the financial statements and supplemental schedules of the Waste Management Retirement Savings Plan included in this Annual Report (Form 11-K) for the year ended December 31, 2024.</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Weaver and Tidwell, L.L.P.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Texas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27,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4456</Words>
  <Characters>25395</Characters>
  <CharactersWithSpaces>30054</CharactersWithSpaces>
  <Paragraphs>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