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tabs>
          <w:tab w:leader="none" w:pos="1880" w:val="left"/>
        </w:tabs>
        <w:rPr>
          <w:sz w:val="20"/>
          <w:szCs w:val="20"/>
          <w:color w:val="auto"/>
        </w:rPr>
      </w:pPr>
      <w:r>
        <w:rPr>
          <w:rFonts w:ascii="Courier New" w:cs="Courier New" w:eastAsia="Courier New" w:hAnsi="Courier New"/>
          <w:sz w:val="18"/>
          <w:szCs w:val="18"/>
          <w:color w:val="auto"/>
        </w:rPr>
        <w:t>Washington, D.C.</w:t>
        <w:tab/>
        <w:t>20549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Waste Management, Inc.</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w:t>
      </w:r>
    </w:p>
    <w:p>
      <w:pPr>
        <w:spacing w:after="0"/>
        <w:rPr>
          <w:sz w:val="20"/>
          <w:szCs w:val="20"/>
          <w:color w:val="auto"/>
        </w:rPr>
      </w:pPr>
      <w:r>
        <w:rPr>
          <w:rFonts w:ascii="Courier New" w:cs="Courier New" w:eastAsia="Courier New" w:hAnsi="Courier New"/>
          <w:sz w:val="18"/>
          <w:szCs w:val="18"/>
          <w:color w:val="auto"/>
        </w:rPr>
        <w:t>(Title of Class and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94106L109</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80" w:type="dxa"/>
            <w:vAlign w:val="bottom"/>
            <w:gridSpan w:val="2"/>
          </w:tcPr>
          <w:p>
            <w:pPr>
              <w:spacing w:after="0"/>
              <w:rPr>
                <w:sz w:val="20"/>
                <w:szCs w:val="20"/>
                <w:color w:val="auto"/>
              </w:rPr>
            </w:pPr>
            <w:r>
              <w:rPr>
                <w:rFonts w:ascii="Courier New" w:cs="Courier New" w:eastAsia="Courier New" w:hAnsi="Courier New"/>
                <w:sz w:val="18"/>
                <w:szCs w:val="18"/>
                <w:color w:val="auto"/>
              </w:rPr>
              <w:t>/X/</w:t>
            </w:r>
          </w:p>
        </w:tc>
        <w:tc>
          <w:tcPr>
            <w:tcW w:w="1640" w:type="dxa"/>
            <w:vAlign w:val="bottom"/>
            <w:gridSpan w:val="2"/>
          </w:tcPr>
          <w:p>
            <w:pPr>
              <w:ind w:left="280"/>
              <w:spacing w:after="0"/>
              <w:rPr>
                <w:sz w:val="20"/>
                <w:szCs w:val="20"/>
                <w:color w:val="auto"/>
              </w:rPr>
            </w:pPr>
            <w:r>
              <w:rPr>
                <w:rFonts w:ascii="Courier New" w:cs="Courier New" w:eastAsia="Courier New" w:hAnsi="Courier New"/>
                <w:sz w:val="18"/>
                <w:szCs w:val="18"/>
                <w:color w:val="auto"/>
                <w:w w:val="95"/>
              </w:rPr>
              <w:t>Rule 13d-1(b)</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Rule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13d-1(c)</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Rule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13d-1(d)</w:t>
            </w:r>
          </w:p>
        </w:tc>
      </w:tr>
    </w:tbl>
    <w:p>
      <w:pPr>
        <w:spacing w:after="0" w:line="200" w:lineRule="exact"/>
        <w:rPr>
          <w:sz w:val="24"/>
          <w:szCs w:val="24"/>
          <w:color w:val="auto"/>
        </w:rPr>
      </w:pPr>
    </w:p>
    <w:p>
      <w:pPr>
        <w:spacing w:after="0" w:line="209" w:lineRule="exact"/>
        <w:rPr>
          <w:sz w:val="24"/>
          <w:szCs w:val="24"/>
          <w:color w:val="auto"/>
        </w:rPr>
      </w:pPr>
    </w:p>
    <w:p>
      <w:pPr>
        <w:ind w:right="3259" w:firstLine="8"/>
        <w:spacing w:after="0" w:line="475"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page.</w:t>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information required in the remainder of this cover page shall</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be deemed to be "filed" for the purpose of Section 18 of the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Exchange Act of 1934 ("Act") or otherwise subject to the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liabilities of that section of the Act but shall be subject to all</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other provisions of the Act (however, see the Notes).</w:t>
      </w:r>
    </w:p>
    <w:p>
      <w:pPr>
        <w:spacing w:after="0" w:line="200" w:lineRule="exact"/>
        <w:rPr>
          <w:sz w:val="24"/>
          <w:szCs w:val="24"/>
          <w:color w:val="auto"/>
        </w:rPr>
      </w:pPr>
    </w:p>
    <w:p>
      <w:pPr>
        <w:spacing w:after="0" w:line="204"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(Continued on following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380" w:type="dxa"/>
            <w:vAlign w:val="bottom"/>
          </w:tcPr>
          <w:p>
            <w:pPr>
              <w:spacing w:after="0"/>
              <w:rPr>
                <w:sz w:val="20"/>
                <w:szCs w:val="20"/>
                <w:color w:val="auto"/>
              </w:rPr>
            </w:pPr>
            <w:r>
              <w:rPr>
                <w:rFonts w:ascii="Courier New" w:cs="Courier New" w:eastAsia="Courier New" w:hAnsi="Courier New"/>
                <w:sz w:val="18"/>
                <w:szCs w:val="18"/>
                <w:color w:val="auto"/>
              </w:rPr>
              <w:t>CUSIP No. 94106L109</w:t>
            </w:r>
          </w:p>
        </w:tc>
        <w:tc>
          <w:tcPr>
            <w:tcW w:w="2680" w:type="dxa"/>
            <w:vAlign w:val="bottom"/>
          </w:tcPr>
          <w:p>
            <w:pPr>
              <w:ind w:left="2360"/>
              <w:spacing w:after="0"/>
              <w:rPr>
                <w:sz w:val="20"/>
                <w:szCs w:val="20"/>
                <w:color w:val="auto"/>
              </w:rPr>
            </w:pPr>
            <w:r>
              <w:rPr>
                <w:rFonts w:ascii="Courier New" w:cs="Courier New" w:eastAsia="Courier New" w:hAnsi="Courier New"/>
                <w:sz w:val="18"/>
                <w:szCs w:val="18"/>
                <w:color w:val="auto"/>
                <w:w w:val="92"/>
              </w:rPr>
              <w:t>13G</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tabs>
          <w:tab w:leader="none" w:pos="4840" w:val="left"/>
        </w:tabs>
        <w:rPr>
          <w:sz w:val="20"/>
          <w:szCs w:val="20"/>
          <w:color w:val="auto"/>
        </w:rPr>
      </w:pPr>
      <w:r>
        <w:rPr>
          <w:rFonts w:ascii="Courier New" w:cs="Courier New" w:eastAsia="Courier New" w:hAnsi="Courier New"/>
          <w:sz w:val="18"/>
          <w:szCs w:val="18"/>
          <w:color w:val="auto"/>
        </w:rPr>
        <w:t>Southeastern Asset Management, Inc.</w:t>
      </w:r>
      <w:r>
        <w:rPr>
          <w:sz w:val="20"/>
          <w:szCs w:val="20"/>
          <w:color w:val="auto"/>
        </w:rPr>
        <w:tab/>
      </w:r>
      <w:r>
        <w:rPr>
          <w:rFonts w:ascii="Courier New" w:cs="Courier New" w:eastAsia="Courier New" w:hAnsi="Courier New"/>
          <w:sz w:val="16"/>
          <w:szCs w:val="16"/>
          <w:color w:val="auto"/>
        </w:rPr>
        <w:t>I.D. No. 62-0951781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1"/>
          <w:numId w:val="3"/>
        </w:numPr>
        <w:rPr>
          <w:rFonts w:ascii="Courier New" w:cs="Courier New" w:eastAsia="Courier New" w:hAnsi="Courier New"/>
          <w:sz w:val="18"/>
          <w:szCs w:val="18"/>
          <w:color w:val="auto"/>
        </w:rPr>
      </w:pPr>
    </w:p>
    <w:p>
      <w:pPr>
        <w:ind w:left="5280" w:hanging="426"/>
        <w:spacing w:after="0" w:line="238" w:lineRule="auto"/>
        <w:tabs>
          <w:tab w:leader="none" w:pos="52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540"/>
        <w:spacing w:after="0"/>
        <w:rPr>
          <w:sz w:val="20"/>
          <w:szCs w:val="20"/>
          <w:color w:val="auto"/>
        </w:rPr>
      </w:pPr>
      <w:r>
        <w:rPr>
          <w:rFonts w:ascii="Courier New" w:cs="Courier New" w:eastAsia="Courier New" w:hAnsi="Courier New"/>
          <w:sz w:val="18"/>
          <w:szCs w:val="18"/>
          <w:color w:val="auto"/>
        </w:rPr>
        <w:t>Tennessee</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:(5) SOLE VOTING POWER</w:t>
      </w:r>
    </w:p>
    <w:tbl>
      <w:tblPr>
        <w:tblLayout w:type="fixed"/>
        <w:tblInd w:w="0" w:type="dxa"/>
        <w:tblCellMar>
          <w:top w:w="0" w:type="dxa"/>
          <w:left w:w="0" w:type="dxa"/>
          <w:bottom w:w="0" w:type="dxa"/>
          <w:right w:w="0" w:type="dxa"/>
        </w:tblCellMar>
      </w:tblPr>
      <w:tr>
        <w:trPr>
          <w:trHeight w:val="203"/>
        </w:trPr>
        <w:tc>
          <w:tcPr>
            <w:tcW w:w="3440" w:type="dxa"/>
            <w:vAlign w:val="bottom"/>
          </w:tcPr>
          <w:p>
            <w:pPr>
              <w:spacing w:after="0"/>
              <w:rPr>
                <w:sz w:val="17"/>
                <w:szCs w:val="17"/>
                <w:color w:val="auto"/>
              </w:rPr>
            </w:pPr>
          </w:p>
        </w:tc>
        <w:tc>
          <w:tcPr>
            <w:tcW w:w="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41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(Discretionary Accounts)</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20,862,809</w:t>
            </w: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 PERSON</w:t>
            </w:r>
          </w:p>
        </w:tc>
        <w:tc>
          <w:tcPr>
            <w:tcW w:w="46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6"/>
              </w:rPr>
              <w:t>__________________________________________</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2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 SHARED OR NO</w:t>
            </w: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bl>
    <w:p>
      <w:pPr>
        <w:spacing w:after="0" w:line="201" w:lineRule="exact"/>
        <w:rPr>
          <w:sz w:val="24"/>
          <w:szCs w:val="24"/>
          <w:color w:val="auto"/>
        </w:rPr>
      </w:pPr>
    </w:p>
    <w:p>
      <w:pPr>
        <w:ind w:left="4320"/>
        <w:spacing w:after="0"/>
        <w:rPr>
          <w:sz w:val="20"/>
          <w:szCs w:val="20"/>
          <w:color w:val="auto"/>
        </w:rPr>
      </w:pPr>
      <w:r>
        <w:rPr>
          <w:rFonts w:ascii="Courier New" w:cs="Courier New" w:eastAsia="Courier New" w:hAnsi="Courier New"/>
          <w:sz w:val="18"/>
          <w:szCs w:val="18"/>
          <w:color w:val="auto"/>
        </w:rPr>
        <w:t>17,598,000 shares (shared)</w:t>
      </w:r>
    </w:p>
    <w:p>
      <w:pPr>
        <w:ind w:left="4640"/>
        <w:spacing w:after="0" w:line="238" w:lineRule="auto"/>
        <w:rPr>
          <w:sz w:val="20"/>
          <w:szCs w:val="20"/>
          <w:color w:val="auto"/>
        </w:rPr>
      </w:pPr>
      <w:r>
        <w:rPr>
          <w:rFonts w:ascii="Courier New" w:cs="Courier New" w:eastAsia="Courier New" w:hAnsi="Courier New"/>
          <w:sz w:val="18"/>
          <w:szCs w:val="18"/>
          <w:color w:val="auto"/>
        </w:rPr>
        <w:t>4,259,600 shares (No Vote)</w:t>
      </w:r>
    </w:p>
    <w:p>
      <w:pPr>
        <w:sectPr>
          <w:pgSz w:w="11900" w:h="16855" w:orient="portrait"/>
          <w:cols w:equalWidth="0" w:num="1">
            <w:col w:w="10219"/>
          </w:cols>
          <w:pgMar w:left="240" w:top="244" w:right="1440" w:bottom="0" w:gutter="0" w:footer="0" w:header="0"/>
        </w:sectPr>
      </w:pPr>
    </w:p>
    <w:bookmarkStart w:id="1" w:name="page2"/>
    <w:bookmarkEnd w:id="1"/>
    <w:p>
      <w:pPr>
        <w:ind w:left="3700"/>
        <w:spacing w:after="0"/>
        <w:rPr>
          <w:sz w:val="20"/>
          <w:szCs w:val="20"/>
          <w:color w:val="auto"/>
        </w:rPr>
      </w:pPr>
      <w:r>
        <w:rPr>
          <w:rFonts w:ascii="Courier New" w:cs="Courier New" w:eastAsia="Courier New" w:hAnsi="Courier New"/>
          <w:sz w:val="16"/>
          <w:szCs w:val="16"/>
          <w:color w:val="auto"/>
        </w:rPr>
        <w:t>__________________________________________</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:(7) SOLE DISPOSITIVE POWER</w:t>
      </w:r>
    </w:p>
    <w:p>
      <w:pPr>
        <w:ind w:left="4220"/>
        <w:spacing w:after="0" w:line="238" w:lineRule="auto"/>
        <w:rPr>
          <w:sz w:val="20"/>
          <w:szCs w:val="20"/>
          <w:color w:val="auto"/>
        </w:rPr>
      </w:pPr>
      <w:r>
        <w:rPr>
          <w:rFonts w:ascii="Courier New" w:cs="Courier New" w:eastAsia="Courier New" w:hAnsi="Courier New"/>
          <w:sz w:val="18"/>
          <w:szCs w:val="18"/>
          <w:color w:val="auto"/>
        </w:rPr>
        <w:t>(Discretionary Accounts)</w:t>
      </w:r>
    </w:p>
    <w:p>
      <w:pPr>
        <w:ind w:left="4540" w:hanging="845"/>
        <w:spacing w:after="0"/>
        <w:tabs>
          <w:tab w:leader="none" w:pos="4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25,032,484 shares</w:t>
      </w:r>
    </w:p>
    <w:p>
      <w:pPr>
        <w:spacing w:after="0" w:line="3"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  SHARED OR NO DISPOSITIVE POWER</w:t>
      </w:r>
    </w:p>
    <w:p>
      <w:pPr>
        <w:spacing w:after="0" w:line="201" w:lineRule="exact"/>
        <w:rPr>
          <w:rFonts w:ascii="Courier New" w:cs="Courier New" w:eastAsia="Courier New" w:hAnsi="Courier New"/>
          <w:sz w:val="18"/>
          <w:szCs w:val="18"/>
          <w:color w:val="auto"/>
        </w:rPr>
      </w:pPr>
    </w:p>
    <w:p>
      <w:pPr>
        <w:ind w:left="4320" w:hanging="625"/>
        <w:spacing w:after="0"/>
        <w:tabs>
          <w:tab w:leader="none" w:pos="4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17,598,000 shares (Shared)</w:t>
      </w:r>
    </w:p>
    <w:p>
      <w:pPr>
        <w:ind w:left="4640"/>
        <w:spacing w:after="0" w:line="238" w:lineRule="auto"/>
        <w:rPr>
          <w:sz w:val="20"/>
          <w:szCs w:val="20"/>
          <w:color w:val="auto"/>
        </w:rPr>
      </w:pPr>
      <w:r>
        <w:rPr>
          <w:rFonts w:ascii="Courier New" w:cs="Courier New" w:eastAsia="Courier New" w:hAnsi="Courier New"/>
          <w:sz w:val="18"/>
          <w:szCs w:val="18"/>
          <w:color w:val="auto"/>
        </w:rPr>
        <w:t>89,925 shares (None)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42,720,409 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4199" w:hanging="632"/>
        <w:spacing w:after="0" w:line="268" w:lineRule="auto"/>
        <w:tabs>
          <w:tab w:leader="none" w:pos="6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 -X- See Items 4(c)(ii) and (iv)</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640" w:hanging="632"/>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740"/>
        <w:spacing w:after="0" w:line="238" w:lineRule="auto"/>
        <w:rPr>
          <w:sz w:val="20"/>
          <w:szCs w:val="20"/>
          <w:color w:val="auto"/>
        </w:rPr>
      </w:pPr>
      <w:r>
        <w:rPr>
          <w:rFonts w:ascii="Courier New" w:cs="Courier New" w:eastAsia="Courier New" w:hAnsi="Courier New"/>
          <w:sz w:val="18"/>
          <w:szCs w:val="18"/>
          <w:color w:val="auto"/>
        </w:rPr>
        <w:t>6.9 %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7059" w:hanging="632"/>
        <w:spacing w:after="0" w:line="235" w:lineRule="auto"/>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60" w:type="dxa"/>
            <w:vAlign w:val="bottom"/>
          </w:tcPr>
          <w:p>
            <w:pPr>
              <w:spacing w:after="0"/>
              <w:rPr>
                <w:sz w:val="20"/>
                <w:szCs w:val="20"/>
                <w:color w:val="auto"/>
              </w:rPr>
            </w:pPr>
            <w:r>
              <w:rPr>
                <w:rFonts w:ascii="Courier New" w:cs="Courier New" w:eastAsia="Courier New" w:hAnsi="Courier New"/>
                <w:sz w:val="18"/>
                <w:szCs w:val="18"/>
                <w:color w:val="auto"/>
              </w:rPr>
              <w:t>CUSIP No.  94106L109</w:t>
            </w:r>
          </w:p>
        </w:tc>
        <w:tc>
          <w:tcPr>
            <w:tcW w:w="2260" w:type="dxa"/>
            <w:vAlign w:val="bottom"/>
          </w:tcPr>
          <w:p>
            <w:pPr>
              <w:ind w:left="1960"/>
              <w:spacing w:after="0"/>
              <w:rPr>
                <w:sz w:val="20"/>
                <w:szCs w:val="20"/>
                <w:color w:val="auto"/>
              </w:rPr>
            </w:pPr>
            <w:r>
              <w:rPr>
                <w:rFonts w:ascii="Courier New" w:cs="Courier New" w:eastAsia="Courier New" w:hAnsi="Courier New"/>
                <w:sz w:val="18"/>
                <w:szCs w:val="18"/>
                <w:color w:val="auto"/>
                <w:w w:val="86"/>
              </w:rPr>
              <w:t>13G</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tabs>
          <w:tab w:leader="none" w:pos="4840" w:val="left"/>
        </w:tabs>
        <w:rPr>
          <w:sz w:val="20"/>
          <w:szCs w:val="20"/>
          <w:color w:val="auto"/>
        </w:rPr>
      </w:pPr>
      <w:r>
        <w:rPr>
          <w:rFonts w:ascii="Courier New" w:cs="Courier New" w:eastAsia="Courier New" w:hAnsi="Courier New"/>
          <w:sz w:val="18"/>
          <w:szCs w:val="18"/>
          <w:color w:val="auto"/>
        </w:rPr>
        <w:t>O. Mason Hawkins</w:t>
      </w:r>
      <w:r>
        <w:rPr>
          <w:sz w:val="20"/>
          <w:szCs w:val="20"/>
          <w:color w:val="auto"/>
        </w:rPr>
        <w:tab/>
      </w:r>
      <w:r>
        <w:rPr>
          <w:rFonts w:ascii="Courier New" w:cs="Courier New" w:eastAsia="Courier New" w:hAnsi="Courier New"/>
          <w:sz w:val="16"/>
          <w:szCs w:val="16"/>
          <w:color w:val="auto"/>
        </w:rPr>
        <w:t>I.D. No.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1"/>
          <w:numId w:val="10"/>
        </w:numPr>
        <w:rPr>
          <w:rFonts w:ascii="Courier New" w:cs="Courier New" w:eastAsia="Courier New" w:hAnsi="Courier New"/>
          <w:sz w:val="18"/>
          <w:szCs w:val="18"/>
          <w:color w:val="auto"/>
        </w:rPr>
      </w:pPr>
    </w:p>
    <w:p>
      <w:pPr>
        <w:ind w:left="5280" w:hanging="426"/>
        <w:spacing w:after="0" w:line="238" w:lineRule="auto"/>
        <w:tabs>
          <w:tab w:leader="none" w:pos="52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540"/>
        <w:spacing w:after="0"/>
        <w:rPr>
          <w:sz w:val="20"/>
          <w:szCs w:val="20"/>
          <w:color w:val="auto"/>
        </w:rPr>
      </w:pPr>
      <w:r>
        <w:rPr>
          <w:rFonts w:ascii="Courier New" w:cs="Courier New" w:eastAsia="Courier New" w:hAnsi="Courier New"/>
          <w:sz w:val="18"/>
          <w:szCs w:val="18"/>
          <w:color w:val="auto"/>
        </w:rPr>
        <w:t>Citizen of United States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spacing w:after="0"/>
              <w:rPr>
                <w:sz w:val="17"/>
                <w:szCs w:val="17"/>
                <w:color w:val="auto"/>
              </w:rPr>
            </w:pPr>
          </w:p>
        </w:tc>
        <w:tc>
          <w:tcPr>
            <w:tcW w:w="680" w:type="dxa"/>
            <w:vAlign w:val="bottom"/>
          </w:tcPr>
          <w:p>
            <w:pPr>
              <w:ind w:left="260"/>
              <w:spacing w:after="0"/>
              <w:rPr>
                <w:sz w:val="20"/>
                <w:szCs w:val="20"/>
                <w:color w:val="auto"/>
              </w:rPr>
            </w:pPr>
            <w:r>
              <w:rPr>
                <w:rFonts w:ascii="Courier New" w:cs="Courier New" w:eastAsia="Courier New" w:hAnsi="Courier New"/>
                <w:sz w:val="18"/>
                <w:szCs w:val="18"/>
                <w:color w:val="auto"/>
                <w:w w:val="92"/>
              </w:rPr>
              <w:t>:(5)</w:t>
            </w:r>
          </w:p>
        </w:tc>
        <w:tc>
          <w:tcPr>
            <w:tcW w:w="400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40" w:type="dxa"/>
            <w:vAlign w:val="bottom"/>
          </w:tcPr>
          <w:p>
            <w:pPr>
              <w:spacing w:after="0"/>
              <w:rPr>
                <w:sz w:val="17"/>
                <w:szCs w:val="17"/>
                <w:color w:val="auto"/>
              </w:rPr>
            </w:pPr>
          </w:p>
        </w:tc>
        <w:tc>
          <w:tcPr>
            <w:tcW w:w="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4000" w:type="dxa"/>
            <w:vAlign w:val="bottom"/>
          </w:tcPr>
          <w:p>
            <w:pPr>
              <w:spacing w:after="0" w:line="203" w:lineRule="exact"/>
              <w:rPr>
                <w:sz w:val="20"/>
                <w:szCs w:val="20"/>
                <w:color w:val="auto"/>
              </w:rPr>
            </w:pPr>
            <w:r>
              <w:rPr>
                <w:rFonts w:ascii="Courier New" w:cs="Courier New" w:eastAsia="Courier New" w:hAnsi="Courier New"/>
                <w:sz w:val="18"/>
                <w:szCs w:val="18"/>
                <w:color w:val="auto"/>
              </w:rPr>
              <w:t>(Discretionary Accounts)</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4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 PERSON</w:t>
            </w:r>
          </w:p>
        </w:tc>
        <w:tc>
          <w:tcPr>
            <w:tcW w:w="4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6"/>
              </w:rPr>
              <w:t>__________________________________________</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4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:(6) SHARED VOTING POWER</w:t>
            </w:r>
          </w:p>
        </w:tc>
      </w:tr>
    </w:tbl>
    <w:p>
      <w:pPr>
        <w:spacing w:after="0" w:line="201" w:lineRule="exact"/>
        <w:rPr>
          <w:sz w:val="20"/>
          <w:szCs w:val="20"/>
          <w:color w:val="auto"/>
        </w:rPr>
      </w:pPr>
    </w:p>
    <w:p>
      <w:pPr>
        <w:ind w:left="4220" w:hanging="525"/>
        <w:spacing w:after="0"/>
        <w:tabs>
          <w:tab w:leader="none" w:pos="4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 SOLE DISPOSITIVE POWER</w:t>
      </w:r>
    </w:p>
    <w:p>
      <w:pPr>
        <w:spacing w:after="0" w:line="201" w:lineRule="exact"/>
        <w:rPr>
          <w:rFonts w:ascii="Courier New" w:cs="Courier New" w:eastAsia="Courier New" w:hAnsi="Courier New"/>
          <w:sz w:val="18"/>
          <w:szCs w:val="18"/>
          <w:color w:val="auto"/>
        </w:rPr>
      </w:pPr>
    </w:p>
    <w:p>
      <w:pPr>
        <w:ind w:left="4220" w:hanging="525"/>
        <w:spacing w:after="0"/>
        <w:tabs>
          <w:tab w:leader="none" w:pos="4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 SHARED DISPOSITIVE POWER</w:t>
      </w:r>
    </w:p>
    <w:p>
      <w:pPr>
        <w:spacing w:after="0" w:line="201" w:lineRule="exact"/>
        <w:rPr>
          <w:rFonts w:ascii="Courier New" w:cs="Courier New" w:eastAsia="Courier New" w:hAnsi="Courier New"/>
          <w:sz w:val="18"/>
          <w:szCs w:val="18"/>
          <w:color w:val="auto"/>
        </w:rPr>
      </w:pPr>
    </w:p>
    <w:p>
      <w:pPr>
        <w:ind w:left="4220" w:hanging="525"/>
        <w:spacing w:after="0"/>
        <w:tabs>
          <w:tab w:leader="none" w:pos="4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740"/>
        <w:spacing w:after="0"/>
        <w:tabs>
          <w:tab w:leader="none" w:pos="1360" w:val="left"/>
        </w:tabs>
        <w:rPr>
          <w:sz w:val="20"/>
          <w:szCs w:val="20"/>
          <w:color w:val="auto"/>
        </w:rPr>
      </w:pPr>
      <w:r>
        <w:rPr>
          <w:rFonts w:ascii="Courier New" w:cs="Courier New" w:eastAsia="Courier New" w:hAnsi="Courier New"/>
          <w:sz w:val="18"/>
          <w:szCs w:val="18"/>
          <w:color w:val="auto"/>
        </w:rPr>
        <w:t>None</w:t>
      </w:r>
      <w:r>
        <w:rPr>
          <w:sz w:val="20"/>
          <w:szCs w:val="20"/>
          <w:color w:val="auto"/>
        </w:rPr>
        <w:tab/>
      </w:r>
      <w:r>
        <w:rPr>
          <w:rFonts w:ascii="Courier New" w:cs="Courier New" w:eastAsia="Courier New" w:hAnsi="Courier New"/>
          <w:sz w:val="16"/>
          <w:szCs w:val="16"/>
          <w:color w:val="auto"/>
        </w:rPr>
        <w:t>(See Item 3 )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4199" w:hanging="632"/>
        <w:spacing w:after="0" w:line="235" w:lineRule="auto"/>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4619" w:hanging="632"/>
        <w:spacing w:after="0" w:line="235"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7059" w:hanging="632"/>
        <w:spacing w:after="0" w:line="235" w:lineRule="auto"/>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Name of Issuer: Waste Management, Inc.</w:t>
      </w:r>
    </w:p>
    <w:p>
      <w:pPr>
        <w:ind w:left="1060"/>
        <w:spacing w:after="0" w:line="238" w:lineRule="auto"/>
        <w:rPr>
          <w:sz w:val="20"/>
          <w:szCs w:val="20"/>
          <w:color w:val="auto"/>
        </w:rPr>
      </w:pPr>
      <w:r>
        <w:rPr>
          <w:rFonts w:ascii="Courier New" w:cs="Courier New" w:eastAsia="Courier New" w:hAnsi="Courier New"/>
          <w:sz w:val="18"/>
          <w:szCs w:val="18"/>
          <w:color w:val="auto"/>
        </w:rPr>
        <w:t>("Issuer")</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1001 Fannin, Suite 4000</w:t>
      </w:r>
    </w:p>
    <w:p>
      <w:pPr>
        <w:ind w:left="1280"/>
        <w:spacing w:after="0" w:line="238" w:lineRule="auto"/>
        <w:rPr>
          <w:sz w:val="20"/>
          <w:szCs w:val="20"/>
          <w:color w:val="auto"/>
        </w:rPr>
      </w:pPr>
      <w:r>
        <w:rPr>
          <w:rFonts w:ascii="Courier New" w:cs="Courier New" w:eastAsia="Courier New" w:hAnsi="Courier New"/>
          <w:sz w:val="18"/>
          <w:szCs w:val="18"/>
          <w:color w:val="auto"/>
        </w:rPr>
        <w:t>Houston, Texas 77002</w:t>
      </w:r>
    </w:p>
    <w:p>
      <w:pPr>
        <w:sectPr>
          <w:pgSz w:w="11900" w:h="16838" w:orient="portrait"/>
          <w:cols w:equalWidth="0" w:num="1">
            <w:col w:w="10219"/>
          </w:cols>
          <w:pgMar w:left="240" w:top="142"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Item 2.</w:t>
      </w:r>
    </w:p>
    <w:p>
      <w:pPr>
        <w:spacing w:after="0" w:line="207" w:lineRule="exact"/>
        <w:rPr>
          <w:sz w:val="20"/>
          <w:szCs w:val="20"/>
          <w:color w:val="auto"/>
        </w:rPr>
      </w:pPr>
    </w:p>
    <w:p>
      <w:pPr>
        <w:ind w:left="960" w:right="3159" w:hanging="425"/>
        <w:spacing w:after="0" w:line="235" w:lineRule="auto"/>
        <w:tabs>
          <w:tab w:leader="none" w:pos="96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(b). Names and Principal Business Addresses of Persons Filing:</w:t>
      </w:r>
    </w:p>
    <w:p>
      <w:pPr>
        <w:spacing w:after="0" w:line="208" w:lineRule="exact"/>
        <w:rPr>
          <w:rFonts w:ascii="Courier New" w:cs="Courier New" w:eastAsia="Courier New" w:hAnsi="Courier New"/>
          <w:sz w:val="18"/>
          <w:szCs w:val="18"/>
          <w:color w:val="auto"/>
        </w:rPr>
      </w:pPr>
    </w:p>
    <w:p>
      <w:pPr>
        <w:ind w:left="1700" w:right="4839" w:hanging="1692"/>
        <w:spacing w:after="0" w:line="236" w:lineRule="auto"/>
        <w:tabs>
          <w:tab w:leader="none" w:pos="170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Southeastern Asset Management, Inc. 6410 Poplar Ave., Suite 900 Memphis, TN 38119</w:t>
      </w:r>
    </w:p>
    <w:p>
      <w:pPr>
        <w:spacing w:after="0" w:line="203" w:lineRule="exact"/>
        <w:rPr>
          <w:rFonts w:ascii="Courier New" w:cs="Courier New" w:eastAsia="Courier New" w:hAnsi="Courier New"/>
          <w:sz w:val="18"/>
          <w:szCs w:val="18"/>
          <w:color w:val="auto"/>
        </w:rPr>
      </w:pPr>
    </w:p>
    <w:p>
      <w:pPr>
        <w:ind w:left="1700" w:hanging="1692"/>
        <w:spacing w:after="0"/>
        <w:tabs>
          <w:tab w:leader="none" w:pos="170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O. Mason Hawkins</w:t>
      </w:r>
    </w:p>
    <w:p>
      <w:pPr>
        <w:spacing w:after="0" w:line="4" w:lineRule="exact"/>
        <w:rPr>
          <w:rFonts w:ascii="Courier New" w:cs="Courier New" w:eastAsia="Courier New" w:hAnsi="Courier New"/>
          <w:sz w:val="18"/>
          <w:szCs w:val="18"/>
          <w:color w:val="auto"/>
        </w:rPr>
      </w:pPr>
    </w:p>
    <w:p>
      <w:pPr>
        <w:ind w:left="1700" w:right="483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Chairman of the Board and C.E.O. Southeastern Asset Management, Inc. 6410 Poplar Ave., Suite 900 Memphis, TN 38119</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Citizenship: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Southeastern Asset Management, Inc. - A Tennessee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Mr. O. Mason Hawkins - U.S. Citizen</w:t>
      </w:r>
    </w:p>
    <w:p>
      <w:pPr>
        <w:spacing w:after="0" w:line="207" w:lineRule="exact"/>
        <w:rPr>
          <w:sz w:val="20"/>
          <w:szCs w:val="20"/>
          <w:color w:val="auto"/>
        </w:rPr>
      </w:pPr>
    </w:p>
    <w:p>
      <w:pPr>
        <w:ind w:left="1280" w:right="4099" w:hanging="736"/>
        <w:spacing w:after="0"/>
        <w:rPr>
          <w:sz w:val="20"/>
          <w:szCs w:val="20"/>
          <w:color w:val="auto"/>
        </w:rPr>
      </w:pPr>
      <w:r>
        <w:rPr>
          <w:rFonts w:ascii="Courier New" w:cs="Courier New" w:eastAsia="Courier New" w:hAnsi="Courier New"/>
          <w:sz w:val="18"/>
          <w:szCs w:val="18"/>
          <w:color w:val="auto"/>
        </w:rPr>
        <w:t>(d). Title of Class of Securities:</w:t>
      </w:r>
      <w:r>
        <w:rPr>
          <w:sz w:val="20"/>
          <w:szCs w:val="20"/>
          <w:color w:val="auto"/>
        </w:rPr>
        <w:t xml:space="preserve"> </w:t>
      </w:r>
      <w:r>
        <w:rPr>
          <w:rFonts w:ascii="Courier New" w:cs="Courier New" w:eastAsia="Courier New" w:hAnsi="Courier New"/>
          <w:sz w:val="18"/>
          <w:szCs w:val="18"/>
          <w:color w:val="auto"/>
        </w:rPr>
        <w:t>Common Stock (the "Securities").</w:t>
      </w:r>
    </w:p>
    <w:p>
      <w:pPr>
        <w:spacing w:after="0" w:line="398" w:lineRule="exact"/>
        <w:rPr>
          <w:sz w:val="20"/>
          <w:szCs w:val="20"/>
          <w:color w:val="auto"/>
        </w:rPr>
      </w:pPr>
    </w:p>
    <w:p>
      <w:pPr>
        <w:ind w:left="540"/>
        <w:spacing w:after="0"/>
        <w:tabs>
          <w:tab w:leader="none" w:pos="2620" w:val="left"/>
        </w:tabs>
        <w:rPr>
          <w:sz w:val="20"/>
          <w:szCs w:val="20"/>
          <w:color w:val="auto"/>
        </w:rPr>
      </w:pPr>
      <w:r>
        <w:rPr>
          <w:rFonts w:ascii="Courier New" w:cs="Courier New" w:eastAsia="Courier New" w:hAnsi="Courier New"/>
          <w:sz w:val="18"/>
          <w:szCs w:val="18"/>
          <w:color w:val="auto"/>
        </w:rPr>
        <w:t>(e). Cusip Number:</w:t>
      </w:r>
      <w:r>
        <w:rPr>
          <w:sz w:val="20"/>
          <w:szCs w:val="20"/>
          <w:color w:val="auto"/>
        </w:rPr>
        <w:tab/>
      </w:r>
      <w:r>
        <w:rPr>
          <w:rFonts w:ascii="Courier New" w:cs="Courier New" w:eastAsia="Courier New" w:hAnsi="Courier New"/>
          <w:sz w:val="16"/>
          <w:szCs w:val="16"/>
          <w:color w:val="auto"/>
        </w:rPr>
        <w:t>94106L109</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 (b) or</w:t>
      </w:r>
    </w:p>
    <w:p>
      <w:pPr>
        <w:ind w:left="120"/>
        <w:spacing w:after="0" w:line="238" w:lineRule="auto"/>
        <w:rPr>
          <w:sz w:val="20"/>
          <w:szCs w:val="20"/>
          <w:color w:val="auto"/>
        </w:rPr>
      </w:pPr>
      <w:r>
        <w:rPr>
          <w:rFonts w:ascii="Courier New" w:cs="Courier New" w:eastAsia="Courier New" w:hAnsi="Courier New"/>
          <w:sz w:val="18"/>
          <w:szCs w:val="18"/>
          <w:color w:val="auto"/>
        </w:rPr>
        <w:t>13d-2 (b), check whether the person filing is a:</w:t>
      </w:r>
    </w:p>
    <w:p>
      <w:pPr>
        <w:spacing w:after="0" w:line="207" w:lineRule="exact"/>
        <w:rPr>
          <w:sz w:val="20"/>
          <w:szCs w:val="20"/>
          <w:color w:val="auto"/>
        </w:rPr>
      </w:pPr>
    </w:p>
    <w:p>
      <w:pPr>
        <w:ind w:right="3039"/>
        <w:spacing w:after="0" w:line="271" w:lineRule="auto"/>
        <w:rPr>
          <w:sz w:val="20"/>
          <w:szCs w:val="20"/>
          <w:color w:val="auto"/>
        </w:rPr>
      </w:pPr>
      <w:r>
        <w:rPr>
          <w:rFonts w:ascii="Courier New" w:cs="Courier New" w:eastAsia="Courier New" w:hAnsi="Courier New"/>
          <w:sz w:val="16"/>
          <w:szCs w:val="16"/>
          <w:color w:val="auto"/>
        </w:rPr>
        <w:t>(e.) Investment Adviser registered under Section 203 of the Investment Advisers Act of 1940. This statement is being filed by Southeastern Asset Management, Inc. as a registered investment adviser. All of the securities covered by this report are owned legally by Southeastern's investment advisory clients and none are owned directly or indirectly by Southeastern. As permitted by Rule 13d-4, the filing of this statement shall not be construed as an admission that Southeastern Asset Management, Inc. is the beneficial owner of any of the securities covered by this statement.</w:t>
      </w:r>
    </w:p>
    <w:p>
      <w:pPr>
        <w:spacing w:after="0" w:line="184"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(g.) Parent Holding Company. This statement is also being filed by Mr. O. Mason Hawkins, Chairman of the Board and C.E.O. of Southeastern Asset Management, Inc. in the event he could be deemed to be a controlling person of that firm as the result of his official positions with or ownership of its voting securities. The existence of such control is expressly disclaimed. Mr. Hawkins does not own directly or indirectly any securities covered by this statement for his own account. As permitted by Rule 13d-4, the filing of this statement shall not be construed as an admission that Mr. Hawkins is the beneficial owner of any of the securities covered by this statement.</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Amount Beneficially Owned: (At 12/31/00)</w:t>
      </w:r>
    </w:p>
    <w:p>
      <w:pPr>
        <w:ind w:left="1280"/>
        <w:spacing w:after="0" w:line="238" w:lineRule="auto"/>
        <w:rPr>
          <w:sz w:val="20"/>
          <w:szCs w:val="20"/>
          <w:color w:val="auto"/>
        </w:rPr>
      </w:pPr>
      <w:r>
        <w:rPr>
          <w:rFonts w:ascii="Courier New" w:cs="Courier New" w:eastAsia="Courier New" w:hAnsi="Courier New"/>
          <w:sz w:val="18"/>
          <w:szCs w:val="18"/>
          <w:color w:val="auto"/>
        </w:rPr>
        <w:t>42,720,409 shares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 Percent of Class:</w:t>
      </w:r>
    </w:p>
    <w:p>
      <w:pPr>
        <w:ind w:left="1280"/>
        <w:spacing w:after="0" w:line="238" w:lineRule="auto"/>
        <w:rPr>
          <w:sz w:val="20"/>
          <w:szCs w:val="20"/>
          <w:color w:val="auto"/>
        </w:rPr>
      </w:pPr>
      <w:r>
        <w:rPr>
          <w:rFonts w:ascii="Courier New" w:cs="Courier New" w:eastAsia="Courier New" w:hAnsi="Courier New"/>
          <w:sz w:val="18"/>
          <w:szCs w:val="18"/>
          <w:color w:val="auto"/>
        </w:rPr>
        <w:t>6.9 %</w:t>
      </w:r>
    </w:p>
    <w:p>
      <w:pPr>
        <w:spacing w:after="0" w:line="207" w:lineRule="exact"/>
        <w:rPr>
          <w:sz w:val="20"/>
          <w:szCs w:val="20"/>
          <w:color w:val="auto"/>
        </w:rPr>
      </w:pPr>
    </w:p>
    <w:p>
      <w:pPr>
        <w:ind w:left="1060" w:right="3159"/>
        <w:spacing w:after="0" w:line="235" w:lineRule="auto"/>
        <w:rPr>
          <w:sz w:val="20"/>
          <w:szCs w:val="20"/>
          <w:color w:val="auto"/>
        </w:rPr>
      </w:pPr>
      <w:r>
        <w:rPr>
          <w:rFonts w:ascii="Courier New" w:cs="Courier New" w:eastAsia="Courier New" w:hAnsi="Courier New"/>
          <w:sz w:val="18"/>
          <w:szCs w:val="18"/>
          <w:color w:val="auto"/>
        </w:rPr>
        <w:t>Above percentage is based on 621,594,978 shares of Common Stock outstanding.</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Number of shares as to which such person has:</w:t>
      </w:r>
    </w:p>
    <w:p>
      <w:pPr>
        <w:spacing w:after="0" w:line="201" w:lineRule="exact"/>
        <w:rPr>
          <w:sz w:val="20"/>
          <w:szCs w:val="20"/>
          <w:color w:val="auto"/>
        </w:rPr>
      </w:pPr>
    </w:p>
    <w:p>
      <w:pPr>
        <w:ind w:left="1060"/>
        <w:spacing w:after="0"/>
        <w:tabs>
          <w:tab w:leader="none" w:pos="178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6"/>
          <w:szCs w:val="16"/>
          <w:color w:val="auto"/>
        </w:rPr>
        <w:t>sole power to vote or to direct the vote:</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20,862,809 shares</w:t>
      </w:r>
    </w:p>
    <w:p>
      <w:pPr>
        <w:spacing w:after="0" w:line="201" w:lineRule="exact"/>
        <w:rPr>
          <w:sz w:val="20"/>
          <w:szCs w:val="20"/>
          <w:color w:val="auto"/>
        </w:rPr>
      </w:pPr>
    </w:p>
    <w:p>
      <w:pPr>
        <w:ind w:left="1060"/>
        <w:spacing w:after="0"/>
        <w:tabs>
          <w:tab w:leader="none" w:pos="178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6"/>
          <w:szCs w:val="16"/>
          <w:color w:val="auto"/>
        </w:rPr>
        <w:t>shared or no power to vote or to direct the vote:</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Shared - 17,598,000 shares.</w:t>
      </w:r>
    </w:p>
    <w:p>
      <w:pPr>
        <w:spacing w:after="0" w:line="4" w:lineRule="exact"/>
        <w:rPr>
          <w:sz w:val="20"/>
          <w:szCs w:val="20"/>
          <w:color w:val="auto"/>
        </w:rPr>
      </w:pPr>
    </w:p>
    <w:p>
      <w:pPr>
        <w:ind w:left="1800" w:right="2939"/>
        <w:spacing w:after="0" w:line="237" w:lineRule="auto"/>
        <w:rPr>
          <w:sz w:val="20"/>
          <w:szCs w:val="20"/>
          <w:color w:val="auto"/>
        </w:rPr>
      </w:pPr>
      <w:r>
        <w:rPr>
          <w:rFonts w:ascii="Courier New" w:cs="Courier New" w:eastAsia="Courier New" w:hAnsi="Courier New"/>
          <w:sz w:val="18"/>
          <w:szCs w:val="18"/>
          <w:color w:val="auto"/>
        </w:rPr>
        <w:t>Securities owned by the following series of Longleaf Partners Funds Trust, an open-end management investment company registered under the Investment Company Act of 1940, as follows:</w:t>
      </w:r>
    </w:p>
    <w:p>
      <w:pPr>
        <w:spacing w:after="0" w:line="202"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Longleaf Partners Fund - 16,580,000</w:t>
      </w:r>
    </w:p>
    <w:p>
      <w:pPr>
        <w:ind w:left="2120"/>
        <w:spacing w:after="0" w:line="238" w:lineRule="auto"/>
        <w:rPr>
          <w:sz w:val="20"/>
          <w:szCs w:val="20"/>
          <w:color w:val="auto"/>
        </w:rPr>
      </w:pPr>
      <w:r>
        <w:rPr>
          <w:rFonts w:ascii="Courier New" w:cs="Courier New" w:eastAsia="Courier New" w:hAnsi="Courier New"/>
          <w:sz w:val="18"/>
          <w:szCs w:val="18"/>
          <w:color w:val="auto"/>
        </w:rPr>
        <w:t>Longleaf Partners Realty Fund - 1,018,000</w:t>
      </w:r>
    </w:p>
    <w:p>
      <w:pPr>
        <w:sectPr>
          <w:pgSz w:w="11900" w:h="16838" w:orient="portrait"/>
          <w:cols w:equalWidth="0" w:num="1">
            <w:col w:w="10219"/>
          </w:cols>
          <w:pgMar w:left="240" w:top="136" w:right="1440" w:bottom="0" w:gutter="0" w:footer="0" w:header="0"/>
        </w:sectPr>
      </w:pPr>
    </w:p>
    <w:bookmarkStart w:id="3" w:name="page4"/>
    <w:bookmarkEnd w:id="3"/>
    <w:p>
      <w:pPr>
        <w:ind w:right="3899"/>
        <w:spacing w:after="0" w:line="237" w:lineRule="auto"/>
        <w:rPr>
          <w:sz w:val="20"/>
          <w:szCs w:val="20"/>
          <w:color w:val="auto"/>
        </w:rPr>
      </w:pPr>
      <w:r>
        <w:rPr>
          <w:rFonts w:ascii="Courier New" w:cs="Courier New" w:eastAsia="Courier New" w:hAnsi="Courier New"/>
          <w:sz w:val="18"/>
          <w:szCs w:val="18"/>
          <w:color w:val="auto"/>
        </w:rPr>
        <w:t>No Power to Vote - 4,259,600. This figure does not include 481,000 shares held by completely non-discretionary accounts over which the filing parties have neither voting nor dispositive power and for which the filing parties disclaim beneficial ownership.</w:t>
      </w:r>
    </w:p>
    <w:p>
      <w:pPr>
        <w:spacing w:after="0" w:line="200" w:lineRule="exact"/>
        <w:rPr>
          <w:sz w:val="20"/>
          <w:szCs w:val="20"/>
          <w:color w:val="auto"/>
        </w:rPr>
      </w:pPr>
    </w:p>
    <w:p>
      <w:pPr>
        <w:spacing w:after="0" w:line="211" w:lineRule="exact"/>
        <w:rPr>
          <w:sz w:val="20"/>
          <w:szCs w:val="20"/>
          <w:color w:val="auto"/>
        </w:rPr>
      </w:pPr>
    </w:p>
    <w:p>
      <w:pPr>
        <w:ind w:left="1800" w:right="3159" w:hanging="736"/>
        <w:spacing w:after="0" w:line="235" w:lineRule="auto"/>
        <w:rPr>
          <w:sz w:val="20"/>
          <w:szCs w:val="20"/>
          <w:color w:val="auto"/>
        </w:rPr>
      </w:pPr>
      <w:r>
        <w:rPr>
          <w:rFonts w:ascii="Courier New" w:cs="Courier New" w:eastAsia="Courier New" w:hAnsi="Courier New"/>
          <w:sz w:val="18"/>
          <w:szCs w:val="18"/>
          <w:color w:val="auto"/>
        </w:rPr>
        <w:t>(iii). sole power to dispose or to direct the disposition of:</w:t>
      </w:r>
    </w:p>
    <w:p>
      <w:pPr>
        <w:spacing w:after="0" w:line="203"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25,032,484 shares</w:t>
      </w:r>
    </w:p>
    <w:p>
      <w:pPr>
        <w:spacing w:after="0" w:line="207" w:lineRule="exact"/>
        <w:rPr>
          <w:sz w:val="20"/>
          <w:szCs w:val="20"/>
          <w:color w:val="auto"/>
        </w:rPr>
      </w:pPr>
    </w:p>
    <w:p>
      <w:pPr>
        <w:ind w:left="1800" w:right="3579" w:hanging="736"/>
        <w:spacing w:after="0" w:line="235" w:lineRule="auto"/>
        <w:tabs>
          <w:tab w:leader="none" w:pos="1780" w:val="left"/>
        </w:tabs>
        <w:rPr>
          <w:sz w:val="20"/>
          <w:szCs w:val="20"/>
          <w:color w:val="auto"/>
        </w:rPr>
      </w:pPr>
      <w:r>
        <w:rPr>
          <w:rFonts w:ascii="Courier New" w:cs="Courier New" w:eastAsia="Courier New" w:hAnsi="Courier New"/>
          <w:sz w:val="18"/>
          <w:szCs w:val="18"/>
          <w:color w:val="auto"/>
        </w:rPr>
        <w:t>(iv).</w:t>
        <w:tab/>
        <w:t>shared or no power to dispose or to direct the disposition of:</w:t>
      </w: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Shared - 17,598,000 shares</w:t>
      </w:r>
    </w:p>
    <w:p>
      <w:pPr>
        <w:spacing w:after="0" w:line="4" w:lineRule="exact"/>
        <w:rPr>
          <w:sz w:val="20"/>
          <w:szCs w:val="20"/>
          <w:color w:val="auto"/>
        </w:rPr>
      </w:pPr>
    </w:p>
    <w:p>
      <w:pPr>
        <w:ind w:left="1800" w:right="2939"/>
        <w:spacing w:after="0" w:line="237" w:lineRule="auto"/>
        <w:rPr>
          <w:sz w:val="20"/>
          <w:szCs w:val="20"/>
          <w:color w:val="auto"/>
        </w:rPr>
      </w:pPr>
      <w:r>
        <w:rPr>
          <w:rFonts w:ascii="Courier New" w:cs="Courier New" w:eastAsia="Courier New" w:hAnsi="Courier New"/>
          <w:sz w:val="18"/>
          <w:szCs w:val="18"/>
          <w:color w:val="auto"/>
        </w:rPr>
        <w:t>Securities owned by the following series of Longleaf Partners Funds Trust, an open-end management investment company registered under the Investment Company Act of 1940, as follows:</w:t>
      </w:r>
    </w:p>
    <w:p>
      <w:pPr>
        <w:spacing w:after="0" w:line="202"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Longleaf Partners Fund - 16,580,000</w:t>
      </w:r>
    </w:p>
    <w:p>
      <w:pPr>
        <w:ind w:left="2120"/>
        <w:spacing w:after="0" w:line="238" w:lineRule="auto"/>
        <w:rPr>
          <w:sz w:val="20"/>
          <w:szCs w:val="20"/>
          <w:color w:val="auto"/>
        </w:rPr>
      </w:pPr>
      <w:r>
        <w:rPr>
          <w:rFonts w:ascii="Courier New" w:cs="Courier New" w:eastAsia="Courier New" w:hAnsi="Courier New"/>
          <w:sz w:val="18"/>
          <w:szCs w:val="18"/>
          <w:color w:val="auto"/>
        </w:rPr>
        <w:t>Longleaf Partners Realty Fund - 1,018,000</w:t>
      </w:r>
    </w:p>
    <w:p>
      <w:pPr>
        <w:spacing w:after="0" w:line="207" w:lineRule="exact"/>
        <w:rPr>
          <w:sz w:val="20"/>
          <w:szCs w:val="20"/>
          <w:color w:val="auto"/>
        </w:rPr>
      </w:pPr>
    </w:p>
    <w:p>
      <w:pPr>
        <w:ind w:right="3579"/>
        <w:spacing w:after="0" w:line="275" w:lineRule="auto"/>
        <w:rPr>
          <w:sz w:val="20"/>
          <w:szCs w:val="20"/>
          <w:color w:val="auto"/>
        </w:rPr>
      </w:pPr>
      <w:r>
        <w:rPr>
          <w:rFonts w:ascii="Courier New" w:cs="Courier New" w:eastAsia="Courier New" w:hAnsi="Courier New"/>
          <w:sz w:val="16"/>
          <w:szCs w:val="16"/>
          <w:color w:val="auto"/>
        </w:rPr>
        <w:t>No Power - 89,925 shares. This figure does not include 481,000 shares held by completely non-discretionary accounts over which the filing parties have neither voting nor dispositive power and for which the filing parties disclaim beneficial ownership.</w:t>
      </w:r>
    </w:p>
    <w:p>
      <w:pPr>
        <w:spacing w:after="0" w:line="379" w:lineRule="exact"/>
        <w:rPr>
          <w:sz w:val="20"/>
          <w:szCs w:val="20"/>
          <w:color w:val="auto"/>
        </w:rPr>
      </w:pPr>
    </w:p>
    <w:p>
      <w:pPr>
        <w:spacing w:after="0"/>
        <w:tabs>
          <w:tab w:leader="none" w:pos="5780" w:val="left"/>
        </w:tabs>
        <w:rPr>
          <w:sz w:val="20"/>
          <w:szCs w:val="20"/>
          <w:color w:val="auto"/>
        </w:rPr>
      </w:pPr>
      <w:r>
        <w:rPr>
          <w:rFonts w:ascii="Courier New" w:cs="Courier New" w:eastAsia="Courier New" w:hAnsi="Courier New"/>
          <w:sz w:val="18"/>
          <w:szCs w:val="18"/>
          <w:color w:val="auto"/>
        </w:rPr>
        <w:t>Item 5. Ownership of Five Percent or Less of a Class:</w:t>
      </w:r>
      <w:r>
        <w:rPr>
          <w:sz w:val="20"/>
          <w:szCs w:val="20"/>
          <w:color w:val="auto"/>
        </w:rPr>
        <w:tab/>
      </w:r>
      <w:r>
        <w:rPr>
          <w:rFonts w:ascii="Courier New" w:cs="Courier New" w:eastAsia="Courier New" w:hAnsi="Courier New"/>
          <w:sz w:val="16"/>
          <w:szCs w:val="16"/>
          <w:color w:val="auto"/>
        </w:rPr>
        <w:t>N/A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w:t>
      </w:r>
    </w:p>
    <w:p>
      <w:pPr>
        <w:ind w:left="860"/>
        <w:spacing w:after="0"/>
        <w:tabs>
          <w:tab w:leader="none" w:pos="178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6"/>
          <w:szCs w:val="16"/>
          <w:color w:val="auto"/>
        </w:rPr>
        <w:t>N/A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Identification and Classification of the Subsidiary Which</w:t>
      </w:r>
    </w:p>
    <w:p>
      <w:pPr>
        <w:ind w:left="860"/>
        <w:spacing w:after="0" w:line="238" w:lineRule="auto"/>
        <w:rPr>
          <w:sz w:val="20"/>
          <w:szCs w:val="20"/>
          <w:color w:val="auto"/>
        </w:rPr>
      </w:pPr>
      <w:r>
        <w:rPr>
          <w:rFonts w:ascii="Courier New" w:cs="Courier New" w:eastAsia="Courier New" w:hAnsi="Courier New"/>
          <w:sz w:val="18"/>
          <w:szCs w:val="18"/>
          <w:color w:val="auto"/>
        </w:rPr>
        <w:t>Acquired the Security Being Reported on By the Parent</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Holding Company:</w:t>
      </w:r>
      <w:r>
        <w:rPr>
          <w:sz w:val="20"/>
          <w:szCs w:val="20"/>
          <w:color w:val="auto"/>
        </w:rPr>
        <w:tab/>
      </w:r>
      <w:r>
        <w:rPr>
          <w:rFonts w:ascii="Courier New" w:cs="Courier New" w:eastAsia="Courier New" w:hAnsi="Courier New"/>
          <w:sz w:val="16"/>
          <w:szCs w:val="16"/>
          <w:color w:val="auto"/>
        </w:rPr>
        <w:t>N/A</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ind w:left="860"/>
        <w:spacing w:after="0" w:line="238" w:lineRule="auto"/>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4"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Item 9. Notice of Dissolution of Group:</w:t>
      </w:r>
      <w:r>
        <w:rPr>
          <w:sz w:val="20"/>
          <w:szCs w:val="20"/>
          <w:color w:val="auto"/>
        </w:rPr>
        <w:tab/>
      </w:r>
      <w:r>
        <w:rPr>
          <w:rFonts w:ascii="Courier New" w:cs="Courier New" w:eastAsia="Courier New" w:hAnsi="Courier New"/>
          <w:sz w:val="16"/>
          <w:szCs w:val="16"/>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0" w:lineRule="exact"/>
        <w:rPr>
          <w:sz w:val="20"/>
          <w:szCs w:val="20"/>
          <w:color w:val="auto"/>
        </w:rPr>
      </w:pPr>
    </w:p>
    <w:p>
      <w:pPr>
        <w:spacing w:after="0" w:line="209"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After reasonable inquiry and to the best of the knowledge and belief of the undersigned, the undersigned certifies that the information set forth in this statement is true, complete, and correct.</w:t>
      </w:r>
    </w:p>
    <w:p>
      <w:pPr>
        <w:spacing w:after="0" w:line="20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February 12, 2001</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Southeastern Asset Management, Inc.</w:t>
      </w:r>
    </w:p>
    <w:p>
      <w:pPr>
        <w:spacing w:after="0" w:line="201" w:lineRule="exact"/>
        <w:rPr>
          <w:sz w:val="20"/>
          <w:szCs w:val="20"/>
          <w:color w:val="auto"/>
        </w:rPr>
      </w:pPr>
    </w:p>
    <w:p>
      <w:pPr>
        <w:ind w:left="316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Charles D. Reaves</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Charles D. Reaves</w:t>
      </w:r>
    </w:p>
    <w:p>
      <w:pPr>
        <w:jc w:val="center"/>
        <w:ind w:right="299"/>
        <w:spacing w:after="0" w:line="238" w:lineRule="auto"/>
        <w:rPr>
          <w:sz w:val="20"/>
          <w:szCs w:val="20"/>
          <w:color w:val="auto"/>
        </w:rPr>
      </w:pPr>
      <w:r>
        <w:rPr>
          <w:rFonts w:ascii="Courier New" w:cs="Courier New" w:eastAsia="Courier New" w:hAnsi="Courier New"/>
          <w:sz w:val="18"/>
          <w:szCs w:val="18"/>
          <w:color w:val="auto"/>
        </w:rPr>
        <w:t>Vice President and General Counsel</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O. Mason Hawkins, Individually</w:t>
      </w:r>
    </w:p>
    <w:p>
      <w:pPr>
        <w:ind w:left="3280"/>
        <w:spacing w:after="0" w:line="238" w:lineRule="auto"/>
        <w:rPr>
          <w:sz w:val="20"/>
          <w:szCs w:val="20"/>
          <w:color w:val="auto"/>
        </w:rPr>
      </w:pPr>
      <w:r>
        <w:rPr>
          <w:rFonts w:ascii="Courier New" w:cs="Courier New" w:eastAsia="Courier New" w:hAnsi="Courier New"/>
          <w:sz w:val="18"/>
          <w:szCs w:val="18"/>
          <w:color w:val="auto"/>
        </w:rPr>
        <w:t>/s/ O. Mason Hawkins</w:t>
      </w:r>
    </w:p>
    <w:p>
      <w:pPr>
        <w:sectPr>
          <w:pgSz w:w="11900" w:h="16838" w:orient="portrait"/>
          <w:cols w:equalWidth="0" w:num="1">
            <w:col w:w="10219"/>
          </w:cols>
          <w:pgMar w:left="240" w:top="142" w:right="1440" w:bottom="0" w:gutter="0" w:footer="0" w:header="0"/>
        </w:sectPr>
      </w:pPr>
    </w:p>
    <w:bookmarkStart w:id="4" w:name="page5"/>
    <w:bookmarkEnd w:id="4"/>
    <w:p>
      <w:pPr>
        <w:ind w:left="3160"/>
        <w:spacing w:after="0"/>
        <w:rPr>
          <w:sz w:val="20"/>
          <w:szCs w:val="20"/>
          <w:color w:val="auto"/>
        </w:rPr>
      </w:pPr>
      <w:r>
        <w:rPr>
          <w:rFonts w:ascii="Courier New" w:cs="Courier New" w:eastAsia="Courier New" w:hAnsi="Courier New"/>
          <w:sz w:val="18"/>
          <w:szCs w:val="18"/>
          <w:color w:val="auto"/>
        </w:rPr>
        <w:t>_______________________________________________</w:t>
      </w:r>
    </w:p>
    <w:p>
      <w:pPr>
        <w:spacing w:after="0" w:line="20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In accordance with Rule 13d-1(f) under the Securities Exchange Act of 1934, the persons or entities named below agree to the joint filing on behalf of each of them of this Schedule 13G with respect to the Securities of the Issuer and further agree that this joint filing agreement be included as an exhibit to this Schedule 13G. In evidence thereof, the undersigned hereby execute this Agreement as of February 12, 2001.</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Southeastern Asset Management, Inc.</w:t>
      </w:r>
    </w:p>
    <w:p>
      <w:pPr>
        <w:spacing w:after="0" w:line="201" w:lineRule="exact"/>
        <w:rPr>
          <w:sz w:val="20"/>
          <w:szCs w:val="20"/>
          <w:color w:val="auto"/>
        </w:rPr>
      </w:pPr>
    </w:p>
    <w:p>
      <w:pPr>
        <w:ind w:left="316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Charles D. Reaves</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Charles D. Reaves</w:t>
      </w:r>
    </w:p>
    <w:p>
      <w:pPr>
        <w:jc w:val="center"/>
        <w:ind w:right="299"/>
        <w:spacing w:after="0" w:line="238" w:lineRule="auto"/>
        <w:rPr>
          <w:sz w:val="20"/>
          <w:szCs w:val="20"/>
          <w:color w:val="auto"/>
        </w:rPr>
      </w:pPr>
      <w:r>
        <w:rPr>
          <w:rFonts w:ascii="Courier New" w:cs="Courier New" w:eastAsia="Courier New" w:hAnsi="Courier New"/>
          <w:sz w:val="18"/>
          <w:szCs w:val="18"/>
          <w:color w:val="auto"/>
        </w:rPr>
        <w:t>Vice President and General Counsel</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O. Mason Hawkins, Individually</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O. Mason Hawkins</w:t>
      </w:r>
    </w:p>
    <w:p>
      <w:pPr>
        <w:ind w:left="3160"/>
        <w:spacing w:after="0" w:line="238" w:lineRule="auto"/>
        <w:rPr>
          <w:sz w:val="20"/>
          <w:szCs w:val="20"/>
          <w:color w:val="auto"/>
        </w:rPr>
      </w:pPr>
      <w:r>
        <w:rPr>
          <w:rFonts w:ascii="Courier New" w:cs="Courier New" w:eastAsia="Courier New" w:hAnsi="Courier New"/>
          <w:sz w:val="18"/>
          <w:szCs w:val="18"/>
          <w:color w:val="auto"/>
        </w:rPr>
        <w:t>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WMI13G1.doc</w:t>
      </w:r>
    </w:p>
    <w:p>
      <w:pPr>
        <w:spacing w:after="0"/>
        <w:rPr>
          <w:sz w:val="20"/>
          <w:szCs w:val="20"/>
          <w:color w:val="auto"/>
        </w:rPr>
      </w:pPr>
      <w:r>
        <w:rPr>
          <w:rFonts w:ascii="Courier New" w:cs="Courier New" w:eastAsia="Courier New" w:hAnsi="Courier New"/>
          <w:sz w:val="18"/>
          <w:szCs w:val="18"/>
          <w:color w:val="auto"/>
        </w:rPr>
        <w:t>SCHEDULE 13G - Waste Management, Inc. ("Issuer")</w:t>
      </w:r>
    </w:p>
    <w:p>
      <w:pPr>
        <w:spacing w:after="0" w:line="237" w:lineRule="auto"/>
        <w:rPr>
          <w:sz w:val="20"/>
          <w:szCs w:val="20"/>
          <w:color w:val="auto"/>
        </w:rPr>
      </w:pPr>
      <w:r>
        <w:rPr>
          <w:rFonts w:ascii="Courier New" w:cs="Courier New" w:eastAsia="Courier New" w:hAnsi="Courier New"/>
          <w:sz w:val="18"/>
          <w:szCs w:val="18"/>
          <w:color w:val="auto"/>
        </w:rPr>
        <w:t>Amendment No. 1</w:t>
      </w:r>
    </w:p>
    <w:p>
      <w:pPr>
        <w:spacing w:after="0" w:line="238" w:lineRule="auto"/>
        <w:rPr>
          <w:sz w:val="20"/>
          <w:szCs w:val="20"/>
          <w:color w:val="auto"/>
        </w:rPr>
      </w:pPr>
      <w:r>
        <w:rPr>
          <w:rFonts w:ascii="Courier New" w:cs="Courier New" w:eastAsia="Courier New" w:hAnsi="Courier New"/>
          <w:sz w:val="18"/>
          <w:szCs w:val="18"/>
          <w:color w:val="auto"/>
        </w:rPr>
        <w:t>6</w:t>
      </w:r>
    </w:p>
    <w:p>
      <w:pPr>
        <w:spacing w:after="0"/>
        <w:rPr>
          <w:sz w:val="20"/>
          <w:szCs w:val="20"/>
          <w:color w:val="auto"/>
        </w:rPr>
      </w:pPr>
      <w:r>
        <w:rPr>
          <w:rFonts w:ascii="Courier New" w:cs="Courier New" w:eastAsia="Courier New" w:hAnsi="Courier New"/>
          <w:sz w:val="18"/>
          <w:szCs w:val="18"/>
          <w:color w:val="auto"/>
        </w:rPr>
        <w:t>WMI13G1.doc</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decimal"/>
      <w:start w:val="1"/>
    </w:lvl>
  </w:abstractNum>
  <w:abstractNum w:abstractNumId="2">
    <w:nsid w:val="12200854"/>
    <w:multiLevelType w:val="hybridMultilevel"/>
    <w:lvl w:ilvl="0">
      <w:lvlJc w:val="left"/>
      <w:lvlText w:val="(%1)"/>
      <w:numFmt w:val="decimal"/>
      <w:start w:val="2"/>
    </w:lvl>
    <w:lvl w:ilvl="1">
      <w:lvlJc w:val="left"/>
      <w:lvlText w:val="(%2)"/>
      <w:numFmt w:val="lowerLetter"/>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decimal"/>
      <w:start w:val="9"/>
    </w:lvl>
  </w:abstractNum>
  <w:abstractNum w:abstractNumId="5">
    <w:nsid w:val="1F16E9E8"/>
    <w:multiLevelType w:val="hybridMultilevel"/>
    <w:lvl w:ilvl="0">
      <w:lvlJc w:val="left"/>
      <w:lvlText w:val="(%1)"/>
      <w:numFmt w:val="decimal"/>
      <w:start w:val="10"/>
    </w:lvl>
  </w:abstractNum>
  <w:abstractNum w:abstractNumId="6">
    <w:nsid w:val="1190CDE7"/>
    <w:multiLevelType w:val="hybridMultilevel"/>
    <w:lvl w:ilvl="0">
      <w:lvlJc w:val="left"/>
      <w:lvlText w:val="(%1)"/>
      <w:numFmt w:val="decimal"/>
      <w:start w:val="11"/>
    </w:lvl>
  </w:abstractNum>
  <w:abstractNum w:abstractNumId="7">
    <w:nsid w:val="66EF438D"/>
    <w:multiLevelType w:val="hybridMultilevel"/>
    <w:lvl w:ilvl="0">
      <w:lvlJc w:val="left"/>
      <w:lvlText w:val="(%1)"/>
      <w:numFmt w:val="decimal"/>
      <w:start w:val="12"/>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2"/>
    </w:lvl>
    <w:lvl w:ilvl="1">
      <w:lvlJc w:val="left"/>
      <w:lvlText w:val="(%2)"/>
      <w:numFmt w:val="lowerLetter"/>
      <w:start w:val="1"/>
    </w:lvl>
  </w:abstractNum>
  <w:abstractNum w:abstractNumId="10">
    <w:nsid w:val="109CF92E"/>
    <w:multiLevelType w:val="hybridMultilevel"/>
    <w:lvl w:ilvl="0">
      <w:lvlJc w:val="left"/>
      <w:lvlText w:val="(%1)"/>
      <w:numFmt w:val="decimal"/>
      <w:start w:val="8"/>
    </w:lvl>
    <w:lvl w:ilvl="1">
      <w:lvlJc w:val="left"/>
      <w:lvlText w:val=":"/>
      <w:numFmt w:val="bullet"/>
      <w:start w:val="1"/>
    </w:lvl>
  </w:abstractNum>
  <w:abstractNum w:abstractNumId="11">
    <w:nsid w:val="DED7263"/>
    <w:multiLevelType w:val="hybridMultilevel"/>
    <w:lvl w:ilvl="0">
      <w:lvlJc w:val="left"/>
      <w:lvlText w:val="(%1)"/>
      <w:numFmt w:val="decimal"/>
      <w:start w:val="10"/>
    </w:lvl>
  </w:abstractNum>
  <w:abstractNum w:abstractNumId="12">
    <w:nsid w:val="7FDCC233"/>
    <w:multiLevelType w:val="hybridMultilevel"/>
    <w:lvl w:ilvl="0">
      <w:lvlJc w:val="left"/>
      <w:lvlText w:val="(%1)"/>
      <w:numFmt w:val="decimal"/>
      <w:start w:val="11"/>
    </w:lvl>
  </w:abstractNum>
  <w:abstractNum w:abstractNumId="13">
    <w:nsid w:val="1BEFD79F"/>
    <w:multiLevelType w:val="hybridMultilevel"/>
    <w:lvl w:ilvl="0">
      <w:lvlJc w:val="left"/>
      <w:lvlText w:val="(%1)"/>
      <w:numFmt w:val="decimal"/>
      <w:start w:val="12"/>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2019-12-11T20:26:26Z</dcterms:created>
  <dcterms:modified xsi:type="dcterms:W3CDTF">2019-12-11T20:26:26Z</dcterms:modified>
</cp:coreProperties>
</file>