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27, 2004</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142875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(State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or other jurisdiction of incorporation or organization)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(I.R.S. Employer Identification Number)</w:t>
      </w:r>
    </w:p>
    <w:p>
      <w:pPr>
        <w:spacing w:after="0" w:line="189" w:lineRule="exact"/>
        <w:rPr>
          <w:sz w:val="20"/>
          <w:szCs w:val="20"/>
          <w:color w:val="auto"/>
        </w:rPr>
      </w:pPr>
    </w:p>
    <w:p>
      <w:pPr>
        <w:sectPr>
          <w:pgSz w:w="11900" w:h="16838" w:orient="portrait"/>
          <w:cols w:equalWidth="0" w:num="3">
            <w:col w:w="1040" w:space="40"/>
            <w:col w:w="5380" w:space="720"/>
            <w:col w:w="4240"/>
          </w:cols>
          <w:pgMar w:left="240" w:top="12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142875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 2004 STOCK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 titles of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142875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Rick L Wittenbraker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142875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2"/>
              </w:rPr>
              <w:t>Title of securities</w:t>
            </w:r>
          </w:p>
        </w:tc>
        <w:tc>
          <w:tcPr>
            <w:tcW w:w="18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 to be</w:t>
            </w:r>
          </w:p>
        </w:tc>
        <w:tc>
          <w:tcPr>
            <w:tcW w:w="204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Proposed maximum</w:t>
            </w:r>
          </w:p>
        </w:tc>
        <w:tc>
          <w:tcPr>
            <w:tcW w:w="228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Proposed maximum</w:t>
            </w:r>
          </w:p>
        </w:tc>
        <w:tc>
          <w:tcPr>
            <w:tcW w:w="1740" w:type="dxa"/>
            <w:vAlign w:val="bottom"/>
            <w:vMerge w:val="restart"/>
          </w:tcPr>
          <w:p>
            <w:pPr>
              <w:jc w:val="center"/>
              <w:ind w:left="20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2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20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3"/>
              </w:rPr>
              <w:t>offering price per</w:t>
            </w:r>
          </w:p>
        </w:tc>
        <w:tc>
          <w:tcPr>
            <w:tcW w:w="22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tcBorders>
              <w:bottom w:val="single" w:sz="8" w:color="808080"/>
            </w:tcBorders>
          </w:tcPr>
          <w:p>
            <w:pPr>
              <w:jc w:val="center"/>
              <w:ind w:right="222"/>
              <w:spacing w:after="0"/>
              <w:rPr>
                <w:sz w:val="20"/>
                <w:szCs w:val="20"/>
                <w:color w:val="auto"/>
              </w:rPr>
            </w:pPr>
            <w:r>
              <w:rPr>
                <w:rFonts w:ascii="Arial" w:cs="Arial" w:eastAsia="Arial" w:hAnsi="Arial"/>
                <w:sz w:val="14"/>
                <w:szCs w:val="14"/>
                <w:b w:val="1"/>
                <w:bCs w:val="1"/>
                <w:color w:val="auto"/>
                <w:w w:val="89"/>
              </w:rPr>
              <w:t>to be registered</w:t>
            </w:r>
          </w:p>
        </w:tc>
        <w:tc>
          <w:tcPr>
            <w:tcW w:w="1840" w:type="dxa"/>
            <w:vAlign w:val="bottom"/>
            <w:tcBorders>
              <w:bottom w:val="single" w:sz="8" w:color="808080"/>
            </w:tcBorders>
          </w:tcPr>
          <w:p>
            <w:pPr>
              <w:ind w:left="480"/>
              <w:spacing w:after="0"/>
              <w:rPr>
                <w:sz w:val="20"/>
                <w:szCs w:val="20"/>
                <w:color w:val="auto"/>
              </w:rPr>
            </w:pPr>
            <w:r>
              <w:rPr>
                <w:rFonts w:ascii="Arial" w:cs="Arial" w:eastAsia="Arial" w:hAnsi="Arial"/>
                <w:sz w:val="14"/>
                <w:szCs w:val="14"/>
                <w:b w:val="1"/>
                <w:bCs w:val="1"/>
                <w:color w:val="auto"/>
              </w:rPr>
              <w:t>Registered (1)</w:t>
            </w:r>
          </w:p>
        </w:tc>
        <w:tc>
          <w:tcPr>
            <w:tcW w:w="2040" w:type="dxa"/>
            <w:vAlign w:val="bottom"/>
            <w:tcBorders>
              <w:bottom w:val="single" w:sz="8" w:color="808080"/>
            </w:tcBorders>
          </w:tcPr>
          <w:p>
            <w:pPr>
              <w:jc w:val="center"/>
              <w:ind w:right="64"/>
              <w:spacing w:after="0"/>
              <w:rPr>
                <w:sz w:val="20"/>
                <w:szCs w:val="20"/>
                <w:color w:val="auto"/>
              </w:rPr>
            </w:pPr>
            <w:r>
              <w:rPr>
                <w:rFonts w:ascii="Arial" w:cs="Arial" w:eastAsia="Arial" w:hAnsi="Arial"/>
                <w:sz w:val="14"/>
                <w:szCs w:val="14"/>
                <w:b w:val="1"/>
                <w:bCs w:val="1"/>
                <w:color w:val="auto"/>
                <w:w w:val="90"/>
              </w:rPr>
              <w:t>share</w:t>
            </w:r>
          </w:p>
        </w:tc>
        <w:tc>
          <w:tcPr>
            <w:tcW w:w="2280" w:type="dxa"/>
            <w:vAlign w:val="bottom"/>
            <w:tcBorders>
              <w:bottom w:val="single" w:sz="8" w:color="808080"/>
            </w:tcBorders>
          </w:tcPr>
          <w:p>
            <w:pPr>
              <w:jc w:val="center"/>
              <w:ind w:right="44"/>
              <w:spacing w:after="0"/>
              <w:rPr>
                <w:sz w:val="20"/>
                <w:szCs w:val="20"/>
                <w:color w:val="auto"/>
              </w:rPr>
            </w:pPr>
            <w:r>
              <w:rPr>
                <w:rFonts w:ascii="Arial" w:cs="Arial" w:eastAsia="Arial" w:hAnsi="Arial"/>
                <w:sz w:val="14"/>
                <w:szCs w:val="14"/>
                <w:b w:val="1"/>
                <w:bCs w:val="1"/>
                <w:color w:val="auto"/>
                <w:w w:val="95"/>
              </w:rPr>
              <w:t>price</w:t>
            </w:r>
          </w:p>
        </w:tc>
        <w:tc>
          <w:tcPr>
            <w:tcW w:w="1740" w:type="dxa"/>
            <w:vAlign w:val="bottom"/>
            <w:tcBorders>
              <w:bottom w:val="single" w:sz="8" w:color="808080"/>
            </w:tcBorders>
          </w:tcPr>
          <w:p>
            <w:pPr>
              <w:jc w:val="center"/>
              <w:ind w:left="22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33"/>
        </w:trPr>
        <w:tc>
          <w:tcPr>
            <w:tcW w:w="3520" w:type="dxa"/>
            <w:vAlign w:val="bottom"/>
          </w:tcPr>
          <w:p>
            <w:pPr>
              <w:spacing w:after="0"/>
              <w:rPr>
                <w:sz w:val="20"/>
                <w:szCs w:val="20"/>
                <w:color w:val="auto"/>
              </w:rPr>
            </w:pPr>
            <w:r>
              <w:rPr>
                <w:rFonts w:ascii="Arial" w:cs="Arial" w:eastAsia="Arial" w:hAnsi="Arial"/>
                <w:sz w:val="18"/>
                <w:szCs w:val="18"/>
                <w:color w:val="auto"/>
              </w:rPr>
              <w:t>Common Stock, par value $0.01 per share</w:t>
            </w:r>
          </w:p>
        </w:tc>
        <w:tc>
          <w:tcPr>
            <w:tcW w:w="1840" w:type="dxa"/>
            <w:vAlign w:val="bottom"/>
          </w:tcPr>
          <w:p>
            <w:pPr>
              <w:ind w:left="480"/>
              <w:spacing w:after="0"/>
              <w:rPr>
                <w:sz w:val="20"/>
                <w:szCs w:val="20"/>
                <w:color w:val="auto"/>
              </w:rPr>
            </w:pPr>
            <w:r>
              <w:rPr>
                <w:rFonts w:ascii="Arial" w:cs="Arial" w:eastAsia="Arial" w:hAnsi="Arial"/>
                <w:sz w:val="18"/>
                <w:szCs w:val="18"/>
                <w:color w:val="auto"/>
              </w:rPr>
              <w:t>34,000,000(2)</w:t>
            </w:r>
          </w:p>
        </w:tc>
        <w:tc>
          <w:tcPr>
            <w:tcW w:w="2040" w:type="dxa"/>
            <w:vAlign w:val="bottom"/>
          </w:tcPr>
          <w:p>
            <w:pPr>
              <w:jc w:val="center"/>
              <w:ind w:right="64"/>
              <w:spacing w:after="0"/>
              <w:rPr>
                <w:sz w:val="20"/>
                <w:szCs w:val="20"/>
                <w:color w:val="auto"/>
              </w:rPr>
            </w:pPr>
            <w:r>
              <w:rPr>
                <w:rFonts w:ascii="Arial" w:cs="Arial" w:eastAsia="Arial" w:hAnsi="Arial"/>
                <w:sz w:val="18"/>
                <w:szCs w:val="18"/>
                <w:color w:val="auto"/>
                <w:w w:val="90"/>
              </w:rPr>
              <w:t>$28.49(3)</w:t>
            </w:r>
          </w:p>
        </w:tc>
        <w:tc>
          <w:tcPr>
            <w:tcW w:w="2280" w:type="dxa"/>
            <w:vAlign w:val="bottom"/>
          </w:tcPr>
          <w:p>
            <w:pPr>
              <w:jc w:val="right"/>
              <w:ind w:right="464"/>
              <w:spacing w:after="0"/>
              <w:rPr>
                <w:sz w:val="20"/>
                <w:szCs w:val="20"/>
                <w:color w:val="auto"/>
              </w:rPr>
            </w:pPr>
            <w:r>
              <w:rPr>
                <w:rFonts w:ascii="Arial" w:cs="Arial" w:eastAsia="Arial" w:hAnsi="Arial"/>
                <w:sz w:val="18"/>
                <w:szCs w:val="18"/>
                <w:color w:val="auto"/>
              </w:rPr>
              <w:t>$968,660,000(4)</w:t>
            </w:r>
          </w:p>
        </w:tc>
        <w:tc>
          <w:tcPr>
            <w:tcW w:w="1740" w:type="dxa"/>
            <w:vAlign w:val="bottom"/>
          </w:tcPr>
          <w:p>
            <w:pPr>
              <w:jc w:val="right"/>
              <w:ind w:right="142"/>
              <w:spacing w:after="0"/>
              <w:rPr>
                <w:sz w:val="20"/>
                <w:szCs w:val="20"/>
                <w:color w:val="auto"/>
              </w:rPr>
            </w:pPr>
            <w:r>
              <w:rPr>
                <w:rFonts w:ascii="Arial" w:cs="Arial" w:eastAsia="Arial" w:hAnsi="Arial"/>
                <w:sz w:val="18"/>
                <w:szCs w:val="18"/>
                <w:color w:val="auto"/>
              </w:rPr>
              <w:t>$116,291(2)</w:t>
            </w:r>
          </w:p>
        </w:tc>
        <w:tc>
          <w:tcPr>
            <w:tcW w:w="0" w:type="dxa"/>
            <w:vAlign w:val="bottom"/>
          </w:tcPr>
          <w:p>
            <w:pPr>
              <w:spacing w:after="0"/>
              <w:rPr>
                <w:sz w:val="1"/>
                <w:szCs w:val="1"/>
                <w:color w:val="auto"/>
              </w:rPr>
            </w:pPr>
          </w:p>
        </w:tc>
      </w:tr>
      <w:tr>
        <w:trPr>
          <w:trHeight w:val="61"/>
        </w:trPr>
        <w:tc>
          <w:tcPr>
            <w:tcW w:w="352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800" w:hanging="45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aggregate number of shares available for issuance under the 2004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295910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220" w:hanging="454"/>
        <w:spacing w:after="0" w:line="25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548,656 shares and 1,235,000 shares that are not subject to outstanding awards, but were previously approved for issuance under the Registrant’s 2000 Stock Incentive Plan and 1996 Stock Option Plan for Non-Employee Directors, respectively, that were registered under Registration Statement on Form S-8 (Registration No. 333-45066) and have been rolled into the 2004 Stock Incentive Plan. These shares will no longer be available for issuance under the old plans or the previously filed registration statement. Registration fees of $2,752.06 and $6,194.76 were previously paid to register these shares.</w:t>
      </w:r>
    </w:p>
    <w:p>
      <w:pPr>
        <w:spacing w:after="0" w:line="188" w:lineRule="exact"/>
        <w:rPr>
          <w:rFonts w:ascii="Arial" w:cs="Arial" w:eastAsia="Arial" w:hAnsi="Arial"/>
          <w:sz w:val="18"/>
          <w:szCs w:val="18"/>
          <w:color w:val="auto"/>
        </w:rPr>
      </w:pPr>
    </w:p>
    <w:p>
      <w:pPr>
        <w:ind w:left="800" w:hanging="454"/>
        <w:spacing w:after="0"/>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Represents the average of the high and low prices of the Common Stock as reported on the New York Stock Exchange on May 26, 2004.</w:t>
      </w:r>
    </w:p>
    <w:p>
      <w:pPr>
        <w:spacing w:after="0" w:line="236" w:lineRule="exact"/>
        <w:rPr>
          <w:rFonts w:ascii="Arial" w:cs="Arial" w:eastAsia="Arial" w:hAnsi="Arial"/>
          <w:sz w:val="17"/>
          <w:szCs w:val="17"/>
          <w:color w:val="auto"/>
        </w:rPr>
      </w:pPr>
    </w:p>
    <w:p>
      <w:pPr>
        <w:ind w:left="800" w:hanging="454"/>
        <w:spacing w:after="0" w:line="264"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Computed in accordance with Rules 457(c) and (h) under the Securities Act of 1933, as amended, solely for the purpose of calculating the total registration fee. The aggregate offering price and amount of registration fee have been computed based on the average of the high and low prices of Common Stock on the New York Stock Exchange on May 26,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534035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EXPLANATORY STATEMENT</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Plan Information. *</w:t>
        </w:r>
      </w:hyperlink>
    </w:p>
    <w:p>
      <w:pPr>
        <w:spacing w:after="0" w:line="1" w:lineRule="exact"/>
        <w:rPr>
          <w:sz w:val="20"/>
          <w:szCs w:val="20"/>
          <w:color w:val="auto"/>
        </w:rPr>
      </w:pPr>
    </w:p>
    <w:p>
      <w:pPr>
        <w:ind w:right="2959" w:firstLine="311"/>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 Registrant Information and Employee Plan Annual Information. *</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Part II</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Interests of Named Experts and Counsel.</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8. Exhibits.</w:t>
        </w:r>
      </w:hyperlink>
    </w:p>
    <w:p>
      <w:pPr>
        <w:ind w:left="32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POWER OF ATTORNEY</w:t>
        </w:r>
      </w:hyperlink>
    </w:p>
    <w:p>
      <w:pPr>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Opinion of John S. Tsai</w:t>
      </w:r>
    </w:p>
    <w:p>
      <w:pPr>
        <w:spacing w:after="0" w:line="230" w:lineRule="auto"/>
        <w:rPr>
          <w:sz w:val="20"/>
          <w:szCs w:val="20"/>
          <w:color w:val="auto"/>
        </w:rPr>
      </w:pPr>
      <w:r>
        <w:rPr>
          <w:rFonts w:ascii="Arial" w:cs="Arial" w:eastAsia="Arial" w:hAnsi="Arial"/>
          <w:sz w:val="22"/>
          <w:szCs w:val="22"/>
          <w:u w:val="single" w:color="auto"/>
          <w:color w:val="0000EE"/>
        </w:rPr>
        <w:t>Consent of Ernst &amp; Young LLP</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Explanatory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STATEMENT</w:t>
      </w:r>
    </w:p>
    <w:p>
      <w:pPr>
        <w:spacing w:after="0" w:line="202"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On May 14, 2004 our stockholders approved the adoption by our Board of Directors of the Waste Management, Inc. 2004 Stock Incentive Plan. The terms of the 2004 Stock Incentive Plan provide that once the plan becomes effective, all shares available for awards under our 2000 Stock Incentive Plan and our 1996 Stock Option Plan for Non-Employee Directors will become available for issuance under the 2004 Stock Incentive Plan. The 2004 Stock Incentive Plan also provides that we can issue that number of shares equal to the number of shares that subsequently become available under either of the old plans due to expiration or other termination of outstanding awards under those plans. Any shares that become available for issuance under the 2004 Stock Incentive Plan will no longer be available for issuance under either of the old plans. Under the 2004 Stock Incentive Plan, an aggregate of 34,000,000 shares of our common stock may be issued pursuant to awards granted under that plan.</w:t>
      </w:r>
    </w:p>
    <w:p>
      <w:pPr>
        <w:spacing w:after="0" w:line="137"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Upon the effectiveness of the 2004 Stock Incentive Plan, 548,656 shares that had been authorized, but were not subject to outstanding awards, under the 2000 Stock Incentive Plan became available for issuance under the 2004 Stock Incentive Plan. Additionally, 1,235,000 shares that had been authorized, but were not subject to outstanding awards, under the 1996 Non-Employee Directors’ Plan also became available for issuance under the 2004 Stock Incentive Plan. In addition to these shares, we may issue additional shares, including that number that in the future become available because of termination, cancellation or other forfeiture of outstanding awards under the 2000 Stock Incentive Plan and 1996 Non-Employee Directors’ Plan, up to an aggregate of 34,000,000 shares.</w:t>
      </w:r>
    </w:p>
    <w:p>
      <w:pPr>
        <w:spacing w:after="0" w:line="15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Pursuant to the principles set forth in Interpretations 89 and 90 under Section G, “Securities Act Forms,” of the Manual of Publicly Available Telephone Interpretations of the Division of Corporation Finance of the Securities and Exchange Commission (July 1997) and Instruction E to Form S-8, we are carrying forward to this registration statement the 548,656 shares from the 2000 Stock Incentive Plan and the 1,235,000 shares from the 1996 Non-Employee Directors’ Plan. We are also, contemporaneously with this filing, filing an amendment to the registration statement filed on September 1, 2000 (Registration No. 333-45066) that registered the issuance of shares under the 2000 Stock Incentive Plan and 1996 Non-Employee Directors’ Plan to deregister the issuance under that registration statement of the 1,783,656 shares that have been rolled into the 2004 Stock Incentive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208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31" w:lineRule="exact"/>
        <w:rPr>
          <w:sz w:val="20"/>
          <w:szCs w:val="20"/>
          <w:color w:val="auto"/>
        </w:rPr>
      </w:pPr>
    </w:p>
    <w:p>
      <w:pPr>
        <w:ind w:left="460" w:right="120" w:hanging="420"/>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of 1933, as amended, and the “Note” to Part I of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2880" w:firstLine="2910"/>
        <w:spacing w:after="0" w:line="456" w:lineRule="auto"/>
        <w:rPr>
          <w:sz w:val="20"/>
          <w:szCs w:val="20"/>
          <w:color w:val="auto"/>
        </w:rPr>
      </w:pPr>
      <w:r>
        <w:rPr>
          <w:rFonts w:ascii="Arial" w:cs="Arial" w:eastAsia="Arial" w:hAnsi="Arial"/>
          <w:sz w:val="18"/>
          <w:szCs w:val="18"/>
          <w:b w:val="1"/>
          <w:bCs w:val="1"/>
          <w:color w:val="auto"/>
        </w:rPr>
        <w:t>INFORMATION REQUIRED IN THE REGISTRATION STATEMENT Item 3. Incorporation of Documents by Reference.</w:t>
      </w:r>
    </w:p>
    <w:p>
      <w:pPr>
        <w:spacing w:after="0" w:line="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documents filed with the Securities and Exchange Commission (the “Commission”) by the Registrant are hereby incorporated by reference into this Registration Statement:</w:t>
      </w:r>
    </w:p>
    <w:p>
      <w:pPr>
        <w:spacing w:after="0" w:line="170" w:lineRule="exact"/>
        <w:rPr>
          <w:sz w:val="20"/>
          <w:szCs w:val="20"/>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2003.</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2004.</w:t>
      </w:r>
    </w:p>
    <w:p>
      <w:pPr>
        <w:spacing w:after="0" w:line="225" w:lineRule="exact"/>
        <w:rPr>
          <w:rFonts w:ascii="Arial" w:cs="Arial" w:eastAsia="Arial" w:hAnsi="Arial"/>
          <w:sz w:val="18"/>
          <w:szCs w:val="18"/>
          <w:color w:val="auto"/>
        </w:rPr>
      </w:pPr>
    </w:p>
    <w:p>
      <w:pPr>
        <w:ind w:left="800" w:right="100" w:hanging="454"/>
        <w:spacing w:after="0" w:line="26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181" w:lineRule="exact"/>
        <w:rPr>
          <w:sz w:val="20"/>
          <w:szCs w:val="20"/>
          <w:color w:val="auto"/>
        </w:rPr>
      </w:pPr>
    </w:p>
    <w:p>
      <w:pPr>
        <w:ind w:right="80" w:firstLine="215"/>
        <w:spacing w:after="0" w:line="312" w:lineRule="auto"/>
        <w:rPr>
          <w:sz w:val="20"/>
          <w:szCs w:val="20"/>
          <w:color w:val="auto"/>
        </w:rPr>
      </w:pPr>
      <w:r>
        <w:rPr>
          <w:rFonts w:ascii="Arial" w:cs="Arial" w:eastAsia="Arial" w:hAnsi="Arial"/>
          <w:sz w:val="16"/>
          <w:szCs w:val="16"/>
          <w:color w:val="auto"/>
        </w:rPr>
        <w:t>All documents subsequently filed by the Registrant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89"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Certificate of Incorporation (the “Charter”) and the Bylaws of the Registrant provide in effect that the Registrant shall indemnify its directors, officers, employees and agents (as well as persons serving as a director, officer, employee or agent of any of the Registrant’s direct or indirect subsidiaries) to the extent permitted by the General Corporation Law of the State of Delaware (the “DGCL”). Sections 102 and 145 of the DGCL provide that a Delaware corporation has the power to indemnify its directors, officers, employees and agents in certain circumstances, as described below.</w:t>
      </w:r>
    </w:p>
    <w:p>
      <w:pPr>
        <w:spacing w:after="0" w:line="144"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In accordance with Section 102 of the DGCL, the Registrant’s Charter contains a provision that eliminates the personal liability of directors of the Registrant or its stockholders for monetary damages for breach of fiduciary duty as a director, except in cases where the director breached his or her duty of loyalty to the Registrant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w:t>
      </w:r>
    </w:p>
    <w:p>
      <w:pPr>
        <w:spacing w:after="0" w:line="114"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Pursuant to Subsection (a)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Registrant), against expenses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60"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Pursuant to Subsection (b)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or suit by or in the right of the Registrant to procure a judgment in its favor by reason of the fact that such person acted in any of the capacities set forth above, against expenses (including attorney’s fees), judgments, fines, penalties and amounts paid in settlement actually and reasonably incurred in connection with the investigation, preparation to defend or defense of such action or suit provided that such person acted in good faith and in a manner he or she reasonably believed to be in or not opposed to the best interest of the Registrant, except that no indemnification may be made in respect of any claim, issue or matter as to which such person shall have been adjudged to be liable to the Registrant unless and only to the extent that the Court of Chancery (or such other court in which such action or suit has been brought) shall determine that despite the adjudication of liability such person is fairly and reasonably entitled to indemnity for such expenses which the court shall deem proper.</w:t>
      </w:r>
    </w:p>
    <w:p>
      <w:pPr>
        <w:spacing w:after="0" w:line="141"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Registrant’s Bylaws further provide that, to the extent that a director, officer, employee or agent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Any person seeking indemnification as described above shall be deemed to have met the standard of conduct required for such indemnification unless the contrary shall be established. The indemnification provided by Section 145 of the DGCL shall not be exclusive of any other rights to which the party seeking indemnification may be entitled.</w:t>
      </w:r>
    </w:p>
    <w:p>
      <w:pPr>
        <w:spacing w:after="0" w:line="15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Section 145 of the DGCL also provides that a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The Registrant has purchased certain liability insurance for its officers and directors.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4.1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780" w:type="dxa"/>
            <w:vAlign w:val="bottom"/>
          </w:tcPr>
          <w:p>
            <w:pPr>
              <w:ind w:left="120"/>
              <w:spacing w:after="0"/>
              <w:rPr>
                <w:sz w:val="20"/>
                <w:szCs w:val="20"/>
                <w:color w:val="auto"/>
              </w:rPr>
            </w:pPr>
            <w:r>
              <w:rPr>
                <w:rFonts w:ascii="Arial" w:cs="Arial" w:eastAsia="Arial" w:hAnsi="Arial"/>
                <w:sz w:val="18"/>
                <w:szCs w:val="18"/>
                <w:color w:val="auto"/>
                <w:w w:val="95"/>
              </w:rPr>
              <w:t>Certificate of Incorporation (Incorporated by reference to Exhibit 3.1 to the Registrant’s Quarterly Report on Form 10-Q for the Quarter ended</w:t>
            </w:r>
          </w:p>
        </w:tc>
      </w:tr>
      <w:tr>
        <w:trPr>
          <w:trHeight w:val="230"/>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780" w:type="dxa"/>
            <w:vAlign w:val="bottom"/>
          </w:tcPr>
          <w:p>
            <w:pPr>
              <w:ind w:left="120"/>
              <w:spacing w:after="0"/>
              <w:rPr>
                <w:sz w:val="20"/>
                <w:szCs w:val="20"/>
                <w:color w:val="auto"/>
              </w:rPr>
            </w:pPr>
            <w:r>
              <w:rPr>
                <w:rFonts w:ascii="Arial" w:cs="Arial" w:eastAsia="Arial" w:hAnsi="Arial"/>
                <w:sz w:val="18"/>
                <w:szCs w:val="18"/>
                <w:color w:val="auto"/>
              </w:rPr>
              <w:t>June 30, 2002).</w:t>
            </w:r>
          </w:p>
        </w:tc>
      </w:tr>
      <w:tr>
        <w:trPr>
          <w:trHeight w:val="432"/>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4.2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780" w:type="dxa"/>
            <w:vAlign w:val="bottom"/>
          </w:tcPr>
          <w:p>
            <w:pPr>
              <w:ind w:left="120"/>
              <w:spacing w:after="0"/>
              <w:rPr>
                <w:sz w:val="20"/>
                <w:szCs w:val="20"/>
                <w:color w:val="auto"/>
              </w:rPr>
            </w:pPr>
            <w:r>
              <w:rPr>
                <w:rFonts w:ascii="Arial" w:cs="Arial" w:eastAsia="Arial" w:hAnsi="Arial"/>
                <w:sz w:val="18"/>
                <w:szCs w:val="18"/>
                <w:color w:val="auto"/>
                <w:w w:val="97"/>
              </w:rPr>
              <w:t>Bylaws (Incorporated by reference to Exhibit 3.2 to the Registrant’s Quarterly Report on Form 10-Q for the Quarter ended June 30, 2002).</w:t>
            </w:r>
          </w:p>
        </w:tc>
      </w:tr>
      <w:tr>
        <w:trPr>
          <w:trHeight w:val="418"/>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4.3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780" w:type="dxa"/>
            <w:vAlign w:val="bottom"/>
          </w:tcPr>
          <w:p>
            <w:pPr>
              <w:ind w:left="120"/>
              <w:spacing w:after="0"/>
              <w:rPr>
                <w:sz w:val="20"/>
                <w:szCs w:val="20"/>
                <w:color w:val="auto"/>
              </w:rPr>
            </w:pPr>
            <w:r>
              <w:rPr>
                <w:rFonts w:ascii="Arial" w:cs="Arial" w:eastAsia="Arial" w:hAnsi="Arial"/>
                <w:sz w:val="18"/>
                <w:szCs w:val="18"/>
                <w:color w:val="auto"/>
                <w:w w:val="90"/>
              </w:rPr>
              <w:t>Waste Management, Inc. 2004 Stock Incentive Plan (Incorporated by reference to Appendix C of the Company’s Notice and Proxy Statement dated</w:t>
            </w:r>
          </w:p>
        </w:tc>
      </w:tr>
      <w:tr>
        <w:trPr>
          <w:trHeight w:val="230"/>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780" w:type="dxa"/>
            <w:vAlign w:val="bottom"/>
          </w:tcPr>
          <w:p>
            <w:pPr>
              <w:ind w:left="120"/>
              <w:spacing w:after="0"/>
              <w:rPr>
                <w:sz w:val="20"/>
                <w:szCs w:val="20"/>
                <w:color w:val="auto"/>
              </w:rPr>
            </w:pPr>
            <w:r>
              <w:rPr>
                <w:rFonts w:ascii="Arial" w:cs="Arial" w:eastAsia="Arial" w:hAnsi="Arial"/>
                <w:sz w:val="18"/>
                <w:szCs w:val="18"/>
                <w:color w:val="auto"/>
              </w:rPr>
              <w:t>April 8 2004, for the Annual Meeting of Stockholders held on May 14, 2004).</w:t>
            </w:r>
          </w:p>
        </w:tc>
      </w:tr>
      <w:tr>
        <w:trPr>
          <w:trHeight w:val="432"/>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5.1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780" w:type="dxa"/>
            <w:vAlign w:val="bottom"/>
          </w:tcPr>
          <w:p>
            <w:pPr>
              <w:ind w:left="120"/>
              <w:spacing w:after="0"/>
              <w:rPr>
                <w:sz w:val="20"/>
                <w:szCs w:val="20"/>
                <w:color w:val="auto"/>
              </w:rPr>
            </w:pPr>
            <w:r>
              <w:rPr>
                <w:rFonts w:ascii="Arial" w:cs="Arial" w:eastAsia="Arial" w:hAnsi="Arial"/>
                <w:sz w:val="18"/>
                <w:szCs w:val="18"/>
                <w:color w:val="auto"/>
              </w:rPr>
              <w:t>Opinion of John S. Tsai with respect to the legality of the securities.</w:t>
            </w:r>
          </w:p>
        </w:tc>
      </w:tr>
      <w:tr>
        <w:trPr>
          <w:trHeight w:val="392"/>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780" w:type="dxa"/>
            <w:vAlign w:val="bottom"/>
          </w:tcPr>
          <w:p>
            <w:pPr>
              <w:ind w:left="4940"/>
              <w:spacing w:after="0"/>
              <w:rPr>
                <w:sz w:val="20"/>
                <w:szCs w:val="20"/>
                <w:color w:val="auto"/>
              </w:rPr>
            </w:pPr>
            <w:r>
              <w:rPr>
                <w:rFonts w:ascii="Arial" w:cs="Arial" w:eastAsia="Arial" w:hAnsi="Arial"/>
                <w:sz w:val="18"/>
                <w:szCs w:val="18"/>
                <w:color w:val="auto"/>
              </w:rPr>
              <w:t>II-2</w:t>
            </w:r>
          </w:p>
        </w:tc>
      </w:tr>
      <w:tr>
        <w:trPr>
          <w:trHeight w:val="226"/>
        </w:trPr>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23.1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180" w:type="dxa"/>
            <w:vAlign w:val="bottom"/>
          </w:tcPr>
          <w:p>
            <w:pPr>
              <w:ind w:left="140"/>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23.2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180" w:type="dxa"/>
            <w:vAlign w:val="bottom"/>
          </w:tcPr>
          <w:p>
            <w:pPr>
              <w:ind w:left="140"/>
              <w:spacing w:after="0"/>
              <w:rPr>
                <w:sz w:val="20"/>
                <w:szCs w:val="20"/>
                <w:color w:val="auto"/>
              </w:rPr>
            </w:pPr>
            <w:r>
              <w:rPr>
                <w:rFonts w:ascii="Arial" w:cs="Arial" w:eastAsia="Arial" w:hAnsi="Arial"/>
                <w:sz w:val="18"/>
                <w:szCs w:val="18"/>
                <w:color w:val="auto"/>
                <w:w w:val="91"/>
              </w:rPr>
              <w:t>Explanatory Statement Concerning Absence of Current Written Consent of Arthur Andersen LLP.</w:t>
            </w:r>
          </w:p>
        </w:tc>
      </w:tr>
      <w:tr>
        <w:trPr>
          <w:trHeight w:val="432"/>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23.3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180" w:type="dxa"/>
            <w:vAlign w:val="bottom"/>
          </w:tcPr>
          <w:p>
            <w:pPr>
              <w:ind w:left="140"/>
              <w:spacing w:after="0"/>
              <w:rPr>
                <w:sz w:val="20"/>
                <w:szCs w:val="20"/>
                <w:color w:val="auto"/>
              </w:rPr>
            </w:pPr>
            <w:r>
              <w:rPr>
                <w:rFonts w:ascii="Arial" w:cs="Arial" w:eastAsia="Arial" w:hAnsi="Arial"/>
                <w:sz w:val="18"/>
                <w:szCs w:val="18"/>
                <w:color w:val="auto"/>
              </w:rPr>
              <w:t>Consent of John S. Tsai (included in Exhibit 5.1).</w:t>
            </w:r>
          </w:p>
        </w:tc>
      </w:tr>
      <w:tr>
        <w:trPr>
          <w:trHeight w:val="432"/>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24.1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180" w:type="dxa"/>
            <w:vAlign w:val="bottom"/>
          </w:tcPr>
          <w:p>
            <w:pPr>
              <w:ind w:left="140"/>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89" w:lineRule="exact"/>
        <w:rPr>
          <w:sz w:val="20"/>
          <w:szCs w:val="20"/>
          <w:color w:val="auto"/>
        </w:rPr>
      </w:pPr>
    </w:p>
    <w:p>
      <w:pPr>
        <w:ind w:left="480" w:hanging="24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225" w:lineRule="exact"/>
        <w:rPr>
          <w:rFonts w:ascii="Arial" w:cs="Arial" w:eastAsia="Arial" w:hAnsi="Arial"/>
          <w:sz w:val="18"/>
          <w:szCs w:val="18"/>
          <w:color w:val="auto"/>
        </w:rPr>
      </w:pPr>
    </w:p>
    <w:p>
      <w:pPr>
        <w:ind w:left="1120" w:right="400" w:hanging="437"/>
        <w:spacing w:after="0" w:line="277" w:lineRule="auto"/>
        <w:tabs>
          <w:tab w:leader="none" w:pos="11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which represent a fundamental change in the information set forth in the Registration Statement; and</w:t>
      </w:r>
    </w:p>
    <w:p>
      <w:pPr>
        <w:spacing w:after="0" w:line="170" w:lineRule="exact"/>
        <w:rPr>
          <w:rFonts w:ascii="Arial" w:cs="Arial" w:eastAsia="Arial" w:hAnsi="Arial"/>
          <w:sz w:val="18"/>
          <w:szCs w:val="18"/>
          <w:color w:val="auto"/>
        </w:rPr>
      </w:pPr>
    </w:p>
    <w:p>
      <w:pPr>
        <w:ind w:left="1120" w:right="520" w:hanging="437"/>
        <w:spacing w:after="0" w:line="277" w:lineRule="auto"/>
        <w:tabs>
          <w:tab w:leader="none" w:pos="11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360" w:right="60"/>
        <w:spacing w:after="0" w:line="264" w:lineRule="auto"/>
        <w:rPr>
          <w:sz w:val="20"/>
          <w:szCs w:val="20"/>
          <w:color w:val="auto"/>
        </w:rPr>
      </w:pPr>
      <w:r>
        <w:rPr>
          <w:rFonts w:ascii="Arial" w:cs="Arial" w:eastAsia="Arial" w:hAnsi="Arial"/>
          <w:sz w:val="18"/>
          <w:szCs w:val="18"/>
          <w:color w:val="auto"/>
        </w:rPr>
        <w:t>Provided, however, that the undertakings set forth in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181" w:lineRule="exact"/>
        <w:rPr>
          <w:sz w:val="20"/>
          <w:szCs w:val="20"/>
          <w:color w:val="auto"/>
        </w:rPr>
      </w:pPr>
    </w:p>
    <w:p>
      <w:pPr>
        <w:ind w:left="800" w:right="80" w:hanging="454"/>
        <w:spacing w:after="0" w:line="264" w:lineRule="auto"/>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81" w:lineRule="exact"/>
        <w:rPr>
          <w:rFonts w:ascii="Arial" w:cs="Arial" w:eastAsia="Arial" w:hAnsi="Arial"/>
          <w:sz w:val="18"/>
          <w:szCs w:val="18"/>
          <w:color w:val="auto"/>
        </w:rPr>
      </w:pPr>
    </w:p>
    <w:p>
      <w:pPr>
        <w:ind w:left="800" w:right="40" w:hanging="454"/>
        <w:spacing w:after="0" w:line="277" w:lineRule="auto"/>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that remain unsold at the termination of the offering.</w:t>
      </w:r>
    </w:p>
    <w:p>
      <w:pPr>
        <w:spacing w:after="0" w:line="170" w:lineRule="exact"/>
        <w:rPr>
          <w:rFonts w:ascii="Arial" w:cs="Arial" w:eastAsia="Arial" w:hAnsi="Arial"/>
          <w:sz w:val="18"/>
          <w:szCs w:val="18"/>
          <w:color w:val="auto"/>
        </w:rPr>
      </w:pPr>
    </w:p>
    <w:p>
      <w:pPr>
        <w:ind w:right="260" w:firstLine="233"/>
        <w:spacing w:after="0" w:line="259" w:lineRule="auto"/>
        <w:tabs>
          <w:tab w:leader="none" w:pos="47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6" w:lineRule="exact"/>
        <w:rPr>
          <w:rFonts w:ascii="Arial" w:cs="Arial" w:eastAsia="Arial" w:hAnsi="Arial"/>
          <w:sz w:val="18"/>
          <w:szCs w:val="18"/>
          <w:color w:val="auto"/>
        </w:rPr>
      </w:pPr>
    </w:p>
    <w:p>
      <w:pPr>
        <w:ind w:firstLine="233"/>
        <w:spacing w:after="0" w:line="291" w:lineRule="auto"/>
        <w:tabs>
          <w:tab w:leader="none" w:pos="47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2"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A. Maurice Myers, David P. Steiner and Rick L Wittenbraker,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this Registration Statement,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27th day of May, 2004.</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David P. Steiner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400"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on the 27th day of May, 2004.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ind w:left="166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6"/>
                <w:szCs w:val="16"/>
                <w:color w:val="auto"/>
              </w:rPr>
            </w:pPr>
          </w:p>
        </w:tc>
        <w:tc>
          <w:tcPr>
            <w:tcW w:w="694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r>
      <w:tr>
        <w:trPr>
          <w:trHeight w:val="53"/>
        </w:trPr>
        <w:tc>
          <w:tcPr>
            <w:tcW w:w="390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6940" w:type="dxa"/>
            <w:vAlign w:val="bottom"/>
            <w:tcBorders>
              <w:bottom w:val="single" w:sz="8" w:color="808080"/>
            </w:tcBorders>
          </w:tcPr>
          <w:p>
            <w:pPr>
              <w:spacing w:after="0"/>
              <w:rPr>
                <w:sz w:val="4"/>
                <w:szCs w:val="4"/>
                <w:color w:val="auto"/>
              </w:rPr>
            </w:pPr>
          </w:p>
        </w:tc>
      </w:tr>
      <w:tr>
        <w:trPr>
          <w:trHeight w:val="50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 Steiner</w:t>
            </w:r>
          </w:p>
        </w:tc>
        <w:tc>
          <w:tcPr>
            <w:tcW w:w="580" w:type="dxa"/>
            <w:vAlign w:val="bottom"/>
          </w:tcPr>
          <w:p>
            <w:pPr>
              <w:spacing w:after="0"/>
              <w:rPr>
                <w:sz w:val="24"/>
                <w:szCs w:val="24"/>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David P. Steiner</w:t>
            </w:r>
          </w:p>
        </w:tc>
        <w:tc>
          <w:tcPr>
            <w:tcW w:w="580" w:type="dxa"/>
            <w:vAlign w:val="bottom"/>
          </w:tcPr>
          <w:p>
            <w:pPr>
              <w:spacing w:after="0"/>
              <w:rPr>
                <w:sz w:val="19"/>
                <w:szCs w:val="19"/>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 Simpson</w:t>
            </w:r>
          </w:p>
        </w:tc>
        <w:tc>
          <w:tcPr>
            <w:tcW w:w="580" w:type="dxa"/>
            <w:vAlign w:val="bottom"/>
          </w:tcPr>
          <w:p>
            <w:pPr>
              <w:spacing w:after="0"/>
              <w:rPr>
                <w:sz w:val="24"/>
                <w:szCs w:val="24"/>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Robert G. Simpson</w:t>
            </w:r>
          </w:p>
        </w:tc>
        <w:tc>
          <w:tcPr>
            <w:tcW w:w="580" w:type="dxa"/>
            <w:vAlign w:val="bottom"/>
          </w:tcPr>
          <w:p>
            <w:pPr>
              <w:spacing w:after="0"/>
              <w:rPr>
                <w:sz w:val="19"/>
                <w:szCs w:val="19"/>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Robertson</w:t>
            </w:r>
          </w:p>
        </w:tc>
        <w:tc>
          <w:tcPr>
            <w:tcW w:w="580" w:type="dxa"/>
            <w:vAlign w:val="bottom"/>
          </w:tcPr>
          <w:p>
            <w:pPr>
              <w:spacing w:after="0"/>
              <w:rPr>
                <w:sz w:val="24"/>
                <w:szCs w:val="24"/>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Greg A. Robertson</w:t>
            </w:r>
          </w:p>
        </w:tc>
        <w:tc>
          <w:tcPr>
            <w:tcW w:w="580" w:type="dxa"/>
            <w:vAlign w:val="bottom"/>
          </w:tcPr>
          <w:p>
            <w:pPr>
              <w:spacing w:after="0"/>
              <w:rPr>
                <w:sz w:val="19"/>
                <w:szCs w:val="19"/>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377"/>
        </w:trPr>
        <w:tc>
          <w:tcPr>
            <w:tcW w:w="3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40" w:type="dxa"/>
            <w:vAlign w:val="bottom"/>
          </w:tcPr>
          <w:p>
            <w:pPr>
              <w:ind w:left="1100"/>
              <w:spacing w:after="0"/>
              <w:rPr>
                <w:sz w:val="20"/>
                <w:szCs w:val="20"/>
                <w:color w:val="auto"/>
              </w:rPr>
            </w:pPr>
            <w:r>
              <w:rPr>
                <w:rFonts w:ascii="Arial" w:cs="Arial" w:eastAsia="Arial" w:hAnsi="Arial"/>
                <w:sz w:val="18"/>
                <w:szCs w:val="18"/>
                <w:color w:val="auto"/>
              </w:rPr>
              <w:t>II-4</w:t>
            </w:r>
          </w:p>
        </w:tc>
      </w:tr>
      <w:tr>
        <w:trPr>
          <w:trHeight w:val="226"/>
        </w:trPr>
        <w:tc>
          <w:tcPr>
            <w:tcW w:w="39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80" w:type="dxa"/>
            <w:vAlign w:val="bottom"/>
          </w:tcPr>
          <w:p>
            <w:pPr>
              <w:ind w:left="164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6"/>
                <w:szCs w:val="16"/>
                <w:color w:val="auto"/>
              </w:rPr>
            </w:pPr>
          </w:p>
        </w:tc>
        <w:tc>
          <w:tcPr>
            <w:tcW w:w="694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r>
      <w:tr>
        <w:trPr>
          <w:trHeight w:val="66"/>
        </w:trPr>
        <w:tc>
          <w:tcPr>
            <w:tcW w:w="20" w:type="dxa"/>
            <w:vAlign w:val="bottom"/>
          </w:tcPr>
          <w:p>
            <w:pPr>
              <w:spacing w:after="0"/>
              <w:rPr>
                <w:sz w:val="5"/>
                <w:szCs w:val="5"/>
                <w:color w:val="auto"/>
              </w:rPr>
            </w:pPr>
          </w:p>
        </w:tc>
        <w:tc>
          <w:tcPr>
            <w:tcW w:w="388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6940" w:type="dxa"/>
            <w:vAlign w:val="bottom"/>
            <w:tcBorders>
              <w:bottom w:val="single" w:sz="8" w:color="808080"/>
            </w:tcBorders>
          </w:tcPr>
          <w:p>
            <w:pPr>
              <w:spacing w:after="0"/>
              <w:rPr>
                <w:sz w:val="5"/>
                <w:szCs w:val="5"/>
                <w:color w:val="auto"/>
              </w:rPr>
            </w:pPr>
          </w:p>
        </w:tc>
      </w:tr>
      <w:tr>
        <w:trPr>
          <w:trHeight w:val="493"/>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58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418"/>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Frank M. Clark, Jr.</w:t>
            </w:r>
          </w:p>
        </w:tc>
        <w:tc>
          <w:tcPr>
            <w:tcW w:w="580" w:type="dxa"/>
            <w:vAlign w:val="bottom"/>
          </w:tcPr>
          <w:p>
            <w:pPr>
              <w:spacing w:after="0"/>
              <w:rPr>
                <w:sz w:val="24"/>
                <w:szCs w:val="24"/>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390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58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Robert S. Miller</w:t>
            </w:r>
          </w:p>
        </w:tc>
        <w:tc>
          <w:tcPr>
            <w:tcW w:w="58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418"/>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 Maurice Myers</w:t>
            </w:r>
          </w:p>
        </w:tc>
        <w:tc>
          <w:tcPr>
            <w:tcW w:w="580" w:type="dxa"/>
            <w:vAlign w:val="bottom"/>
          </w:tcPr>
          <w:p>
            <w:pPr>
              <w:spacing w:after="0"/>
              <w:rPr>
                <w:sz w:val="24"/>
                <w:szCs w:val="24"/>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3900" w:type="dxa"/>
            <w:vAlign w:val="bottom"/>
            <w:gridSpan w:val="2"/>
          </w:tcPr>
          <w:p>
            <w:pPr>
              <w:spacing w:after="0"/>
              <w:rPr>
                <w:sz w:val="20"/>
                <w:szCs w:val="20"/>
                <w:color w:val="auto"/>
              </w:rPr>
            </w:pPr>
            <w:r>
              <w:rPr>
                <w:rFonts w:ascii="Arial" w:cs="Arial" w:eastAsia="Arial" w:hAnsi="Arial"/>
                <w:sz w:val="18"/>
                <w:szCs w:val="18"/>
                <w:color w:val="auto"/>
              </w:rPr>
              <w:t>A. Maurice Myers</w:t>
            </w:r>
          </w:p>
        </w:tc>
        <w:tc>
          <w:tcPr>
            <w:tcW w:w="58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418"/>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C. Pope</w:t>
            </w:r>
          </w:p>
        </w:tc>
        <w:tc>
          <w:tcPr>
            <w:tcW w:w="580" w:type="dxa"/>
            <w:vAlign w:val="bottom"/>
          </w:tcPr>
          <w:p>
            <w:pPr>
              <w:spacing w:after="0"/>
              <w:rPr>
                <w:sz w:val="24"/>
                <w:szCs w:val="24"/>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3900" w:type="dxa"/>
            <w:vAlign w:val="bottom"/>
            <w:gridSpan w:val="2"/>
          </w:tcPr>
          <w:p>
            <w:pPr>
              <w:spacing w:after="0"/>
              <w:rPr>
                <w:sz w:val="20"/>
                <w:szCs w:val="20"/>
                <w:color w:val="auto"/>
              </w:rPr>
            </w:pPr>
            <w:r>
              <w:rPr>
                <w:rFonts w:ascii="Arial" w:cs="Arial" w:eastAsia="Arial" w:hAnsi="Arial"/>
                <w:sz w:val="18"/>
                <w:szCs w:val="18"/>
                <w:color w:val="auto"/>
              </w:rPr>
              <w:t>John C. Pope</w:t>
            </w:r>
          </w:p>
        </w:tc>
        <w:tc>
          <w:tcPr>
            <w:tcW w:w="58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418"/>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 Robert Reum</w:t>
            </w:r>
          </w:p>
        </w:tc>
        <w:tc>
          <w:tcPr>
            <w:tcW w:w="580" w:type="dxa"/>
            <w:vAlign w:val="bottom"/>
          </w:tcPr>
          <w:p>
            <w:pPr>
              <w:spacing w:after="0"/>
              <w:rPr>
                <w:sz w:val="24"/>
                <w:szCs w:val="24"/>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390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58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418"/>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G. Rothmeier</w:t>
            </w:r>
          </w:p>
        </w:tc>
        <w:tc>
          <w:tcPr>
            <w:tcW w:w="580" w:type="dxa"/>
            <w:vAlign w:val="bottom"/>
          </w:tcPr>
          <w:p>
            <w:pPr>
              <w:spacing w:after="0"/>
              <w:rPr>
                <w:sz w:val="24"/>
                <w:szCs w:val="24"/>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3900" w:type="dxa"/>
            <w:vAlign w:val="bottom"/>
            <w:gridSpan w:val="2"/>
          </w:tcPr>
          <w:p>
            <w:pPr>
              <w:spacing w:after="0"/>
              <w:rPr>
                <w:sz w:val="20"/>
                <w:szCs w:val="20"/>
                <w:color w:val="auto"/>
              </w:rPr>
            </w:pPr>
            <w:r>
              <w:rPr>
                <w:rFonts w:ascii="Arial" w:cs="Arial" w:eastAsia="Arial" w:hAnsi="Arial"/>
                <w:sz w:val="18"/>
                <w:szCs w:val="18"/>
                <w:color w:val="auto"/>
              </w:rPr>
              <w:t>Steven G. Rothmeier</w:t>
            </w:r>
          </w:p>
        </w:tc>
        <w:tc>
          <w:tcPr>
            <w:tcW w:w="58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418"/>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Carl W. Vogt</w:t>
            </w:r>
          </w:p>
        </w:tc>
        <w:tc>
          <w:tcPr>
            <w:tcW w:w="580" w:type="dxa"/>
            <w:vAlign w:val="bottom"/>
          </w:tcPr>
          <w:p>
            <w:pPr>
              <w:spacing w:after="0"/>
              <w:rPr>
                <w:sz w:val="24"/>
                <w:szCs w:val="24"/>
                <w:color w:val="auto"/>
              </w:rPr>
            </w:pPr>
          </w:p>
        </w:tc>
        <w:tc>
          <w:tcPr>
            <w:tcW w:w="6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3900" w:type="dxa"/>
            <w:vAlign w:val="bottom"/>
            <w:gridSpan w:val="2"/>
          </w:tcPr>
          <w:p>
            <w:pPr>
              <w:spacing w:after="0"/>
              <w:rPr>
                <w:sz w:val="20"/>
                <w:szCs w:val="20"/>
                <w:color w:val="auto"/>
              </w:rPr>
            </w:pPr>
            <w:r>
              <w:rPr>
                <w:rFonts w:ascii="Arial" w:cs="Arial" w:eastAsia="Arial" w:hAnsi="Arial"/>
                <w:sz w:val="18"/>
                <w:szCs w:val="18"/>
                <w:color w:val="auto"/>
              </w:rPr>
              <w:t>Carl W. Vogt</w:t>
            </w:r>
          </w:p>
        </w:tc>
        <w:tc>
          <w:tcPr>
            <w:tcW w:w="58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39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40" w:type="dxa"/>
            <w:vAlign w:val="bottom"/>
          </w:tcPr>
          <w:p>
            <w:pPr>
              <w:ind w:left="1100"/>
              <w:spacing w:after="0"/>
              <w:rPr>
                <w:sz w:val="20"/>
                <w:szCs w:val="20"/>
                <w:color w:val="auto"/>
              </w:rPr>
            </w:pPr>
            <w:r>
              <w:rPr>
                <w:rFonts w:ascii="Arial" w:cs="Arial" w:eastAsia="Arial" w:hAnsi="Arial"/>
                <w:sz w:val="18"/>
                <w:szCs w:val="18"/>
                <w:color w:val="auto"/>
              </w:rPr>
              <w:t>II-5</w:t>
            </w:r>
          </w:p>
        </w:tc>
      </w:tr>
      <w:tr>
        <w:trPr>
          <w:trHeight w:val="226"/>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80" w:type="dxa"/>
            <w:vAlign w:val="bottom"/>
          </w:tcPr>
          <w:p>
            <w:pPr>
              <w:ind w:left="37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3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24"/>
                <w:szCs w:val="24"/>
                <w:color w:val="auto"/>
              </w:rPr>
            </w:pP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6"/>
                <w:szCs w:val="16"/>
                <w:color w:val="auto"/>
              </w:rPr>
            </w:pP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2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10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w w:val="93"/>
              </w:rPr>
              <w:t>-   Certificate of Incorporation (Incorporated by reference to Exhibit 3.1 to the Registrant’s Quarterly Report on Form 10-Q for the Quarter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June 30, 2002).</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w w:val="95"/>
              </w:rPr>
              <w:t>-   Bylaws (Incorporated by reference to Exhibit 3.2 to the Registrant’s Quarterly Report on Form 10-Q for the Quarter ended June 30, 2002).</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w w:val="93"/>
              </w:rPr>
              <w:t>-   Waste Management, Inc. 2004 Stock Incentive Plan (Incorporated by reference to Appendix C of the Company’s Notice and Proxy Statement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dated April 8, 2004, for the Annual Meeting of Stockholders held on May 14, 2004).</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   Opinion of John S. Tsai with respect to the legality of the securities.</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   Consent of Ernst &amp; Young LLP.</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   Explanatory Statement Concerning Absence of Current Written Consent of Arthur Andersen LLP.</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23.3</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   Consent of John S. Tsai (included in Exhibit 5.1).</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   Powers of Attorney (included on the signature page of this Registration Statement).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5.1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[WMI LETTERHEAD]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27,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color w:val="auto"/>
        </w:rPr>
        <w:t>Registration Statement on Form S-8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85"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I am Vice President and Assistant General Counsel — Corporate &amp; Securities for Waste Management, Inc., a Delaware corporation (the “Company”), and have acted in such capacity in connection with the registration under the Securities Act of 1933, as amended (the “Act”), of 34,000,000 shares of the Company’s common stock, $0.01 par value (the “Common Stock”), to be offered upon the terms and subject to the conditions set forth in the Registration Statement on Form S-8 (the “Registration Statement”) relating thereto to be filed with the Securities and Exchange Commission on May 27, 2004.</w:t>
      </w:r>
    </w:p>
    <w:p>
      <w:pPr>
        <w:spacing w:after="0" w:line="127"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In connection therewith, I have examined originals or copies certified or otherwise identified to my satisfaction of the Certificate of Incorporation of the Company, the By-laws of the Company, the corporate proceedings with respect to the offering of the shares and such other documents and instruments as I have deemed necessary or appropriate for the expression of the opinions contained herein.</w:t>
      </w:r>
    </w:p>
    <w:p>
      <w:pPr>
        <w:spacing w:after="0" w:line="14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 have assumed the authenticity and completeness of all records, certificates and other instruments submitted to me as originals, the conformity to original documents of all records, certificates and other instruments submitted to me as copies, the authenticity and completeness of the originals of those records, certificates and other instruments submitted to me as copies and the correctness of all statements of fact contained in all records, certificates and other instruments that I have examined.</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Based on the foregoing, and having a regard for such legal considerations as I have deemed relevant, I am of the opinion that:</w:t>
      </w:r>
    </w:p>
    <w:p>
      <w:pPr>
        <w:spacing w:after="0" w:line="225" w:lineRule="exact"/>
        <w:rPr>
          <w:sz w:val="20"/>
          <w:szCs w:val="20"/>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in good standing under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ind w:left="560" w:hanging="454"/>
        <w:spacing w:after="0" w:line="259"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shares of Common Stock proposed to be sold by the Company have been duly and validly authorized for issuance and, when issued and paid for in accordance with the Waste Management Inc. 2004 Stock Incentive Plan, and subject to the Registration Statement becoming effective under the Act and to compliance with such state securities rules, regulations and laws as may be applicable, will be duly and validly issued, fully 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-130810</wp:posOffset>
            </wp:positionV>
            <wp:extent cx="2684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Vice President and Assistant General Counsel Corporate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&amp; Securities</w:t>
      </w:r>
    </w:p>
    <w:p>
      <w:pPr>
        <w:sectPr>
          <w:pgSz w:w="11900" w:h="16838" w:orient="portrait"/>
          <w:cols w:equalWidth="0" w:num="1">
            <w:col w:w="11180"/>
          </w:cols>
          <w:pgMar w:left="480" w:top="935"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18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Waste Management, Inc. 2004 Stock Incentive Plan of our reports dated February 10, 2004, with respect to the consolidated financial statements and schedule of Waste Management, Inc. included in its Annual Report (Form 10-K) for the year ended December 31, 2003 filed with the Securities and Exchange Commission.</w:t>
      </w:r>
    </w:p>
    <w:p>
      <w:pPr>
        <w:spacing w:after="0" w:line="1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27, 2004</w:t>
      </w:r>
    </w:p>
    <w:p>
      <w:pPr>
        <w:sectPr>
          <w:pgSz w:w="11900" w:h="16838" w:orient="portrait"/>
          <w:cols w:equalWidth="0" w:num="1">
            <w:col w:w="11420"/>
          </w:cols>
          <w:pgMar w:left="240" w:top="93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EXPLANATION CONCERNING ABSENCE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CURRENT WRITTEN CONSENT OF ARTHUR ANDERSEN LLP</w:t>
      </w:r>
    </w:p>
    <w:p>
      <w:pPr>
        <w:spacing w:after="0" w:line="170"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On March 25, 2002, Waste Management, Inc. (the “Company”) announced that it had appointed Ernst &amp; Young LLP to replace Arthur Andersen LLP (“Arthur Andersen”) as its independent public accountants. Representatives of Arthur Andersen are not available to provide an updated written consent required for the incorporation by reference of Arthur Andersen’s audit report with respect to the Company’s financial statements for the year ended December 31, 2001 included in the Company’s Annual Report on Form 10-K for its fiscal year ended December 31, 2003 into this Registration Statement on Form S-8. Because, after reasonable effort, the Company is unable to obtain Arthur Andersen’s written consent to such incorporation by reference of their report, Rule 437a under the Securities Act of 1933, as amended (the “Securities Act”) permits the Company to omit Arthur Andersen’s updated written consent from this filing.</w:t>
      </w:r>
    </w:p>
    <w:p>
      <w:pPr>
        <w:spacing w:after="0" w:line="149"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Section 11(a) of the Securities Act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such registration statement, report or valuation which purports to have been prepared or certified by the accountant.</w:t>
      </w:r>
    </w:p>
    <w:p>
      <w:pPr>
        <w:spacing w:after="0" w:line="151" w:lineRule="exact"/>
        <w:rPr>
          <w:sz w:val="20"/>
          <w:szCs w:val="20"/>
          <w:color w:val="auto"/>
        </w:rPr>
      </w:pPr>
    </w:p>
    <w:p>
      <w:pPr>
        <w:ind w:right="60" w:firstLine="215"/>
        <w:spacing w:after="0" w:line="279" w:lineRule="auto"/>
        <w:rPr>
          <w:sz w:val="20"/>
          <w:szCs w:val="20"/>
          <w:color w:val="auto"/>
        </w:rPr>
      </w:pPr>
      <w:r>
        <w:rPr>
          <w:rFonts w:ascii="Arial" w:cs="Arial" w:eastAsia="Arial" w:hAnsi="Arial"/>
          <w:sz w:val="17"/>
          <w:szCs w:val="17"/>
          <w:color w:val="auto"/>
        </w:rPr>
        <w:t>As noted above, Arthur Andersen has not consented to the incorporation by reference of its audit report contained in the Company’s Annual Report on Form 10-K for its fiscal year ended December 31, 2003 into this Registration Statement on Form S-8. As a result, with respect to this Registration Statement on Form S-8, the Company’s investors may not be able to recover against Arthur Andersen under Section 11(a) of the Securities Act or the lack of a currently dated consent may limit the time in which any liability under Section 11(a) could be asserted against Arthur Andersen.</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79E2A9E3"/>
    <w:multiLevelType w:val="hybridMultilevel"/>
    <w:lvl w:ilvl="0">
      <w:lvlJc w:val="left"/>
      <w:lvlText w:val="%1"/>
      <w:numFmt w:val="lowerLetter"/>
      <w:start w:val="1"/>
    </w:lvl>
    <w:lvl w:ilvl="1">
      <w:lvlJc w:val="left"/>
      <w:lvlText w:val="(%2)"/>
      <w:numFmt w:val="decimal"/>
      <w:start w:val="2"/>
    </w:lvl>
  </w:abstractNum>
  <w:abstractNum w:abstractNumId="6">
    <w:nsid w:val="7545E146"/>
    <w:multiLevelType w:val="hybridMultilevel"/>
    <w:lvl w:ilvl="0">
      <w:lvlJc w:val="left"/>
      <w:lvlText w:val="(%1)"/>
      <w:numFmt w:val="lowerLetter"/>
      <w:start w:val="2"/>
    </w:lvl>
    <w:lvl w:ilvl="1">
      <w:lvlJc w:val="left"/>
      <w:lvlText w:val="%2"/>
      <w:numFmt w:val="decimal"/>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2019-12-11T21:08:11Z</dcterms:created>
  <dcterms:modified xsi:type="dcterms:W3CDTF">2019-12-11T21:08:11Z</dcterms:modified>
</cp:coreProperties>
</file>