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15,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80"/>
          </w:cols>
          <w:pgMar w:left="240" w:top="544" w:right="27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20"/>
          </w:cols>
          <w:pgMar w:left="240" w:top="544" w:right="279" w:bottom="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380"/>
          </w:cols>
          <w:pgMar w:left="240" w:top="544" w:right="279" w:bottom="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60"/>
          </w:cols>
          <w:pgMar w:left="240" w:top="544" w:right="279" w:bottom="0"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20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0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fourth quarter and full year ended December 31, 2017,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8488065. A replay of the call will be available on the Company’s website and by telephone until March 1, 2018. To access a replay telephonically, please dial (855) 859-2056 and use the replay conference ID number 8488065.</w:t>
      </w:r>
    </w:p>
    <w:p>
      <w:pPr>
        <w:spacing w:after="0" w:line="193" w:lineRule="exact"/>
        <w:rPr>
          <w:sz w:val="24"/>
          <w:szCs w:val="24"/>
          <w:color w:val="auto"/>
        </w:rPr>
      </w:pPr>
    </w:p>
    <w:p>
      <w:pPr>
        <w:ind w:right="180" w:firstLine="648"/>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footnote (b) and the tables that accompany the press release.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Index</w:t>
      </w:r>
    </w:p>
    <w:p>
      <w:pPr>
        <w:sectPr>
          <w:pgSz w:w="11900" w:h="16838" w:orient="portrait"/>
          <w:cols w:equalWidth="0" w:num="1">
            <w:col w:w="11380"/>
          </w:cols>
          <w:pgMar w:left="240" w:top="544"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140" w:type="dxa"/>
            <w:vAlign w:val="bottom"/>
            <w:vMerge w:val="restart"/>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3"/>
          </w:tcPr>
          <w:p>
            <w:pPr>
              <w:jc w:val="right"/>
              <w:ind w:right="7059"/>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Press Release dated February 15, 2018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Borders>
              <w:top w:val="single" w:sz="8" w:color="0000EE"/>
            </w:tcBorders>
          </w:tcPr>
          <w:p>
            <w:pPr>
              <w:spacing w:after="0"/>
              <w:rPr>
                <w:sz w:val="24"/>
                <w:szCs w:val="24"/>
                <w:color w:val="auto"/>
              </w:rPr>
            </w:pPr>
          </w:p>
        </w:tc>
        <w:tc>
          <w:tcPr>
            <w:tcW w:w="7140" w:type="dxa"/>
            <w:vAlign w:val="bottom"/>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7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7600" w:type="dxa"/>
            <w:vAlign w:val="bottom"/>
            <w:gridSpan w:val="2"/>
          </w:tcPr>
          <w:p>
            <w:pPr>
              <w:ind w:left="192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820" w:type="dxa"/>
            <w:vAlign w:val="bottom"/>
          </w:tcPr>
          <w:p>
            <w:pPr>
              <w:spacing w:after="0"/>
              <w:rPr>
                <w:sz w:val="20"/>
                <w:szCs w:val="20"/>
                <w:color w:val="auto"/>
              </w:rPr>
            </w:pPr>
            <w:r>
              <w:rPr>
                <w:rFonts w:ascii="Arial" w:cs="Arial" w:eastAsia="Arial" w:hAnsi="Arial"/>
                <w:sz w:val="18"/>
                <w:szCs w:val="18"/>
                <w:color w:val="auto"/>
              </w:rPr>
              <w:t>Date:   February 15, 2018</w:t>
            </w:r>
          </w:p>
        </w:tc>
        <w:tc>
          <w:tcPr>
            <w:tcW w:w="7600" w:type="dxa"/>
            <w:vAlign w:val="bottom"/>
            <w:gridSpan w:val="2"/>
          </w:tcPr>
          <w:p>
            <w:pPr>
              <w:ind w:left="1920"/>
              <w:spacing w:after="0"/>
              <w:rPr>
                <w:sz w:val="20"/>
                <w:szCs w:val="20"/>
                <w:color w:val="auto"/>
              </w:rPr>
            </w:pPr>
            <w:r>
              <w:rPr>
                <w:rFonts w:ascii="Arial" w:cs="Arial" w:eastAsia="Arial" w:hAnsi="Arial"/>
                <w:sz w:val="18"/>
                <w:szCs w:val="18"/>
                <w:color w:val="auto"/>
                <w:w w:val="91"/>
              </w:rPr>
              <w:t>By:</w:t>
            </w:r>
            <w:r>
              <w:rPr>
                <w:rFonts w:ascii="Arial" w:cs="Arial" w:eastAsia="Arial" w:hAnsi="Arial"/>
                <w:sz w:val="18"/>
                <w:szCs w:val="18"/>
                <w:i w:val="1"/>
                <w:iCs w:val="1"/>
                <w:color w:val="auto"/>
                <w:w w:val="91"/>
              </w:rPr>
              <w:t>/s/ Charles C. Boettcher</w:t>
            </w:r>
          </w:p>
        </w:tc>
        <w:tc>
          <w:tcPr>
            <w:tcW w:w="40" w:type="dxa"/>
            <w:vAlign w:val="bottom"/>
          </w:tcPr>
          <w:p>
            <w:pPr>
              <w:spacing w:after="0"/>
              <w:rPr>
                <w:sz w:val="24"/>
                <w:szCs w:val="24"/>
                <w:color w:val="auto"/>
              </w:rPr>
            </w:pPr>
          </w:p>
        </w:tc>
      </w:tr>
      <w:tr>
        <w:trPr>
          <w:trHeight w:val="195"/>
        </w:trPr>
        <w:tc>
          <w:tcPr>
            <w:tcW w:w="38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8"/>
              </w:rPr>
              <w:t>Senior Vice President, Chief Legal Officer and Chief Compliance</w:t>
            </w:r>
          </w:p>
        </w:tc>
        <w:tc>
          <w:tcPr>
            <w:tcW w:w="4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20"/>
                <w:szCs w:val="20"/>
                <w:color w:val="auto"/>
              </w:rPr>
            </w:pPr>
          </w:p>
        </w:tc>
      </w:tr>
      <w:tr>
        <w:trPr>
          <w:trHeight w:val="432"/>
        </w:trPr>
        <w:tc>
          <w:tcPr>
            <w:tcW w:w="3820" w:type="dxa"/>
            <w:vAlign w:val="bottom"/>
          </w:tcPr>
          <w:p>
            <w:pPr>
              <w:spacing w:after="0"/>
              <w:rPr>
                <w:sz w:val="24"/>
                <w:szCs w:val="24"/>
                <w:color w:val="auto"/>
              </w:rPr>
            </w:pPr>
          </w:p>
        </w:tc>
        <w:tc>
          <w:tcPr>
            <w:tcW w:w="2500" w:type="dxa"/>
            <w:vAlign w:val="bottom"/>
          </w:tcPr>
          <w:p>
            <w:pPr>
              <w:jc w:val="right"/>
              <w:ind w:right="488"/>
              <w:spacing w:after="0"/>
              <w:rPr>
                <w:sz w:val="20"/>
                <w:szCs w:val="20"/>
                <w:color w:val="auto"/>
              </w:rPr>
            </w:pPr>
            <w:r>
              <w:rPr>
                <w:rFonts w:ascii="Arial" w:cs="Arial" w:eastAsia="Arial" w:hAnsi="Arial"/>
                <w:sz w:val="18"/>
                <w:szCs w:val="18"/>
                <w:color w:val="auto"/>
              </w:rPr>
              <w:t>3</w:t>
            </w: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2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5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ectPr>
          <w:pgSz w:w="11900" w:h="16838" w:orient="portrait"/>
          <w:cols w:equalWidth="0" w:num="1">
            <w:col w:w="11420"/>
          </w:cols>
          <w:pgMar w:left="240" w:top="105" w:right="239" w:bottom="0" w:gutter="0" w:footer="0" w:header="0"/>
        </w:sectPr>
      </w:pPr>
    </w:p>
    <w:p>
      <w:pPr>
        <w:spacing w:after="0" w:line="326" w:lineRule="exact"/>
        <w:rPr>
          <w:sz w:val="20"/>
          <w:szCs w:val="20"/>
          <w:color w:val="auto"/>
        </w:rPr>
      </w:pPr>
    </w:p>
    <w:p>
      <w:pPr>
        <w:jc w:val="center"/>
        <w:spacing w:after="0" w:line="248" w:lineRule="auto"/>
        <w:rPr>
          <w:sz w:val="20"/>
          <w:szCs w:val="20"/>
          <w:color w:val="auto"/>
        </w:rPr>
      </w:pPr>
      <w:r>
        <w:rPr>
          <w:rFonts w:ascii="Arial" w:cs="Arial" w:eastAsia="Arial" w:hAnsi="Arial"/>
          <w:sz w:val="40"/>
          <w:szCs w:val="40"/>
          <w:color w:val="7AB800"/>
        </w:rPr>
        <w:t>Waste Management Announces Fourth Quarter and Full-Year 2017 Earnings</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Full-year Income from Operations grew almost 15% driving strong growth in Net Cash</w:t>
      </w:r>
    </w:p>
    <w:p>
      <w:pPr>
        <w:jc w:val="center"/>
        <w:ind w:right="20"/>
        <w:spacing w:after="0" w:line="230" w:lineRule="auto"/>
        <w:rPr>
          <w:sz w:val="20"/>
          <w:szCs w:val="20"/>
          <w:color w:val="auto"/>
        </w:rPr>
      </w:pPr>
      <w:r>
        <w:rPr>
          <w:rFonts w:ascii="Arial" w:cs="Arial" w:eastAsia="Arial" w:hAnsi="Arial"/>
          <w:sz w:val="22"/>
          <w:szCs w:val="22"/>
          <w:color w:val="auto"/>
        </w:rPr>
        <w:t>Provided by Operations</w:t>
      </w:r>
    </w:p>
    <w:p>
      <w:pPr>
        <w:spacing w:after="0" w:line="1" w:lineRule="exact"/>
        <w:rPr>
          <w:sz w:val="20"/>
          <w:szCs w:val="20"/>
          <w:color w:val="auto"/>
        </w:rPr>
      </w:pPr>
    </w:p>
    <w:p>
      <w:pPr>
        <w:jc w:val="center"/>
        <w:ind w:left="180"/>
        <w:spacing w:after="0"/>
        <w:rPr>
          <w:sz w:val="20"/>
          <w:szCs w:val="20"/>
          <w:color w:val="auto"/>
        </w:rPr>
      </w:pPr>
      <w:r>
        <w:rPr>
          <w:rFonts w:ascii="Arial" w:cs="Arial" w:eastAsia="Arial" w:hAnsi="Arial"/>
          <w:sz w:val="22"/>
          <w:szCs w:val="22"/>
          <w:color w:val="auto"/>
        </w:rPr>
        <w:t>The Company’s Core Solid Waste Business is the Strongest in Two Decades</w:t>
      </w:r>
    </w:p>
    <w:p>
      <w:pPr>
        <w:spacing w:after="0" w:line="122"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8"/>
          <w:szCs w:val="18"/>
          <w:b w:val="1"/>
          <w:bCs w:val="1"/>
          <w:color w:val="auto"/>
        </w:rPr>
        <w:t>– February 15, 2018</w:t>
      </w:r>
      <w:r>
        <w:rPr>
          <w:rFonts w:ascii="Arial" w:cs="Arial" w:eastAsia="Arial" w:hAnsi="Arial"/>
          <w:sz w:val="16"/>
          <w:szCs w:val="16"/>
          <w:b w:val="1"/>
          <w:bCs w:val="1"/>
          <w:color w:val="auto"/>
        </w:rPr>
        <w:t xml:space="preserve"> </w:t>
      </w:r>
      <w:r>
        <w:rPr>
          <w:rFonts w:ascii="Arial" w:cs="Arial" w:eastAsia="Arial" w:hAnsi="Arial"/>
          <w:sz w:val="18"/>
          <w:szCs w:val="18"/>
          <w:color w:val="auto"/>
        </w:rPr>
        <w:t>– Waste Management, Inc. (NYSE: WM) today announced financial results</w:t>
      </w:r>
      <w:r>
        <w:rPr>
          <w:rFonts w:ascii="Arial" w:cs="Arial" w:eastAsia="Arial" w:hAnsi="Arial"/>
          <w:sz w:val="16"/>
          <w:szCs w:val="16"/>
          <w:b w:val="1"/>
          <w:bCs w:val="1"/>
          <w:color w:val="auto"/>
        </w:rPr>
        <w:t xml:space="preserve"> </w:t>
      </w:r>
      <w:r>
        <w:rPr>
          <w:rFonts w:ascii="Arial" w:cs="Arial" w:eastAsia="Arial" w:hAnsi="Arial"/>
          <w:sz w:val="18"/>
          <w:szCs w:val="18"/>
          <w:color w:val="auto"/>
        </w:rPr>
        <w:t>for its quarter ended December 31, 2017. Revenues for the fourth quarter of 2017 were $3.65 billion, compared with $3.46 billion for the same 2016 period. Net income for the quarter was $903 million, or $2.06 per diluted share, compared with net income of $335 million, or $0.75 per diluted share, for the fourth quarter of 2016.</w:t>
      </w:r>
      <w:r>
        <w:rPr>
          <w:rFonts w:ascii="Arial" w:cs="Arial" w:eastAsia="Arial" w:hAnsi="Arial"/>
          <w:sz w:val="18"/>
          <w:szCs w:val="18"/>
          <w:color w:val="auto"/>
          <w:vertAlign w:val="superscript"/>
        </w:rPr>
        <w:t>(a)</w:t>
      </w:r>
      <w:r>
        <w:rPr>
          <w:rFonts w:ascii="Arial" w:cs="Arial" w:eastAsia="Arial" w:hAnsi="Arial"/>
          <w:sz w:val="18"/>
          <w:szCs w:val="18"/>
          <w:color w:val="auto"/>
        </w:rPr>
        <w:t xml:space="preserve"> On an as-adjusted basis, earnings per diluted share were $0.85 for the fourth quarter of 2017, compared with $0.75 for the fourth quarter of 2016.</w:t>
      </w:r>
      <w:r>
        <w:rPr>
          <w:rFonts w:ascii="Arial" w:cs="Arial" w:eastAsia="Arial" w:hAnsi="Arial"/>
          <w:sz w:val="18"/>
          <w:szCs w:val="18"/>
          <w:color w:val="auto"/>
          <w:vertAlign w:val="superscript"/>
        </w:rPr>
        <w:t>(b)</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Company’s fourth quarter 2017 results have been adjusted to exclude a net benefit of $1.21 per diluted share related to the impact of the Tax Cuts and Jobs Act.</w:t>
      </w:r>
      <w:r>
        <w:rPr>
          <w:rFonts w:ascii="Arial" w:cs="Arial" w:eastAsia="Arial" w:hAnsi="Arial"/>
          <w:sz w:val="18"/>
          <w:szCs w:val="18"/>
          <w:color w:val="auto"/>
          <w:vertAlign w:val="superscript"/>
        </w:rPr>
        <w:t>(b)</w:t>
      </w:r>
    </w:p>
    <w:p>
      <w:pPr>
        <w:spacing w:after="0" w:line="183"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For the full year 2017, the Company reported revenues of $14.5 billion, compared with $13.6 billion for 2016. Earnings per diluted share were $4.41 for the full year 2017 compared with $2.65 for the full year</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2016. On an as-adjusted basis, earnings per diluted share were $3.22 for the full year 2017 versus $2.91 for the full year 2016.</w:t>
      </w:r>
      <w:r>
        <w:rPr>
          <w:rFonts w:ascii="Arial" w:cs="Arial" w:eastAsia="Arial" w:hAnsi="Arial"/>
          <w:sz w:val="18"/>
          <w:szCs w:val="18"/>
          <w:color w:val="auto"/>
          <w:vertAlign w:val="superscript"/>
        </w:rPr>
        <w:t>(b)</w:t>
      </w:r>
    </w:p>
    <w:p>
      <w:pPr>
        <w:spacing w:after="0" w:line="183"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Jim Fish, President and Chief Executive Officer of Waste Management, commented, “The strong results that we saw through the first nine months of 2017 continued into the fourth quarter as we saw organic revenue growth continue to translate into operating EBITDA growth. In the fourth quarter, we achieved double-digit growth in income from operations, operating EBITDA, and adjusted earnings per diluted share, and nearly 10% growth in both adjusted income from operations and operating EBITDA.</w:t>
      </w:r>
      <w:r>
        <w:rPr>
          <w:rFonts w:ascii="Arial" w:cs="Arial" w:eastAsia="Arial" w:hAnsi="Arial"/>
          <w:sz w:val="18"/>
          <w:szCs w:val="18"/>
          <w:color w:val="auto"/>
          <w:vertAlign w:val="superscript"/>
        </w:rPr>
        <w:t>(b)</w:t>
      </w:r>
    </w:p>
    <w:p>
      <w:pPr>
        <w:spacing w:after="0" w:line="18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“Looking at the full year, 2017 was exceptional for Waste Management as our continued focus on improving core price, adding profitable volume in a disciplined manner, and controlling costs led to arguably the best year in the company’s history. Our employees did a great job of executing our strategy, and we exceeded our expectations for all financial and operational metrics leading to record cash provided by operations and adjusted earnings per diluted share.”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HIGHLIGHTS FOR THE FOURTH QUARTER AND THE FULL YEAR 2017</w:t>
      </w:r>
    </w:p>
    <w:p>
      <w:pPr>
        <w:spacing w:after="0" w:line="203" w:lineRule="exact"/>
        <w:rPr>
          <w:sz w:val="20"/>
          <w:szCs w:val="20"/>
          <w:color w:val="auto"/>
        </w:rPr>
      </w:pPr>
    </w:p>
    <w:p>
      <w:pPr>
        <w:ind w:left="840"/>
        <w:spacing w:after="0"/>
        <w:rPr>
          <w:sz w:val="20"/>
          <w:szCs w:val="20"/>
          <w:color w:val="auto"/>
        </w:rPr>
      </w:pPr>
      <w:r>
        <w:rPr>
          <w:rFonts w:ascii="Arial" w:cs="Arial" w:eastAsia="Arial" w:hAnsi="Arial"/>
          <w:sz w:val="18"/>
          <w:szCs w:val="18"/>
          <w:b w:val="1"/>
          <w:bCs w:val="1"/>
          <w:u w:val="single" w:color="auto"/>
          <w:color w:val="auto"/>
        </w:rPr>
        <w:t>Revenue Growth</w:t>
      </w:r>
    </w:p>
    <w:p>
      <w:pPr>
        <w:spacing w:after="0" w:line="220" w:lineRule="exact"/>
        <w:rPr>
          <w:sz w:val="20"/>
          <w:szCs w:val="20"/>
          <w:color w:val="auto"/>
        </w:rPr>
      </w:pPr>
    </w:p>
    <w:p>
      <w:pPr>
        <w:jc w:val="both"/>
        <w:ind w:left="840" w:hanging="386"/>
        <w:spacing w:after="0" w:line="236" w:lineRule="auto"/>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fourth quarter, overall revenue increased by 5.5%, or $192 million, from the same period in the prior year. The revenue growth was driven by strong yield and volume growth in the Company’s collection and disposal business, which contributed $172 million of the increase. For the full year 2017, overall revenue increased by 6.4%, or $876 million. Yield and volume growth in the Company’s collection and disposal business increased revenue by $536 million. Though revenue from the Company’s recycling yield and volume declined by $25 million on a year-over-year basis in the fourth quarter of 2017, full-year recycling yield and volume contributed $231 million of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MORE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 site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www.wm.com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234" w:lineRule="auto"/>
        <w:rPr>
          <w:sz w:val="20"/>
          <w:szCs w:val="20"/>
          <w:color w:val="auto"/>
        </w:rPr>
      </w:pPr>
      <w:r>
        <w:rPr>
          <w:rFonts w:ascii="Arial" w:cs="Arial" w:eastAsia="Arial" w:hAnsi="Arial"/>
          <w:sz w:val="18"/>
          <w:szCs w:val="18"/>
          <w:color w:val="auto"/>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eegl@wm.com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2" w:lineRule="exact"/>
        <w:rPr>
          <w:sz w:val="20"/>
          <w:szCs w:val="20"/>
          <w:color w:val="auto"/>
        </w:rPr>
      </w:pPr>
    </w:p>
    <w:p>
      <w:pPr>
        <w:ind w:right="1040"/>
        <w:spacing w:after="0" w:line="261" w:lineRule="auto"/>
        <w:rPr>
          <w:sz w:val="20"/>
          <w:szCs w:val="20"/>
          <w:color w:val="auto"/>
        </w:rPr>
      </w:pPr>
      <w:r>
        <w:rPr>
          <w:rFonts w:ascii="Arial" w:cs="Arial" w:eastAsia="Arial" w:hAnsi="Arial"/>
          <w:sz w:val="17"/>
          <w:szCs w:val="17"/>
          <w:color w:val="auto"/>
        </w:rPr>
        <w:t xml:space="preserve">Toni Beck 713.394.5093 </w:t>
      </w:r>
      <w:r>
        <w:rPr>
          <w:rFonts w:ascii="Arial" w:cs="Arial" w:eastAsia="Arial" w:hAnsi="Arial"/>
          <w:sz w:val="17"/>
          <w:szCs w:val="17"/>
          <w:u w:val="single" w:color="auto"/>
          <w:color w:val="0000FF"/>
        </w:rPr>
        <w:t>tbeck3@wm.com</w:t>
      </w:r>
    </w:p>
    <w:p>
      <w:pPr>
        <w:spacing w:after="0" w:line="5836" w:lineRule="exact"/>
        <w:rPr>
          <w:sz w:val="20"/>
          <w:szCs w:val="20"/>
          <w:color w:val="auto"/>
        </w:rPr>
      </w:pPr>
    </w:p>
    <w:p>
      <w:pPr>
        <w:sectPr>
          <w:pgSz w:w="11900" w:h="16838" w:orient="portrait"/>
          <w:cols w:equalWidth="0" w:num="2">
            <w:col w:w="8680" w:space="320"/>
            <w:col w:w="2420"/>
          </w:cols>
          <w:pgMar w:left="240" w:top="105"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840" w:right="2740" w:hanging="386"/>
        <w:spacing w:after="0" w:line="234" w:lineRule="auto"/>
        <w:tabs>
          <w:tab w:leader="none" w:pos="84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Core price, which consists of price increases net of rollbacks and fees, excluding the Company’s fuel surcharge, was 4.8%, compared to 5.1% in the fourth quarter of 2016 and 4.7% in the third quarter of 2017. For the full year, core price was 4.8%, compared to 5.0% for the full year of 2016.</w:t>
      </w:r>
      <w:r>
        <w:rPr>
          <w:rFonts w:ascii="Arial" w:cs="Arial" w:eastAsia="Arial" w:hAnsi="Arial"/>
          <w:sz w:val="18"/>
          <w:szCs w:val="18"/>
          <w:color w:val="auto"/>
          <w:vertAlign w:val="superscript"/>
        </w:rPr>
        <w:t>(c)</w:t>
      </w:r>
    </w:p>
    <w:p>
      <w:pPr>
        <w:spacing w:after="0" w:line="3" w:lineRule="exact"/>
        <w:rPr>
          <w:rFonts w:ascii="Arial" w:cs="Arial" w:eastAsia="Arial" w:hAnsi="Arial"/>
          <w:sz w:val="18"/>
          <w:szCs w:val="18"/>
          <w:color w:val="auto"/>
        </w:rPr>
      </w:pPr>
    </w:p>
    <w:p>
      <w:pPr>
        <w:ind w:left="840" w:right="2740" w:hanging="386"/>
        <w:spacing w:after="0" w:line="234" w:lineRule="auto"/>
        <w:tabs>
          <w:tab w:leader="none" w:pos="84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revenue growth from yield for collection and disposal operations was 2.2% for the fourth quarter and 2.0% for the full year.</w:t>
      </w:r>
    </w:p>
    <w:p>
      <w:pPr>
        <w:spacing w:after="0" w:line="1" w:lineRule="exact"/>
        <w:rPr>
          <w:rFonts w:ascii="Arial" w:cs="Arial" w:eastAsia="Arial" w:hAnsi="Arial"/>
          <w:sz w:val="18"/>
          <w:szCs w:val="18"/>
          <w:color w:val="auto"/>
        </w:rPr>
      </w:pPr>
    </w:p>
    <w:p>
      <w:pPr>
        <w:jc w:val="both"/>
        <w:ind w:left="840" w:right="2740" w:hanging="386"/>
        <w:spacing w:after="0" w:line="237"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Traditional solid waste internal revenue growth from volume was 4.2% in the fourth quarter of 2017, or 5.0% on a workday adjusted basis. Total Company internal revenue growth from volume, which includes our recycling and other ancillary businesses, was 2.6% in the fourth quarter, or 3.4% on a workday adjusted basis. For the full year 2017, traditional solid waste internal revenue growth from volume was 2.7%, or 2.9% on a workday adjusted basis. Total Company volume was 2.1% for the full year 2017, or 2.3% on a workday adjusted basis.</w:t>
      </w:r>
    </w:p>
    <w:p>
      <w:pPr>
        <w:spacing w:after="0" w:line="16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Recycling</w:t>
      </w:r>
    </w:p>
    <w:p>
      <w:pPr>
        <w:spacing w:after="0" w:line="220" w:lineRule="exact"/>
        <w:rPr>
          <w:rFonts w:ascii="Arial" w:cs="Arial" w:eastAsia="Arial" w:hAnsi="Arial"/>
          <w:sz w:val="18"/>
          <w:szCs w:val="18"/>
          <w:color w:val="auto"/>
        </w:rPr>
      </w:pPr>
    </w:p>
    <w:p>
      <w:pPr>
        <w:jc w:val="both"/>
        <w:ind w:left="840" w:right="2740" w:hanging="386"/>
        <w:spacing w:after="0" w:line="236" w:lineRule="auto"/>
        <w:tabs>
          <w:tab w:leader="none" w:pos="872" w:val="left"/>
        </w:tabs>
        <w:numPr>
          <w:ilvl w:val="0"/>
          <w:numId w:val="2"/>
        </w:numPr>
        <w:rPr>
          <w:rFonts w:ascii="Arial" w:cs="Arial" w:eastAsia="Arial" w:hAnsi="Arial"/>
          <w:sz w:val="18"/>
          <w:szCs w:val="18"/>
          <w:color w:val="auto"/>
        </w:rPr>
      </w:pPr>
      <w:r>
        <w:rPr>
          <w:rFonts w:ascii="Arial" w:cs="Arial" w:eastAsia="Arial" w:hAnsi="Arial"/>
          <w:sz w:val="18"/>
          <w:szCs w:val="18"/>
          <w:color w:val="auto"/>
        </w:rPr>
        <w:t>Average recycling commodity prices at the Company’s recycling facilities were approximately 8.1% lower in the fourth quarter of 2017 compared with the prior year period. Recycling volumes declined 4.8% in the fourth quarter. Results in the Company’s recycling line of business declined by $0.03 per diluted share when compared to the fourth quarter of 2016. For the full year, average recycling commodity prices at the Company’s recycling facilities were approximately 27.0% higher and volumes decreased 0.5%. The revenue increase, combined with reduced operating costs at the Company’s recycling facilities, drove an almost $0.09 increase in the Company’s earnings per diluted share for the full year.</w:t>
      </w:r>
    </w:p>
    <w:p>
      <w:pPr>
        <w:sectPr>
          <w:pgSz w:w="11900" w:h="16838" w:orient="portrait"/>
          <w:cols w:equalWidth="0" w:num="1">
            <w:col w:w="11420"/>
          </w:cols>
          <w:pgMar w:left="240" w:top="105" w:right="239" w:bottom="0" w:gutter="0" w:footer="0" w:header="0"/>
          <w:type w:val="continuous"/>
        </w:sectPr>
      </w:pPr>
    </w:p>
    <w:bookmarkStart w:id="3" w:name="page4"/>
    <w:bookmarkEnd w:id="3"/>
    <w:p>
      <w:pPr>
        <w:spacing w:after="0" w:line="54" w:lineRule="exact"/>
        <w:rPr>
          <w:sz w:val="20"/>
          <w:szCs w:val="20"/>
          <w:color w:val="auto"/>
        </w:rPr>
      </w:pPr>
    </w:p>
    <w:p>
      <w:pPr>
        <w:ind w:left="840"/>
        <w:spacing w:after="0"/>
        <w:rPr>
          <w:sz w:val="20"/>
          <w:szCs w:val="20"/>
          <w:color w:val="auto"/>
        </w:rPr>
      </w:pPr>
      <w:r>
        <w:rPr>
          <w:rFonts w:ascii="Arial" w:cs="Arial" w:eastAsia="Arial" w:hAnsi="Arial"/>
          <w:sz w:val="18"/>
          <w:szCs w:val="18"/>
          <w:b w:val="1"/>
          <w:bCs w:val="1"/>
          <w:u w:val="single" w:color="auto"/>
          <w:color w:val="auto"/>
        </w:rPr>
        <w:t>Cost Management &amp; Profitability</w:t>
      </w:r>
    </w:p>
    <w:p>
      <w:pPr>
        <w:spacing w:after="0" w:line="219" w:lineRule="exact"/>
        <w:rPr>
          <w:sz w:val="20"/>
          <w:szCs w:val="20"/>
          <w:color w:val="auto"/>
        </w:rPr>
      </w:pPr>
    </w:p>
    <w:p>
      <w:pPr>
        <w:jc w:val="both"/>
        <w:ind w:left="840" w:right="1539" w:hanging="386"/>
        <w:spacing w:after="0" w:line="234" w:lineRule="auto"/>
        <w:tabs>
          <w:tab w:leader="none" w:pos="845"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expenses as a percentage of revenue in the Company’s traditional solid waste business improved about 120 basis points during the fourth quarter and 85 basis points for the full year. As a percent of revenue, total Company operating expenses were 62.0% in the fourth quarter of 2017, as compared to 62.1% in the fourth quarter of 2016. For the full year, as a percent of revenue, operating expenses were 62.3% in 2017, as compared to 62.4% for the full year 2016.</w:t>
      </w:r>
    </w:p>
    <w:p>
      <w:pPr>
        <w:spacing w:after="0" w:line="3" w:lineRule="exact"/>
        <w:rPr>
          <w:rFonts w:ascii="Arial" w:cs="Arial" w:eastAsia="Arial" w:hAnsi="Arial"/>
          <w:sz w:val="18"/>
          <w:szCs w:val="18"/>
          <w:color w:val="auto"/>
        </w:rPr>
      </w:pPr>
    </w:p>
    <w:p>
      <w:pPr>
        <w:jc w:val="both"/>
        <w:ind w:left="840" w:right="1539" w:hanging="386"/>
        <w:spacing w:after="0" w:line="234"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percent of revenue, SG&amp;A expenses were 10.1% in the fourth quarter of 2017, compared to 10.9% in the fourth quarter of 2016. For the full year, as a percent of revenue, SG&amp;A expenses were 10.1%, compared to 10.4% for the full year 2016.</w:t>
      </w:r>
    </w:p>
    <w:p>
      <w:pPr>
        <w:spacing w:after="0" w:line="2" w:lineRule="exact"/>
        <w:rPr>
          <w:rFonts w:ascii="Arial" w:cs="Arial" w:eastAsia="Arial" w:hAnsi="Arial"/>
          <w:sz w:val="18"/>
          <w:szCs w:val="18"/>
          <w:color w:val="auto"/>
        </w:rPr>
      </w:pPr>
    </w:p>
    <w:p>
      <w:pPr>
        <w:jc w:val="both"/>
        <w:ind w:left="840" w:right="1539" w:hanging="386"/>
        <w:spacing w:after="0" w:line="239" w:lineRule="auto"/>
        <w:tabs>
          <w:tab w:leader="none" w:pos="858"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EBITDA was $1.05 billion for the fourth quarter of 2017 and $4.01 billion for the full year. On an as-adjusted basis, operating EBITDA was $1.02 billion for the fourth quarter of 2017, an increase of $90 million, or 9.7%, from the fourth quarter of 2016. On an as-adjusted basis, full-year operating EBITDA was $4.0 billion in 2017, an increase of 8.1% when compared with 2016.</w:t>
      </w:r>
      <w:r>
        <w:rPr>
          <w:rFonts w:ascii="Arial" w:cs="Arial" w:eastAsia="Arial" w:hAnsi="Arial"/>
          <w:sz w:val="18"/>
          <w:szCs w:val="18"/>
          <w:color w:val="auto"/>
          <w:vertAlign w:val="superscript"/>
        </w:rPr>
        <w:t>(b)</w:t>
      </w:r>
    </w:p>
    <w:p>
      <w:pPr>
        <w:spacing w:after="0" w:line="166"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Free Cash Flow &amp; Capital Allocation</w:t>
      </w:r>
    </w:p>
    <w:p>
      <w:pPr>
        <w:spacing w:after="0" w:line="220" w:lineRule="exact"/>
        <w:rPr>
          <w:rFonts w:ascii="Arial" w:cs="Arial" w:eastAsia="Arial" w:hAnsi="Arial"/>
          <w:sz w:val="18"/>
          <w:szCs w:val="18"/>
          <w:color w:val="auto"/>
        </w:rPr>
      </w:pPr>
    </w:p>
    <w:p>
      <w:pPr>
        <w:jc w:val="both"/>
        <w:ind w:left="840" w:right="1539" w:hanging="386"/>
        <w:spacing w:after="0" w:line="234"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provided by operating activities was $790 million in the fourth quarter and $3.18 billion for the full year. Operating cash flow increased by $36 million, or 4.8%, for the fourth quarter and $174 million, or 5.8%, for the full year as a result of strong operating income growth and working capital improvements offset in part by a $120 million increase in cash taxes paid.</w:t>
      </w:r>
    </w:p>
    <w:p>
      <w:pPr>
        <w:spacing w:after="0" w:line="3" w:lineRule="exact"/>
        <w:rPr>
          <w:rFonts w:ascii="Arial" w:cs="Arial" w:eastAsia="Arial" w:hAnsi="Arial"/>
          <w:sz w:val="18"/>
          <w:szCs w:val="18"/>
          <w:color w:val="auto"/>
        </w:rPr>
      </w:pPr>
    </w:p>
    <w:p>
      <w:pPr>
        <w:jc w:val="both"/>
        <w:ind w:left="840" w:right="1539" w:hanging="386"/>
        <w:spacing w:after="0" w:line="234"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expenditures were $528 million in the fourth quarter, a $151 million increase from the fourth quarter of 2016, and $1.51 billion for the full year, a $170 million increase from 2016. These increases were in line with our expectations as the Company increased its capital spending to support growth.</w:t>
      </w:r>
    </w:p>
    <w:p>
      <w:pPr>
        <w:spacing w:after="0" w:line="3" w:lineRule="exact"/>
        <w:rPr>
          <w:rFonts w:ascii="Arial" w:cs="Arial" w:eastAsia="Arial" w:hAnsi="Arial"/>
          <w:sz w:val="18"/>
          <w:szCs w:val="18"/>
          <w:color w:val="auto"/>
        </w:rPr>
      </w:pPr>
    </w:p>
    <w:p>
      <w:pPr>
        <w:jc w:val="both"/>
        <w:ind w:left="840" w:right="1539" w:hanging="386"/>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was $342 million in the fourth quarter of 2017 compared to $388 million in the fourth quarter of 2016.</w:t>
      </w:r>
      <w:r>
        <w:rPr>
          <w:rFonts w:ascii="Arial" w:cs="Arial" w:eastAsia="Arial" w:hAnsi="Arial"/>
          <w:sz w:val="18"/>
          <w:szCs w:val="18"/>
          <w:color w:val="auto"/>
          <w:vertAlign w:val="superscript"/>
        </w:rPr>
        <w:t>(b)</w:t>
      </w:r>
      <w:r>
        <w:rPr>
          <w:rFonts w:ascii="Arial" w:cs="Arial" w:eastAsia="Arial" w:hAnsi="Arial"/>
          <w:sz w:val="18"/>
          <w:szCs w:val="18"/>
          <w:color w:val="auto"/>
        </w:rPr>
        <w:t xml:space="preserve"> Free cash flow for the full year was $1.77 billion compared to $1.71 billion in 2016.</w:t>
      </w:r>
      <w:r>
        <w:rPr>
          <w:rFonts w:ascii="Arial" w:cs="Arial" w:eastAsia="Arial" w:hAnsi="Arial"/>
          <w:sz w:val="18"/>
          <w:szCs w:val="18"/>
          <w:color w:val="auto"/>
          <w:vertAlign w:val="superscript"/>
        </w:rPr>
        <w:t>(b)</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8" w:lineRule="exact"/>
        <w:rPr>
          <w:rFonts w:ascii="Arial" w:cs="Arial" w:eastAsia="Arial" w:hAnsi="Arial"/>
          <w:sz w:val="18"/>
          <w:szCs w:val="18"/>
          <w:color w:val="auto"/>
        </w:rPr>
      </w:pPr>
    </w:p>
    <w:p>
      <w:pPr>
        <w:jc w:val="both"/>
        <w:ind w:left="840" w:right="1539" w:hanging="386"/>
        <w:spacing w:after="0" w:line="234"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paid dividends of $184 million to shareholders in the fourth quarter. For the full year, the Company returned $1.5 billion to shareholders through $750 million in dividends and $750 million in share repurchases.</w:t>
      </w:r>
    </w:p>
    <w:p>
      <w:pPr>
        <w:spacing w:after="0" w:line="2" w:lineRule="exact"/>
        <w:rPr>
          <w:rFonts w:ascii="Arial" w:cs="Arial" w:eastAsia="Arial" w:hAnsi="Arial"/>
          <w:sz w:val="18"/>
          <w:szCs w:val="18"/>
          <w:color w:val="auto"/>
        </w:rPr>
      </w:pPr>
    </w:p>
    <w:p>
      <w:pPr>
        <w:ind w:left="840" w:right="1539" w:hanging="386"/>
        <w:spacing w:after="0" w:line="246"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spent $200 million on tuck-in acquisitions of traditional solid waste businesses during 2017, $120 million of which was spent in the 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-1042035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2018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announced the following regarding its financial outlook for 2018:</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8"/>
          <w:szCs w:val="18"/>
          <w:b w:val="1"/>
          <w:bCs w:val="1"/>
          <w:u w:val="single" w:color="auto"/>
          <w:color w:val="auto"/>
        </w:rPr>
        <w:t>Revenue Growth</w:t>
      </w:r>
    </w:p>
    <w:p>
      <w:pPr>
        <w:spacing w:after="0" w:line="207" w:lineRule="exact"/>
        <w:rPr>
          <w:sz w:val="20"/>
          <w:szCs w:val="20"/>
          <w:color w:val="auto"/>
        </w:rPr>
      </w:pPr>
    </w:p>
    <w:p>
      <w:pPr>
        <w:ind w:left="840" w:right="1539" w:hanging="386"/>
        <w:spacing w:after="0" w:line="242" w:lineRule="auto"/>
        <w:tabs>
          <w:tab w:leader="none" w:pos="84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Core price is expected to be 4.0% or greater for 2018.</w:t>
      </w:r>
      <w:r>
        <w:rPr>
          <w:rFonts w:ascii="Arial" w:cs="Arial" w:eastAsia="Arial" w:hAnsi="Arial"/>
          <w:sz w:val="18"/>
          <w:szCs w:val="18"/>
          <w:color w:val="auto"/>
          <w:vertAlign w:val="superscript"/>
        </w:rPr>
        <w:t>(c)</w:t>
      </w:r>
      <w:r>
        <w:rPr>
          <w:rFonts w:ascii="Arial" w:cs="Arial" w:eastAsia="Arial" w:hAnsi="Arial"/>
          <w:sz w:val="18"/>
          <w:szCs w:val="18"/>
          <w:color w:val="auto"/>
        </w:rPr>
        <w:t xml:space="preserve"> Internal revenue growth from yield on the collection and disposal business is expected to be 2.0% or greater.</w:t>
      </w:r>
    </w:p>
    <w:p>
      <w:pPr>
        <w:ind w:left="840" w:hanging="38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Internal revenue growth from volume is expected to be between 2.0% and 2.2%.</w:t>
      </w:r>
    </w:p>
    <w:p>
      <w:pPr>
        <w:spacing w:after="0" w:line="18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Recycling</w:t>
      </w:r>
    </w:p>
    <w:p>
      <w:pPr>
        <w:spacing w:after="0" w:line="220" w:lineRule="exact"/>
        <w:rPr>
          <w:rFonts w:ascii="Arial" w:cs="Arial" w:eastAsia="Arial" w:hAnsi="Arial"/>
          <w:sz w:val="18"/>
          <w:szCs w:val="18"/>
          <w:color w:val="auto"/>
        </w:rPr>
      </w:pPr>
    </w:p>
    <w:p>
      <w:pPr>
        <w:jc w:val="both"/>
        <w:ind w:left="840" w:right="1539" w:hanging="386"/>
        <w:spacing w:after="0" w:line="238"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continued commodity pricing pressure and expected cost increases from efforts to reduce contamination, earnings from the Company’s recycling operations are expected to decline from the record-high levels it saw in 2017. The Company currently expects earnings from its recycling business to decline between $0.08 and $0.10 per diluted share in 2018 when compared with the prior year, with much of the decline expected in the first half of 2018.</w:t>
      </w:r>
    </w:p>
    <w:p>
      <w:pPr>
        <w:spacing w:after="0" w:line="167"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Cost Management &amp; Profitability</w:t>
      </w:r>
    </w:p>
    <w:p>
      <w:pPr>
        <w:spacing w:after="0" w:line="220" w:lineRule="exact"/>
        <w:rPr>
          <w:rFonts w:ascii="Arial" w:cs="Arial" w:eastAsia="Arial" w:hAnsi="Arial"/>
          <w:sz w:val="18"/>
          <w:szCs w:val="18"/>
          <w:color w:val="auto"/>
        </w:rPr>
      </w:pPr>
    </w:p>
    <w:p>
      <w:pPr>
        <w:jc w:val="both"/>
        <w:ind w:left="840" w:right="1539" w:hanging="386"/>
        <w:spacing w:after="0" w:line="234"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expenses are expected to be approximately $1.5 billion in 2018. This is a slight increase from 2017 as the Company plans to invest a portion of the benefit from lower cash taxes in people and technology. The Company continues to target SG&amp;A as a percentage of revenue of about 10%.</w:t>
      </w:r>
    </w:p>
    <w:p>
      <w:pPr>
        <w:spacing w:after="0" w:line="3" w:lineRule="exact"/>
        <w:rPr>
          <w:rFonts w:ascii="Arial" w:cs="Arial" w:eastAsia="Arial" w:hAnsi="Arial"/>
          <w:sz w:val="18"/>
          <w:szCs w:val="18"/>
          <w:color w:val="auto"/>
        </w:rPr>
      </w:pPr>
    </w:p>
    <w:p>
      <w:pPr>
        <w:ind w:left="840" w:hanging="38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operating EBITDA is expected to be $4.2 to $4.25 billion for the full year.</w:t>
      </w:r>
      <w:r>
        <w:rPr>
          <w:rFonts w:ascii="Arial" w:cs="Arial" w:eastAsia="Arial" w:hAnsi="Arial"/>
          <w:sz w:val="18"/>
          <w:szCs w:val="18"/>
          <w:color w:val="auto"/>
          <w:vertAlign w:val="superscript"/>
        </w:rPr>
        <w:t>(b)</w:t>
      </w:r>
    </w:p>
    <w:p>
      <w:pPr>
        <w:spacing w:after="0" w:line="9" w:lineRule="exact"/>
        <w:rPr>
          <w:rFonts w:ascii="Arial" w:cs="Arial" w:eastAsia="Arial" w:hAnsi="Arial"/>
          <w:sz w:val="18"/>
          <w:szCs w:val="18"/>
          <w:color w:val="auto"/>
        </w:rPr>
      </w:pPr>
    </w:p>
    <w:p>
      <w:pPr>
        <w:jc w:val="both"/>
        <w:ind w:left="840" w:right="1539" w:hanging="386"/>
        <w:spacing w:after="0" w:line="239"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earnings per diluted share for 2018 is expected to be between $3.97 and $4.05, including an anticipated $0.62 earnings per diluted share benefit from tax reform partially offset by an $0.11 earnings per diluted share impact from the previously announced retention bonus for approximately 34,000 of the Company’s employees.</w:t>
      </w:r>
      <w:r>
        <w:rPr>
          <w:rFonts w:ascii="Arial" w:cs="Arial" w:eastAsia="Arial" w:hAnsi="Arial"/>
          <w:sz w:val="18"/>
          <w:szCs w:val="18"/>
          <w:color w:val="auto"/>
          <w:vertAlign w:val="superscript"/>
        </w:rPr>
        <w:t>(b)</w:t>
      </w:r>
    </w:p>
    <w:p>
      <w:pPr>
        <w:spacing w:after="0" w:line="166"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Free Cash Flow &amp; Capital Allocation</w:t>
      </w:r>
    </w:p>
    <w:p>
      <w:pPr>
        <w:spacing w:after="0" w:line="207" w:lineRule="exact"/>
        <w:rPr>
          <w:rFonts w:ascii="Arial" w:cs="Arial" w:eastAsia="Arial" w:hAnsi="Arial"/>
          <w:sz w:val="18"/>
          <w:szCs w:val="18"/>
          <w:color w:val="auto"/>
        </w:rPr>
      </w:pPr>
    </w:p>
    <w:p>
      <w:pPr>
        <w:ind w:left="840" w:hanging="38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for 2018 is projected to be between $1.95 and $2.05 billion.</w:t>
      </w:r>
      <w:r>
        <w:rPr>
          <w:rFonts w:ascii="Arial" w:cs="Arial" w:eastAsia="Arial" w:hAnsi="Arial"/>
          <w:sz w:val="18"/>
          <w:szCs w:val="18"/>
          <w:color w:val="auto"/>
          <w:vertAlign w:val="superscript"/>
        </w:rPr>
        <w:t>(b)</w:t>
      </w:r>
    </w:p>
    <w:p>
      <w:pPr>
        <w:spacing w:after="0" w:line="22" w:lineRule="exact"/>
        <w:rPr>
          <w:rFonts w:ascii="Arial" w:cs="Arial" w:eastAsia="Arial" w:hAnsi="Arial"/>
          <w:sz w:val="18"/>
          <w:szCs w:val="18"/>
          <w:color w:val="auto"/>
        </w:rPr>
      </w:pPr>
    </w:p>
    <w:p>
      <w:pPr>
        <w:ind w:left="860" w:hanging="40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are expected to be in the range of $1.6 to $1.7 billion.</w:t>
      </w:r>
    </w:p>
    <w:p>
      <w:pPr>
        <w:spacing w:after="0" w:line="9" w:lineRule="exact"/>
        <w:rPr>
          <w:rFonts w:ascii="Arial" w:cs="Arial" w:eastAsia="Arial" w:hAnsi="Arial"/>
          <w:sz w:val="18"/>
          <w:szCs w:val="18"/>
          <w:color w:val="auto"/>
        </w:rPr>
      </w:pPr>
    </w:p>
    <w:p>
      <w:pPr>
        <w:jc w:val="both"/>
        <w:ind w:left="840" w:right="1539" w:hanging="386"/>
        <w:spacing w:after="0" w:line="234"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of Directors has indicated its intention to increase the dividend by $0.16, or 9.4%, to $1.86 per share on an annual basis, for an approximate annual cost of $810 million. The Board must separately approve and declare each dividend.</w:t>
      </w:r>
    </w:p>
    <w:p>
      <w:pPr>
        <w:spacing w:after="0" w:line="2" w:lineRule="exact"/>
        <w:rPr>
          <w:rFonts w:ascii="Arial" w:cs="Arial" w:eastAsia="Arial" w:hAnsi="Arial"/>
          <w:sz w:val="18"/>
          <w:szCs w:val="18"/>
          <w:color w:val="auto"/>
        </w:rPr>
      </w:pPr>
    </w:p>
    <w:p>
      <w:pPr>
        <w:ind w:left="840" w:right="1559" w:hanging="386"/>
        <w:spacing w:after="0" w:line="246"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of Directors has authorized management to repurchase up to $1.25 billion of the Company’s common stock.</w:t>
      </w:r>
    </w:p>
    <w:p>
      <w:pPr>
        <w:spacing w:after="0" w:line="161"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Impacts of the Tax Cuts and Jobs Act</w:t>
      </w:r>
    </w:p>
    <w:p>
      <w:pPr>
        <w:sectPr>
          <w:pgSz w:w="11900" w:h="16892" w:orient="portrait"/>
          <w:cols w:equalWidth="0" w:num="1">
            <w:col w:w="10219"/>
          </w:cols>
          <w:pgMar w:left="240" w:top="118" w:right="1440" w:bottom="0" w:gutter="0" w:footer="0" w:header="0"/>
        </w:sectPr>
      </w:pPr>
    </w:p>
    <w:bookmarkStart w:id="4" w:name="page5"/>
    <w:bookmarkEnd w:id="4"/>
    <w:p>
      <w:pPr>
        <w:spacing w:after="0" w:line="35" w:lineRule="exact"/>
        <w:rPr>
          <w:sz w:val="20"/>
          <w:szCs w:val="20"/>
          <w:color w:val="auto"/>
        </w:rPr>
      </w:pPr>
    </w:p>
    <w:p>
      <w:pPr>
        <w:ind w:left="840" w:hanging="386"/>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effective tax rate is expected to be approximately 26%.</w:t>
      </w:r>
    </w:p>
    <w:p>
      <w:pPr>
        <w:spacing w:after="0" w:line="9" w:lineRule="exact"/>
        <w:rPr>
          <w:rFonts w:ascii="Arial" w:cs="Arial" w:eastAsia="Arial" w:hAnsi="Arial"/>
          <w:sz w:val="18"/>
          <w:szCs w:val="18"/>
          <w:color w:val="auto"/>
        </w:rPr>
      </w:pPr>
    </w:p>
    <w:p>
      <w:pPr>
        <w:ind w:left="840" w:right="1539" w:hanging="386"/>
        <w:spacing w:after="0" w:line="246"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plans to utilize a portion of its cash tax savings to pay approximately $65 million in bonuses to approximately 34,000 of its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1579"/>
        <w:spacing w:after="0" w:line="238" w:lineRule="auto"/>
        <w:rPr>
          <w:sz w:val="20"/>
          <w:szCs w:val="20"/>
          <w:color w:val="auto"/>
        </w:rPr>
      </w:pPr>
      <w:r>
        <w:rPr>
          <w:rFonts w:ascii="Arial" w:cs="Arial" w:eastAsia="Arial" w:hAnsi="Arial"/>
          <w:sz w:val="18"/>
          <w:szCs w:val="18"/>
          <w:color w:val="auto"/>
        </w:rPr>
        <w:t>Fish concluded, “2017 was a very successful year for Waste Management, and we expect that 2018 will be just as successful. With the anticipated reduction in our cash taxes, we are proactively investing in our front-line employees, technology, and capital equipment to grow our business and improve customer service. Our employees are hard at work on executing our 2018 plans, which should position us to continue to grow our earnings and cash flow in 2018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535114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51145" cy="34290"/>
                    </a:xfrm>
                    <a:prstGeom prst="rect">
                      <a:avLst/>
                    </a:prstGeom>
                    <a:noFill/>
                  </pic:spPr>
                </pic:pic>
              </a:graphicData>
            </a:graphic>
          </wp:anchor>
        </w:drawing>
      </w:r>
    </w:p>
    <w:p>
      <w:pPr>
        <w:spacing w:after="0" w:line="356"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1"/>
          <w:szCs w:val="11"/>
          <w:color w:val="auto"/>
        </w:rPr>
      </w:pPr>
      <w:r>
        <w:rPr>
          <w:rFonts w:ascii="Arial" w:cs="Arial" w:eastAsia="Arial" w:hAnsi="Arial"/>
          <w:sz w:val="11"/>
          <w:szCs w:val="11"/>
          <w:color w:val="auto"/>
        </w:rPr>
        <w:t>For purposes of this press release, all references to “Net income” refer to the financial statement line items “Net income attributable to Waste Management, Inc.”</w:t>
      </w:r>
    </w:p>
    <w:p>
      <w:pPr>
        <w:spacing w:after="0" w:line="116" w:lineRule="exact"/>
        <w:rPr>
          <w:rFonts w:ascii="Arial" w:cs="Arial" w:eastAsia="Arial" w:hAnsi="Arial"/>
          <w:sz w:val="11"/>
          <w:szCs w:val="11"/>
          <w:color w:val="auto"/>
        </w:rPr>
      </w:pPr>
    </w:p>
    <w:p>
      <w:pPr>
        <w:ind w:left="660" w:right="1599" w:hanging="328"/>
        <w:spacing w:after="0" w:line="232" w:lineRule="auto"/>
        <w:tabs>
          <w:tab w:leader="none" w:pos="678" w:val="left"/>
        </w:tabs>
        <w:numPr>
          <w:ilvl w:val="0"/>
          <w:numId w:val="6"/>
        </w:numPr>
        <w:rPr>
          <w:rFonts w:ascii="Arial" w:cs="Arial" w:eastAsia="Arial" w:hAnsi="Arial"/>
          <w:sz w:val="11"/>
          <w:szCs w:val="11"/>
          <w:color w:val="auto"/>
        </w:rPr>
      </w:pPr>
      <w:r>
        <w:rPr>
          <w:rFonts w:ascii="Arial" w:cs="Arial" w:eastAsia="Arial" w:hAnsi="Arial"/>
          <w:sz w:val="11"/>
          <w:szCs w:val="11"/>
          <w:color w:val="auto"/>
        </w:rPr>
        <w:t>This press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 Accordingly, earnings per diluted share, income from operations, and operating EBITDA have been presented in certain instances excluding items identified in the reconciliations provided. The Company defines operating EBITDA as income from operations before depreciation and amortization; this measure may not be comparable to similarly titled measures reported by other companies.</w:t>
      </w:r>
    </w:p>
    <w:p>
      <w:pPr>
        <w:spacing w:after="0" w:line="116" w:lineRule="exact"/>
        <w:rPr>
          <w:rFonts w:ascii="Arial" w:cs="Arial" w:eastAsia="Arial" w:hAnsi="Arial"/>
          <w:sz w:val="11"/>
          <w:szCs w:val="11"/>
          <w:color w:val="auto"/>
        </w:rPr>
      </w:pPr>
    </w:p>
    <w:p>
      <w:pPr>
        <w:ind w:left="660" w:right="1579"/>
        <w:spacing w:after="0" w:line="233" w:lineRule="auto"/>
        <w:rPr>
          <w:rFonts w:ascii="Arial" w:cs="Arial" w:eastAsia="Arial" w:hAnsi="Arial"/>
          <w:sz w:val="11"/>
          <w:szCs w:val="11"/>
          <w:color w:val="auto"/>
        </w:rPr>
      </w:pPr>
      <w:r>
        <w:rPr>
          <w:rFonts w:ascii="Arial" w:cs="Arial" w:eastAsia="Arial" w:hAnsi="Arial"/>
          <w:sz w:val="11"/>
          <w:szCs w:val="11"/>
          <w:color w:val="auto"/>
        </w:rPr>
        <w:t>The Company’s projected full year 2018 earnings per diluted share and operating EBITDA are anticipated to be adjusted to exclude the effects of events or circumstances in 2018 that are not representative or indicative of the Company’s results of operations. Projected GAAP earnings per diluted share and operating EBITDA for the full year would require information about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or adjusted projected operating EBITDA, to the comparable GAAP measure.</w:t>
      </w:r>
    </w:p>
    <w:p>
      <w:pPr>
        <w:spacing w:after="0" w:line="114" w:lineRule="exact"/>
        <w:rPr>
          <w:rFonts w:ascii="Arial" w:cs="Arial" w:eastAsia="Arial" w:hAnsi="Arial"/>
          <w:sz w:val="11"/>
          <w:szCs w:val="11"/>
          <w:color w:val="auto"/>
        </w:rPr>
      </w:pPr>
    </w:p>
    <w:p>
      <w:pPr>
        <w:ind w:left="660" w:right="1579"/>
        <w:spacing w:after="0" w:line="232" w:lineRule="auto"/>
        <w:rPr>
          <w:rFonts w:ascii="Arial" w:cs="Arial" w:eastAsia="Arial" w:hAnsi="Arial"/>
          <w:sz w:val="11"/>
          <w:szCs w:val="11"/>
          <w:color w:val="auto"/>
        </w:rPr>
      </w:pPr>
      <w:r>
        <w:rPr>
          <w:rFonts w:ascii="Arial" w:cs="Arial" w:eastAsia="Arial" w:hAnsi="Arial"/>
          <w:sz w:val="11"/>
          <w:szCs w:val="11"/>
          <w:color w:val="auto"/>
        </w:rPr>
        <w:t>The Company also discusses free cash flow and provides a projection of free cash flow. Free cash flow is a non-GAAP measure. 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 titled measures reported by other companies.</w:t>
      </w:r>
    </w:p>
    <w:p>
      <w:pPr>
        <w:spacing w:after="0" w:line="115" w:lineRule="exact"/>
        <w:rPr>
          <w:rFonts w:ascii="Arial" w:cs="Arial" w:eastAsia="Arial" w:hAnsi="Arial"/>
          <w:sz w:val="11"/>
          <w:szCs w:val="11"/>
          <w:color w:val="auto"/>
        </w:rPr>
      </w:pPr>
    </w:p>
    <w:p>
      <w:pPr>
        <w:ind w:left="660" w:right="1639"/>
        <w:spacing w:after="0" w:line="269" w:lineRule="auto"/>
        <w:rPr>
          <w:rFonts w:ascii="Arial" w:cs="Arial" w:eastAsia="Arial" w:hAnsi="Arial"/>
          <w:sz w:val="11"/>
          <w:szCs w:val="11"/>
          <w:color w:val="auto"/>
        </w:rPr>
      </w:pPr>
      <w:r>
        <w:rPr>
          <w:rFonts w:ascii="Arial" w:cs="Arial" w:eastAsia="Arial" w:hAnsi="Arial"/>
          <w:sz w:val="10"/>
          <w:szCs w:val="10"/>
          <w:color w:val="auto"/>
        </w:rPr>
        <w:t>The quantitative reconciliations of non-GAAP measures used herein to the most comparable GAAP measures are included in the accompanying schedules, with the exception of projected earnings per diluted share and projected operating EBITDA. Non-GAAP measures should not be considered a substitute for financial measures presented in accordance with GAAP, and investors are urged to take into account GAAP measures as well as non-GAAP measures in evaluating the Company.</w:t>
      </w:r>
    </w:p>
    <w:p>
      <w:pPr>
        <w:spacing w:after="0" w:line="99" w:lineRule="exact"/>
        <w:rPr>
          <w:rFonts w:ascii="Arial" w:cs="Arial" w:eastAsia="Arial" w:hAnsi="Arial"/>
          <w:sz w:val="11"/>
          <w:szCs w:val="11"/>
          <w:color w:val="auto"/>
        </w:rPr>
      </w:pPr>
    </w:p>
    <w:p>
      <w:pPr>
        <w:jc w:val="both"/>
        <w:ind w:left="660" w:right="1599" w:hanging="328"/>
        <w:spacing w:after="0" w:line="235" w:lineRule="auto"/>
        <w:tabs>
          <w:tab w:leader="none" w:pos="672" w:val="left"/>
        </w:tabs>
        <w:numPr>
          <w:ilvl w:val="0"/>
          <w:numId w:val="6"/>
        </w:numPr>
        <w:rPr>
          <w:rFonts w:ascii="Arial" w:cs="Arial" w:eastAsia="Arial" w:hAnsi="Arial"/>
          <w:sz w:val="11"/>
          <w:szCs w:val="11"/>
          <w:color w:val="auto"/>
        </w:rPr>
      </w:pPr>
      <w:r>
        <w:rPr>
          <w:rFonts w:ascii="Arial" w:cs="Arial" w:eastAsia="Arial" w:hAnsi="Arial"/>
          <w:sz w:val="11"/>
          <w:szCs w:val="11"/>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98" w:lineRule="exact"/>
        <w:rPr>
          <w:sz w:val="20"/>
          <w:szCs w:val="20"/>
          <w:color w:val="auto"/>
        </w:rPr>
      </w:pPr>
    </w:p>
    <w:p>
      <w:pPr>
        <w:ind w:right="1759"/>
        <w:spacing w:after="0"/>
        <w:rPr>
          <w:sz w:val="20"/>
          <w:szCs w:val="20"/>
          <w:color w:val="auto"/>
        </w:rPr>
      </w:pPr>
      <w:r>
        <w:rPr>
          <w:rFonts w:ascii="Arial" w:cs="Arial" w:eastAsia="Arial" w:hAnsi="Arial"/>
          <w:sz w:val="18"/>
          <w:szCs w:val="18"/>
          <w:color w:val="auto"/>
        </w:rPr>
        <w:t>The Company will host a conference call at 10:00 AM (Eastern) today to discuss the fourth quarter and full year 2017 results. Information contained within this press release will be referenced and should be considered in conjunction with the call.</w:t>
      </w:r>
    </w:p>
    <w:p>
      <w:pPr>
        <w:spacing w:after="0" w:line="189" w:lineRule="exact"/>
        <w:rPr>
          <w:sz w:val="20"/>
          <w:szCs w:val="20"/>
          <w:color w:val="auto"/>
        </w:rPr>
      </w:pPr>
    </w:p>
    <w:p>
      <w:pPr>
        <w:ind w:right="1599"/>
        <w:spacing w:after="0" w:line="246" w:lineRule="auto"/>
        <w:rPr>
          <w:sz w:val="20"/>
          <w:szCs w:val="20"/>
          <w:color w:val="auto"/>
        </w:rPr>
      </w:pPr>
      <w:r>
        <w:rPr>
          <w:rFonts w:ascii="Arial" w:cs="Arial" w:eastAsia="Arial" w:hAnsi="Arial"/>
          <w:sz w:val="18"/>
          <w:szCs w:val="18"/>
          <w:color w:val="auto"/>
        </w:rPr>
        <w:t xml:space="preserve">The conference call will be webcast live from the Investor Relations section of Waste Management’s website </w:t>
      </w:r>
      <w:r>
        <w:rPr>
          <w:rFonts w:ascii="Arial" w:cs="Arial" w:eastAsia="Arial" w:hAnsi="Arial"/>
          <w:sz w:val="18"/>
          <w:szCs w:val="18"/>
          <w:u w:val="single" w:color="auto"/>
          <w:color w:val="0000FF"/>
        </w:rPr>
        <w:t>www.wm.com</w:t>
      </w:r>
      <w:r>
        <w:rPr>
          <w:rFonts w:ascii="Arial" w:cs="Arial" w:eastAsia="Arial" w:hAnsi="Arial"/>
          <w:sz w:val="18"/>
          <w:szCs w:val="18"/>
          <w:color w:val="000000"/>
        </w:rPr>
        <w:t>. To access the conference call by telephone, 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679"/>
        <w:spacing w:after="0"/>
        <w:rPr>
          <w:sz w:val="20"/>
          <w:szCs w:val="20"/>
          <w:color w:val="auto"/>
        </w:rPr>
      </w:pPr>
      <w:r>
        <w:rPr>
          <w:rFonts w:ascii="Arial" w:cs="Arial" w:eastAsia="Arial" w:hAnsi="Arial"/>
          <w:sz w:val="18"/>
          <w:szCs w:val="18"/>
          <w:color w:val="auto"/>
        </w:rPr>
        <w:t>dial (877) 710-6139 approximately 10 minutes prior to the scheduled start of the call. If you are calling from outside of the United States or Canada, please dial (706) 643-7398. Please utilize conference ID number 8488065 when prompted by the conference call operator.</w:t>
      </w:r>
    </w:p>
    <w:p>
      <w:pPr>
        <w:spacing w:after="0" w:line="189" w:lineRule="exact"/>
        <w:rPr>
          <w:sz w:val="20"/>
          <w:szCs w:val="20"/>
          <w:color w:val="auto"/>
        </w:rPr>
      </w:pPr>
    </w:p>
    <w:p>
      <w:pPr>
        <w:ind w:right="1619"/>
        <w:spacing w:after="0" w:line="239"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0000FF"/>
        </w:rPr>
        <w:t>www.wm.com</w:t>
      </w:r>
      <w:r>
        <w:rPr>
          <w:rFonts w:ascii="Arial" w:cs="Arial" w:eastAsia="Arial" w:hAnsi="Arial"/>
          <w:sz w:val="18"/>
          <w:szCs w:val="18"/>
          <w:color w:val="auto"/>
        </w:rPr>
        <w:t xml:space="preserve"> and by telephone from approximately 1:00 PM (Eastern) Thursday, February 15, 2018 through 5:00 PM (Eastern) on Thursday, March 1, 2018. To access the replay telephonically, please dial (855) 859-2056, or from outside of the United States or Canada dial (404) 537-3406, and use the replay conference ID number 8488065.</w:t>
      </w:r>
    </w:p>
    <w:p>
      <w:pPr>
        <w:spacing w:after="0" w:line="171" w:lineRule="exact"/>
        <w:rPr>
          <w:sz w:val="20"/>
          <w:szCs w:val="20"/>
          <w:color w:val="auto"/>
        </w:rPr>
      </w:pPr>
    </w:p>
    <w:p>
      <w:pPr>
        <w:ind w:right="1599"/>
        <w:spacing w:after="0" w:line="219" w:lineRule="auto"/>
        <w:rPr>
          <w:sz w:val="20"/>
          <w:szCs w:val="20"/>
          <w:color w:val="auto"/>
        </w:rPr>
      </w:pPr>
      <w:r>
        <w:rPr>
          <w:rFonts w:ascii="Arial" w:cs="Arial" w:eastAsia="Arial" w:hAnsi="Arial"/>
          <w:sz w:val="13"/>
          <w:szCs w:val="13"/>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under the heading “2018 Outlook” and statements regarding 2018 earnings per diluted share and earnings growth; 2018 free cash flow and growth; future operating EBITDA and growth; future operational performance / success; future capital expenditures and investments; future tax rates and use of cash tax savings; and future dividend rates and shares repurchases.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WASTE MANAGEMENT</w:t>
      </w:r>
    </w:p>
    <w:p>
      <w:pPr>
        <w:spacing w:after="0" w:line="22" w:lineRule="exact"/>
        <w:rPr>
          <w:sz w:val="20"/>
          <w:szCs w:val="20"/>
          <w:color w:val="auto"/>
        </w:rPr>
      </w:pPr>
    </w:p>
    <w:p>
      <w:pPr>
        <w:jc w:val="both"/>
        <w:ind w:right="1559"/>
        <w:spacing w:after="0" w:line="234" w:lineRule="auto"/>
        <w:rPr>
          <w:sz w:val="20"/>
          <w:szCs w:val="20"/>
          <w:color w:val="auto"/>
        </w:rPr>
      </w:pPr>
      <w:r>
        <w:rPr>
          <w:rFonts w:ascii="Arial" w:cs="Arial" w:eastAsia="Arial" w:hAnsi="Arial"/>
          <w:sz w:val="18"/>
          <w:szCs w:val="18"/>
          <w:color w:val="auto"/>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or </w:t>
      </w:r>
      <w:r>
        <w:rPr>
          <w:rFonts w:ascii="Arial" w:cs="Arial" w:eastAsia="Arial" w:hAnsi="Arial"/>
          <w:sz w:val="18"/>
          <w:szCs w:val="18"/>
          <w:u w:val="single" w:color="auto"/>
          <w:color w:val="0000FF"/>
        </w:rPr>
        <w:t>www.thinkgreen.com</w:t>
      </w:r>
      <w:r>
        <w:rPr>
          <w:rFonts w:ascii="Arial" w:cs="Arial" w:eastAsia="Arial" w:hAnsi="Arial"/>
          <w:sz w:val="18"/>
          <w:szCs w:val="18"/>
          <w:color w:val="595959"/>
        </w:rPr>
        <w:t>.</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80"/>
        <w:spacing w:after="0"/>
        <w:rPr>
          <w:sz w:val="20"/>
          <w:szCs w:val="20"/>
          <w:color w:val="auto"/>
        </w:rPr>
      </w:pPr>
      <w:r>
        <w:rPr>
          <w:rFonts w:ascii="Arial" w:cs="Arial" w:eastAsia="Arial" w:hAnsi="Arial"/>
          <w:sz w:val="23"/>
          <w:szCs w:val="23"/>
          <w:b w:val="1"/>
          <w:bCs w:val="1"/>
          <w:color w:val="auto"/>
        </w:rPr>
        <w:t>Waste Management, Inc.</w:t>
      </w:r>
    </w:p>
    <w:p>
      <w:pPr>
        <w:sectPr>
          <w:pgSz w:w="11900" w:h="16873" w:orient="portrait"/>
          <w:cols w:equalWidth="0" w:num="1">
            <w:col w:w="10219"/>
          </w:cols>
          <w:pgMar w:left="240" w:top="341" w:right="1440" w:bottom="0" w:gutter="0" w:footer="0" w:header="0"/>
        </w:sectPr>
      </w:pPr>
    </w:p>
    <w:bookmarkStart w:id="5" w:name="page6"/>
    <w:bookmarkEnd w:id="5"/>
    <w:p>
      <w:pPr>
        <w:jc w:val="center"/>
        <w:ind w:right="40"/>
        <w:spacing w:after="0"/>
        <w:rPr>
          <w:sz w:val="20"/>
          <w:szCs w:val="20"/>
          <w:color w:val="auto"/>
        </w:rPr>
      </w:pPr>
      <w:r>
        <w:rPr>
          <w:rFonts w:ascii="Arial" w:cs="Arial" w:eastAsia="Arial" w:hAnsi="Arial"/>
          <w:sz w:val="23"/>
          <w:szCs w:val="23"/>
          <w:b w:val="1"/>
          <w:bCs w:val="1"/>
          <w:color w:val="auto"/>
        </w:rPr>
        <w:t>Condensed Consolidated Statements of Operations</w:t>
      </w:r>
    </w:p>
    <w:p>
      <w:pPr>
        <w:spacing w:after="0" w:line="46"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(In Millions, Except Per Share Amounts)</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(Unaudited)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0"/>
              </w:rPr>
              <w:t>Quarters Ended December 31,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300" w:type="dxa"/>
            <w:vAlign w:val="bottom"/>
          </w:tcPr>
          <w:p>
            <w:pPr>
              <w:spacing w:after="0"/>
              <w:rPr>
                <w:sz w:val="20"/>
                <w:szCs w:val="20"/>
                <w:color w:val="auto"/>
              </w:rPr>
            </w:pPr>
            <w:r>
              <w:rPr>
                <w:rFonts w:ascii="Arial" w:cs="Arial" w:eastAsia="Arial" w:hAnsi="Arial"/>
                <w:sz w:val="18"/>
                <w:szCs w:val="18"/>
                <w:color w:val="auto"/>
              </w:rPr>
              <w:t>Operating 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3,652</w:t>
            </w:r>
          </w:p>
        </w:tc>
        <w:tc>
          <w:tcPr>
            <w:tcW w:w="280" w:type="dxa"/>
            <w:vAlign w:val="bottom"/>
          </w:tcPr>
          <w:p>
            <w:pPr>
              <w:spacing w:after="0"/>
              <w:rPr>
                <w:sz w:val="24"/>
                <w:szCs w:val="24"/>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3,460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300" w:type="dxa"/>
            <w:vAlign w:val="bottom"/>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0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4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0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30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0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0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00"/>
              <w:spacing w:after="0"/>
              <w:rPr>
                <w:sz w:val="20"/>
                <w:szCs w:val="20"/>
                <w:color w:val="auto"/>
              </w:rPr>
            </w:pPr>
            <w:r>
              <w:rPr>
                <w:rFonts w:ascii="Arial" w:cs="Arial" w:eastAsia="Arial" w:hAnsi="Arial"/>
                <w:sz w:val="18"/>
                <w:szCs w:val="18"/>
                <w:color w:val="auto"/>
              </w:rPr>
              <w:t>Equity in net losses of unconsolidated entities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300" w:type="dxa"/>
            <w:vAlign w:val="bottom"/>
          </w:tcPr>
          <w:p>
            <w:pPr>
              <w:spacing w:after="0" w:line="195" w:lineRule="exact"/>
              <w:rPr>
                <w:sz w:val="20"/>
                <w:szCs w:val="20"/>
                <w:color w:val="auto"/>
              </w:rPr>
            </w:pPr>
            <w:r>
              <w:rPr>
                <w:rFonts w:ascii="Arial" w:cs="Arial" w:eastAsia="Arial" w:hAnsi="Arial"/>
                <w:sz w:val="18"/>
                <w:szCs w:val="18"/>
                <w:color w:val="auto"/>
              </w:rPr>
              <w:t>Consolidated net income</w:t>
            </w:r>
          </w:p>
        </w:tc>
        <w:tc>
          <w:tcPr>
            <w:tcW w:w="32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903</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334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400"/>
              <w:spacing w:after="0"/>
              <w:rPr>
                <w:sz w:val="20"/>
                <w:szCs w:val="20"/>
                <w:color w:val="auto"/>
              </w:rPr>
            </w:pPr>
            <w:r>
              <w:rPr>
                <w:rFonts w:ascii="Arial" w:cs="Arial" w:eastAsia="Arial" w:hAnsi="Arial"/>
                <w:sz w:val="18"/>
                <w:szCs w:val="18"/>
                <w:color w:val="auto"/>
              </w:rPr>
              <w:t>Less: Net income (loss) attributable to noncontrolling interests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24"/>
                <w:szCs w:val="24"/>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24"/>
                <w:szCs w:val="24"/>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tcPr>
          <w:p>
            <w:pPr>
              <w:spacing w:after="0"/>
              <w:rPr>
                <w:sz w:val="20"/>
                <w:szCs w:val="20"/>
                <w:color w:val="auto"/>
              </w:rPr>
            </w:pPr>
            <w:r>
              <w:rPr>
                <w:rFonts w:ascii="Arial" w:cs="Arial" w:eastAsia="Arial" w:hAnsi="Arial"/>
                <w:sz w:val="18"/>
                <w:szCs w:val="18"/>
                <w:color w:val="auto"/>
              </w:rPr>
              <w:t>Basic common shares outstanding</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tcPr>
          <w:p>
            <w:pPr>
              <w:spacing w:after="0"/>
              <w:rPr>
                <w:sz w:val="20"/>
                <w:szCs w:val="20"/>
                <w:color w:val="auto"/>
              </w:rPr>
            </w:pPr>
            <w:r>
              <w:rPr>
                <w:rFonts w:ascii="Arial" w:cs="Arial" w:eastAsia="Arial" w:hAnsi="Arial"/>
                <w:sz w:val="18"/>
                <w:szCs w:val="18"/>
                <w:color w:val="auto"/>
              </w:rPr>
              <w:t>Diluted common shares outstanding</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444.2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0.425</w:t>
            </w:r>
          </w:p>
        </w:tc>
        <w:tc>
          <w:tcPr>
            <w:tcW w:w="280" w:type="dxa"/>
            <w:vAlign w:val="bottom"/>
          </w:tcPr>
          <w:p>
            <w:pPr>
              <w:spacing w:after="0"/>
              <w:rPr>
                <w:sz w:val="24"/>
                <w:szCs w:val="24"/>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5600"/>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Waste Management, Inc.</w:t>
      </w:r>
    </w:p>
    <w:p>
      <w:pPr>
        <w:spacing w:after="0" w:line="46"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Earnings Per Share</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(In Millions, Except Per Share Amounts)</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Quarters Ended December 31,</w:t>
            </w:r>
          </w:p>
        </w:tc>
        <w:tc>
          <w:tcPr>
            <w:tcW w:w="540" w:type="dxa"/>
            <w:vAlign w:val="bottom"/>
            <w:tcBorders>
              <w:bottom w:val="single" w:sz="8" w:color="auto"/>
            </w:tcBorders>
          </w:tcPr>
          <w:p>
            <w:pPr>
              <w:spacing w:after="0"/>
              <w:rPr>
                <w:sz w:val="20"/>
                <w:szCs w:val="20"/>
                <w:color w:val="auto"/>
              </w:rPr>
            </w:pPr>
          </w:p>
        </w:tc>
      </w:tr>
      <w:tr>
        <w:trPr>
          <w:trHeight w:val="210"/>
        </w:trPr>
        <w:tc>
          <w:tcPr>
            <w:tcW w:w="77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18"/>
                <w:szCs w:val="18"/>
                <w:color w:val="auto"/>
              </w:rPr>
            </w:pPr>
          </w:p>
        </w:tc>
      </w:tr>
      <w:tr>
        <w:trPr>
          <w:trHeight w:val="439"/>
        </w:trPr>
        <w:tc>
          <w:tcPr>
            <w:tcW w:w="7740" w:type="dxa"/>
            <w:vAlign w:val="bottom"/>
          </w:tcPr>
          <w:p>
            <w:pPr>
              <w:spacing w:after="0"/>
              <w:rPr>
                <w:sz w:val="20"/>
                <w:szCs w:val="20"/>
                <w:color w:val="auto"/>
              </w:rPr>
            </w:pPr>
            <w:r>
              <w:rPr>
                <w:rFonts w:ascii="Arial" w:cs="Arial" w:eastAsia="Arial" w:hAnsi="Arial"/>
                <w:sz w:val="18"/>
                <w:szCs w:val="18"/>
                <w:b w:val="1"/>
                <w:bCs w:val="1"/>
                <w:color w:val="auto"/>
              </w:rPr>
              <w:t>EPS Calculation:</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2"/>
        </w:trPr>
        <w:tc>
          <w:tcPr>
            <w:tcW w:w="77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903</w:t>
            </w:r>
          </w:p>
        </w:tc>
        <w:tc>
          <w:tcPr>
            <w:tcW w:w="560" w:type="dxa"/>
            <w:vAlign w:val="bottom"/>
          </w:tcPr>
          <w:p>
            <w:pPr>
              <w:spacing w:after="0"/>
              <w:rPr>
                <w:sz w:val="24"/>
                <w:szCs w:val="24"/>
                <w:color w:val="auto"/>
              </w:rPr>
            </w:pPr>
          </w:p>
        </w:tc>
        <w:tc>
          <w:tcPr>
            <w:tcW w:w="9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w:t>
            </w: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885"/>
        </w:trPr>
        <w:tc>
          <w:tcPr>
            <w:tcW w:w="7740" w:type="dxa"/>
            <w:vAlign w:val="bottom"/>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6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433.3</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439.3</w:t>
            </w:r>
          </w:p>
        </w:tc>
      </w:tr>
      <w:tr>
        <w:trPr>
          <w:trHeight w:val="230"/>
        </w:trPr>
        <w:tc>
          <w:tcPr>
            <w:tcW w:w="7740" w:type="dxa"/>
            <w:vAlign w:val="bottom"/>
          </w:tcPr>
          <w:p>
            <w:pPr>
              <w:ind w:left="180"/>
              <w:spacing w:after="0"/>
              <w:rPr>
                <w:sz w:val="20"/>
                <w:szCs w:val="20"/>
                <w:color w:val="auto"/>
              </w:rPr>
            </w:pPr>
            <w:r>
              <w:rPr>
                <w:rFonts w:ascii="Arial" w:cs="Arial" w:eastAsia="Arial" w:hAnsi="Arial"/>
                <w:sz w:val="18"/>
                <w:szCs w:val="18"/>
                <w:color w:val="auto"/>
              </w:rPr>
              <w:t>Effect of using weighted average common shares outstanding</w:t>
            </w: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r>
      <w:tr>
        <w:trPr>
          <w:trHeight w:val="209"/>
        </w:trPr>
        <w:tc>
          <w:tcPr>
            <w:tcW w:w="7740" w:type="dxa"/>
            <w:vAlign w:val="bottom"/>
          </w:tcPr>
          <w:p>
            <w:pPr>
              <w:spacing w:after="0"/>
              <w:rPr>
                <w:sz w:val="20"/>
                <w:szCs w:val="20"/>
                <w:color w:val="auto"/>
              </w:rPr>
            </w:pPr>
            <w:r>
              <w:rPr>
                <w:rFonts w:ascii="Arial" w:cs="Arial" w:eastAsia="Arial" w:hAnsi="Arial"/>
                <w:sz w:val="18"/>
                <w:szCs w:val="18"/>
                <w:color w:val="auto"/>
              </w:rPr>
              <w:t>Weighted average basic common shares outstanding</w:t>
            </w:r>
          </w:p>
        </w:tc>
        <w:tc>
          <w:tcPr>
            <w:tcW w:w="96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434.4</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441.1</w:t>
            </w:r>
          </w:p>
        </w:tc>
      </w:tr>
      <w:tr>
        <w:trPr>
          <w:trHeight w:val="230"/>
        </w:trPr>
        <w:tc>
          <w:tcPr>
            <w:tcW w:w="7740" w:type="dxa"/>
            <w:vAlign w:val="bottom"/>
          </w:tcPr>
          <w:p>
            <w:pPr>
              <w:ind w:left="18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r>
      <w:tr>
        <w:trPr>
          <w:trHeight w:val="210"/>
        </w:trPr>
        <w:tc>
          <w:tcPr>
            <w:tcW w:w="7740" w:type="dxa"/>
            <w:vAlign w:val="bottom"/>
          </w:tcPr>
          <w:p>
            <w:pPr>
              <w:spacing w:after="0"/>
              <w:rPr>
                <w:sz w:val="20"/>
                <w:szCs w:val="20"/>
                <w:color w:val="auto"/>
              </w:rPr>
            </w:pPr>
            <w:r>
              <w:rPr>
                <w:rFonts w:ascii="Arial" w:cs="Arial" w:eastAsia="Arial" w:hAnsi="Arial"/>
                <w:sz w:val="18"/>
                <w:szCs w:val="18"/>
                <w:color w:val="auto"/>
              </w:rPr>
              <w:t>Weighted average diluted common shares outstanding</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437.7</w:t>
            </w:r>
          </w:p>
        </w:tc>
        <w:tc>
          <w:tcPr>
            <w:tcW w:w="5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444.2</w:t>
            </w: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858"/>
        </w:trPr>
        <w:tc>
          <w:tcPr>
            <w:tcW w:w="77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2.08</w:t>
            </w:r>
          </w:p>
        </w:tc>
        <w:tc>
          <w:tcPr>
            <w:tcW w:w="560" w:type="dxa"/>
            <w:vAlign w:val="bottom"/>
          </w:tcPr>
          <w:p>
            <w:pPr>
              <w:spacing w:after="0"/>
              <w:rPr>
                <w:sz w:val="24"/>
                <w:szCs w:val="24"/>
                <w:color w:val="auto"/>
              </w:rPr>
            </w:pPr>
          </w:p>
        </w:tc>
        <w:tc>
          <w:tcPr>
            <w:tcW w:w="9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0.76</w:t>
            </w: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60"/>
          </w:cols>
          <w:pgMar w:left="240" w:top="108" w:right="199" w:bottom="0" w:gutter="0" w:footer="0" w:header="0"/>
        </w:sectPr>
      </w:pPr>
    </w:p>
    <w:bookmarkStart w:id="6" w:name="page7"/>
    <w:bookmarkEnd w:id="6"/>
    <w:p>
      <w:pPr>
        <w:spacing w:after="0" w:line="162" w:lineRule="exact"/>
        <w:rPr>
          <w:sz w:val="20"/>
          <w:szCs w:val="20"/>
          <w:color w:val="auto"/>
        </w:rPr>
      </w:pPr>
    </w:p>
    <w:p>
      <w:pPr>
        <w:spacing w:after="0"/>
        <w:tabs>
          <w:tab w:leader="none" w:pos="7760" w:val="left"/>
          <w:tab w:leader="none" w:pos="8800" w:val="left"/>
          <w:tab w:leader="none" w:pos="9860" w:val="left"/>
          <w:tab w:leader="none" w:pos="10860" w:val="left"/>
        </w:tabs>
        <w:rPr>
          <w:sz w:val="20"/>
          <w:szCs w:val="20"/>
          <w:color w:val="auto"/>
        </w:rPr>
      </w:pPr>
      <w:r>
        <w:rPr>
          <w:rFonts w:ascii="Arial" w:cs="Arial" w:eastAsia="Arial" w:hAnsi="Arial"/>
          <w:sz w:val="18"/>
          <w:szCs w:val="18"/>
          <w:color w:val="auto"/>
        </w:rPr>
        <w:t>Diluted earnings per common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14605</wp:posOffset>
            </wp:positionV>
            <wp:extent cx="22809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0920" cy="26035"/>
                    </a:xfrm>
                    <a:prstGeom prst="rect">
                      <a:avLst/>
                    </a:prstGeom>
                    <a:noFill/>
                  </pic:spPr>
                </pic:pic>
              </a:graphicData>
            </a:graphic>
          </wp:anchor>
        </w:drawing>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Waste Management, Inc.</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Condensed Consolidated Statements of Operations</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(In Millions, Except Per Share Amounts)</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(Unaudited)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jc w:val="right"/>
              <w:ind w:right="830"/>
              <w:spacing w:after="0"/>
              <w:rPr>
                <w:sz w:val="20"/>
                <w:szCs w:val="20"/>
                <w:color w:val="auto"/>
              </w:rPr>
            </w:pPr>
            <w:r>
              <w:rPr>
                <w:rFonts w:ascii="Arial" w:cs="Arial" w:eastAsia="Arial" w:hAnsi="Arial"/>
                <w:sz w:val="18"/>
                <w:szCs w:val="18"/>
                <w:b w:val="1"/>
                <w:bCs w:val="1"/>
                <w:color w:val="auto"/>
              </w:rPr>
              <w:t>Years Ended December 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7660" w:type="dxa"/>
            <w:vAlign w:val="bottom"/>
          </w:tcPr>
          <w:p>
            <w:pPr>
              <w:spacing w:after="0"/>
              <w:rPr>
                <w:sz w:val="20"/>
                <w:szCs w:val="20"/>
                <w:color w:val="auto"/>
              </w:rPr>
            </w:pPr>
            <w:r>
              <w:rPr>
                <w:rFonts w:ascii="Arial" w:cs="Arial" w:eastAsia="Arial" w:hAnsi="Arial"/>
                <w:sz w:val="18"/>
                <w:szCs w:val="18"/>
                <w:color w:val="auto"/>
              </w:rPr>
              <w:t>Operating revenues</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14,485</w:t>
            </w:r>
          </w:p>
        </w:tc>
        <w:tc>
          <w:tcPr>
            <w:tcW w:w="160" w:type="dxa"/>
            <w:vAlign w:val="bottom"/>
          </w:tcPr>
          <w:p>
            <w:pPr>
              <w:spacing w:after="0"/>
              <w:rPr>
                <w:sz w:val="24"/>
                <w:szCs w:val="24"/>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13,609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660" w:type="dxa"/>
            <w:vAlign w:val="bottom"/>
          </w:tcPr>
          <w:p>
            <w:pPr>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60" w:type="dxa"/>
            <w:vAlign w:val="bottom"/>
          </w:tcPr>
          <w:p>
            <w:pPr>
              <w:ind w:left="400"/>
              <w:spacing w:after="0"/>
              <w:rPr>
                <w:sz w:val="20"/>
                <w:szCs w:val="20"/>
                <w:color w:val="auto"/>
              </w:rPr>
            </w:pPr>
            <w:r>
              <w:rPr>
                <w:rFonts w:ascii="Arial" w:cs="Arial" w:eastAsia="Arial" w:hAnsi="Arial"/>
                <w:sz w:val="18"/>
                <w:szCs w:val="18"/>
                <w:color w:val="auto"/>
              </w:rPr>
              <w:t>Operating</w:t>
            </w:r>
          </w:p>
        </w:tc>
        <w:tc>
          <w:tcPr>
            <w:tcW w:w="400" w:type="dxa"/>
            <w:vAlign w:val="bottom"/>
          </w:tcPr>
          <w:p>
            <w:pPr>
              <w:spacing w:after="0"/>
              <w:rPr>
                <w:sz w:val="22"/>
                <w:szCs w:val="22"/>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9,021</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8,486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60" w:type="dxa"/>
            <w:vAlign w:val="bottom"/>
          </w:tcPr>
          <w:p>
            <w:pPr>
              <w:ind w:left="40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22"/>
                <w:szCs w:val="22"/>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1,468</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1,410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6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2"/>
                <w:szCs w:val="22"/>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1,376</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1,301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60" w:type="dxa"/>
            <w:vAlign w:val="bottom"/>
          </w:tcPr>
          <w:p>
            <w:pPr>
              <w:ind w:left="40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22"/>
                <w:szCs w:val="22"/>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60" w:type="dxa"/>
            <w:vAlign w:val="bottom"/>
          </w:tcPr>
          <w:p>
            <w:pPr>
              <w:ind w:left="4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4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11,849</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11,313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2,636</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7660" w:type="dxa"/>
            <w:vAlign w:val="bottom"/>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60" w:type="dxa"/>
            <w:vAlign w:val="bottom"/>
          </w:tcPr>
          <w:p>
            <w:pPr>
              <w:ind w:left="40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60" w:type="dxa"/>
            <w:vAlign w:val="bottom"/>
          </w:tcPr>
          <w:p>
            <w:pPr>
              <w:ind w:left="400"/>
              <w:spacing w:after="0"/>
              <w:rPr>
                <w:sz w:val="20"/>
                <w:szCs w:val="20"/>
                <w:color w:val="auto"/>
              </w:rPr>
            </w:pPr>
            <w:r>
              <w:rPr>
                <w:rFonts w:ascii="Arial" w:cs="Arial" w:eastAsia="Arial" w:hAnsi="Arial"/>
                <w:sz w:val="18"/>
                <w:szCs w:val="18"/>
                <w:color w:val="auto"/>
              </w:rPr>
              <w:t>Loss on early extinguishment of debt</w:t>
            </w:r>
          </w:p>
        </w:tc>
        <w:tc>
          <w:tcPr>
            <w:tcW w:w="40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60" w:type="dxa"/>
            <w:vAlign w:val="bottom"/>
          </w:tcPr>
          <w:p>
            <w:pPr>
              <w:ind w:left="400"/>
              <w:spacing w:after="0"/>
              <w:rPr>
                <w:sz w:val="20"/>
                <w:szCs w:val="20"/>
                <w:color w:val="auto"/>
              </w:rPr>
            </w:pPr>
            <w:r>
              <w:rPr>
                <w:rFonts w:ascii="Arial" w:cs="Arial" w:eastAsia="Arial" w:hAnsi="Arial"/>
                <w:sz w:val="18"/>
                <w:szCs w:val="18"/>
                <w:color w:val="auto"/>
              </w:rPr>
              <w:t>Equity in net losses of unconsolidated entities</w:t>
            </w:r>
          </w:p>
        </w:tc>
        <w:tc>
          <w:tcPr>
            <w:tcW w:w="40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6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7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2,191</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1,822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60" w:type="dxa"/>
            <w:vAlign w:val="bottom"/>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4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1,949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660" w:type="dxa"/>
            <w:vAlign w:val="bottom"/>
          </w:tcPr>
          <w:p>
            <w:pPr>
              <w:ind w:left="400"/>
              <w:spacing w:after="0"/>
              <w:rPr>
                <w:sz w:val="20"/>
                <w:szCs w:val="20"/>
                <w:color w:val="auto"/>
              </w:rPr>
            </w:pPr>
            <w:r>
              <w:rPr>
                <w:rFonts w:ascii="Arial" w:cs="Arial" w:eastAsia="Arial" w:hAnsi="Arial"/>
                <w:sz w:val="18"/>
                <w:szCs w:val="18"/>
                <w:color w:val="auto"/>
              </w:rPr>
              <w:t>Less: Net income (loss) attributable to noncontrolling interests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1,949</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6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24"/>
                <w:szCs w:val="24"/>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6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4.41</w:t>
            </w:r>
          </w:p>
        </w:tc>
        <w:tc>
          <w:tcPr>
            <w:tcW w:w="160" w:type="dxa"/>
            <w:vAlign w:val="bottom"/>
          </w:tcPr>
          <w:p>
            <w:pPr>
              <w:spacing w:after="0"/>
              <w:rPr>
                <w:sz w:val="24"/>
                <w:szCs w:val="24"/>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660" w:type="dxa"/>
            <w:vAlign w:val="bottom"/>
          </w:tcPr>
          <w:p>
            <w:pPr>
              <w:spacing w:after="0"/>
              <w:rPr>
                <w:sz w:val="20"/>
                <w:szCs w:val="20"/>
                <w:color w:val="auto"/>
              </w:rPr>
            </w:pPr>
            <w:r>
              <w:rPr>
                <w:rFonts w:ascii="Arial" w:cs="Arial" w:eastAsia="Arial" w:hAnsi="Arial"/>
                <w:sz w:val="18"/>
                <w:szCs w:val="18"/>
                <w:color w:val="auto"/>
              </w:rPr>
              <w:t>Basic common shares outstanding</w:t>
            </w:r>
          </w:p>
        </w:tc>
        <w:tc>
          <w:tcPr>
            <w:tcW w:w="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438.8</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443.5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660" w:type="dxa"/>
            <w:vAlign w:val="bottom"/>
          </w:tcPr>
          <w:p>
            <w:pPr>
              <w:spacing w:after="0"/>
              <w:rPr>
                <w:sz w:val="20"/>
                <w:szCs w:val="20"/>
                <w:color w:val="auto"/>
              </w:rPr>
            </w:pPr>
            <w:r>
              <w:rPr>
                <w:rFonts w:ascii="Arial" w:cs="Arial" w:eastAsia="Arial" w:hAnsi="Arial"/>
                <w:sz w:val="18"/>
                <w:szCs w:val="18"/>
                <w:color w:val="auto"/>
              </w:rPr>
              <w:t>Diluted common shares outstanding</w:t>
            </w:r>
          </w:p>
        </w:tc>
        <w:tc>
          <w:tcPr>
            <w:tcW w:w="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441.9</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66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24"/>
                <w:szCs w:val="24"/>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5600"/>
              <w:spacing w:after="0"/>
              <w:rPr>
                <w:sz w:val="20"/>
                <w:szCs w:val="20"/>
                <w:color w:val="auto"/>
              </w:rPr>
            </w:pPr>
            <w:r>
              <w:rPr>
                <w:rFonts w:ascii="Arial" w:cs="Arial" w:eastAsia="Arial" w:hAnsi="Arial"/>
                <w:sz w:val="18"/>
                <w:szCs w:val="18"/>
                <w:b w:val="1"/>
                <w:bCs w:val="1"/>
                <w:color w:val="auto"/>
              </w:rPr>
              <w:t>(3)</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6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Waste Management,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Earnings Per Share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(In Millions, Except Per Share Amounts)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(Unaudited)</w:t>
      </w:r>
    </w:p>
    <w:p>
      <w:pPr>
        <w:spacing w:after="0" w:line="200" w:lineRule="exact"/>
        <w:rPr>
          <w:sz w:val="20"/>
          <w:szCs w:val="20"/>
          <w:color w:val="auto"/>
        </w:rPr>
      </w:pPr>
    </w:p>
    <w:p>
      <w:pPr>
        <w:spacing w:after="0" w:line="251"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p>
      <w:pPr>
        <w:ind w:left="8600"/>
        <w:spacing w:after="0"/>
        <w:tabs>
          <w:tab w:leader="none" w:pos="104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EPS Calculation:</w:t>
      </w:r>
    </w:p>
    <w:p>
      <w:pPr>
        <w:spacing w:after="0" w:line="270" w:lineRule="exact"/>
        <w:rPr>
          <w:sz w:val="20"/>
          <w:szCs w:val="20"/>
          <w:color w:val="auto"/>
        </w:rPr>
      </w:pPr>
    </w:p>
    <w:p>
      <w:pPr>
        <w:spacing w:after="0"/>
        <w:tabs>
          <w:tab w:leader="none" w:pos="8080" w:val="left"/>
          <w:tab w:leader="none" w:pos="8980" w:val="left"/>
          <w:tab w:leader="none" w:pos="10020" w:val="left"/>
          <w:tab w:leader="none" w:pos="10860" w:val="left"/>
        </w:tabs>
        <w:rPr>
          <w:sz w:val="20"/>
          <w:szCs w:val="20"/>
          <w:color w:val="auto"/>
        </w:rPr>
      </w:pPr>
      <w:r>
        <w:rPr>
          <w:rFonts w:ascii="Arial" w:cs="Arial" w:eastAsia="Arial" w:hAnsi="Arial"/>
          <w:sz w:val="18"/>
          <w:szCs w:val="18"/>
          <w:color w:val="auto"/>
        </w:rPr>
        <w:t>Net income attributable to Waste Management, Inc.</w:t>
      </w:r>
      <w:r>
        <w:rPr>
          <w:sz w:val="20"/>
          <w:szCs w:val="20"/>
          <w:color w:val="auto"/>
        </w:rPr>
        <w:tab/>
      </w:r>
      <w:r>
        <w:rPr>
          <w:rFonts w:ascii="Arial" w:cs="Arial" w:eastAsia="Arial" w:hAnsi="Arial"/>
          <w:sz w:val="36"/>
          <w:szCs w:val="36"/>
          <w:color w:val="auto"/>
          <w:vertAlign w:val="superscript"/>
        </w:rPr>
        <w:t>$</w:t>
      </w:r>
      <w:r>
        <w:rPr>
          <w:sz w:val="20"/>
          <w:szCs w:val="20"/>
          <w:color w:val="auto"/>
        </w:rPr>
        <w:tab/>
      </w:r>
      <w:r>
        <w:rPr>
          <w:rFonts w:ascii="Arial" w:cs="Arial" w:eastAsia="Arial" w:hAnsi="Arial"/>
          <w:sz w:val="36"/>
          <w:szCs w:val="36"/>
          <w:color w:val="auto"/>
          <w:vertAlign w:val="superscript"/>
        </w:rPr>
        <w:t>1,949</w:t>
      </w:r>
      <w:r>
        <w:rPr>
          <w:sz w:val="20"/>
          <w:szCs w:val="20"/>
          <w:color w:val="auto"/>
        </w:rPr>
        <w:tab/>
      </w:r>
      <w:r>
        <w:rPr>
          <w:rFonts w:ascii="Arial" w:cs="Arial" w:eastAsia="Arial" w:hAnsi="Arial"/>
          <w:sz w:val="36"/>
          <w:szCs w:val="36"/>
          <w:color w:val="auto"/>
          <w:vertAlign w:val="superscript"/>
        </w:rPr>
        <w:t>$</w:t>
      </w:r>
      <w:r>
        <w:rPr>
          <w:sz w:val="20"/>
          <w:szCs w:val="20"/>
          <w:color w:val="auto"/>
        </w:rPr>
        <w:tab/>
      </w:r>
      <w:r>
        <w:rPr>
          <w:rFonts w:ascii="Arial" w:cs="Arial" w:eastAsia="Arial" w:hAnsi="Arial"/>
          <w:sz w:val="25"/>
          <w:szCs w:val="25"/>
          <w:color w:val="auto"/>
          <w:vertAlign w:val="superscript"/>
        </w:rPr>
        <w:t>1,182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-99060</wp:posOffset>
            </wp:positionV>
            <wp:extent cx="216979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9795" cy="26035"/>
                    </a:xfrm>
                    <a:prstGeom prst="rect">
                      <a:avLst/>
                    </a:prstGeom>
                    <a:noFill/>
                  </pic:spPr>
                </pic:pic>
              </a:graphicData>
            </a:graphic>
          </wp:anchor>
        </w:drawing>
      </w:r>
    </w:p>
    <w:p>
      <w:pPr>
        <w:sectPr>
          <w:pgSz w:w="11900" w:h="17000" w:orient="portrait"/>
          <w:cols w:equalWidth="0" w:num="1">
            <w:col w:w="11460"/>
          </w:cols>
          <w:pgMar w:left="240" w:top="125" w:right="19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8000" w:type="dxa"/>
            <w:vAlign w:val="bottom"/>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433.3</w:t>
            </w:r>
          </w:p>
        </w:tc>
        <w:tc>
          <w:tcPr>
            <w:tcW w:w="40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439.3</w:t>
            </w:r>
          </w:p>
        </w:tc>
      </w:tr>
      <w:tr>
        <w:trPr>
          <w:trHeight w:val="271"/>
        </w:trPr>
        <w:tc>
          <w:tcPr>
            <w:tcW w:w="8000" w:type="dxa"/>
            <w:vAlign w:val="bottom"/>
          </w:tcPr>
          <w:p>
            <w:pPr>
              <w:ind w:left="140"/>
              <w:spacing w:after="0"/>
              <w:rPr>
                <w:sz w:val="20"/>
                <w:szCs w:val="20"/>
                <w:color w:val="auto"/>
              </w:rPr>
            </w:pPr>
            <w:r>
              <w:rPr>
                <w:rFonts w:ascii="Arial" w:cs="Arial" w:eastAsia="Arial" w:hAnsi="Arial"/>
                <w:sz w:val="18"/>
                <w:szCs w:val="18"/>
                <w:color w:val="auto"/>
              </w:rPr>
              <w:t>Effect of using weighted average common shares outstanding</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23"/>
                <w:szCs w:val="23"/>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Weighted average basic common shares outstanding</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438.8</w:t>
            </w:r>
          </w:p>
        </w:tc>
        <w:tc>
          <w:tcPr>
            <w:tcW w:w="40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443.5</w:t>
            </w:r>
          </w:p>
        </w:tc>
      </w:tr>
      <w:tr>
        <w:trPr>
          <w:trHeight w:val="271"/>
        </w:trPr>
        <w:tc>
          <w:tcPr>
            <w:tcW w:w="8000" w:type="dxa"/>
            <w:vAlign w:val="bottom"/>
          </w:tcPr>
          <w:p>
            <w:pPr>
              <w:ind w:left="1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3"/>
                <w:szCs w:val="23"/>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Weighted average diluted common shares outstanding</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441.9</w:t>
            </w:r>
          </w:p>
        </w:tc>
        <w:tc>
          <w:tcPr>
            <w:tcW w:w="400" w:type="dxa"/>
            <w:vAlign w:val="bottom"/>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446.5</w:t>
            </w:r>
          </w:p>
        </w:tc>
      </w:tr>
      <w:tr>
        <w:trPr>
          <w:trHeight w:val="20"/>
        </w:trPr>
        <w:tc>
          <w:tcPr>
            <w:tcW w:w="80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1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900" w:type="dxa"/>
            <w:vAlign w:val="bottom"/>
          </w:tcPr>
          <w:p>
            <w:pPr>
              <w:spacing w:after="0"/>
              <w:rPr>
                <w:sz w:val="22"/>
                <w:szCs w:val="22"/>
                <w:color w:val="auto"/>
              </w:rPr>
            </w:pPr>
          </w:p>
        </w:tc>
        <w:tc>
          <w:tcPr>
            <w:tcW w:w="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4.44</w:t>
            </w:r>
          </w:p>
        </w:tc>
        <w:tc>
          <w:tcPr>
            <w:tcW w:w="400" w:type="dxa"/>
            <w:vAlign w:val="bottom"/>
          </w:tcPr>
          <w:p>
            <w:pPr>
              <w:spacing w:after="0"/>
              <w:rPr>
                <w:sz w:val="22"/>
                <w:szCs w:val="22"/>
                <w:color w:val="auto"/>
              </w:rPr>
            </w:pPr>
          </w:p>
        </w:tc>
        <w:tc>
          <w:tcPr>
            <w:tcW w:w="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45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4.41</w:t>
            </w:r>
          </w:p>
        </w:tc>
        <w:tc>
          <w:tcPr>
            <w:tcW w:w="400" w:type="dxa"/>
            <w:vAlign w:val="bottom"/>
          </w:tcPr>
          <w:p>
            <w:pPr>
              <w:spacing w:after="0"/>
              <w:rPr>
                <w:sz w:val="24"/>
                <w:szCs w:val="24"/>
                <w:color w:val="auto"/>
              </w:rPr>
            </w:pP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900" w:type="dxa"/>
            <w:vAlign w:val="bottom"/>
            <w:vMerge w:val="restart"/>
          </w:tcPr>
          <w:p>
            <w:pPr>
              <w:jc w:val="right"/>
              <w:ind w:right="2090"/>
              <w:spacing w:after="0"/>
              <w:rPr>
                <w:sz w:val="20"/>
                <w:szCs w:val="20"/>
                <w:color w:val="auto"/>
              </w:rPr>
            </w:pPr>
            <w:r>
              <w:rPr>
                <w:rFonts w:ascii="Arial" w:cs="Arial" w:eastAsia="Arial" w:hAnsi="Arial"/>
                <w:sz w:val="18"/>
                <w:szCs w:val="18"/>
                <w:b w:val="1"/>
                <w:bCs w:val="1"/>
                <w:color w:val="auto"/>
              </w:rPr>
              <w:t>(4)</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00" w:type="dxa"/>
            <w:vAlign w:val="bottom"/>
            <w:tcBorders>
              <w:bottom w:val="single" w:sz="8" w:color="808080"/>
            </w:tcBorders>
          </w:tcPr>
          <w:p>
            <w:pPr>
              <w:spacing w:after="0"/>
              <w:rPr>
                <w:sz w:val="11"/>
                <w:szCs w:val="11"/>
                <w:color w:val="auto"/>
              </w:rPr>
            </w:pPr>
          </w:p>
        </w:tc>
        <w:tc>
          <w:tcPr>
            <w:tcW w:w="39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Waste Management,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Condensed 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(In Millions)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80" w:type="dxa"/>
            <w:vAlign w:val="bottom"/>
            <w:gridSpan w:val="3"/>
          </w:tcPr>
          <w:p>
            <w:pPr>
              <w:ind w:left="2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December 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7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2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Current assets:</w:t>
            </w:r>
          </w:p>
        </w:tc>
        <w:tc>
          <w:tcPr>
            <w:tcW w:w="2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2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2,624</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1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11,559</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10,950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Goodwill</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Other assets</w:t>
            </w:r>
          </w:p>
        </w:tc>
        <w:tc>
          <w:tcPr>
            <w:tcW w:w="27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2780" w:type="dxa"/>
            <w:vAlign w:val="bottom"/>
          </w:tcPr>
          <w:p>
            <w:pPr>
              <w:spacing w:after="0"/>
              <w:rPr>
                <w:sz w:val="18"/>
                <w:szCs w:val="18"/>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38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2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60" w:type="dxa"/>
            <w:vAlign w:val="bottom"/>
            <w:vMerge w:val="continue"/>
          </w:tcPr>
          <w:p>
            <w:pPr>
              <w:spacing w:after="0"/>
              <w:rPr>
                <w:sz w:val="24"/>
                <w:szCs w:val="24"/>
                <w:color w:val="auto"/>
              </w:rPr>
            </w:pPr>
          </w:p>
        </w:tc>
        <w:tc>
          <w:tcPr>
            <w:tcW w:w="2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Current liabilities:</w:t>
            </w:r>
          </w:p>
        </w:tc>
        <w:tc>
          <w:tcPr>
            <w:tcW w:w="2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w w:val="99"/>
              </w:rPr>
              <w:t>Accounts payable, accrued liabilities, and deferred revenues</w:t>
            </w:r>
          </w:p>
        </w:tc>
        <w:tc>
          <w:tcPr>
            <w:tcW w:w="3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2,523</w:t>
            </w:r>
          </w:p>
        </w:tc>
        <w:tc>
          <w:tcPr>
            <w:tcW w:w="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27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2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3,262</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1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8,752</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8,893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Other liabilities</w:t>
            </w:r>
          </w:p>
        </w:tc>
        <w:tc>
          <w:tcPr>
            <w:tcW w:w="27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27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15,787</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160" w:type="dxa"/>
            <w:vAlign w:val="bottom"/>
          </w:tcPr>
          <w:p>
            <w:pPr>
              <w:spacing w:after="0"/>
              <w:rPr>
                <w:sz w:val="20"/>
                <w:szCs w:val="20"/>
                <w:color w:val="auto"/>
              </w:rPr>
            </w:pPr>
            <w:r>
              <w:rPr>
                <w:rFonts w:ascii="Arial" w:cs="Arial" w:eastAsia="Arial" w:hAnsi="Arial"/>
                <w:sz w:val="18"/>
                <w:szCs w:val="18"/>
                <w:color w:val="auto"/>
              </w:rPr>
              <w:t>Equity:</w:t>
            </w:r>
          </w:p>
        </w:tc>
        <w:tc>
          <w:tcPr>
            <w:tcW w:w="2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Waste Management, Inc. stockholders’ equity</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7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540"/>
              <w:spacing w:after="0"/>
              <w:rPr>
                <w:sz w:val="20"/>
                <w:szCs w:val="20"/>
                <w:color w:val="auto"/>
              </w:rPr>
            </w:pPr>
            <w:r>
              <w:rPr>
                <w:rFonts w:ascii="Arial" w:cs="Arial" w:eastAsia="Arial" w:hAnsi="Arial"/>
                <w:sz w:val="18"/>
                <w:szCs w:val="18"/>
                <w:color w:val="auto"/>
              </w:rPr>
              <w:t>Total equity</w:t>
            </w:r>
          </w:p>
        </w:tc>
        <w:tc>
          <w:tcPr>
            <w:tcW w:w="27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540"/>
              <w:spacing w:after="0"/>
              <w:rPr>
                <w:sz w:val="20"/>
                <w:szCs w:val="20"/>
                <w:color w:val="auto"/>
              </w:rPr>
            </w:pPr>
            <w:r>
              <w:rPr>
                <w:rFonts w:ascii="Arial" w:cs="Arial" w:eastAsia="Arial" w:hAnsi="Arial"/>
                <w:sz w:val="18"/>
                <w:szCs w:val="18"/>
                <w:color w:val="auto"/>
              </w:rPr>
              <w:t>Total liabilities and equity</w:t>
            </w:r>
          </w:p>
        </w:tc>
        <w:tc>
          <w:tcPr>
            <w:tcW w:w="2780" w:type="dxa"/>
            <w:vAlign w:val="bottom"/>
          </w:tcPr>
          <w:p>
            <w:pPr>
              <w:spacing w:after="0"/>
              <w:rPr>
                <w:sz w:val="18"/>
                <w:szCs w:val="18"/>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38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780" w:type="dxa"/>
            <w:vAlign w:val="bottom"/>
            <w:vMerge w:val="restart"/>
          </w:tcPr>
          <w:p>
            <w:pPr>
              <w:jc w:val="right"/>
              <w:ind w:right="2030"/>
              <w:spacing w:after="0"/>
              <w:rPr>
                <w:sz w:val="20"/>
                <w:szCs w:val="20"/>
                <w:color w:val="auto"/>
              </w:rPr>
            </w:pPr>
            <w:r>
              <w:rPr>
                <w:rFonts w:ascii="Arial" w:cs="Arial" w:eastAsia="Arial" w:hAnsi="Arial"/>
                <w:sz w:val="18"/>
                <w:szCs w:val="18"/>
                <w:b w:val="1"/>
                <w:bCs w:val="1"/>
                <w:color w:val="auto"/>
              </w:rPr>
              <w:t>(5)</w:t>
            </w: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6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line="230" w:lineRule="auto"/>
        <w:rPr>
          <w:sz w:val="20"/>
          <w:szCs w:val="20"/>
          <w:color w:val="auto"/>
        </w:rPr>
      </w:pPr>
      <w:r>
        <w:rPr>
          <w:rFonts w:ascii="Arial" w:cs="Arial" w:eastAsia="Arial" w:hAnsi="Arial"/>
          <w:sz w:val="22"/>
          <w:szCs w:val="22"/>
          <w:b w:val="1"/>
          <w:bCs w:val="1"/>
          <w:color w:val="auto"/>
        </w:rPr>
        <w:t>(In Millions)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91" w:lineRule="exact"/>
        <w:rPr>
          <w:sz w:val="20"/>
          <w:szCs w:val="20"/>
          <w:color w:val="auto"/>
        </w:rPr>
      </w:pPr>
    </w:p>
    <w:p>
      <w:pPr>
        <w:jc w:val="center"/>
        <w:ind w:left="784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p>
      <w:pPr>
        <w:ind w:left="8440"/>
        <w:spacing w:after="0"/>
        <w:tabs>
          <w:tab w:leader="none" w:pos="104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14605</wp:posOffset>
            </wp:positionV>
            <wp:extent cx="21697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-130810</wp:posOffset>
            </wp:positionV>
            <wp:extent cx="21697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ectPr>
          <w:pgSz w:w="11900" w:h="16838" w:orient="portrait"/>
          <w:cols w:equalWidth="0" w:num="1">
            <w:col w:w="11460"/>
          </w:cols>
          <w:pgMar w:left="240" w:top="854" w:right="199" w:bottom="0" w:gutter="0" w:footer="0" w:header="0"/>
        </w:sectPr>
      </w:pPr>
    </w:p>
    <w:bookmarkStart w:id="8" w:name="page9"/>
    <w:bookmarkEnd w:id="8"/>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920" w:type="dxa"/>
            <w:vAlign w:val="bottom"/>
          </w:tcPr>
          <w:p>
            <w:pPr>
              <w:ind w:left="240"/>
              <w:spacing w:after="0"/>
              <w:rPr>
                <w:sz w:val="20"/>
                <w:szCs w:val="20"/>
                <w:color w:val="auto"/>
              </w:rPr>
            </w:pPr>
            <w:r>
              <w:rPr>
                <w:rFonts w:ascii="Arial" w:cs="Arial" w:eastAsia="Arial" w:hAnsi="Arial"/>
                <w:sz w:val="18"/>
                <w:szCs w:val="18"/>
                <w:color w:val="auto"/>
              </w:rPr>
              <w:t>Consolidated net income</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1,949</w:t>
            </w:r>
          </w:p>
        </w:tc>
        <w:tc>
          <w:tcPr>
            <w:tcW w:w="52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16"/>
        </w:trPr>
        <w:tc>
          <w:tcPr>
            <w:tcW w:w="7920" w:type="dxa"/>
            <w:vAlign w:val="bottom"/>
          </w:tcPr>
          <w:p>
            <w:pPr>
              <w:ind w:left="24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920" w:type="dxa"/>
            <w:vAlign w:val="bottom"/>
          </w:tcPr>
          <w:p>
            <w:pPr>
              <w:ind w:left="58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1,376</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1,301</w:t>
            </w:r>
          </w:p>
        </w:tc>
      </w:tr>
      <w:tr>
        <w:trPr>
          <w:trHeight w:val="216"/>
        </w:trPr>
        <w:tc>
          <w:tcPr>
            <w:tcW w:w="7920" w:type="dxa"/>
            <w:vAlign w:val="bottom"/>
          </w:tcPr>
          <w:p>
            <w:pPr>
              <w:ind w:left="58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30"/>
        </w:trPr>
        <w:tc>
          <w:tcPr>
            <w:tcW w:w="7920" w:type="dxa"/>
            <w:vAlign w:val="bottom"/>
          </w:tcPr>
          <w:p>
            <w:pPr>
              <w:ind w:left="58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5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3,180</w:t>
            </w:r>
          </w:p>
        </w:tc>
        <w:tc>
          <w:tcPr>
            <w:tcW w:w="5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w:t>
            </w:r>
          </w:p>
        </w:tc>
      </w:tr>
      <w:tr>
        <w:trPr>
          <w:trHeight w:val="411"/>
        </w:trPr>
        <w:tc>
          <w:tcPr>
            <w:tcW w:w="79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7920" w:type="dxa"/>
            <w:vAlign w:val="bottom"/>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16"/>
        </w:trPr>
        <w:tc>
          <w:tcPr>
            <w:tcW w:w="792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(1,509)</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(1,339)</w:t>
            </w:r>
          </w:p>
        </w:tc>
      </w:tr>
      <w:tr>
        <w:trPr>
          <w:trHeight w:val="216"/>
        </w:trPr>
        <w:tc>
          <w:tcPr>
            <w:tcW w:w="7920" w:type="dxa"/>
            <w:vAlign w:val="bottom"/>
          </w:tcPr>
          <w:p>
            <w:pPr>
              <w:ind w:left="24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920" w:type="dxa"/>
            <w:vAlign w:val="bottom"/>
          </w:tcPr>
          <w:p>
            <w:pPr>
              <w:ind w:left="240"/>
              <w:spacing w:after="0"/>
              <w:rPr>
                <w:sz w:val="20"/>
                <w:szCs w:val="20"/>
                <w:color w:val="auto"/>
              </w:rPr>
            </w:pPr>
            <w:r>
              <w:rPr>
                <w:rFonts w:ascii="Arial" w:cs="Arial" w:eastAsia="Arial" w:hAnsi="Arial"/>
                <w:sz w:val="18"/>
                <w:szCs w:val="18"/>
                <w:color w:val="auto"/>
              </w:rPr>
              <w:t>Net receipts from restricted trust and escrow accounts</w:t>
            </w: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30"/>
        </w:trPr>
        <w:tc>
          <w:tcPr>
            <w:tcW w:w="792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5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r>
      <w:tr>
        <w:trPr>
          <w:trHeight w:val="411"/>
        </w:trPr>
        <w:tc>
          <w:tcPr>
            <w:tcW w:w="79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7920" w:type="dxa"/>
            <w:vAlign w:val="bottom"/>
          </w:tcPr>
          <w:p>
            <w:pPr>
              <w:ind w:left="240"/>
              <w:spacing w:after="0"/>
              <w:rPr>
                <w:sz w:val="20"/>
                <w:szCs w:val="20"/>
                <w:color w:val="auto"/>
              </w:rPr>
            </w:pPr>
            <w:r>
              <w:rPr>
                <w:rFonts w:ascii="Arial" w:cs="Arial" w:eastAsia="Arial" w:hAnsi="Arial"/>
                <w:sz w:val="18"/>
                <w:szCs w:val="18"/>
                <w:color w:val="auto"/>
              </w:rPr>
              <w:t>New borrowings</w:t>
            </w: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1,027</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3,057</w:t>
            </w:r>
          </w:p>
        </w:tc>
      </w:tr>
      <w:tr>
        <w:trPr>
          <w:trHeight w:val="216"/>
        </w:trPr>
        <w:tc>
          <w:tcPr>
            <w:tcW w:w="7920" w:type="dxa"/>
            <w:vAlign w:val="bottom"/>
          </w:tcPr>
          <w:p>
            <w:pPr>
              <w:ind w:left="240"/>
              <w:spacing w:after="0"/>
              <w:rPr>
                <w:sz w:val="20"/>
                <w:szCs w:val="20"/>
                <w:color w:val="auto"/>
              </w:rPr>
            </w:pPr>
            <w:r>
              <w:rPr>
                <w:rFonts w:ascii="Arial" w:cs="Arial" w:eastAsia="Arial" w:hAnsi="Arial"/>
                <w:sz w:val="18"/>
                <w:szCs w:val="18"/>
                <w:color w:val="auto"/>
              </w:rPr>
              <w:t>Debt repayments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(1,907)</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(2,682)</w:t>
            </w:r>
          </w:p>
        </w:tc>
      </w:tr>
      <w:tr>
        <w:trPr>
          <w:trHeight w:val="216"/>
        </w:trPr>
        <w:tc>
          <w:tcPr>
            <w:tcW w:w="7920" w:type="dxa"/>
            <w:vAlign w:val="bottom"/>
          </w:tcPr>
          <w:p>
            <w:pPr>
              <w:ind w:left="240"/>
              <w:spacing w:after="0"/>
              <w:rPr>
                <w:sz w:val="20"/>
                <w:szCs w:val="20"/>
                <w:color w:val="auto"/>
              </w:rPr>
            </w:pPr>
            <w:r>
              <w:rPr>
                <w:rFonts w:ascii="Arial" w:cs="Arial" w:eastAsia="Arial" w:hAnsi="Arial"/>
                <w:sz w:val="18"/>
                <w:szCs w:val="18"/>
                <w:color w:val="auto"/>
              </w:rPr>
              <w:t>Net commercial paper borrowings</w:t>
            </w: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tcPr>
          <w:p>
            <w:pPr>
              <w:ind w:left="240"/>
              <w:spacing w:after="0"/>
              <w:rPr>
                <w:sz w:val="20"/>
                <w:szCs w:val="20"/>
                <w:color w:val="auto"/>
              </w:rPr>
            </w:pPr>
            <w:r>
              <w:rPr>
                <w:rFonts w:ascii="Arial" w:cs="Arial" w:eastAsia="Arial" w:hAnsi="Arial"/>
                <w:sz w:val="18"/>
                <w:szCs w:val="18"/>
                <w:color w:val="auto"/>
              </w:rPr>
              <w:t>Common stock repurchase program</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16"/>
        </w:trPr>
        <w:tc>
          <w:tcPr>
            <w:tcW w:w="7920" w:type="dxa"/>
            <w:vAlign w:val="bottom"/>
          </w:tcPr>
          <w:p>
            <w:pPr>
              <w:ind w:left="240"/>
              <w:spacing w:after="0"/>
              <w:rPr>
                <w:sz w:val="20"/>
                <w:szCs w:val="20"/>
                <w:color w:val="auto"/>
              </w:rPr>
            </w:pPr>
            <w:r>
              <w:rPr>
                <w:rFonts w:ascii="Arial" w:cs="Arial" w:eastAsia="Arial" w:hAnsi="Arial"/>
                <w:sz w:val="18"/>
                <w:szCs w:val="18"/>
                <w:color w:val="auto"/>
              </w:rPr>
              <w:t>Cash dividends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16"/>
        </w:trPr>
        <w:tc>
          <w:tcPr>
            <w:tcW w:w="7920" w:type="dxa"/>
            <w:vAlign w:val="bottom"/>
          </w:tcPr>
          <w:p>
            <w:pPr>
              <w:ind w:left="240"/>
              <w:spacing w:after="0"/>
              <w:rPr>
                <w:sz w:val="20"/>
                <w:szCs w:val="20"/>
                <w:color w:val="auto"/>
              </w:rPr>
            </w:pPr>
            <w:r>
              <w:rPr>
                <w:rFonts w:ascii="Arial" w:cs="Arial" w:eastAsia="Arial" w:hAnsi="Arial"/>
                <w:sz w:val="18"/>
                <w:szCs w:val="18"/>
                <w:color w:val="auto"/>
              </w:rPr>
              <w:t>Exercise of common stock options</w:t>
            </w: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920" w:type="dxa"/>
            <w:vAlign w:val="bottom"/>
          </w:tcPr>
          <w:p>
            <w:pPr>
              <w:ind w:left="24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92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5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r>
      <w:tr>
        <w:trPr>
          <w:trHeight w:val="411"/>
        </w:trPr>
        <w:tc>
          <w:tcPr>
            <w:tcW w:w="792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8"/>
                <w:szCs w:val="18"/>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7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Prior year information has been revised to reflect the adoption of ASU 2016-09 and conform to our current year presentation.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Quarters Ended</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20" w:type="dxa"/>
            <w:vAlign w:val="bottom"/>
            <w:gridSpan w:val="3"/>
          </w:tcPr>
          <w:p>
            <w:pPr>
              <w:ind w:left="140"/>
              <w:spacing w:after="0" w:line="191" w:lineRule="exact"/>
              <w:rPr>
                <w:sz w:val="20"/>
                <w:szCs w:val="20"/>
                <w:color w:val="auto"/>
              </w:rPr>
            </w:pPr>
            <w:r>
              <w:rPr>
                <w:rFonts w:ascii="Arial" w:cs="Arial" w:eastAsia="Arial" w:hAnsi="Arial"/>
                <w:sz w:val="18"/>
                <w:szCs w:val="18"/>
                <w:b w:val="1"/>
                <w:bCs w:val="1"/>
                <w:color w:val="auto"/>
              </w:rPr>
              <w:t>December 31,</w:t>
            </w:r>
          </w:p>
        </w:tc>
        <w:tc>
          <w:tcPr>
            <w:tcW w:w="1660" w:type="dxa"/>
            <w:vAlign w:val="bottom"/>
            <w:gridSpan w:val="3"/>
          </w:tcPr>
          <w:p>
            <w:pPr>
              <w:ind w:left="140"/>
              <w:spacing w:after="0" w:line="191" w:lineRule="exact"/>
              <w:rPr>
                <w:sz w:val="20"/>
                <w:szCs w:val="20"/>
                <w:color w:val="auto"/>
              </w:rPr>
            </w:pPr>
            <w:r>
              <w:rPr>
                <w:rFonts w:ascii="Arial" w:cs="Arial" w:eastAsia="Arial" w:hAnsi="Arial"/>
                <w:sz w:val="18"/>
                <w:szCs w:val="18"/>
                <w:b w:val="1"/>
                <w:bCs w:val="1"/>
                <w:color w:val="auto"/>
              </w:rPr>
              <w:t>September 30,</w:t>
            </w:r>
          </w:p>
        </w:tc>
        <w:tc>
          <w:tcPr>
            <w:tcW w:w="1380" w:type="dxa"/>
            <w:vAlign w:val="bottom"/>
            <w:gridSpan w:val="2"/>
          </w:tcPr>
          <w:p>
            <w:pPr>
              <w:jc w:val="right"/>
              <w:ind w:right="90"/>
              <w:spacing w:after="0" w:line="191"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w w:val="87"/>
              </w:rPr>
              <w:t>Operating Revenues by Lines of Business</w:t>
            </w:r>
          </w:p>
        </w:tc>
        <w:tc>
          <w:tcPr>
            <w:tcW w:w="1820" w:type="dxa"/>
            <w:vAlign w:val="bottom"/>
            <w:vMerge w:val="restart"/>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61"/>
        </w:trPr>
        <w:tc>
          <w:tcPr>
            <w:tcW w:w="3180" w:type="dxa"/>
            <w:vAlign w:val="bottom"/>
            <w:tcBorders>
              <w:bottom w:val="single" w:sz="8" w:color="auto"/>
            </w:tcBorders>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8"/>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Collection</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720"/>
              <w:spacing w:after="0"/>
              <w:rPr>
                <w:sz w:val="20"/>
                <w:szCs w:val="20"/>
                <w:color w:val="auto"/>
              </w:rPr>
            </w:pPr>
            <w:r>
              <w:rPr>
                <w:rFonts w:ascii="Arial" w:cs="Arial" w:eastAsia="Arial" w:hAnsi="Arial"/>
                <w:sz w:val="18"/>
                <w:szCs w:val="18"/>
                <w:color w:val="auto"/>
              </w:rPr>
              <w:t>Commercial</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950</w:t>
            </w:r>
          </w:p>
        </w:tc>
        <w:tc>
          <w:tcPr>
            <w:tcW w:w="2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936</w:t>
            </w:r>
          </w:p>
        </w:tc>
        <w:tc>
          <w:tcPr>
            <w:tcW w:w="300" w:type="dxa"/>
            <w:vAlign w:val="bottom"/>
          </w:tcPr>
          <w:p>
            <w:pPr>
              <w:spacing w:after="0"/>
              <w:rPr>
                <w:sz w:val="18"/>
                <w:szCs w:val="18"/>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5000" w:type="dxa"/>
            <w:vAlign w:val="bottom"/>
            <w:gridSpan w:val="2"/>
          </w:tcPr>
          <w:p>
            <w:pPr>
              <w:ind w:left="72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5000" w:type="dxa"/>
            <w:vAlign w:val="bottom"/>
            <w:gridSpan w:val="2"/>
          </w:tcPr>
          <w:p>
            <w:pPr>
              <w:ind w:left="720"/>
              <w:spacing w:after="0"/>
              <w:rPr>
                <w:sz w:val="20"/>
                <w:szCs w:val="20"/>
                <w:color w:val="auto"/>
              </w:rPr>
            </w:pPr>
            <w:r>
              <w:rPr>
                <w:rFonts w:ascii="Arial" w:cs="Arial" w:eastAsia="Arial" w:hAnsi="Arial"/>
                <w:sz w:val="18"/>
                <w:szCs w:val="18"/>
                <w:color w:val="auto"/>
              </w:rPr>
              <w:t>Industrial</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0"/>
        </w:trPr>
        <w:tc>
          <w:tcPr>
            <w:tcW w:w="500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5"/>
        </w:trPr>
        <w:tc>
          <w:tcPr>
            <w:tcW w:w="5000" w:type="dxa"/>
            <w:vAlign w:val="bottom"/>
            <w:gridSpan w:val="2"/>
          </w:tcPr>
          <w:p>
            <w:pPr>
              <w:ind w:left="540"/>
              <w:spacing w:after="0" w:line="195" w:lineRule="exact"/>
              <w:rPr>
                <w:sz w:val="20"/>
                <w:szCs w:val="20"/>
                <w:color w:val="auto"/>
              </w:rPr>
            </w:pPr>
            <w:r>
              <w:rPr>
                <w:rFonts w:ascii="Arial" w:cs="Arial" w:eastAsia="Arial" w:hAnsi="Arial"/>
                <w:sz w:val="18"/>
                <w:szCs w:val="18"/>
                <w:color w:val="auto"/>
              </w:rPr>
              <w:t>Total Collection</w:t>
            </w:r>
          </w:p>
        </w:tc>
        <w:tc>
          <w:tcPr>
            <w:tcW w:w="32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2,352</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2,351</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6"/>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Landfill</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Transfer</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Recycling</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2"/>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4"/>
        </w:trPr>
        <w:tc>
          <w:tcPr>
            <w:tcW w:w="5000" w:type="dxa"/>
            <w:vAlign w:val="bottom"/>
            <w:gridSpan w:val="2"/>
          </w:tcPr>
          <w:p>
            <w:pPr>
              <w:ind w:left="54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0"/>
        </w:trPr>
        <w:tc>
          <w:tcPr>
            <w:tcW w:w="5000" w:type="dxa"/>
            <w:vAlign w:val="bottom"/>
            <w:gridSpan w:val="2"/>
          </w:tcPr>
          <w:p>
            <w:pPr>
              <w:ind w:left="720"/>
              <w:spacing w:after="0"/>
              <w:rPr>
                <w:sz w:val="20"/>
                <w:szCs w:val="20"/>
                <w:color w:val="auto"/>
              </w:rPr>
            </w:pPr>
            <w:r>
              <w:rPr>
                <w:rFonts w:ascii="Arial" w:cs="Arial" w:eastAsia="Arial" w:hAnsi="Arial"/>
                <w:sz w:val="18"/>
                <w:szCs w:val="18"/>
                <w:color w:val="auto"/>
              </w:rPr>
              <w:t>Operating revenues</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w:t>
            </w:r>
          </w:p>
        </w:tc>
        <w:tc>
          <w:tcPr>
            <w:tcW w:w="280" w:type="dxa"/>
            <w:vAlign w:val="bottom"/>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rPr>
              <w:t>Quarters Ended</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December 31, 2017</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24"/>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Analysis of Change in Year Over Year Revenues</w:t>
            </w:r>
          </w:p>
        </w:tc>
        <w:tc>
          <w:tcPr>
            <w:tcW w:w="98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1"/>
              </w:rPr>
              <w:t>As a% of</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vMerge w:val="restart"/>
          </w:tcPr>
          <w:p>
            <w:pPr>
              <w:jc w:val="right"/>
              <w:ind w:right="250"/>
              <w:spacing w:after="0"/>
              <w:rPr>
                <w:sz w:val="20"/>
                <w:szCs w:val="20"/>
                <w:color w:val="auto"/>
              </w:rPr>
            </w:pPr>
            <w:r>
              <w:rPr>
                <w:rFonts w:ascii="Arial" w:cs="Arial" w:eastAsia="Arial" w:hAnsi="Arial"/>
                <w:sz w:val="18"/>
                <w:szCs w:val="18"/>
                <w:color w:val="auto"/>
              </w:rPr>
              <w:t>As a% of</w:t>
            </w:r>
          </w:p>
        </w:tc>
        <w:tc>
          <w:tcPr>
            <w:tcW w:w="0" w:type="dxa"/>
            <w:vAlign w:val="bottom"/>
          </w:tcPr>
          <w:p>
            <w:pPr>
              <w:spacing w:after="0"/>
              <w:rPr>
                <w:sz w:val="1"/>
                <w:szCs w:val="1"/>
                <w:color w:val="auto"/>
              </w:rPr>
            </w:pPr>
          </w:p>
        </w:tc>
      </w:tr>
      <w:tr>
        <w:trPr>
          <w:trHeight w:val="161"/>
        </w:trPr>
        <w:tc>
          <w:tcPr>
            <w:tcW w:w="500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00" w:type="dxa"/>
            <w:vAlign w:val="bottom"/>
            <w:tcBorders>
              <w:top w:val="single" w:sz="8" w:color="auto"/>
            </w:tcBorders>
            <w:vMerge w:val="restart"/>
          </w:tcPr>
          <w:p>
            <w:pPr>
              <w:ind w:left="54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300" w:type="dxa"/>
            <w:vAlign w:val="bottom"/>
            <w:vMerge w:val="restart"/>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Amount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Total Company</w:t>
            </w:r>
          </w:p>
        </w:tc>
        <w:tc>
          <w:tcPr>
            <w:tcW w:w="2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Amount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w w:val="99"/>
              </w:rPr>
              <w:t>Total Company</w:t>
            </w:r>
          </w:p>
        </w:tc>
        <w:tc>
          <w:tcPr>
            <w:tcW w:w="0" w:type="dxa"/>
            <w:vAlign w:val="bottom"/>
          </w:tcPr>
          <w:p>
            <w:pPr>
              <w:spacing w:after="0"/>
              <w:rPr>
                <w:sz w:val="1"/>
                <w:szCs w:val="1"/>
                <w:color w:val="auto"/>
              </w:rPr>
            </w:pPr>
          </w:p>
        </w:tc>
      </w:tr>
      <w:tr>
        <w:trPr>
          <w:trHeight w:val="195"/>
        </w:trPr>
        <w:tc>
          <w:tcPr>
            <w:tcW w:w="3700" w:type="dxa"/>
            <w:vAlign w:val="bottom"/>
            <w:tcBorders>
              <w:top w:val="single" w:sz="8" w:color="auto"/>
            </w:tcBorders>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980" w:type="dxa"/>
            <w:vAlign w:val="bottom"/>
            <w:tcBorders>
              <w:top w:val="single" w:sz="8" w:color="auto"/>
            </w:tcBorders>
          </w:tcPr>
          <w:p>
            <w:pPr>
              <w:jc w:val="right"/>
              <w:ind w:right="710"/>
              <w:spacing w:after="0" w:line="195"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78</w:t>
            </w:r>
          </w:p>
        </w:tc>
        <w:tc>
          <w:tcPr>
            <w:tcW w:w="280" w:type="dxa"/>
            <w:vAlign w:val="bottom"/>
          </w:tcPr>
          <w:p>
            <w:pPr>
              <w:spacing w:after="0"/>
              <w:rPr>
                <w:sz w:val="16"/>
                <w:szCs w:val="16"/>
                <w:color w:val="auto"/>
              </w:rPr>
            </w:pP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w:t>
            </w:r>
          </w:p>
        </w:tc>
        <w:tc>
          <w:tcPr>
            <w:tcW w:w="300" w:type="dxa"/>
            <w:vAlign w:val="bottom"/>
          </w:tcPr>
          <w:p>
            <w:pPr>
              <w:spacing w:after="0"/>
              <w:rPr>
                <w:sz w:val="16"/>
                <w:szCs w:val="16"/>
                <w:color w:val="auto"/>
              </w:rPr>
            </w:pPr>
          </w:p>
        </w:tc>
        <w:tc>
          <w:tcPr>
            <w:tcW w:w="2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105</w:t>
            </w:r>
          </w:p>
        </w:tc>
        <w:tc>
          <w:tcPr>
            <w:tcW w:w="280" w:type="dxa"/>
            <w:vAlign w:val="bottom"/>
          </w:tcPr>
          <w:p>
            <w:pPr>
              <w:spacing w:after="0"/>
              <w:rPr>
                <w:sz w:val="16"/>
                <w:szCs w:val="16"/>
                <w:color w:val="auto"/>
              </w:rPr>
            </w:pP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000" w:type="dxa"/>
            <w:vAlign w:val="bottom"/>
            <w:gridSpan w:val="2"/>
          </w:tcPr>
          <w:p>
            <w:pPr>
              <w:ind w:left="560"/>
              <w:spacing w:after="0"/>
              <w:rPr>
                <w:sz w:val="20"/>
                <w:szCs w:val="20"/>
                <w:color w:val="auto"/>
              </w:rPr>
            </w:pPr>
            <w:r>
              <w:rPr>
                <w:rFonts w:ascii="Arial" w:cs="Arial" w:eastAsia="Arial" w:hAnsi="Arial"/>
                <w:sz w:val="18"/>
                <w:szCs w:val="18"/>
                <w:color w:val="auto"/>
              </w:rPr>
              <w:t>Volume</w:t>
            </w: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5"/>
        </w:trPr>
        <w:tc>
          <w:tcPr>
            <w:tcW w:w="5000" w:type="dxa"/>
            <w:vAlign w:val="bottom"/>
            <w:gridSpan w:val="2"/>
          </w:tcPr>
          <w:p>
            <w:pPr>
              <w:ind w:left="560"/>
              <w:spacing w:after="0" w:line="195" w:lineRule="exact"/>
              <w:rPr>
                <w:sz w:val="20"/>
                <w:szCs w:val="20"/>
                <w:color w:val="auto"/>
              </w:rPr>
            </w:pPr>
            <w:r>
              <w:rPr>
                <w:rFonts w:ascii="Arial" w:cs="Arial" w:eastAsia="Arial" w:hAnsi="Arial"/>
                <w:sz w:val="18"/>
                <w:szCs w:val="18"/>
                <w:color w:val="auto"/>
              </w:rPr>
              <w:t>Internal revenue growth</w:t>
            </w:r>
          </w:p>
        </w:tc>
        <w:tc>
          <w:tcPr>
            <w:tcW w:w="980" w:type="dxa"/>
            <w:vAlign w:val="bottom"/>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w w:val="93"/>
              </w:rPr>
              <w:t>169</w:t>
            </w:r>
          </w:p>
        </w:tc>
        <w:tc>
          <w:tcPr>
            <w:tcW w:w="280" w:type="dxa"/>
            <w:vAlign w:val="bottom"/>
          </w:tcPr>
          <w:p>
            <w:pPr>
              <w:spacing w:after="0"/>
              <w:rPr>
                <w:sz w:val="16"/>
                <w:szCs w:val="16"/>
                <w:color w:val="auto"/>
              </w:rPr>
            </w:pP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4.9%</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169</w:t>
            </w:r>
          </w:p>
        </w:tc>
        <w:tc>
          <w:tcPr>
            <w:tcW w:w="280" w:type="dxa"/>
            <w:vAlign w:val="bottom"/>
          </w:tcPr>
          <w:p>
            <w:pPr>
              <w:spacing w:after="0"/>
              <w:rPr>
                <w:sz w:val="16"/>
                <w:szCs w:val="16"/>
                <w:color w:val="auto"/>
              </w:rPr>
            </w:pP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000" w:type="dxa"/>
            <w:vAlign w:val="bottom"/>
            <w:gridSpan w:val="2"/>
          </w:tcPr>
          <w:p>
            <w:pPr>
              <w:ind w:left="560"/>
              <w:spacing w:after="0"/>
              <w:rPr>
                <w:sz w:val="20"/>
                <w:szCs w:val="20"/>
                <w:color w:val="auto"/>
              </w:rPr>
            </w:pPr>
            <w:r>
              <w:rPr>
                <w:rFonts w:ascii="Arial" w:cs="Arial" w:eastAsia="Arial" w:hAnsi="Arial"/>
                <w:sz w:val="18"/>
                <w:szCs w:val="18"/>
                <w:color w:val="auto"/>
              </w:rPr>
              <w:t>Acquisition</w:t>
            </w:r>
          </w:p>
        </w:tc>
        <w:tc>
          <w:tcPr>
            <w:tcW w:w="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000" w:type="dxa"/>
            <w:vAlign w:val="bottom"/>
            <w:gridSpan w:val="2"/>
          </w:tcPr>
          <w:p>
            <w:pPr>
              <w:ind w:left="560"/>
              <w:spacing w:after="0"/>
              <w:rPr>
                <w:sz w:val="20"/>
                <w:szCs w:val="20"/>
                <w:color w:val="auto"/>
              </w:rPr>
            </w:pPr>
            <w:r>
              <w:rPr>
                <w:rFonts w:ascii="Arial" w:cs="Arial" w:eastAsia="Arial" w:hAnsi="Arial"/>
                <w:sz w:val="18"/>
                <w:szCs w:val="18"/>
                <w:color w:val="auto"/>
              </w:rPr>
              <w:t>Divestitures</w:t>
            </w:r>
          </w:p>
        </w:tc>
        <w:tc>
          <w:tcPr>
            <w:tcW w:w="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000" w:type="dxa"/>
            <w:vAlign w:val="bottom"/>
            <w:gridSpan w:val="2"/>
          </w:tcPr>
          <w:p>
            <w:pPr>
              <w:ind w:left="560"/>
              <w:spacing w:after="0"/>
              <w:rPr>
                <w:sz w:val="20"/>
                <w:szCs w:val="20"/>
                <w:color w:val="auto"/>
              </w:rPr>
            </w:pPr>
            <w:r>
              <w:rPr>
                <w:rFonts w:ascii="Arial" w:cs="Arial" w:eastAsia="Arial" w:hAnsi="Arial"/>
                <w:sz w:val="18"/>
                <w:szCs w:val="18"/>
                <w:color w:val="auto"/>
              </w:rPr>
              <w:t>Foreign currency translation</w:t>
            </w: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192</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9" w:name="page10"/>
    <w:bookmarkEnd w:id="9"/>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3321685</wp:posOffset>
            </wp:positionH>
            <wp:positionV relativeFrom="page">
              <wp:posOffset>88900</wp:posOffset>
            </wp:positionV>
            <wp:extent cx="40049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As a% of</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4"/>
              </w:rPr>
              <w:t>As a% of</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Related</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0"/>
              </w:rPr>
              <w:t>Related</w:t>
            </w:r>
          </w:p>
        </w:tc>
        <w:tc>
          <w:tcPr>
            <w:tcW w:w="0" w:type="dxa"/>
            <w:vAlign w:val="bottom"/>
          </w:tcPr>
          <w:p>
            <w:pPr>
              <w:spacing w:after="0"/>
              <w:rPr>
                <w:sz w:val="1"/>
                <w:szCs w:val="1"/>
                <w:color w:val="auto"/>
              </w:rPr>
            </w:pPr>
          </w:p>
        </w:tc>
      </w:tr>
      <w:tr>
        <w:trPr>
          <w:trHeight w:val="230"/>
        </w:trPr>
        <w:tc>
          <w:tcPr>
            <w:tcW w:w="4820" w:type="dxa"/>
            <w:vAlign w:val="bottom"/>
            <w:gridSpan w:val="2"/>
            <w:vMerge w:val="restart"/>
          </w:tcPr>
          <w:p>
            <w:pPr>
              <w:jc w:val="right"/>
              <w:ind w:right="3400"/>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24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20"/>
                <w:szCs w:val="20"/>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Business</w:t>
            </w:r>
          </w:p>
        </w:tc>
        <w:tc>
          <w:tcPr>
            <w:tcW w:w="2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7"/>
              </w:rPr>
              <w:t>Business</w:t>
            </w:r>
          </w:p>
        </w:tc>
        <w:tc>
          <w:tcPr>
            <w:tcW w:w="0" w:type="dxa"/>
            <w:vAlign w:val="bottom"/>
          </w:tcPr>
          <w:p>
            <w:pPr>
              <w:spacing w:after="0"/>
              <w:rPr>
                <w:sz w:val="1"/>
                <w:szCs w:val="1"/>
                <w:color w:val="auto"/>
              </w:rPr>
            </w:pPr>
          </w:p>
        </w:tc>
      </w:tr>
      <w:tr>
        <w:trPr>
          <w:trHeight w:val="182"/>
        </w:trPr>
        <w:tc>
          <w:tcPr>
            <w:tcW w:w="4820" w:type="dxa"/>
            <w:vAlign w:val="bottom"/>
            <w:gridSpan w:val="2"/>
            <w:vMerge w:val="continue"/>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560"/>
              <w:spacing w:after="0"/>
              <w:rPr>
                <w:sz w:val="20"/>
                <w:szCs w:val="20"/>
                <w:color w:val="auto"/>
              </w:rPr>
            </w:pPr>
            <w:r>
              <w:rPr>
                <w:rFonts w:ascii="Arial" w:cs="Arial" w:eastAsia="Arial" w:hAnsi="Arial"/>
                <w:sz w:val="18"/>
                <w:szCs w:val="18"/>
                <w:color w:val="auto"/>
              </w:rPr>
              <w:t>Collection and disposal</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820" w:type="dxa"/>
            <w:vAlign w:val="bottom"/>
            <w:gridSpan w:val="2"/>
          </w:tcPr>
          <w:p>
            <w:pPr>
              <w:ind w:left="560"/>
              <w:spacing w:after="0"/>
              <w:rPr>
                <w:sz w:val="20"/>
                <w:szCs w:val="20"/>
                <w:color w:val="auto"/>
              </w:rPr>
            </w:pPr>
            <w:r>
              <w:rPr>
                <w:rFonts w:ascii="Arial" w:cs="Arial" w:eastAsia="Arial" w:hAnsi="Arial"/>
                <w:sz w:val="18"/>
                <w:szCs w:val="18"/>
                <w:color w:val="auto"/>
              </w:rPr>
              <w:t>Recycling commodities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4820" w:type="dxa"/>
            <w:vAlign w:val="bottom"/>
            <w:gridSpan w:val="2"/>
          </w:tcPr>
          <w:p>
            <w:pPr>
              <w:ind w:left="560"/>
              <w:spacing w:after="0"/>
              <w:rPr>
                <w:sz w:val="20"/>
                <w:szCs w:val="20"/>
                <w:color w:val="auto"/>
              </w:rPr>
            </w:pPr>
            <w:r>
              <w:rPr>
                <w:rFonts w:ascii="Arial" w:cs="Arial" w:eastAsia="Arial" w:hAnsi="Arial"/>
                <w:sz w:val="18"/>
                <w:szCs w:val="18"/>
                <w:color w:val="auto"/>
              </w:rPr>
              <w:t>Fuel surcharges and mandated fees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tcPr>
          <w:p>
            <w:pPr>
              <w:ind w:left="80"/>
              <w:spacing w:after="0"/>
              <w:rPr>
                <w:sz w:val="20"/>
                <w:szCs w:val="20"/>
                <w:color w:val="auto"/>
              </w:rPr>
            </w:pPr>
            <w:r>
              <w:rPr>
                <w:rFonts w:ascii="Arial" w:cs="Arial" w:eastAsia="Arial" w:hAnsi="Arial"/>
                <w:sz w:val="18"/>
                <w:szCs w:val="18"/>
                <w:b w:val="1"/>
                <w:bCs w:val="1"/>
                <w:color w:val="auto"/>
              </w:rPr>
              <w:t>Quarters Ended December 31,</w:t>
            </w:r>
          </w:p>
        </w:tc>
        <w:tc>
          <w:tcPr>
            <w:tcW w:w="280" w:type="dxa"/>
            <w:vAlign w:val="bottom"/>
          </w:tcPr>
          <w:p>
            <w:pPr>
              <w:spacing w:after="0"/>
              <w:rPr>
                <w:sz w:val="24"/>
                <w:szCs w:val="24"/>
                <w:color w:val="auto"/>
              </w:rPr>
            </w:pPr>
          </w:p>
        </w:tc>
        <w:tc>
          <w:tcPr>
            <w:tcW w:w="27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Years Ended December 31,</w:t>
            </w:r>
          </w:p>
        </w:tc>
        <w:tc>
          <w:tcPr>
            <w:tcW w:w="0" w:type="dxa"/>
            <w:vAlign w:val="bottom"/>
          </w:tcPr>
          <w:p>
            <w:pPr>
              <w:spacing w:after="0"/>
              <w:rPr>
                <w:sz w:val="1"/>
                <w:szCs w:val="1"/>
                <w:color w:val="auto"/>
              </w:rPr>
            </w:pPr>
          </w:p>
        </w:tc>
      </w:tr>
      <w:tr>
        <w:trPr>
          <w:trHeight w:val="210"/>
        </w:trPr>
        <w:tc>
          <w:tcPr>
            <w:tcW w:w="222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0"/>
              </w:rPr>
              <w:t>Free Cash Flow Analysis (b)</w:t>
            </w:r>
          </w:p>
        </w:tc>
        <w:tc>
          <w:tcPr>
            <w:tcW w:w="2600" w:type="dxa"/>
            <w:vAlign w:val="bottom"/>
            <w:vMerge w:val="restart"/>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161"/>
        </w:trPr>
        <w:tc>
          <w:tcPr>
            <w:tcW w:w="2220" w:type="dxa"/>
            <w:vAlign w:val="bottom"/>
            <w:tcBorders>
              <w:bottom w:val="single" w:sz="8" w:color="auto"/>
            </w:tcBorders>
            <w:vMerge w:val="continue"/>
          </w:tcPr>
          <w:p>
            <w:pPr>
              <w:spacing w:after="0"/>
              <w:rPr>
                <w:sz w:val="13"/>
                <w:szCs w:val="13"/>
                <w:color w:val="auto"/>
              </w:rPr>
            </w:pPr>
          </w:p>
        </w:tc>
        <w:tc>
          <w:tcPr>
            <w:tcW w:w="2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8"/>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790</w:t>
            </w:r>
          </w:p>
        </w:tc>
        <w:tc>
          <w:tcPr>
            <w:tcW w:w="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754</w:t>
            </w:r>
          </w:p>
        </w:tc>
        <w:tc>
          <w:tcPr>
            <w:tcW w:w="300" w:type="dxa"/>
            <w:vAlign w:val="bottom"/>
          </w:tcPr>
          <w:p>
            <w:pPr>
              <w:spacing w:after="0"/>
              <w:rPr>
                <w:sz w:val="24"/>
                <w:szCs w:val="24"/>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3,180</w:t>
            </w:r>
          </w:p>
        </w:tc>
        <w:tc>
          <w:tcPr>
            <w:tcW w:w="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8"/>
                <w:szCs w:val="18"/>
                <w:color w:val="auto"/>
                <w:w w:val="95"/>
              </w:rPr>
              <w:t>Proceeds from divestitures of businesses and other assets (net</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jc w:val="right"/>
              <w:ind w:right="3400"/>
              <w:spacing w:after="0"/>
              <w:rPr>
                <w:sz w:val="20"/>
                <w:szCs w:val="20"/>
                <w:color w:val="auto"/>
              </w:rPr>
            </w:pPr>
            <w:r>
              <w:rPr>
                <w:rFonts w:ascii="Arial" w:cs="Arial" w:eastAsia="Arial" w:hAnsi="Arial"/>
                <w:sz w:val="18"/>
                <w:szCs w:val="18"/>
                <w:color w:val="auto"/>
              </w:rPr>
              <w:t>of cash divested)</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142" w:lineRule="exact"/>
        <w:rPr>
          <w:rFonts w:ascii="Arial" w:cs="Arial" w:eastAsia="Arial" w:hAnsi="Arial"/>
          <w:sz w:val="17"/>
          <w:szCs w:val="17"/>
          <w:color w:val="auto"/>
        </w:rPr>
      </w:pPr>
    </w:p>
    <w:p>
      <w:pPr>
        <w:ind w:left="260" w:right="80" w:hanging="252"/>
        <w:spacing w:after="0" w:line="264"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Quarters Ended</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6"/>
                <w:szCs w:val="16"/>
                <w:color w:val="auto"/>
              </w:rPr>
            </w:pPr>
          </w:p>
        </w:tc>
        <w:tc>
          <w:tcPr>
            <w:tcW w:w="15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6"/>
                <w:szCs w:val="16"/>
                <w:color w:val="auto"/>
              </w:rPr>
            </w:pPr>
          </w:p>
        </w:tc>
        <w:tc>
          <w:tcPr>
            <w:tcW w:w="122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8"/>
              </w:rPr>
              <w:t>Balance Sheet Data</w:t>
            </w:r>
          </w:p>
        </w:tc>
        <w:tc>
          <w:tcPr>
            <w:tcW w:w="5040" w:type="dxa"/>
            <w:vAlign w:val="bottom"/>
            <w:gridSpan w:val="5"/>
            <w:vMerge w:val="restart"/>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1500" w:type="dxa"/>
            <w:vAlign w:val="bottom"/>
            <w:tcBorders>
              <w:bottom w:val="single" w:sz="8" w:color="auto"/>
            </w:tcBorders>
            <w:gridSpan w:val="2"/>
            <w:vMerge w:val="continue"/>
          </w:tcPr>
          <w:p>
            <w:pPr>
              <w:spacing w:after="0"/>
              <w:rPr>
                <w:sz w:val="13"/>
                <w:szCs w:val="13"/>
                <w:color w:val="auto"/>
              </w:rPr>
            </w:pPr>
          </w:p>
        </w:tc>
        <w:tc>
          <w:tcPr>
            <w:tcW w:w="504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6540" w:type="dxa"/>
            <w:vAlign w:val="bottom"/>
            <w:gridSpan w:val="7"/>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40" w:type="dxa"/>
            <w:vAlign w:val="bottom"/>
            <w:gridSpan w:val="7"/>
            <w:vMerge w:val="restart"/>
          </w:tcPr>
          <w:p>
            <w:pPr>
              <w:spacing w:after="0"/>
              <w:rPr>
                <w:sz w:val="20"/>
                <w:szCs w:val="20"/>
                <w:color w:val="auto"/>
              </w:rPr>
            </w:pPr>
            <w:r>
              <w:rPr>
                <w:rFonts w:ascii="Arial" w:cs="Arial" w:eastAsia="Arial" w:hAnsi="Arial"/>
                <w:sz w:val="18"/>
                <w:szCs w:val="18"/>
                <w:color w:val="auto"/>
              </w:rPr>
              <w:t>Debt-to-total capital ratio:</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54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60" w:type="dxa"/>
            <w:vAlign w:val="bottom"/>
            <w:gridSpan w:val="6"/>
          </w:tcPr>
          <w:p>
            <w:pPr>
              <w:ind w:left="20"/>
              <w:spacing w:after="0"/>
              <w:rPr>
                <w:sz w:val="20"/>
                <w:szCs w:val="20"/>
                <w:color w:val="auto"/>
              </w:rPr>
            </w:pPr>
            <w:r>
              <w:rPr>
                <w:rFonts w:ascii="Arial" w:cs="Arial" w:eastAsia="Arial" w:hAnsi="Arial"/>
                <w:sz w:val="18"/>
                <w:szCs w:val="18"/>
                <w:color w:val="auto"/>
              </w:rPr>
              <w:t>Long-term indebtedness, including current portion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9,491</w:t>
            </w:r>
          </w:p>
        </w:tc>
        <w:tc>
          <w:tcPr>
            <w:tcW w:w="34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9,345</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360" w:type="dxa"/>
            <w:vAlign w:val="bottom"/>
            <w:gridSpan w:val="6"/>
          </w:tcPr>
          <w:p>
            <w:pPr>
              <w:ind w:left="2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360" w:type="dxa"/>
            <w:vAlign w:val="bottom"/>
            <w:gridSpan w:val="6"/>
          </w:tcPr>
          <w:p>
            <w:pPr>
              <w:ind w:left="200"/>
              <w:spacing w:after="0"/>
              <w:rPr>
                <w:sz w:val="20"/>
                <w:szCs w:val="20"/>
                <w:color w:val="auto"/>
              </w:rPr>
            </w:pPr>
            <w:r>
              <w:rPr>
                <w:rFonts w:ascii="Arial" w:cs="Arial" w:eastAsia="Arial" w:hAnsi="Arial"/>
                <w:sz w:val="18"/>
                <w:szCs w:val="18"/>
                <w:color w:val="auto"/>
              </w:rPr>
              <w:t>Total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15,533</w:t>
            </w:r>
          </w:p>
        </w:tc>
        <w:tc>
          <w:tcPr>
            <w:tcW w:w="340" w:type="dxa"/>
            <w:vAlign w:val="bottom"/>
          </w:tcPr>
          <w:p>
            <w:pPr>
              <w:spacing w:after="0"/>
              <w:rPr>
                <w:sz w:val="18"/>
                <w:szCs w:val="18"/>
                <w:color w:val="auto"/>
              </w:rPr>
            </w:pP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14,645</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0" w:type="dxa"/>
            <w:vAlign w:val="bottom"/>
          </w:tcPr>
          <w:p>
            <w:pPr>
              <w:spacing w:after="0"/>
              <w:rPr>
                <w:sz w:val="24"/>
                <w:szCs w:val="24"/>
                <w:color w:val="auto"/>
              </w:rPr>
            </w:pPr>
          </w:p>
        </w:tc>
        <w:tc>
          <w:tcPr>
            <w:tcW w:w="6360" w:type="dxa"/>
            <w:vAlign w:val="bottom"/>
            <w:gridSpan w:val="6"/>
          </w:tcPr>
          <w:p>
            <w:pPr>
              <w:ind w:left="20"/>
              <w:spacing w:after="0"/>
              <w:rPr>
                <w:sz w:val="20"/>
                <w:szCs w:val="20"/>
                <w:color w:val="auto"/>
              </w:rPr>
            </w:pPr>
            <w:r>
              <w:rPr>
                <w:rFonts w:ascii="Arial" w:cs="Arial" w:eastAsia="Arial" w:hAnsi="Arial"/>
                <w:sz w:val="18"/>
                <w:szCs w:val="18"/>
                <w:color w:val="auto"/>
              </w:rPr>
              <w:t>Debt-to-total capital</w:t>
            </w:r>
          </w:p>
        </w:tc>
        <w:tc>
          <w:tcPr>
            <w:tcW w:w="14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24"/>
                <w:szCs w:val="2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gridSpan w:val="7"/>
          </w:tcPr>
          <w:p>
            <w:pPr>
              <w:spacing w:after="0"/>
              <w:rPr>
                <w:sz w:val="20"/>
                <w:szCs w:val="20"/>
                <w:color w:val="auto"/>
              </w:rPr>
            </w:pPr>
            <w:r>
              <w:rPr>
                <w:rFonts w:ascii="Arial" w:cs="Arial" w:eastAsia="Arial" w:hAnsi="Arial"/>
                <w:sz w:val="18"/>
                <w:szCs w:val="18"/>
                <w:color w:val="auto"/>
              </w:rPr>
              <w:t>Capitalized interest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0" w:type="dxa"/>
            <w:vAlign w:val="bottom"/>
            <w:gridSpan w:val="5"/>
            <w:vMerge w:val="restart"/>
          </w:tcPr>
          <w:p>
            <w:pPr>
              <w:spacing w:after="0"/>
              <w:rPr>
                <w:sz w:val="20"/>
                <w:szCs w:val="20"/>
                <w:color w:val="auto"/>
              </w:rPr>
            </w:pPr>
            <w:r>
              <w:rPr>
                <w:rFonts w:ascii="Arial" w:cs="Arial" w:eastAsia="Arial" w:hAnsi="Arial"/>
                <w:sz w:val="18"/>
                <w:szCs w:val="18"/>
                <w:b w:val="1"/>
                <w:bCs w:val="1"/>
                <w:color w:val="auto"/>
                <w:w w:val="93"/>
              </w:rPr>
              <w:t>Acquisition Summary (a)</w:t>
            </w:r>
          </w:p>
        </w:tc>
        <w:tc>
          <w:tcPr>
            <w:tcW w:w="4540" w:type="dxa"/>
            <w:vAlign w:val="bottom"/>
            <w:gridSpan w:val="2"/>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000" w:type="dxa"/>
            <w:vAlign w:val="bottom"/>
            <w:tcBorders>
              <w:bottom w:val="single" w:sz="8" w:color="auto"/>
            </w:tcBorders>
            <w:gridSpan w:val="5"/>
            <w:vMerge w:val="continue"/>
          </w:tcPr>
          <w:p>
            <w:pPr>
              <w:spacing w:after="0"/>
              <w:rPr>
                <w:sz w:val="24"/>
                <w:szCs w:val="24"/>
                <w:color w:val="auto"/>
              </w:rPr>
            </w:pPr>
          </w:p>
        </w:tc>
        <w:tc>
          <w:tcPr>
            <w:tcW w:w="45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 w:type="dxa"/>
            <w:vAlign w:val="bottom"/>
          </w:tcPr>
          <w:p>
            <w:pPr>
              <w:spacing w:after="0"/>
              <w:rPr>
                <w:sz w:val="24"/>
                <w:szCs w:val="24"/>
                <w:color w:val="auto"/>
              </w:rPr>
            </w:pPr>
          </w:p>
        </w:tc>
        <w:tc>
          <w:tcPr>
            <w:tcW w:w="6360" w:type="dxa"/>
            <w:vAlign w:val="bottom"/>
            <w:gridSpan w:val="6"/>
          </w:tcPr>
          <w:p>
            <w:pPr>
              <w:ind w:left="20"/>
              <w:spacing w:after="0"/>
              <w:rPr>
                <w:sz w:val="20"/>
                <w:szCs w:val="20"/>
                <w:color w:val="auto"/>
              </w:rPr>
            </w:pPr>
            <w:r>
              <w:rPr>
                <w:rFonts w:ascii="Arial" w:cs="Arial" w:eastAsia="Arial" w:hAnsi="Arial"/>
                <w:sz w:val="18"/>
                <w:szCs w:val="18"/>
                <w:color w:val="auto"/>
              </w:rPr>
              <w:t>Gross annualized revenue acquired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4"/>
                <w:szCs w:val="24"/>
                <w:color w:val="auto"/>
              </w:rPr>
            </w:pP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0" w:type="dxa"/>
            <w:vAlign w:val="bottom"/>
          </w:tcPr>
          <w:p>
            <w:pPr>
              <w:spacing w:after="0"/>
              <w:rPr>
                <w:sz w:val="24"/>
                <w:szCs w:val="24"/>
                <w:color w:val="auto"/>
              </w:rPr>
            </w:pPr>
          </w:p>
        </w:tc>
        <w:tc>
          <w:tcPr>
            <w:tcW w:w="6360" w:type="dxa"/>
            <w:vAlign w:val="bottom"/>
            <w:gridSpan w:val="6"/>
          </w:tcPr>
          <w:p>
            <w:pPr>
              <w:ind w:left="20"/>
              <w:spacing w:after="0"/>
              <w:rPr>
                <w:sz w:val="20"/>
                <w:szCs w:val="20"/>
                <w:color w:val="auto"/>
              </w:rPr>
            </w:pPr>
            <w:r>
              <w:rPr>
                <w:rFonts w:ascii="Arial" w:cs="Arial" w:eastAsia="Arial" w:hAnsi="Arial"/>
                <w:sz w:val="18"/>
                <w:szCs w:val="18"/>
                <w:color w:val="auto"/>
              </w:rPr>
              <w:t>Total consideration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24"/>
                <w:szCs w:val="24"/>
                <w:color w:val="auto"/>
              </w:rPr>
            </w:pP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0" w:type="dxa"/>
            <w:vAlign w:val="bottom"/>
          </w:tcPr>
          <w:p>
            <w:pPr>
              <w:spacing w:after="0"/>
              <w:rPr>
                <w:sz w:val="24"/>
                <w:szCs w:val="24"/>
                <w:color w:val="auto"/>
              </w:rPr>
            </w:pPr>
          </w:p>
        </w:tc>
        <w:tc>
          <w:tcPr>
            <w:tcW w:w="6360" w:type="dxa"/>
            <w:vAlign w:val="bottom"/>
            <w:gridSpan w:val="6"/>
          </w:tcPr>
          <w:p>
            <w:pPr>
              <w:ind w:left="20"/>
              <w:spacing w:after="0"/>
              <w:rPr>
                <w:sz w:val="20"/>
                <w:szCs w:val="20"/>
                <w:color w:val="auto"/>
              </w:rPr>
            </w:pPr>
            <w:r>
              <w:rPr>
                <w:rFonts w:ascii="Arial" w:cs="Arial" w:eastAsia="Arial" w:hAnsi="Arial"/>
                <w:sz w:val="18"/>
                <w:szCs w:val="18"/>
                <w:color w:val="auto"/>
              </w:rPr>
              <w:t>Cash paid for acquisitions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24"/>
                <w:szCs w:val="24"/>
                <w:color w:val="auto"/>
              </w:rPr>
            </w:pP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3"/>
              </w:rPr>
              <w:t>Other Operational Data</w:t>
            </w:r>
          </w:p>
        </w:tc>
        <w:tc>
          <w:tcPr>
            <w:tcW w:w="4680" w:type="dxa"/>
            <w:vAlign w:val="bottom"/>
            <w:gridSpan w:val="3"/>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860" w:type="dxa"/>
            <w:vAlign w:val="bottom"/>
            <w:tcBorders>
              <w:bottom w:val="single" w:sz="8" w:color="auto"/>
            </w:tcBorders>
            <w:gridSpan w:val="4"/>
            <w:vMerge w:val="continue"/>
          </w:tcPr>
          <w:p>
            <w:pPr>
              <w:spacing w:after="0"/>
              <w:rPr>
                <w:sz w:val="24"/>
                <w:szCs w:val="24"/>
                <w:color w:val="auto"/>
              </w:rPr>
            </w:pPr>
          </w:p>
        </w:tc>
        <w:tc>
          <w:tcPr>
            <w:tcW w:w="46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540" w:type="dxa"/>
            <w:vAlign w:val="bottom"/>
            <w:gridSpan w:val="7"/>
          </w:tcPr>
          <w:p>
            <w:pPr>
              <w:spacing w:after="0"/>
              <w:rPr>
                <w:sz w:val="20"/>
                <w:szCs w:val="20"/>
                <w:color w:val="auto"/>
              </w:rPr>
            </w:pPr>
            <w:r>
              <w:rPr>
                <w:rFonts w:ascii="Arial" w:cs="Arial" w:eastAsia="Arial" w:hAnsi="Arial"/>
                <w:sz w:val="18"/>
                <w:szCs w:val="18"/>
                <w:color w:val="auto"/>
              </w:rPr>
              <w:t>Internalization of waste, based on disposal costs</w:t>
            </w:r>
          </w:p>
        </w:tc>
        <w:tc>
          <w:tcPr>
            <w:tcW w:w="14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65.7%</w:t>
            </w:r>
          </w:p>
        </w:tc>
        <w:tc>
          <w:tcPr>
            <w:tcW w:w="140" w:type="dxa"/>
            <w:vAlign w:val="bottom"/>
          </w:tcPr>
          <w:p>
            <w:pPr>
              <w:spacing w:after="0"/>
              <w:rPr>
                <w:sz w:val="24"/>
                <w:szCs w:val="2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65.6%</w:t>
            </w:r>
          </w:p>
        </w:tc>
        <w:tc>
          <w:tcPr>
            <w:tcW w:w="16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gridSpan w:val="7"/>
          </w:tcPr>
          <w:p>
            <w:pPr>
              <w:spacing w:after="0"/>
              <w:rPr>
                <w:sz w:val="20"/>
                <w:szCs w:val="20"/>
                <w:color w:val="auto"/>
              </w:rPr>
            </w:pPr>
            <w:r>
              <w:rPr>
                <w:rFonts w:ascii="Arial" w:cs="Arial" w:eastAsia="Arial" w:hAnsi="Arial"/>
                <w:sz w:val="18"/>
                <w:szCs w:val="18"/>
                <w:color w:val="auto"/>
              </w:rPr>
              <w:t>Total landfill disposal volumes (tons in millions)</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gridSpan w:val="7"/>
          </w:tcPr>
          <w:p>
            <w:pPr>
              <w:spacing w:after="0"/>
              <w:rPr>
                <w:sz w:val="20"/>
                <w:szCs w:val="20"/>
                <w:color w:val="auto"/>
              </w:rPr>
            </w:pPr>
            <w:r>
              <w:rPr>
                <w:rFonts w:ascii="Arial" w:cs="Arial" w:eastAsia="Arial" w:hAnsi="Arial"/>
                <w:sz w:val="18"/>
                <w:szCs w:val="18"/>
                <w:color w:val="auto"/>
              </w:rPr>
              <w:t>Active landfills</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gridSpan w:val="7"/>
          </w:tcPr>
          <w:p>
            <w:pPr>
              <w:spacing w:after="0"/>
              <w:rPr>
                <w:sz w:val="20"/>
                <w:szCs w:val="20"/>
                <w:color w:val="auto"/>
              </w:rPr>
            </w:pPr>
            <w:r>
              <w:rPr>
                <w:rFonts w:ascii="Arial" w:cs="Arial" w:eastAsia="Arial" w:hAnsi="Arial"/>
                <w:sz w:val="18"/>
                <w:szCs w:val="18"/>
                <w:color w:val="auto"/>
              </w:rPr>
              <w:t>Sites accepting waste at the end of each period presented</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91"/>
              </w:rPr>
              <w:t>Amortization, Accretion and Other Expenses for Landfills Included in</w:t>
            </w:r>
          </w:p>
        </w:tc>
        <w:tc>
          <w:tcPr>
            <w:tcW w:w="1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400" w:type="dxa"/>
            <w:vAlign w:val="bottom"/>
            <w:tcBorders>
              <w:bottom w:val="single" w:sz="8" w:color="auto"/>
            </w:tcBorders>
            <w:gridSpan w:val="6"/>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36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Operating Groups: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40" w:type="dxa"/>
            <w:vAlign w:val="bottom"/>
            <w:gridSpan w:val="7"/>
          </w:tcPr>
          <w:p>
            <w:pPr>
              <w:spacing w:after="0"/>
              <w:rPr>
                <w:sz w:val="20"/>
                <w:szCs w:val="20"/>
                <w:color w:val="auto"/>
              </w:rPr>
            </w:pPr>
            <w:r>
              <w:rPr>
                <w:rFonts w:ascii="Arial" w:cs="Arial" w:eastAsia="Arial" w:hAnsi="Arial"/>
                <w:sz w:val="18"/>
                <w:szCs w:val="18"/>
                <w:color w:val="auto"/>
              </w:rPr>
              <w:t>Landfill amortization expense - Cost basis of landfill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106.4</w:t>
            </w:r>
          </w:p>
        </w:tc>
        <w:tc>
          <w:tcPr>
            <w:tcW w:w="340" w:type="dxa"/>
            <w:vAlign w:val="bottom"/>
          </w:tcPr>
          <w:p>
            <w:pPr>
              <w:spacing w:after="0"/>
              <w:rPr>
                <w:sz w:val="20"/>
                <w:szCs w:val="20"/>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104.7</w:t>
            </w:r>
          </w:p>
        </w:tc>
        <w:tc>
          <w:tcPr>
            <w:tcW w:w="3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11" w:orient="portrait"/>
          <w:cols w:equalWidth="0" w:num="1">
            <w:col w:w="11320"/>
          </w:cols>
          <w:pgMar w:left="240" w:top="355"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200"/>
              <w:spacing w:after="0"/>
              <w:rPr>
                <w:sz w:val="20"/>
                <w:szCs w:val="20"/>
                <w:color w:val="auto"/>
              </w:rPr>
            </w:pPr>
            <w:r>
              <w:rPr>
                <w:rFonts w:ascii="Arial" w:cs="Arial" w:eastAsia="Arial" w:hAnsi="Arial"/>
                <w:sz w:val="18"/>
                <w:szCs w:val="18"/>
                <w:color w:val="auto"/>
              </w:rPr>
              <w:t>Asset retirement costs</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195"/>
        </w:trPr>
        <w:tc>
          <w:tcPr>
            <w:tcW w:w="6540" w:type="dxa"/>
            <w:vAlign w:val="bottom"/>
          </w:tcPr>
          <w:p>
            <w:pPr>
              <w:ind w:left="380"/>
              <w:spacing w:after="0" w:line="195" w:lineRule="exact"/>
              <w:rPr>
                <w:sz w:val="20"/>
                <w:szCs w:val="20"/>
                <w:color w:val="auto"/>
              </w:rPr>
            </w:pPr>
            <w:r>
              <w:rPr>
                <w:rFonts w:ascii="Arial" w:cs="Arial" w:eastAsia="Arial" w:hAnsi="Arial"/>
                <w:sz w:val="18"/>
                <w:szCs w:val="18"/>
                <w:color w:val="auto"/>
              </w:rPr>
              <w:t>Total landfill amortization expense (b) (c)</w:t>
            </w:r>
          </w:p>
        </w:tc>
        <w:tc>
          <w:tcPr>
            <w:tcW w:w="52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114.5</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128.1</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91.8</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10"/>
        </w:trPr>
        <w:tc>
          <w:tcPr>
            <w:tcW w:w="6540" w:type="dxa"/>
            <w:vAlign w:val="bottom"/>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340" w:type="dxa"/>
            <w:vAlign w:val="bottom"/>
          </w:tcPr>
          <w:p>
            <w:pPr>
              <w:spacing w:after="0"/>
              <w:rPr>
                <w:sz w:val="18"/>
                <w:szCs w:val="18"/>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320" w:type="dxa"/>
            <w:vAlign w:val="bottom"/>
          </w:tcPr>
          <w:p>
            <w:pPr>
              <w:spacing w:after="0"/>
              <w:rPr>
                <w:sz w:val="18"/>
                <w:szCs w:val="18"/>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r>
      <w:tr>
        <w:trPr>
          <w:trHeight w:val="20"/>
        </w:trPr>
        <w:tc>
          <w:tcPr>
            <w:tcW w:w="6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right="300" w:hanging="252"/>
        <w:spacing w:after="0" w:line="277" w:lineRule="auto"/>
        <w:tabs>
          <w:tab w:leader="none" w:pos="25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except for Cash paid for acquisitions, which may include cash payments for business acquisitions consummated in prior quarters.</w:t>
      </w:r>
    </w:p>
    <w:p>
      <w:pPr>
        <w:spacing w:after="0" w:line="170" w:lineRule="exact"/>
        <w:rPr>
          <w:rFonts w:ascii="Arial" w:cs="Arial" w:eastAsia="Arial" w:hAnsi="Arial"/>
          <w:sz w:val="18"/>
          <w:szCs w:val="18"/>
          <w:color w:val="auto"/>
        </w:rPr>
      </w:pPr>
    </w:p>
    <w:p>
      <w:pPr>
        <w:ind w:left="260" w:right="40" w:hanging="252"/>
        <w:spacing w:after="0" w:line="277"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 ended December 31, 2017 as compared to the quarter ended September 30, 2017 reflects a decrease in amortization expense of approximately $13.6 million, primarily due to changes in landfill estimates identified in current quarter.</w:t>
      </w:r>
    </w:p>
    <w:p>
      <w:pPr>
        <w:spacing w:after="0" w:line="170" w:lineRule="exact"/>
        <w:rPr>
          <w:rFonts w:ascii="Arial" w:cs="Arial" w:eastAsia="Arial" w:hAnsi="Arial"/>
          <w:sz w:val="18"/>
          <w:szCs w:val="18"/>
          <w:color w:val="auto"/>
        </w:rPr>
      </w:pPr>
    </w:p>
    <w:p>
      <w:pPr>
        <w:ind w:left="260" w:hanging="252"/>
        <w:spacing w:after="0" w:line="277" w:lineRule="auto"/>
        <w:tabs>
          <w:tab w:leader="none" w:pos="2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 ended December 31, 2017 as compared to the quarter ended December 31, 2016 reflects an increase in amortization expense of approximately $22.7 million primarily due to increased volumes and the relative impact of changes in estimate recorded each quarter.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Waste Management, Inc.</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Reconciliation of Certain Non-GAAP Measures</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4"/>
          </w:tcPr>
          <w:p>
            <w:pPr>
              <w:jc w:val="center"/>
              <w:ind w:left="749"/>
              <w:spacing w:after="0"/>
              <w:rPr>
                <w:sz w:val="20"/>
                <w:szCs w:val="20"/>
                <w:color w:val="auto"/>
              </w:rPr>
            </w:pPr>
            <w:r>
              <w:rPr>
                <w:rFonts w:ascii="Arial" w:cs="Arial" w:eastAsia="Arial" w:hAnsi="Arial"/>
                <w:sz w:val="14"/>
                <w:szCs w:val="14"/>
                <w:b w:val="1"/>
                <w:bCs w:val="1"/>
                <w:color w:val="auto"/>
                <w:w w:val="96"/>
              </w:rPr>
              <w:t>Quarter Ended</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Adjusted Net Income and Diluted Earnings Per Share</w:t>
            </w: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left="729"/>
              <w:spacing w:after="0"/>
              <w:rPr>
                <w:sz w:val="20"/>
                <w:szCs w:val="20"/>
                <w:color w:val="auto"/>
              </w:rPr>
            </w:pPr>
            <w:r>
              <w:rPr>
                <w:rFonts w:ascii="Arial" w:cs="Arial" w:eastAsia="Arial" w:hAnsi="Arial"/>
                <w:sz w:val="14"/>
                <w:szCs w:val="14"/>
                <w:b w:val="1"/>
                <w:bCs w:val="1"/>
                <w:color w:val="auto"/>
                <w:w w:val="91"/>
              </w:rPr>
              <w:t>December 31, 2017</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3"/>
              </w:rPr>
              <w:t>Pre-tax Income</w:t>
            </w:r>
          </w:p>
        </w:tc>
        <w:tc>
          <w:tcPr>
            <w:tcW w:w="300" w:type="dxa"/>
            <w:vAlign w:val="bottom"/>
          </w:tcPr>
          <w:p>
            <w:pPr>
              <w:spacing w:after="0"/>
              <w:rPr>
                <w:sz w:val="10"/>
                <w:szCs w:val="10"/>
                <w:color w:val="auto"/>
              </w:rPr>
            </w:pPr>
          </w:p>
        </w:tc>
        <w:tc>
          <w:tcPr>
            <w:tcW w:w="1200" w:type="dxa"/>
            <w:vAlign w:val="bottom"/>
            <w:vMerge w:val="restart"/>
          </w:tcPr>
          <w:p>
            <w:pPr>
              <w:jc w:val="center"/>
              <w:ind w:left="349"/>
              <w:spacing w:after="0"/>
              <w:rPr>
                <w:sz w:val="20"/>
                <w:szCs w:val="20"/>
                <w:color w:val="auto"/>
              </w:rPr>
            </w:pPr>
            <w:r>
              <w:rPr>
                <w:rFonts w:ascii="Arial" w:cs="Arial" w:eastAsia="Arial" w:hAnsi="Arial"/>
                <w:sz w:val="14"/>
                <w:szCs w:val="14"/>
                <w:b w:val="1"/>
                <w:bCs w:val="1"/>
                <w:color w:val="auto"/>
                <w:w w:val="91"/>
              </w:rPr>
              <w:t>Tax Expense</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left="269"/>
              <w:spacing w:after="0" w:line="119" w:lineRule="exact"/>
              <w:rPr>
                <w:sz w:val="20"/>
                <w:szCs w:val="20"/>
                <w:color w:val="auto"/>
              </w:rPr>
            </w:pPr>
            <w:r>
              <w:rPr>
                <w:rFonts w:ascii="Arial" w:cs="Arial" w:eastAsia="Arial" w:hAnsi="Arial"/>
                <w:sz w:val="13"/>
                <w:szCs w:val="13"/>
                <w:b w:val="1"/>
                <w:bCs w:val="1"/>
                <w:color w:val="auto"/>
              </w:rPr>
              <w:t>After-tax</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149"/>
              <w:spacing w:after="0" w:line="119" w:lineRule="exact"/>
              <w:rPr>
                <w:sz w:val="20"/>
                <w:szCs w:val="20"/>
                <w:color w:val="auto"/>
              </w:rPr>
            </w:pPr>
            <w:r>
              <w:rPr>
                <w:rFonts w:ascii="Arial" w:cs="Arial" w:eastAsia="Arial" w:hAnsi="Arial"/>
                <w:sz w:val="13"/>
                <w:szCs w:val="13"/>
                <w:b w:val="1"/>
                <w:bCs w:val="1"/>
                <w:color w:val="auto"/>
              </w:rPr>
              <w:t>Per Share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4520" w:type="dxa"/>
            <w:vAlign w:val="bottom"/>
          </w:tcPr>
          <w:p>
            <w:pPr>
              <w:ind w:left="200"/>
              <w:spacing w:after="0"/>
              <w:rPr>
                <w:sz w:val="20"/>
                <w:szCs w:val="20"/>
                <w:color w:val="auto"/>
              </w:rPr>
            </w:pPr>
            <w:r>
              <w:rPr>
                <w:rFonts w:ascii="Arial" w:cs="Arial" w:eastAsia="Arial" w:hAnsi="Arial"/>
                <w:sz w:val="14"/>
                <w:szCs w:val="14"/>
                <w:b w:val="1"/>
                <w:bCs w:val="1"/>
                <w:color w:val="auto"/>
              </w:rPr>
              <w:t>Net Income and Diluted EPS, as reported</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584</w:t>
            </w:r>
          </w:p>
        </w:tc>
        <w:tc>
          <w:tcPr>
            <w:tcW w:w="1500" w:type="dxa"/>
            <w:vAlign w:val="bottom"/>
            <w:gridSpan w:val="2"/>
          </w:tcPr>
          <w:p>
            <w:pPr>
              <w:jc w:val="right"/>
              <w:ind w:right="84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b w:val="1"/>
                <w:bCs w:val="1"/>
                <w:color w:val="auto"/>
                <w:w w:val="91"/>
              </w:rPr>
              <w:t>(319)</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769"/>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ind w:right="8"/>
              <w:spacing w:after="0"/>
              <w:rPr>
                <w:sz w:val="20"/>
                <w:szCs w:val="20"/>
                <w:color w:val="auto"/>
              </w:rPr>
            </w:pPr>
            <w:r>
              <w:rPr>
                <w:rFonts w:ascii="Arial" w:cs="Arial" w:eastAsia="Arial" w:hAnsi="Arial"/>
                <w:sz w:val="14"/>
                <w:szCs w:val="14"/>
                <w:b w:val="1"/>
                <w:bCs w:val="1"/>
                <w:color w:val="auto"/>
              </w:rPr>
              <w:t>903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2.06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52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60"/>
              <w:spacing w:after="0" w:line="149" w:lineRule="exact"/>
              <w:rPr>
                <w:sz w:val="20"/>
                <w:szCs w:val="20"/>
                <w:color w:val="auto"/>
              </w:rPr>
            </w:pPr>
            <w:r>
              <w:rPr>
                <w:rFonts w:ascii="Arial" w:cs="Arial" w:eastAsia="Arial" w:hAnsi="Arial"/>
                <w:sz w:val="14"/>
                <w:szCs w:val="14"/>
                <w:color w:val="auto"/>
              </w:rPr>
              <w:t>Impact of Tax Cuts and Jobs Act</w:t>
            </w:r>
          </w:p>
        </w:tc>
        <w:tc>
          <w:tcPr>
            <w:tcW w:w="300" w:type="dxa"/>
            <w:vAlign w:val="bottom"/>
          </w:tcPr>
          <w:p>
            <w:pPr>
              <w:spacing w:after="0"/>
              <w:rPr>
                <w:sz w:val="12"/>
                <w:szCs w:val="12"/>
                <w:color w:val="auto"/>
              </w:rPr>
            </w:pPr>
          </w:p>
        </w:tc>
        <w:tc>
          <w:tcPr>
            <w:tcW w:w="13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vMerge w:val="restart"/>
          </w:tcPr>
          <w:p>
            <w:pPr>
              <w:jc w:val="right"/>
              <w:ind w:right="1249"/>
              <w:spacing w:after="0"/>
              <w:rPr>
                <w:sz w:val="20"/>
                <w:szCs w:val="20"/>
                <w:color w:val="auto"/>
              </w:rPr>
            </w:pPr>
            <w:r>
              <w:rPr>
                <w:rFonts w:ascii="Arial" w:cs="Arial" w:eastAsia="Arial" w:hAnsi="Arial"/>
                <w:sz w:val="14"/>
                <w:szCs w:val="14"/>
                <w:b w:val="1"/>
                <w:bCs w:val="1"/>
                <w:color w:val="auto"/>
                <w:w w:val="93"/>
              </w:rPr>
              <w:t>(a)</w:t>
            </w:r>
          </w:p>
        </w:tc>
        <w:tc>
          <w:tcPr>
            <w:tcW w:w="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529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60"/>
              <w:spacing w:after="0" w:line="149" w:lineRule="exact"/>
              <w:rPr>
                <w:sz w:val="20"/>
                <w:szCs w:val="20"/>
                <w:color w:val="auto"/>
              </w:rPr>
            </w:pPr>
            <w:r>
              <w:rPr>
                <w:rFonts w:ascii="Arial" w:cs="Arial" w:eastAsia="Arial" w:hAnsi="Arial"/>
                <w:sz w:val="14"/>
                <w:szCs w:val="14"/>
                <w:color w:val="auto"/>
              </w:rPr>
              <w:t>Income from divestitures, asset impairments and unusual items, net</w:t>
            </w:r>
          </w:p>
        </w:tc>
        <w:tc>
          <w:tcPr>
            <w:tcW w:w="300" w:type="dxa"/>
            <w:vAlign w:val="bottom"/>
          </w:tcPr>
          <w:p>
            <w:pPr>
              <w:spacing w:after="0"/>
              <w:rPr>
                <w:sz w:val="12"/>
                <w:szCs w:val="12"/>
                <w:color w:val="auto"/>
              </w:rPr>
            </w:pPr>
          </w:p>
        </w:tc>
        <w:tc>
          <w:tcPr>
            <w:tcW w:w="13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(14)</w:t>
            </w:r>
          </w:p>
        </w:tc>
        <w:tc>
          <w:tcPr>
            <w:tcW w:w="1500" w:type="dxa"/>
            <w:vAlign w:val="bottom"/>
            <w:gridSpan w:val="2"/>
            <w:vMerge w:val="continue"/>
          </w:tcPr>
          <w:p>
            <w:pPr>
              <w:spacing w:after="0"/>
              <w:rPr>
                <w:sz w:val="12"/>
                <w:szCs w:val="12"/>
                <w:color w:val="auto"/>
              </w:rPr>
            </w:pPr>
          </w:p>
        </w:tc>
        <w:tc>
          <w:tcPr>
            <w:tcW w:w="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20" w:type="dxa"/>
            <w:vAlign w:val="bottom"/>
          </w:tcPr>
          <w:p>
            <w:pPr>
              <w:ind w:left="260"/>
              <w:spacing w:after="0"/>
              <w:rPr>
                <w:sz w:val="20"/>
                <w:szCs w:val="20"/>
                <w:color w:val="auto"/>
              </w:rPr>
            </w:pPr>
            <w:r>
              <w:rPr>
                <w:rFonts w:ascii="Arial" w:cs="Arial" w:eastAsia="Arial" w:hAnsi="Arial"/>
                <w:sz w:val="14"/>
                <w:szCs w:val="14"/>
                <w:color w:val="auto"/>
              </w:rPr>
              <w:t>Loss on early extinguishment of debt</w:t>
            </w: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(1.21)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Adjusted Net Income and Diluted EPS</w:t>
            </w:r>
          </w:p>
        </w:tc>
        <w:tc>
          <w:tcPr>
            <w:tcW w:w="3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(8)</w:t>
            </w:r>
          </w:p>
        </w:tc>
        <w:tc>
          <w:tcPr>
            <w:tcW w:w="30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521</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(529)</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80" w:type="dxa"/>
            <w:vAlign w:val="bottom"/>
            <w:vMerge w:val="restart"/>
          </w:tcPr>
          <w:p>
            <w:pPr>
              <w:spacing w:after="0"/>
              <w:rPr>
                <w:sz w:val="20"/>
                <w:szCs w:val="20"/>
                <w:color w:val="auto"/>
              </w:rPr>
            </w:pPr>
            <w:r>
              <w:rPr>
                <w:rFonts w:ascii="Arial" w:cs="Arial" w:eastAsia="Arial" w:hAnsi="Arial"/>
                <w:sz w:val="14"/>
                <w:szCs w:val="14"/>
                <w:b w:val="1"/>
                <w:bCs w:val="1"/>
                <w:color w:val="auto"/>
                <w:w w:val="89"/>
              </w:rPr>
              <w:t>(b)</w:t>
            </w:r>
          </w:p>
        </w:tc>
        <w:tc>
          <w:tcPr>
            <w:tcW w:w="0" w:type="dxa"/>
            <w:vAlign w:val="bottom"/>
          </w:tcPr>
          <w:p>
            <w:pPr>
              <w:spacing w:after="0"/>
              <w:rPr>
                <w:sz w:val="1"/>
                <w:szCs w:val="1"/>
                <w:color w:val="auto"/>
              </w:rPr>
            </w:pPr>
          </w:p>
        </w:tc>
      </w:tr>
      <w:tr>
        <w:trPr>
          <w:trHeight w:val="156"/>
        </w:trPr>
        <w:tc>
          <w:tcPr>
            <w:tcW w:w="4520" w:type="dxa"/>
            <w:vAlign w:val="bottom"/>
            <w:vMerge w:val="continue"/>
          </w:tcPr>
          <w:p>
            <w:pPr>
              <w:spacing w:after="0"/>
              <w:rPr>
                <w:sz w:val="13"/>
                <w:szCs w:val="13"/>
                <w:color w:val="auto"/>
              </w:rPr>
            </w:pP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576</w:t>
            </w:r>
          </w:p>
        </w:tc>
        <w:tc>
          <w:tcPr>
            <w:tcW w:w="300" w:type="dxa"/>
            <w:vAlign w:val="bottom"/>
          </w:tcPr>
          <w:p>
            <w:pPr>
              <w:spacing w:after="0"/>
              <w:rPr>
                <w:sz w:val="13"/>
                <w:szCs w:val="13"/>
                <w:color w:val="auto"/>
              </w:rPr>
            </w:pPr>
          </w:p>
        </w:tc>
        <w:tc>
          <w:tcPr>
            <w:tcW w:w="1200" w:type="dxa"/>
            <w:vAlign w:val="bottom"/>
            <w:tcBorders>
              <w:bottom w:val="single" w:sz="8" w:color="auto"/>
            </w:tcBorders>
          </w:tcPr>
          <w:p>
            <w:pPr>
              <w:jc w:val="right"/>
              <w:ind w:right="849"/>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769"/>
              <w:spacing w:after="0" w:line="155"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374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b w:val="1"/>
                <w:bCs w:val="1"/>
                <w:color w:val="auto"/>
              </w:rPr>
              <w:t>0.85</w:t>
            </w: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5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Adjusted Net Income and Diluted Earnings Per Share</w:t>
            </w:r>
          </w:p>
        </w:tc>
        <w:tc>
          <w:tcPr>
            <w:tcW w:w="300" w:type="dxa"/>
            <w:vAlign w:val="bottom"/>
          </w:tcPr>
          <w:p>
            <w:pPr>
              <w:spacing w:after="0"/>
              <w:rPr>
                <w:sz w:val="14"/>
                <w:szCs w:val="14"/>
                <w:color w:val="auto"/>
              </w:rPr>
            </w:pPr>
          </w:p>
        </w:tc>
        <w:tc>
          <w:tcPr>
            <w:tcW w:w="280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1"/>
              </w:rPr>
              <w:t>December 31, 2017</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7"/>
          </w:tcPr>
          <w:p>
            <w:pPr>
              <w:jc w:val="center"/>
              <w:ind w:right="228"/>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19"/>
        </w:trPr>
        <w:tc>
          <w:tcPr>
            <w:tcW w:w="4520" w:type="dxa"/>
            <w:vAlign w:val="bottom"/>
            <w:vMerge w:val="continue"/>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228"/>
              <w:spacing w:after="0" w:line="119" w:lineRule="exact"/>
              <w:rPr>
                <w:sz w:val="20"/>
                <w:szCs w:val="20"/>
                <w:color w:val="auto"/>
              </w:rPr>
            </w:pPr>
            <w:r>
              <w:rPr>
                <w:rFonts w:ascii="Arial" w:cs="Arial" w:eastAsia="Arial" w:hAnsi="Arial"/>
                <w:sz w:val="13"/>
                <w:szCs w:val="13"/>
                <w:b w:val="1"/>
                <w:bCs w:val="1"/>
                <w:color w:val="auto"/>
              </w:rPr>
              <w:t>After-tax</w:t>
            </w:r>
          </w:p>
        </w:tc>
        <w:tc>
          <w:tcPr>
            <w:tcW w:w="3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left="349"/>
              <w:spacing w:after="0" w:line="119" w:lineRule="exact"/>
              <w:rPr>
                <w:sz w:val="20"/>
                <w:szCs w:val="20"/>
                <w:color w:val="auto"/>
              </w:rPr>
            </w:pPr>
            <w:r>
              <w:rPr>
                <w:rFonts w:ascii="Arial" w:cs="Arial" w:eastAsia="Arial" w:hAnsi="Arial"/>
                <w:sz w:val="13"/>
                <w:szCs w:val="13"/>
                <w:b w:val="1"/>
                <w:bCs w:val="1"/>
                <w:color w:val="auto"/>
              </w:rPr>
              <w:t>Per Share</w:t>
            </w:r>
          </w:p>
        </w:tc>
        <w:tc>
          <w:tcPr>
            <w:tcW w:w="4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left="269"/>
              <w:spacing w:after="0" w:line="119" w:lineRule="exact"/>
              <w:rPr>
                <w:sz w:val="20"/>
                <w:szCs w:val="20"/>
                <w:color w:val="auto"/>
              </w:rPr>
            </w:pPr>
            <w:r>
              <w:rPr>
                <w:rFonts w:ascii="Arial" w:cs="Arial" w:eastAsia="Arial" w:hAnsi="Arial"/>
                <w:sz w:val="13"/>
                <w:szCs w:val="13"/>
                <w:b w:val="1"/>
                <w:bCs w:val="1"/>
                <w:color w:val="auto"/>
              </w:rPr>
              <w:t>After-tax</w:t>
            </w: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49"/>
              <w:spacing w:after="0" w:line="119" w:lineRule="exact"/>
              <w:rPr>
                <w:sz w:val="20"/>
                <w:szCs w:val="20"/>
                <w:color w:val="auto"/>
              </w:rPr>
            </w:pPr>
            <w:r>
              <w:rPr>
                <w:rFonts w:ascii="Arial" w:cs="Arial" w:eastAsia="Arial" w:hAnsi="Arial"/>
                <w:sz w:val="13"/>
                <w:szCs w:val="13"/>
                <w:b w:val="1"/>
                <w:bCs w:val="1"/>
                <w:color w:val="auto"/>
              </w:rPr>
              <w:t>Per Share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1200" w:type="dxa"/>
            <w:vAlign w:val="bottom"/>
            <w:tcBorders>
              <w:bottom w:val="single" w:sz="8" w:color="auto"/>
            </w:tcBorders>
          </w:tcPr>
          <w:p>
            <w:pPr>
              <w:jc w:val="center"/>
              <w:ind w:left="349"/>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4520" w:type="dxa"/>
            <w:vAlign w:val="bottom"/>
          </w:tcPr>
          <w:p>
            <w:pPr>
              <w:ind w:left="200"/>
              <w:spacing w:after="0"/>
              <w:rPr>
                <w:sz w:val="20"/>
                <w:szCs w:val="20"/>
                <w:color w:val="auto"/>
              </w:rPr>
            </w:pPr>
            <w:r>
              <w:rPr>
                <w:rFonts w:ascii="Arial" w:cs="Arial" w:eastAsia="Arial" w:hAnsi="Arial"/>
                <w:sz w:val="14"/>
                <w:szCs w:val="14"/>
                <w:b w:val="1"/>
                <w:bCs w:val="1"/>
                <w:color w:val="auto"/>
              </w:rPr>
              <w:t>Net Income and Diluted EPS, as reported</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1,949</w:t>
            </w:r>
          </w:p>
        </w:tc>
        <w:tc>
          <w:tcPr>
            <w:tcW w:w="1500" w:type="dxa"/>
            <w:vAlign w:val="bottom"/>
            <w:gridSpan w:val="2"/>
          </w:tcPr>
          <w:p>
            <w:pPr>
              <w:jc w:val="right"/>
              <w:ind w:right="84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b w:val="1"/>
                <w:bCs w:val="1"/>
                <w:color w:val="auto"/>
              </w:rPr>
              <w:t>4.41</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769"/>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ind w:right="8"/>
              <w:spacing w:after="0"/>
              <w:rPr>
                <w:sz w:val="20"/>
                <w:szCs w:val="20"/>
                <w:color w:val="auto"/>
              </w:rPr>
            </w:pPr>
            <w:r>
              <w:rPr>
                <w:rFonts w:ascii="Arial" w:cs="Arial" w:eastAsia="Arial" w:hAnsi="Arial"/>
                <w:sz w:val="14"/>
                <w:szCs w:val="14"/>
                <w:b w:val="1"/>
                <w:bCs w:val="1"/>
                <w:color w:val="auto"/>
                <w:w w:val="96"/>
              </w:rPr>
              <w:t>1,182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2.65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52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60"/>
              <w:spacing w:after="0" w:line="149" w:lineRule="exact"/>
              <w:rPr>
                <w:sz w:val="20"/>
                <w:szCs w:val="20"/>
                <w:color w:val="auto"/>
              </w:rPr>
            </w:pPr>
            <w:r>
              <w:rPr>
                <w:rFonts w:ascii="Arial" w:cs="Arial" w:eastAsia="Arial" w:hAnsi="Arial"/>
                <w:sz w:val="14"/>
                <w:szCs w:val="14"/>
                <w:color w:val="auto"/>
              </w:rPr>
              <w:t>Impact of Tax Cuts and Jobs Act</w:t>
            </w:r>
          </w:p>
        </w:tc>
        <w:tc>
          <w:tcPr>
            <w:tcW w:w="300" w:type="dxa"/>
            <w:vAlign w:val="bottom"/>
          </w:tcPr>
          <w:p>
            <w:pPr>
              <w:spacing w:after="0"/>
              <w:rPr>
                <w:sz w:val="12"/>
                <w:szCs w:val="12"/>
                <w:color w:val="auto"/>
              </w:rPr>
            </w:pPr>
          </w:p>
        </w:tc>
        <w:tc>
          <w:tcPr>
            <w:tcW w:w="13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(529)</w:t>
            </w: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20" w:type="dxa"/>
            <w:vAlign w:val="bottom"/>
          </w:tcPr>
          <w:p>
            <w:pPr>
              <w:ind w:left="260"/>
              <w:spacing w:after="0" w:line="145" w:lineRule="exact"/>
              <w:rPr>
                <w:sz w:val="20"/>
                <w:szCs w:val="20"/>
                <w:color w:val="auto"/>
              </w:rPr>
            </w:pPr>
            <w:r>
              <w:rPr>
                <w:rFonts w:ascii="Arial" w:cs="Arial" w:eastAsia="Arial" w:hAnsi="Arial"/>
                <w:sz w:val="14"/>
                <w:szCs w:val="14"/>
                <w:color w:val="auto"/>
                <w:w w:val="99"/>
              </w:rPr>
              <w:t>Expense from divestitures, asset impairments and unusual items and</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60"/>
              <w:spacing w:after="0" w:line="149" w:lineRule="exact"/>
              <w:rPr>
                <w:sz w:val="20"/>
                <w:szCs w:val="20"/>
                <w:color w:val="auto"/>
              </w:rPr>
            </w:pPr>
            <w:r>
              <w:rPr>
                <w:rFonts w:ascii="Arial" w:cs="Arial" w:eastAsia="Arial" w:hAnsi="Arial"/>
                <w:sz w:val="14"/>
                <w:szCs w:val="14"/>
                <w:color w:val="auto"/>
              </w:rPr>
              <w:t xml:space="preserve">restructuring, net </w:t>
            </w:r>
            <w:r>
              <w:rPr>
                <w:rFonts w:ascii="Arial" w:cs="Arial" w:eastAsia="Arial" w:hAnsi="Arial"/>
                <w:sz w:val="14"/>
                <w:szCs w:val="14"/>
                <w:b w:val="1"/>
                <w:bCs w:val="1"/>
                <w:color w:val="auto"/>
              </w:rPr>
              <w:t>(c)</w:t>
            </w:r>
          </w:p>
        </w:tc>
        <w:tc>
          <w:tcPr>
            <w:tcW w:w="300" w:type="dxa"/>
            <w:vAlign w:val="bottom"/>
          </w:tcPr>
          <w:p>
            <w:pPr>
              <w:spacing w:after="0"/>
              <w:rPr>
                <w:sz w:val="12"/>
                <w:szCs w:val="12"/>
                <w:color w:val="auto"/>
              </w:rPr>
            </w:pPr>
          </w:p>
        </w:tc>
        <w:tc>
          <w:tcPr>
            <w:tcW w:w="13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26</w:t>
            </w: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20" w:type="dxa"/>
            <w:vAlign w:val="bottom"/>
          </w:tcPr>
          <w:p>
            <w:pPr>
              <w:ind w:left="260"/>
              <w:spacing w:after="0" w:line="153" w:lineRule="exact"/>
              <w:rPr>
                <w:sz w:val="20"/>
                <w:szCs w:val="20"/>
                <w:color w:val="auto"/>
              </w:rPr>
            </w:pPr>
            <w:r>
              <w:rPr>
                <w:rFonts w:ascii="Arial" w:cs="Arial" w:eastAsia="Arial" w:hAnsi="Arial"/>
                <w:sz w:val="14"/>
                <w:szCs w:val="14"/>
                <w:color w:val="auto"/>
              </w:rPr>
              <w:t xml:space="preserve">Tax benefits related to equity-based compensation </w:t>
            </w:r>
            <w:r>
              <w:rPr>
                <w:rFonts w:ascii="Arial" w:cs="Arial" w:eastAsia="Arial" w:hAnsi="Arial"/>
                <w:sz w:val="14"/>
                <w:szCs w:val="14"/>
                <w:b w:val="1"/>
                <w:bCs w:val="1"/>
                <w:color w:val="auto"/>
              </w:rPr>
              <w:t>(d)</w:t>
            </w:r>
          </w:p>
        </w:tc>
        <w:tc>
          <w:tcPr>
            <w:tcW w:w="300" w:type="dxa"/>
            <w:vAlign w:val="bottom"/>
          </w:tcPr>
          <w:p>
            <w:pPr>
              <w:spacing w:after="0"/>
              <w:rPr>
                <w:sz w:val="13"/>
                <w:szCs w:val="13"/>
                <w:color w:val="auto"/>
              </w:rPr>
            </w:pPr>
          </w:p>
        </w:tc>
        <w:tc>
          <w:tcPr>
            <w:tcW w:w="1300" w:type="dxa"/>
            <w:vAlign w:val="bottom"/>
          </w:tcPr>
          <w:p>
            <w:pPr>
              <w:jc w:val="right"/>
              <w:ind w:right="8"/>
              <w:spacing w:after="0" w:line="153" w:lineRule="exact"/>
              <w:rPr>
                <w:sz w:val="20"/>
                <w:szCs w:val="20"/>
                <w:color w:val="auto"/>
              </w:rPr>
            </w:pPr>
            <w:r>
              <w:rPr>
                <w:rFonts w:ascii="Arial" w:cs="Arial" w:eastAsia="Arial" w:hAnsi="Arial"/>
                <w:sz w:val="14"/>
                <w:szCs w:val="14"/>
                <w:color w:val="auto"/>
              </w:rPr>
              <w:t>(32)</w:t>
            </w: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60"/>
              <w:spacing w:after="0" w:line="149" w:lineRule="exact"/>
              <w:rPr>
                <w:sz w:val="20"/>
                <w:szCs w:val="20"/>
                <w:color w:val="auto"/>
              </w:rPr>
            </w:pPr>
            <w:r>
              <w:rPr>
                <w:rFonts w:ascii="Arial" w:cs="Arial" w:eastAsia="Arial" w:hAnsi="Arial"/>
                <w:sz w:val="14"/>
                <w:szCs w:val="14"/>
                <w:color w:val="auto"/>
              </w:rPr>
              <w:t>Withdrawal from a multiemployer pension plan</w:t>
            </w:r>
          </w:p>
        </w:tc>
        <w:tc>
          <w:tcPr>
            <w:tcW w:w="300" w:type="dxa"/>
            <w:vAlign w:val="bottom"/>
          </w:tcPr>
          <w:p>
            <w:pPr>
              <w:spacing w:after="0"/>
              <w:rPr>
                <w:sz w:val="12"/>
                <w:szCs w:val="12"/>
                <w:color w:val="auto"/>
              </w:rPr>
            </w:pPr>
          </w:p>
        </w:tc>
        <w:tc>
          <w:tcPr>
            <w:tcW w:w="1300" w:type="dxa"/>
            <w:vAlign w:val="bottom"/>
          </w:tcPr>
          <w:p>
            <w:pPr>
              <w:jc w:val="right"/>
              <w:ind w:right="8"/>
              <w:spacing w:after="0" w:line="149" w:lineRule="exact"/>
              <w:rPr>
                <w:sz w:val="20"/>
                <w:szCs w:val="20"/>
                <w:color w:val="auto"/>
              </w:rPr>
            </w:pPr>
            <w:r>
              <w:rPr>
                <w:rFonts w:ascii="Arial" w:cs="Arial" w:eastAsia="Arial" w:hAnsi="Arial"/>
                <w:sz w:val="14"/>
                <w:szCs w:val="14"/>
                <w:color w:val="auto"/>
              </w:rPr>
              <w:t>7</w:t>
            </w: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20" w:type="dxa"/>
            <w:vAlign w:val="bottom"/>
          </w:tcPr>
          <w:p>
            <w:pPr>
              <w:ind w:left="260"/>
              <w:spacing w:after="0"/>
              <w:rPr>
                <w:sz w:val="20"/>
                <w:szCs w:val="20"/>
                <w:color w:val="auto"/>
              </w:rPr>
            </w:pPr>
            <w:r>
              <w:rPr>
                <w:rFonts w:ascii="Arial" w:cs="Arial" w:eastAsia="Arial" w:hAnsi="Arial"/>
                <w:sz w:val="14"/>
                <w:szCs w:val="14"/>
                <w:color w:val="auto"/>
              </w:rPr>
              <w:t>Loss on early extinguishment of debt</w:t>
            </w: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92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(1.19)</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0.26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Adjusted Net Income and Diluted EPS (e)</w:t>
            </w:r>
          </w:p>
        </w:tc>
        <w:tc>
          <w:tcPr>
            <w:tcW w:w="300" w:type="dxa"/>
            <w:vAlign w:val="bottom"/>
          </w:tcPr>
          <w:p>
            <w:pPr>
              <w:spacing w:after="0"/>
              <w:rPr>
                <w:sz w:val="12"/>
                <w:szCs w:val="12"/>
                <w:color w:val="auto"/>
              </w:rPr>
            </w:pPr>
          </w:p>
        </w:tc>
        <w:tc>
          <w:tcPr>
            <w:tcW w:w="1300" w:type="dxa"/>
            <w:vAlign w:val="bottom"/>
          </w:tcPr>
          <w:p>
            <w:pPr>
              <w:jc w:val="right"/>
              <w:ind w:right="8"/>
              <w:spacing w:after="0" w:line="142" w:lineRule="exact"/>
              <w:rPr>
                <w:sz w:val="20"/>
                <w:szCs w:val="20"/>
                <w:color w:val="auto"/>
              </w:rPr>
            </w:pPr>
            <w:r>
              <w:rPr>
                <w:rFonts w:ascii="Arial" w:cs="Arial" w:eastAsia="Arial" w:hAnsi="Arial"/>
                <w:sz w:val="14"/>
                <w:szCs w:val="14"/>
                <w:color w:val="auto"/>
              </w:rPr>
              <w:t>(524)</w:t>
            </w:r>
          </w:p>
        </w:tc>
        <w:tc>
          <w:tcPr>
            <w:tcW w:w="19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ind w:right="8"/>
              <w:spacing w:after="0" w:line="142" w:lineRule="exact"/>
              <w:rPr>
                <w:sz w:val="20"/>
                <w:szCs w:val="20"/>
                <w:color w:val="auto"/>
              </w:rPr>
            </w:pPr>
            <w:r>
              <w:rPr>
                <w:rFonts w:ascii="Arial" w:cs="Arial" w:eastAsia="Arial" w:hAnsi="Arial"/>
                <w:sz w:val="14"/>
                <w:szCs w:val="14"/>
                <w:color w:val="auto"/>
              </w:rPr>
              <w:t>114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1,425</w:t>
            </w:r>
          </w:p>
        </w:tc>
        <w:tc>
          <w:tcPr>
            <w:tcW w:w="30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849"/>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3.22</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769"/>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6"/>
              </w:rPr>
              <w:t>1,296</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rPr>
              <w:t>2.91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5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Adjusted Tax Expense Reconciliation</w:t>
            </w:r>
          </w:p>
        </w:tc>
        <w:tc>
          <w:tcPr>
            <w:tcW w:w="300" w:type="dxa"/>
            <w:vAlign w:val="bottom"/>
          </w:tcPr>
          <w:p>
            <w:pPr>
              <w:spacing w:after="0"/>
              <w:rPr>
                <w:sz w:val="14"/>
                <w:szCs w:val="14"/>
                <w:color w:val="auto"/>
              </w:rPr>
            </w:pPr>
          </w:p>
        </w:tc>
        <w:tc>
          <w:tcPr>
            <w:tcW w:w="280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1"/>
              </w:rPr>
              <w:t>December 31, 2017</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7"/>
          </w:tcPr>
          <w:p>
            <w:pPr>
              <w:jc w:val="center"/>
              <w:ind w:right="228"/>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center"/>
              <w:ind w:right="208"/>
              <w:spacing w:after="0" w:line="142" w:lineRule="exact"/>
              <w:rPr>
                <w:sz w:val="20"/>
                <w:szCs w:val="20"/>
                <w:color w:val="auto"/>
              </w:rPr>
            </w:pPr>
            <w:r>
              <w:rPr>
                <w:rFonts w:ascii="Arial" w:cs="Arial" w:eastAsia="Arial" w:hAnsi="Arial"/>
                <w:sz w:val="14"/>
                <w:szCs w:val="14"/>
                <w:b w:val="1"/>
                <w:bCs w:val="1"/>
                <w:color w:val="auto"/>
                <w:w w:val="93"/>
              </w:rPr>
              <w:t>Pre-tax Income</w:t>
            </w: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center"/>
              <w:ind w:left="349"/>
              <w:spacing w:after="0" w:line="142" w:lineRule="exact"/>
              <w:rPr>
                <w:sz w:val="20"/>
                <w:szCs w:val="20"/>
                <w:color w:val="auto"/>
              </w:rPr>
            </w:pPr>
            <w:r>
              <w:rPr>
                <w:rFonts w:ascii="Arial" w:cs="Arial" w:eastAsia="Arial" w:hAnsi="Arial"/>
                <w:sz w:val="14"/>
                <w:szCs w:val="14"/>
                <w:b w:val="1"/>
                <w:bCs w:val="1"/>
                <w:color w:val="auto"/>
                <w:w w:val="91"/>
              </w:rPr>
              <w:t>Tax Expense</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2"/>
          </w:tcPr>
          <w:p>
            <w:pPr>
              <w:jc w:val="center"/>
              <w:ind w:right="28"/>
              <w:spacing w:after="0" w:line="142" w:lineRule="exact"/>
              <w:rPr>
                <w:sz w:val="20"/>
                <w:szCs w:val="20"/>
                <w:color w:val="auto"/>
              </w:rPr>
            </w:pPr>
            <w:r>
              <w:rPr>
                <w:rFonts w:ascii="Arial" w:cs="Arial" w:eastAsia="Arial" w:hAnsi="Arial"/>
                <w:sz w:val="14"/>
                <w:szCs w:val="14"/>
                <w:b w:val="1"/>
                <w:bCs w:val="1"/>
                <w:color w:val="auto"/>
                <w:w w:val="93"/>
              </w:rPr>
              <w:t>Pre-tax Income</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center"/>
              <w:ind w:right="29"/>
              <w:spacing w:after="0" w:line="142" w:lineRule="exact"/>
              <w:rPr>
                <w:sz w:val="20"/>
                <w:szCs w:val="20"/>
                <w:color w:val="auto"/>
              </w:rPr>
            </w:pPr>
            <w:r>
              <w:rPr>
                <w:rFonts w:ascii="Arial" w:cs="Arial" w:eastAsia="Arial" w:hAnsi="Arial"/>
                <w:sz w:val="14"/>
                <w:szCs w:val="14"/>
                <w:b w:val="1"/>
                <w:bCs w:val="1"/>
                <w:color w:val="auto"/>
                <w:w w:val="91"/>
              </w:rPr>
              <w:t>Tax Expense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4520" w:type="dxa"/>
            <w:vAlign w:val="bottom"/>
          </w:tcPr>
          <w:p>
            <w:pPr>
              <w:ind w:left="180"/>
              <w:spacing w:after="0"/>
              <w:rPr>
                <w:sz w:val="20"/>
                <w:szCs w:val="20"/>
                <w:color w:val="auto"/>
              </w:rPr>
            </w:pPr>
            <w:r>
              <w:rPr>
                <w:rFonts w:ascii="Arial" w:cs="Arial" w:eastAsia="Arial" w:hAnsi="Arial"/>
                <w:sz w:val="14"/>
                <w:szCs w:val="14"/>
                <w:b w:val="1"/>
                <w:bCs w:val="1"/>
                <w:color w:val="auto"/>
              </w:rPr>
              <w:t>As-reported amounts</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2,191</w:t>
            </w:r>
          </w:p>
        </w:tc>
        <w:tc>
          <w:tcPr>
            <w:tcW w:w="1500" w:type="dxa"/>
            <w:vAlign w:val="bottom"/>
            <w:gridSpan w:val="2"/>
          </w:tcPr>
          <w:p>
            <w:pPr>
              <w:jc w:val="right"/>
              <w:ind w:right="84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b w:val="1"/>
                <w:bCs w:val="1"/>
                <w:color w:val="auto"/>
              </w:rPr>
              <w:t>242</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769"/>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ind w:right="8"/>
              <w:spacing w:after="0"/>
              <w:rPr>
                <w:sz w:val="20"/>
                <w:szCs w:val="20"/>
                <w:color w:val="auto"/>
              </w:rPr>
            </w:pPr>
            <w:r>
              <w:rPr>
                <w:rFonts w:ascii="Arial" w:cs="Arial" w:eastAsia="Arial" w:hAnsi="Arial"/>
                <w:sz w:val="14"/>
                <w:szCs w:val="14"/>
                <w:b w:val="1"/>
                <w:bCs w:val="1"/>
                <w:color w:val="auto"/>
                <w:w w:val="96"/>
              </w:rPr>
              <w:t>1,822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642</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52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520" w:type="dxa"/>
            <w:vAlign w:val="bottom"/>
          </w:tcPr>
          <w:p>
            <w:pPr>
              <w:ind w:left="260"/>
              <w:spacing w:after="0" w:line="145" w:lineRule="exact"/>
              <w:rPr>
                <w:sz w:val="20"/>
                <w:szCs w:val="20"/>
                <w:color w:val="auto"/>
              </w:rPr>
            </w:pPr>
            <w:r>
              <w:rPr>
                <w:rFonts w:ascii="Arial" w:cs="Arial" w:eastAsia="Arial" w:hAnsi="Arial"/>
                <w:sz w:val="14"/>
                <w:szCs w:val="14"/>
                <w:color w:val="auto"/>
              </w:rPr>
              <w:t>Impact of Tax Cuts and Jobs Act</w:t>
            </w:r>
          </w:p>
        </w:tc>
        <w:tc>
          <w:tcPr>
            <w:tcW w:w="300" w:type="dxa"/>
            <w:vAlign w:val="bottom"/>
          </w:tcPr>
          <w:p>
            <w:pPr>
              <w:spacing w:after="0"/>
              <w:rPr>
                <w:sz w:val="12"/>
                <w:szCs w:val="12"/>
                <w:color w:val="auto"/>
              </w:rPr>
            </w:pPr>
          </w:p>
        </w:tc>
        <w:tc>
          <w:tcPr>
            <w:tcW w:w="130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jc w:val="right"/>
              <w:ind w:right="28"/>
              <w:spacing w:after="0" w:line="145" w:lineRule="exact"/>
              <w:rPr>
                <w:sz w:val="20"/>
                <w:szCs w:val="20"/>
                <w:color w:val="auto"/>
              </w:rPr>
            </w:pPr>
            <w:r>
              <w:rPr>
                <w:rFonts w:ascii="Arial" w:cs="Arial" w:eastAsia="Arial" w:hAnsi="Arial"/>
                <w:sz w:val="14"/>
                <w:szCs w:val="14"/>
                <w:color w:val="auto"/>
              </w:rPr>
              <w:t>529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ind w:right="188"/>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29"/>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20" w:type="dxa"/>
            <w:vAlign w:val="bottom"/>
          </w:tcPr>
          <w:p>
            <w:pPr>
              <w:ind w:left="260"/>
              <w:spacing w:after="0" w:line="153" w:lineRule="exact"/>
              <w:rPr>
                <w:sz w:val="20"/>
                <w:szCs w:val="20"/>
                <w:color w:val="auto"/>
              </w:rPr>
            </w:pPr>
            <w:r>
              <w:rPr>
                <w:rFonts w:ascii="Arial" w:cs="Arial" w:eastAsia="Arial" w:hAnsi="Arial"/>
                <w:sz w:val="14"/>
                <w:szCs w:val="14"/>
                <w:color w:val="auto"/>
              </w:rPr>
              <w:t xml:space="preserve">Tax benefits related to equity-based compensation </w:t>
            </w:r>
            <w:r>
              <w:rPr>
                <w:rFonts w:ascii="Arial" w:cs="Arial" w:eastAsia="Arial" w:hAnsi="Arial"/>
                <w:sz w:val="14"/>
                <w:szCs w:val="14"/>
                <w:b w:val="1"/>
                <w:bCs w:val="1"/>
                <w:color w:val="auto"/>
              </w:rPr>
              <w:t>(d)</w:t>
            </w:r>
          </w:p>
        </w:tc>
        <w:tc>
          <w:tcPr>
            <w:tcW w:w="300" w:type="dxa"/>
            <w:vAlign w:val="bottom"/>
          </w:tcPr>
          <w:p>
            <w:pPr>
              <w:spacing w:after="0"/>
              <w:rPr>
                <w:sz w:val="13"/>
                <w:szCs w:val="13"/>
                <w:color w:val="auto"/>
              </w:rPr>
            </w:pPr>
          </w:p>
        </w:tc>
        <w:tc>
          <w:tcPr>
            <w:tcW w:w="1300" w:type="dxa"/>
            <w:vAlign w:val="bottom"/>
          </w:tcPr>
          <w:p>
            <w:pPr>
              <w:jc w:val="right"/>
              <w:ind w:right="8"/>
              <w:spacing w:after="0" w:line="15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jc w:val="right"/>
              <w:ind w:right="28"/>
              <w:spacing w:after="0" w:line="153" w:lineRule="exact"/>
              <w:rPr>
                <w:sz w:val="20"/>
                <w:szCs w:val="20"/>
                <w:color w:val="auto"/>
              </w:rPr>
            </w:pPr>
            <w:r>
              <w:rPr>
                <w:rFonts w:ascii="Arial" w:cs="Arial" w:eastAsia="Arial" w:hAnsi="Arial"/>
                <w:sz w:val="14"/>
                <w:szCs w:val="14"/>
                <w:color w:val="auto"/>
              </w:rPr>
              <w:t>32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520" w:type="dxa"/>
            <w:vAlign w:val="bottom"/>
          </w:tcPr>
          <w:p>
            <w:pPr>
              <w:ind w:left="260"/>
              <w:spacing w:after="0" w:line="145" w:lineRule="exact"/>
              <w:rPr>
                <w:sz w:val="20"/>
                <w:szCs w:val="20"/>
                <w:color w:val="auto"/>
              </w:rPr>
            </w:pPr>
            <w:r>
              <w:rPr>
                <w:rFonts w:ascii="Arial" w:cs="Arial" w:eastAsia="Arial" w:hAnsi="Arial"/>
                <w:sz w:val="14"/>
                <w:szCs w:val="14"/>
                <w:color w:val="auto"/>
                <w:w w:val="99"/>
              </w:rPr>
              <w:t>Expense from divestitures, asset impairments and unusual items and</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20" w:type="dxa"/>
            <w:vAlign w:val="bottom"/>
          </w:tcPr>
          <w:p>
            <w:pPr>
              <w:ind w:left="260"/>
              <w:spacing w:after="0" w:line="153" w:lineRule="exact"/>
              <w:rPr>
                <w:sz w:val="20"/>
                <w:szCs w:val="20"/>
                <w:color w:val="auto"/>
              </w:rPr>
            </w:pPr>
            <w:r>
              <w:rPr>
                <w:rFonts w:ascii="Arial" w:cs="Arial" w:eastAsia="Arial" w:hAnsi="Arial"/>
                <w:sz w:val="14"/>
                <w:szCs w:val="14"/>
                <w:color w:val="auto"/>
              </w:rPr>
              <w:t xml:space="preserve">restructuring, net </w:t>
            </w:r>
            <w:r>
              <w:rPr>
                <w:rFonts w:ascii="Arial" w:cs="Arial" w:eastAsia="Arial" w:hAnsi="Arial"/>
                <w:sz w:val="14"/>
                <w:szCs w:val="14"/>
                <w:b w:val="1"/>
                <w:bCs w:val="1"/>
                <w:color w:val="auto"/>
              </w:rPr>
              <w:t>(c)</w:t>
            </w:r>
          </w:p>
        </w:tc>
        <w:tc>
          <w:tcPr>
            <w:tcW w:w="300" w:type="dxa"/>
            <w:vAlign w:val="bottom"/>
          </w:tcPr>
          <w:p>
            <w:pPr>
              <w:spacing w:after="0"/>
              <w:rPr>
                <w:sz w:val="13"/>
                <w:szCs w:val="13"/>
                <w:color w:val="auto"/>
              </w:rPr>
            </w:pPr>
          </w:p>
        </w:tc>
        <w:tc>
          <w:tcPr>
            <w:tcW w:w="1300" w:type="dxa"/>
            <w:vAlign w:val="bottom"/>
          </w:tcPr>
          <w:p>
            <w:pPr>
              <w:jc w:val="right"/>
              <w:ind w:right="8"/>
              <w:spacing w:after="0" w:line="153" w:lineRule="exact"/>
              <w:rPr>
                <w:sz w:val="20"/>
                <w:szCs w:val="20"/>
                <w:color w:val="auto"/>
              </w:rPr>
            </w:pPr>
            <w:r>
              <w:rPr>
                <w:rFonts w:ascii="Arial" w:cs="Arial" w:eastAsia="Arial" w:hAnsi="Arial"/>
                <w:sz w:val="14"/>
                <w:szCs w:val="14"/>
                <w:color w:val="auto"/>
              </w:rPr>
              <w:t>20</w:t>
            </w: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jc w:val="right"/>
              <w:ind w:right="28"/>
              <w:spacing w:after="0" w:line="153" w:lineRule="exact"/>
              <w:rPr>
                <w:sz w:val="20"/>
                <w:szCs w:val="20"/>
                <w:color w:val="auto"/>
              </w:rPr>
            </w:pPr>
            <w:r>
              <w:rPr>
                <w:rFonts w:ascii="Arial" w:cs="Arial" w:eastAsia="Arial" w:hAnsi="Arial"/>
                <w:sz w:val="14"/>
                <w:szCs w:val="14"/>
                <w:color w:val="auto"/>
              </w:rPr>
              <w:t>(6)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jc w:val="right"/>
              <w:ind w:right="8"/>
              <w:spacing w:after="0" w:line="153" w:lineRule="exact"/>
              <w:rPr>
                <w:sz w:val="20"/>
                <w:szCs w:val="20"/>
                <w:color w:val="auto"/>
              </w:rPr>
            </w:pPr>
            <w:r>
              <w:rPr>
                <w:rFonts w:ascii="Arial" w:cs="Arial" w:eastAsia="Arial" w:hAnsi="Arial"/>
                <w:sz w:val="14"/>
                <w:szCs w:val="14"/>
                <w:color w:val="auto"/>
              </w:rPr>
              <w:t>151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29"/>
              <w:spacing w:after="0" w:line="153" w:lineRule="exact"/>
              <w:rPr>
                <w:sz w:val="20"/>
                <w:szCs w:val="20"/>
                <w:color w:val="auto"/>
              </w:rPr>
            </w:pPr>
            <w:r>
              <w:rPr>
                <w:rFonts w:ascii="Arial" w:cs="Arial" w:eastAsia="Arial" w:hAnsi="Arial"/>
                <w:sz w:val="14"/>
                <w:szCs w:val="14"/>
                <w:color w:val="auto"/>
              </w:rPr>
              <w:t>37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60"/>
              <w:spacing w:after="0" w:line="149" w:lineRule="exact"/>
              <w:rPr>
                <w:sz w:val="20"/>
                <w:szCs w:val="20"/>
                <w:color w:val="auto"/>
              </w:rPr>
            </w:pPr>
            <w:r>
              <w:rPr>
                <w:rFonts w:ascii="Arial" w:cs="Arial" w:eastAsia="Arial" w:hAnsi="Arial"/>
                <w:sz w:val="14"/>
                <w:szCs w:val="14"/>
                <w:color w:val="auto"/>
              </w:rPr>
              <w:t>Withdrawal from a multiemployer pension plan</w:t>
            </w:r>
          </w:p>
        </w:tc>
        <w:tc>
          <w:tcPr>
            <w:tcW w:w="300" w:type="dxa"/>
            <w:vAlign w:val="bottom"/>
          </w:tcPr>
          <w:p>
            <w:pPr>
              <w:spacing w:after="0"/>
              <w:rPr>
                <w:sz w:val="12"/>
                <w:szCs w:val="12"/>
                <w:color w:val="auto"/>
              </w:rPr>
            </w:pPr>
          </w:p>
        </w:tc>
        <w:tc>
          <w:tcPr>
            <w:tcW w:w="13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w:t>
            </w: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20" w:type="dxa"/>
            <w:vAlign w:val="bottom"/>
          </w:tcPr>
          <w:p>
            <w:pPr>
              <w:ind w:left="260"/>
              <w:spacing w:after="0"/>
              <w:rPr>
                <w:sz w:val="20"/>
                <w:szCs w:val="20"/>
                <w:color w:val="auto"/>
              </w:rPr>
            </w:pPr>
            <w:r>
              <w:rPr>
                <w:rFonts w:ascii="Arial" w:cs="Arial" w:eastAsia="Arial" w:hAnsi="Arial"/>
                <w:sz w:val="14"/>
                <w:szCs w:val="14"/>
                <w:color w:val="auto"/>
              </w:rPr>
              <w:t>Loss on early extinguishment of debt</w:t>
            </w: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As-adjusted amounts</w:t>
            </w:r>
          </w:p>
        </w:tc>
        <w:tc>
          <w:tcPr>
            <w:tcW w:w="3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37</w:t>
            </w:r>
          </w:p>
        </w:tc>
        <w:tc>
          <w:tcPr>
            <w:tcW w:w="30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561</w:t>
            </w:r>
          </w:p>
        </w:tc>
        <w:tc>
          <w:tcPr>
            <w:tcW w:w="28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85"/>
              </w:rPr>
              <w:t>(f)</w:t>
            </w: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151</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rPr>
              <w:t>37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20" w:type="dxa"/>
            <w:vAlign w:val="bottom"/>
            <w:vMerge w:val="continue"/>
          </w:tcPr>
          <w:p>
            <w:pPr>
              <w:spacing w:after="0"/>
              <w:rPr>
                <w:sz w:val="13"/>
                <w:szCs w:val="13"/>
                <w:color w:val="auto"/>
              </w:rPr>
            </w:pP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2,228</w:t>
            </w:r>
          </w:p>
        </w:tc>
        <w:tc>
          <w:tcPr>
            <w:tcW w:w="300" w:type="dxa"/>
            <w:vAlign w:val="bottom"/>
          </w:tcPr>
          <w:p>
            <w:pPr>
              <w:spacing w:after="0"/>
              <w:rPr>
                <w:sz w:val="13"/>
                <w:szCs w:val="13"/>
                <w:color w:val="auto"/>
              </w:rPr>
            </w:pPr>
          </w:p>
        </w:tc>
        <w:tc>
          <w:tcPr>
            <w:tcW w:w="1200" w:type="dxa"/>
            <w:vAlign w:val="bottom"/>
            <w:tcBorders>
              <w:bottom w:val="single" w:sz="8" w:color="auto"/>
            </w:tcBorders>
          </w:tcPr>
          <w:p>
            <w:pPr>
              <w:jc w:val="right"/>
              <w:ind w:right="849"/>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803</w:t>
            </w:r>
          </w:p>
        </w:tc>
        <w:tc>
          <w:tcPr>
            <w:tcW w:w="28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769"/>
              <w:spacing w:after="0" w:line="155"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96"/>
              </w:rPr>
              <w:t>1,973</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b w:val="1"/>
                <w:bCs w:val="1"/>
                <w:color w:val="auto"/>
              </w:rPr>
              <w:t>679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340" w:right="180" w:hanging="332"/>
        <w:spacing w:after="0" w:line="234" w:lineRule="auto"/>
        <w:tabs>
          <w:tab w:leader="none" w:pos="319"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Fourth quarter 2017 pre-tax amount in “Income from divestitures, asset impairments and unusual items, net” primarily consists of: (i) gains of $31 million from the sale of certain oil and gas producing properties; (ii) $34 million of goodwill impairment charges for certain ancillary services business; (iii) a $30 million reduction in post-closing, performance-based contingent consideration obligations associated with an acquired business in our EES organization; and (iv) $12 million of impairment charges primarily in our “Other, net” financial caption related to other-than-temporary declines in the value of minority-owned investments in waste diversion technology companies.</w:t>
      </w:r>
    </w:p>
    <w:p>
      <w:pPr>
        <w:spacing w:after="0" w:line="60" w:lineRule="exact"/>
        <w:rPr>
          <w:rFonts w:ascii="Arial" w:cs="Arial" w:eastAsia="Arial" w:hAnsi="Arial"/>
          <w:sz w:val="14"/>
          <w:szCs w:val="14"/>
          <w:b w:val="1"/>
          <w:bCs w:val="1"/>
          <w:color w:val="auto"/>
        </w:rPr>
      </w:pPr>
    </w:p>
    <w:p>
      <w:pPr>
        <w:ind w:left="340" w:right="80" w:hanging="332"/>
        <w:spacing w:after="0" w:line="253" w:lineRule="auto"/>
        <w:tabs>
          <w:tab w:leader="none" w:pos="327"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Fourth quarter 2017 adjusted earnings per diluted share increased $0.10, or 13.3%, compared to fourth quarter 2016 as-reported earnings per diluted share of $0.75. There were no adjustments made to our fourth quarter 2016 results.</w:t>
      </w:r>
    </w:p>
    <w:p>
      <w:pPr>
        <w:spacing w:after="0" w:line="52" w:lineRule="exact"/>
        <w:rPr>
          <w:rFonts w:ascii="Arial" w:cs="Arial" w:eastAsia="Arial" w:hAnsi="Arial"/>
          <w:sz w:val="14"/>
          <w:szCs w:val="14"/>
          <w:b w:val="1"/>
          <w:bCs w:val="1"/>
          <w:color w:val="auto"/>
        </w:rPr>
      </w:pPr>
    </w:p>
    <w:p>
      <w:pPr>
        <w:jc w:val="both"/>
        <w:ind w:left="340" w:right="100" w:hanging="332"/>
        <w:spacing w:after="0" w:line="238" w:lineRule="auto"/>
        <w:tabs>
          <w:tab w:leader="none" w:pos="324"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Adjustments in 2017 and 2016 include impairment charges associated with assets in the “(Income) expense from divestitures, asset impairments and unusual items” and “Other, net” financial captions. Additionally, adjustments in 2017 include impairment charges associated with certain of our investments in unconsolidated entities that are included in the “Equity in earnings (loss) of unconsolidated entities” financial caption, and adjustments in 2016 include restructuring charges.</w:t>
      </w:r>
    </w:p>
    <w:p>
      <w:pPr>
        <w:spacing w:after="0" w:line="61" w:lineRule="exact"/>
        <w:rPr>
          <w:rFonts w:ascii="Arial" w:cs="Arial" w:eastAsia="Arial" w:hAnsi="Arial"/>
          <w:sz w:val="14"/>
          <w:szCs w:val="14"/>
          <w:b w:val="1"/>
          <w:bCs w:val="1"/>
          <w:color w:val="auto"/>
        </w:rPr>
      </w:pPr>
    </w:p>
    <w:p>
      <w:pPr>
        <w:ind w:left="340" w:right="60" w:hanging="332"/>
        <w:spacing w:after="0" w:line="253" w:lineRule="auto"/>
        <w:tabs>
          <w:tab w:leader="none" w:pos="327"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Effective January 1, 2017, the Company adopted ASU 2016-09 and any excess tax impacts related to the vesting or exercise of equity-based transactions are now recorded as a discrete item as an adjustment to income tax expense or benefit.</w:t>
      </w:r>
    </w:p>
    <w:p>
      <w:pPr>
        <w:spacing w:after="0" w:line="52" w:lineRule="exact"/>
        <w:rPr>
          <w:rFonts w:ascii="Arial" w:cs="Arial" w:eastAsia="Arial" w:hAnsi="Arial"/>
          <w:sz w:val="14"/>
          <w:szCs w:val="14"/>
          <w:b w:val="1"/>
          <w:bCs w:val="1"/>
          <w:color w:val="auto"/>
        </w:rPr>
      </w:pPr>
    </w:p>
    <w:p>
      <w:pPr>
        <w:ind w:left="320" w:hanging="312"/>
        <w:spacing w:after="0"/>
        <w:tabs>
          <w:tab w:leader="none" w:pos="32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Full year 2017 adjusted earnings per diluted share improved 10.7% as compared with prior year.</w:t>
      </w:r>
    </w:p>
    <w:p>
      <w:pPr>
        <w:spacing w:after="0" w:line="82" w:lineRule="exact"/>
        <w:rPr>
          <w:rFonts w:ascii="Arial" w:cs="Arial" w:eastAsia="Arial" w:hAnsi="Arial"/>
          <w:sz w:val="14"/>
          <w:szCs w:val="14"/>
          <w:b w:val="1"/>
          <w:bCs w:val="1"/>
          <w:color w:val="auto"/>
        </w:rPr>
      </w:pPr>
    </w:p>
    <w:p>
      <w:pPr>
        <w:ind w:left="320" w:hanging="312"/>
        <w:spacing w:after="0"/>
        <w:tabs>
          <w:tab w:leader="none" w:pos="32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Full year 2017 adjusted effective tax rate was 36.0%.</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Waste Management, Inc.</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Reconciliation of Certain Non-GAAP Measures</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(Dollars In Millions)</w:t>
      </w:r>
    </w:p>
    <w:p>
      <w:pPr>
        <w:sectPr>
          <w:pgSz w:w="11900" w:h="16838" w:orient="portrait"/>
          <w:cols w:equalWidth="0" w:num="1">
            <w:col w:w="11400"/>
          </w:cols>
          <w:pgMar w:left="240" w:top="125" w:right="25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4"/>
          </w:tcPr>
          <w:p>
            <w:pPr>
              <w:jc w:val="center"/>
              <w:ind w:right="188"/>
              <w:spacing w:after="0"/>
              <w:rPr>
                <w:sz w:val="20"/>
                <w:szCs w:val="20"/>
                <w:color w:val="auto"/>
              </w:rPr>
            </w:pPr>
            <w:r>
              <w:rPr>
                <w:rFonts w:ascii="Arial" w:cs="Arial" w:eastAsia="Arial" w:hAnsi="Arial"/>
                <w:sz w:val="14"/>
                <w:szCs w:val="14"/>
                <w:b w:val="1"/>
                <w:bCs w:val="1"/>
                <w:color w:val="auto"/>
                <w:w w:val="96"/>
              </w:rPr>
              <w:t>Quarter Ended</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Adjusted Income from Operations</w:t>
            </w: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w w:val="91"/>
              </w:rPr>
              <w:t>December 31, 2017</w:t>
            </w: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center"/>
              <w:ind w:right="168"/>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2"/>
                <w:szCs w:val="12"/>
                <w:color w:val="auto"/>
              </w:rPr>
            </w:pPr>
          </w:p>
        </w:tc>
        <w:tc>
          <w:tcPr>
            <w:tcW w:w="1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As a % of Revenues</w:t>
            </w:r>
          </w:p>
        </w:tc>
        <w:tc>
          <w:tcPr>
            <w:tcW w:w="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As a % of Revenues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4820" w:type="dxa"/>
            <w:vAlign w:val="bottom"/>
          </w:tcPr>
          <w:p>
            <w:pPr>
              <w:ind w:left="140"/>
              <w:spacing w:after="0"/>
              <w:rPr>
                <w:sz w:val="20"/>
                <w:szCs w:val="20"/>
                <w:color w:val="auto"/>
              </w:rPr>
            </w:pPr>
            <w:r>
              <w:rPr>
                <w:rFonts w:ascii="Arial" w:cs="Arial" w:eastAsia="Arial" w:hAnsi="Arial"/>
                <w:sz w:val="14"/>
                <w:szCs w:val="14"/>
                <w:b w:val="1"/>
                <w:bCs w:val="1"/>
                <w:color w:val="auto"/>
              </w:rPr>
              <w:t>Operating Revenues, as reported</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3,652</w:t>
            </w: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19.3%</w:t>
            </w:r>
          </w:p>
        </w:tc>
        <w:tc>
          <w:tcPr>
            <w:tcW w:w="340" w:type="dxa"/>
            <w:vAlign w:val="bottom"/>
          </w:tcPr>
          <w:p>
            <w:pPr>
              <w:spacing w:after="0"/>
              <w:rPr>
                <w:sz w:val="23"/>
                <w:szCs w:val="23"/>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3,460</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17.8%</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Income from Operations, as reported</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704</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617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Adjustment:</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820" w:type="dxa"/>
            <w:vAlign w:val="bottom"/>
          </w:tcPr>
          <w:p>
            <w:pPr>
              <w:ind w:left="240"/>
              <w:spacing w:after="0" w:line="145" w:lineRule="exact"/>
              <w:rPr>
                <w:sz w:val="20"/>
                <w:szCs w:val="20"/>
                <w:color w:val="auto"/>
              </w:rPr>
            </w:pPr>
            <w:r>
              <w:rPr>
                <w:rFonts w:ascii="Arial" w:cs="Arial" w:eastAsia="Arial" w:hAnsi="Arial"/>
                <w:sz w:val="14"/>
                <w:szCs w:val="14"/>
                <w:color w:val="auto"/>
              </w:rPr>
              <w:t>Income from divestitures, asset impairments and unusual items</w:t>
            </w:r>
          </w:p>
        </w:tc>
        <w:tc>
          <w:tcPr>
            <w:tcW w:w="200" w:type="dxa"/>
            <w:vAlign w:val="bottom"/>
          </w:tcPr>
          <w:p>
            <w:pPr>
              <w:spacing w:after="0"/>
              <w:rPr>
                <w:sz w:val="12"/>
                <w:szCs w:val="12"/>
                <w:color w:val="auto"/>
              </w:rPr>
            </w:pPr>
          </w:p>
        </w:tc>
        <w:tc>
          <w:tcPr>
            <w:tcW w:w="1120" w:type="dxa"/>
            <w:vAlign w:val="bottom"/>
          </w:tcPr>
          <w:p>
            <w:pPr>
              <w:jc w:val="right"/>
              <w:ind w:right="48"/>
              <w:spacing w:after="0" w:line="145" w:lineRule="exact"/>
              <w:rPr>
                <w:sz w:val="20"/>
                <w:szCs w:val="20"/>
                <w:color w:val="auto"/>
              </w:rPr>
            </w:pPr>
            <w:r>
              <w:rPr>
                <w:rFonts w:ascii="Arial" w:cs="Arial" w:eastAsia="Arial" w:hAnsi="Arial"/>
                <w:sz w:val="14"/>
                <w:szCs w:val="14"/>
                <w:color w:val="auto"/>
              </w:rPr>
              <w:t>(26)</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Adjusted Income from Operations</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18.6%</w:t>
            </w: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rPr>
              <w:t>(a)</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17.8%</w:t>
            </w:r>
          </w:p>
        </w:tc>
        <w:tc>
          <w:tcPr>
            <w:tcW w:w="180" w:type="dxa"/>
            <w:vAlign w:val="bottom"/>
            <w:vMerge w:val="restart"/>
          </w:tcPr>
          <w:p>
            <w:pPr>
              <w:spacing w:after="0"/>
              <w:rPr>
                <w:sz w:val="20"/>
                <w:szCs w:val="20"/>
                <w:color w:val="auto"/>
              </w:rPr>
            </w:pPr>
            <w:r>
              <w:rPr>
                <w:rFonts w:ascii="Arial" w:cs="Arial" w:eastAsia="Arial" w:hAnsi="Arial"/>
                <w:sz w:val="14"/>
                <w:szCs w:val="14"/>
                <w:b w:val="1"/>
                <w:bCs w:val="1"/>
                <w:color w:val="auto"/>
                <w:w w:val="93"/>
              </w:rPr>
              <w:t>(a)</w:t>
            </w: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678</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617</w:t>
            </w:r>
          </w:p>
        </w:tc>
        <w:tc>
          <w:tcPr>
            <w:tcW w:w="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4"/>
          </w:tcPr>
          <w:p>
            <w:pPr>
              <w:jc w:val="center"/>
              <w:ind w:right="188"/>
              <w:spacing w:after="0"/>
              <w:rPr>
                <w:sz w:val="20"/>
                <w:szCs w:val="20"/>
                <w:color w:val="auto"/>
              </w:rPr>
            </w:pPr>
            <w:r>
              <w:rPr>
                <w:rFonts w:ascii="Arial" w:cs="Arial" w:eastAsia="Arial" w:hAnsi="Arial"/>
                <w:sz w:val="14"/>
                <w:szCs w:val="14"/>
                <w:b w:val="1"/>
                <w:bCs w:val="1"/>
                <w:color w:val="auto"/>
                <w:w w:val="96"/>
              </w:rPr>
              <w:t>Quarter Ended</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Adjusted Operating EBITDA</w:t>
            </w: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w w:val="91"/>
              </w:rPr>
              <w:t>December 31, 2017</w:t>
            </w: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center"/>
              <w:ind w:right="168"/>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2"/>
                <w:szCs w:val="12"/>
                <w:color w:val="auto"/>
              </w:rPr>
            </w:pPr>
          </w:p>
        </w:tc>
        <w:tc>
          <w:tcPr>
            <w:tcW w:w="1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As a % of Revenues</w:t>
            </w:r>
          </w:p>
        </w:tc>
        <w:tc>
          <w:tcPr>
            <w:tcW w:w="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As a % of Revenues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4820" w:type="dxa"/>
            <w:vAlign w:val="bottom"/>
          </w:tcPr>
          <w:p>
            <w:pPr>
              <w:ind w:left="140"/>
              <w:spacing w:after="0"/>
              <w:rPr>
                <w:sz w:val="20"/>
                <w:szCs w:val="20"/>
                <w:color w:val="auto"/>
              </w:rPr>
            </w:pPr>
            <w:r>
              <w:rPr>
                <w:rFonts w:ascii="Arial" w:cs="Arial" w:eastAsia="Arial" w:hAnsi="Arial"/>
                <w:sz w:val="14"/>
                <w:szCs w:val="14"/>
                <w:b w:val="1"/>
                <w:bCs w:val="1"/>
                <w:color w:val="auto"/>
              </w:rPr>
              <w:t>Operating Revenues, as reported</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3,652</w:t>
            </w: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3,460</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Income from Operations, as reported</w:t>
            </w:r>
          </w:p>
        </w:tc>
        <w:tc>
          <w:tcPr>
            <w:tcW w:w="2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704</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617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820" w:type="dxa"/>
            <w:vAlign w:val="bottom"/>
          </w:tcPr>
          <w:p>
            <w:pPr>
              <w:ind w:left="240"/>
              <w:spacing w:after="0" w:line="145"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120" w:type="dxa"/>
            <w:vAlign w:val="bottom"/>
          </w:tcPr>
          <w:p>
            <w:pPr>
              <w:jc w:val="right"/>
              <w:ind w:right="68"/>
              <w:spacing w:after="0" w:line="145" w:lineRule="exact"/>
              <w:rPr>
                <w:sz w:val="20"/>
                <w:szCs w:val="20"/>
                <w:color w:val="auto"/>
              </w:rPr>
            </w:pPr>
            <w:r>
              <w:rPr>
                <w:rFonts w:ascii="Arial" w:cs="Arial" w:eastAsia="Arial" w:hAnsi="Arial"/>
                <w:sz w:val="14"/>
                <w:szCs w:val="14"/>
                <w:color w:val="auto"/>
              </w:rPr>
              <w:t>342</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Arial" w:cs="Arial" w:eastAsia="Arial" w:hAnsi="Arial"/>
                <w:sz w:val="14"/>
                <w:szCs w:val="14"/>
                <w:color w:val="auto"/>
              </w:rPr>
              <w:t>313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Operating EBITDA, as reported</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28.6%</w:t>
            </w: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26.9%</w:t>
            </w: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4820" w:type="dxa"/>
            <w:vAlign w:val="bottom"/>
            <w:vMerge w:val="continue"/>
          </w:tcPr>
          <w:p>
            <w:pPr>
              <w:spacing w:after="0"/>
              <w:rPr>
                <w:sz w:val="10"/>
                <w:szCs w:val="10"/>
                <w:color w:val="auto"/>
              </w:rPr>
            </w:pPr>
          </w:p>
        </w:tc>
        <w:tc>
          <w:tcPr>
            <w:tcW w:w="2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1,046</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w:t>
            </w:r>
          </w:p>
        </w:tc>
        <w:tc>
          <w:tcPr>
            <w:tcW w:w="9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930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Adjustment:</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820" w:type="dxa"/>
            <w:vAlign w:val="bottom"/>
          </w:tcPr>
          <w:p>
            <w:pPr>
              <w:ind w:left="240"/>
              <w:spacing w:after="0" w:line="145" w:lineRule="exact"/>
              <w:rPr>
                <w:sz w:val="20"/>
                <w:szCs w:val="20"/>
                <w:color w:val="auto"/>
              </w:rPr>
            </w:pPr>
            <w:r>
              <w:rPr>
                <w:rFonts w:ascii="Arial" w:cs="Arial" w:eastAsia="Arial" w:hAnsi="Arial"/>
                <w:sz w:val="14"/>
                <w:szCs w:val="14"/>
                <w:color w:val="auto"/>
              </w:rPr>
              <w:t>Income from divestitures, asset impairments and unusual items</w:t>
            </w:r>
          </w:p>
        </w:tc>
        <w:tc>
          <w:tcPr>
            <w:tcW w:w="200" w:type="dxa"/>
            <w:vAlign w:val="bottom"/>
          </w:tcPr>
          <w:p>
            <w:pPr>
              <w:spacing w:after="0"/>
              <w:rPr>
                <w:sz w:val="12"/>
                <w:szCs w:val="12"/>
                <w:color w:val="auto"/>
              </w:rPr>
            </w:pPr>
          </w:p>
        </w:tc>
        <w:tc>
          <w:tcPr>
            <w:tcW w:w="1120" w:type="dxa"/>
            <w:vAlign w:val="bottom"/>
          </w:tcPr>
          <w:p>
            <w:pPr>
              <w:jc w:val="right"/>
              <w:ind w:right="48"/>
              <w:spacing w:after="0" w:line="145" w:lineRule="exact"/>
              <w:rPr>
                <w:sz w:val="20"/>
                <w:szCs w:val="20"/>
                <w:color w:val="auto"/>
              </w:rPr>
            </w:pPr>
            <w:r>
              <w:rPr>
                <w:rFonts w:ascii="Arial" w:cs="Arial" w:eastAsia="Arial" w:hAnsi="Arial"/>
                <w:sz w:val="14"/>
                <w:szCs w:val="14"/>
                <w:color w:val="auto"/>
              </w:rPr>
              <w:t>(26)</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Adjusted Operating EBITDA</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27.9%</w:t>
            </w: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rPr>
              <w:t>(b)</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26.9%</w:t>
            </w:r>
          </w:p>
        </w:tc>
        <w:tc>
          <w:tcPr>
            <w:tcW w:w="180" w:type="dxa"/>
            <w:vAlign w:val="bottom"/>
            <w:vMerge w:val="restart"/>
          </w:tcPr>
          <w:p>
            <w:pPr>
              <w:spacing w:after="0"/>
              <w:rPr>
                <w:sz w:val="20"/>
                <w:szCs w:val="20"/>
                <w:color w:val="auto"/>
              </w:rPr>
            </w:pPr>
            <w:r>
              <w:rPr>
                <w:rFonts w:ascii="Arial" w:cs="Arial" w:eastAsia="Arial" w:hAnsi="Arial"/>
                <w:sz w:val="14"/>
                <w:szCs w:val="14"/>
                <w:b w:val="1"/>
                <w:bCs w:val="1"/>
                <w:color w:val="auto"/>
                <w:w w:val="89"/>
              </w:rPr>
              <w:t>(b)</w:t>
            </w: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1,020</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930</w:t>
            </w:r>
          </w:p>
        </w:tc>
        <w:tc>
          <w:tcPr>
            <w:tcW w:w="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w w:val="96"/>
              </w:rPr>
              <w:t>Year Ended</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4"/>
          </w:tcPr>
          <w:p>
            <w:pPr>
              <w:jc w:val="center"/>
              <w:ind w:right="188"/>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Adjusted Operating EBITDA</w:t>
            </w: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w w:val="91"/>
              </w:rPr>
              <w:t>December 31, 2017</w:t>
            </w: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center"/>
              <w:ind w:right="168"/>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2"/>
                <w:szCs w:val="12"/>
                <w:color w:val="auto"/>
              </w:rPr>
            </w:pPr>
          </w:p>
        </w:tc>
        <w:tc>
          <w:tcPr>
            <w:tcW w:w="1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As a % of Revenues</w:t>
            </w:r>
          </w:p>
        </w:tc>
        <w:tc>
          <w:tcPr>
            <w:tcW w:w="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As a % of Revenues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4820" w:type="dxa"/>
            <w:vAlign w:val="bottom"/>
          </w:tcPr>
          <w:p>
            <w:pPr>
              <w:ind w:left="140"/>
              <w:spacing w:after="0"/>
              <w:rPr>
                <w:sz w:val="20"/>
                <w:szCs w:val="20"/>
                <w:color w:val="auto"/>
              </w:rPr>
            </w:pPr>
            <w:r>
              <w:rPr>
                <w:rFonts w:ascii="Arial" w:cs="Arial" w:eastAsia="Arial" w:hAnsi="Arial"/>
                <w:sz w:val="14"/>
                <w:szCs w:val="14"/>
                <w:b w:val="1"/>
                <w:bCs w:val="1"/>
                <w:color w:val="auto"/>
              </w:rPr>
              <w:t>Operating Revenues, as reported</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14,485</w:t>
            </w: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13,609</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Income from Operations, as reported</w:t>
            </w:r>
          </w:p>
        </w:tc>
        <w:tc>
          <w:tcPr>
            <w:tcW w:w="2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2,636</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2,296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820" w:type="dxa"/>
            <w:vAlign w:val="bottom"/>
          </w:tcPr>
          <w:p>
            <w:pPr>
              <w:ind w:left="240"/>
              <w:spacing w:after="0" w:line="145"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120" w:type="dxa"/>
            <w:vAlign w:val="bottom"/>
          </w:tcPr>
          <w:p>
            <w:pPr>
              <w:jc w:val="right"/>
              <w:ind w:right="48"/>
              <w:spacing w:after="0" w:line="145" w:lineRule="exact"/>
              <w:rPr>
                <w:sz w:val="20"/>
                <w:szCs w:val="20"/>
                <w:color w:val="auto"/>
              </w:rPr>
            </w:pPr>
            <w:r>
              <w:rPr>
                <w:rFonts w:ascii="Arial" w:cs="Arial" w:eastAsia="Arial" w:hAnsi="Arial"/>
                <w:sz w:val="14"/>
                <w:szCs w:val="14"/>
                <w:color w:val="auto"/>
              </w:rPr>
              <w:t>1,376</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Arial" w:cs="Arial" w:eastAsia="Arial" w:hAnsi="Arial"/>
                <w:sz w:val="14"/>
                <w:szCs w:val="14"/>
                <w:color w:val="auto"/>
              </w:rPr>
              <w:t>1,301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Operating EBITDA, as reported</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27.7</w:t>
            </w: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3,597</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26.4%</w:t>
            </w: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4820" w:type="dxa"/>
            <w:vAlign w:val="bottom"/>
            <w:vMerge w:val="continue"/>
          </w:tcPr>
          <w:p>
            <w:pPr>
              <w:spacing w:after="0"/>
              <w:rPr>
                <w:sz w:val="10"/>
                <w:szCs w:val="10"/>
                <w:color w:val="auto"/>
              </w:rPr>
            </w:pPr>
          </w:p>
        </w:tc>
        <w:tc>
          <w:tcPr>
            <w:tcW w:w="2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4,012</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260"/>
              <w:spacing w:after="0" w:line="149" w:lineRule="exact"/>
              <w:rPr>
                <w:sz w:val="20"/>
                <w:szCs w:val="20"/>
                <w:color w:val="auto"/>
              </w:rPr>
            </w:pPr>
            <w:r>
              <w:rPr>
                <w:rFonts w:ascii="Arial" w:cs="Arial" w:eastAsia="Arial" w:hAnsi="Arial"/>
                <w:sz w:val="14"/>
                <w:szCs w:val="14"/>
                <w:color w:val="auto"/>
                <w:w w:val="99"/>
              </w:rPr>
              <w:t>(Income) expense from divestitures, asset impairments and unusual items</w:t>
            </w:r>
          </w:p>
        </w:tc>
        <w:tc>
          <w:tcPr>
            <w:tcW w:w="200" w:type="dxa"/>
            <w:vAlign w:val="bottom"/>
          </w:tcPr>
          <w:p>
            <w:pPr>
              <w:spacing w:after="0"/>
              <w:rPr>
                <w:sz w:val="12"/>
                <w:szCs w:val="12"/>
                <w:color w:val="auto"/>
              </w:rPr>
            </w:pPr>
          </w:p>
        </w:tc>
        <w:tc>
          <w:tcPr>
            <w:tcW w:w="11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(17)</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820" w:type="dxa"/>
            <w:vAlign w:val="bottom"/>
          </w:tcPr>
          <w:p>
            <w:pPr>
              <w:ind w:left="140"/>
              <w:spacing w:after="0" w:line="145" w:lineRule="exact"/>
              <w:rPr>
                <w:sz w:val="20"/>
                <w:szCs w:val="20"/>
                <w:color w:val="auto"/>
              </w:rPr>
            </w:pPr>
            <w:r>
              <w:rPr>
                <w:rFonts w:ascii="Arial" w:cs="Arial" w:eastAsia="Arial" w:hAnsi="Arial"/>
                <w:sz w:val="14"/>
                <w:szCs w:val="14"/>
                <w:color w:val="auto"/>
              </w:rPr>
              <w:t>Withdrawal from a multiemployer pension plan</w:t>
            </w:r>
          </w:p>
        </w:tc>
        <w:tc>
          <w:tcPr>
            <w:tcW w:w="200" w:type="dxa"/>
            <w:vAlign w:val="bottom"/>
          </w:tcPr>
          <w:p>
            <w:pPr>
              <w:spacing w:after="0"/>
              <w:rPr>
                <w:sz w:val="12"/>
                <w:szCs w:val="12"/>
                <w:color w:val="auto"/>
              </w:rPr>
            </w:pPr>
          </w:p>
        </w:tc>
        <w:tc>
          <w:tcPr>
            <w:tcW w:w="1120" w:type="dxa"/>
            <w:vAlign w:val="bottom"/>
          </w:tcPr>
          <w:p>
            <w:pPr>
              <w:jc w:val="right"/>
              <w:ind w:right="48"/>
              <w:spacing w:after="0" w:line="145" w:lineRule="exact"/>
              <w:rPr>
                <w:sz w:val="20"/>
                <w:szCs w:val="20"/>
                <w:color w:val="auto"/>
              </w:rPr>
            </w:pPr>
            <w:r>
              <w:rPr>
                <w:rFonts w:ascii="Arial" w:cs="Arial" w:eastAsia="Arial" w:hAnsi="Arial"/>
                <w:sz w:val="14"/>
                <w:szCs w:val="14"/>
                <w:color w:val="auto"/>
              </w:rPr>
              <w:t>11</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Adjusted Operating EBITDA</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gridSpan w:val="2"/>
            <w:vMerge w:val="restart"/>
          </w:tcPr>
          <w:p>
            <w:pPr>
              <w:jc w:val="right"/>
              <w:ind w:right="708"/>
              <w:spacing w:after="0"/>
              <w:rPr>
                <w:sz w:val="20"/>
                <w:szCs w:val="20"/>
                <w:color w:val="auto"/>
              </w:rPr>
            </w:pPr>
            <w:r>
              <w:rPr>
                <w:rFonts w:ascii="Arial" w:cs="Arial" w:eastAsia="Arial" w:hAnsi="Arial"/>
                <w:sz w:val="14"/>
                <w:szCs w:val="14"/>
                <w:b w:val="1"/>
                <w:bCs w:val="1"/>
                <w:color w:val="auto"/>
                <w:w w:val="81"/>
              </w:rPr>
              <w:t>(c)</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27.7</w:t>
            </w: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rPr>
              <w:t>(c)</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27.2%</w:t>
            </w: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4,006</w:t>
            </w:r>
          </w:p>
        </w:tc>
        <w:tc>
          <w:tcPr>
            <w:tcW w:w="9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3,707</w:t>
            </w:r>
          </w:p>
        </w:tc>
        <w:tc>
          <w:tcPr>
            <w:tcW w:w="80" w:type="dxa"/>
            <w:vAlign w:val="bottom"/>
            <w:tcBorders>
              <w:bottom w:val="single" w:sz="8" w:color="auto"/>
            </w:tcBorders>
          </w:tcPr>
          <w:p>
            <w:pPr>
              <w:spacing w:after="0"/>
              <w:rPr>
                <w:sz w:val="12"/>
                <w:szCs w:val="12"/>
                <w:color w:val="auto"/>
              </w:rPr>
            </w:pPr>
          </w:p>
        </w:tc>
        <w:tc>
          <w:tcPr>
            <w:tcW w:w="3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xml:space="preserve">2018 Projected Free Cash Flow Reconciliation </w:t>
            </w:r>
            <w:r>
              <w:rPr>
                <w:rFonts w:ascii="Arial" w:cs="Arial" w:eastAsia="Arial" w:hAnsi="Arial"/>
                <w:sz w:val="14"/>
                <w:szCs w:val="14"/>
                <w:b w:val="1"/>
                <w:bCs w:val="1"/>
                <w:color w:val="auto"/>
              </w:rPr>
              <w:t>(d)</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4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w w:val="98"/>
              </w:rPr>
              <w:t>Scenario 1</w:t>
            </w:r>
          </w:p>
        </w:tc>
        <w:tc>
          <w:tcPr>
            <w:tcW w:w="360" w:type="dxa"/>
            <w:vAlign w:val="bottom"/>
          </w:tcPr>
          <w:p>
            <w:pPr>
              <w:spacing w:after="0"/>
              <w:rPr>
                <w:sz w:val="24"/>
                <w:szCs w:val="24"/>
                <w:color w:val="auto"/>
              </w:rPr>
            </w:pPr>
          </w:p>
        </w:tc>
        <w:tc>
          <w:tcPr>
            <w:tcW w:w="130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rPr>
              <w:t>Scenario 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820" w:type="dxa"/>
            <w:vAlign w:val="bottom"/>
            <w:vMerge w:val="restart"/>
          </w:tcPr>
          <w:p>
            <w:pPr>
              <w:ind w:left="26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tcBorders>
              <w:bottom w:val="single" w:sz="8" w:color="auto"/>
            </w:tcBorders>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820" w:type="dxa"/>
            <w:vAlign w:val="bottom"/>
            <w:vMerge w:val="continue"/>
          </w:tcPr>
          <w:p>
            <w:pPr>
              <w:spacing w:after="0"/>
              <w:rPr>
                <w:sz w:val="10"/>
                <w:szCs w:val="10"/>
                <w:color w:val="auto"/>
              </w:rPr>
            </w:pPr>
          </w:p>
        </w:tc>
        <w:tc>
          <w:tcPr>
            <w:tcW w:w="2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line="123" w:lineRule="exact"/>
              <w:rPr>
                <w:sz w:val="20"/>
                <w:szCs w:val="20"/>
                <w:color w:val="auto"/>
              </w:rPr>
            </w:pPr>
            <w:r>
              <w:rPr>
                <w:rFonts w:ascii="Arial" w:cs="Arial" w:eastAsia="Arial" w:hAnsi="Arial"/>
                <w:sz w:val="14"/>
                <w:szCs w:val="14"/>
                <w:color w:val="auto"/>
              </w:rPr>
              <w:t>3,500</w:t>
            </w:r>
          </w:p>
        </w:tc>
        <w:tc>
          <w:tcPr>
            <w:tcW w:w="360" w:type="dxa"/>
            <w:vAlign w:val="bottom"/>
          </w:tcPr>
          <w:p>
            <w:pPr>
              <w:spacing w:after="0"/>
              <w:rPr>
                <w:sz w:val="10"/>
                <w:szCs w:val="10"/>
                <w:color w:val="auto"/>
              </w:rPr>
            </w:pPr>
          </w:p>
        </w:tc>
        <w:tc>
          <w:tcPr>
            <w:tcW w:w="580" w:type="dxa"/>
            <w:vAlign w:val="bottom"/>
          </w:tcPr>
          <w:p>
            <w:pPr>
              <w:jc w:val="right"/>
              <w:ind w:right="368"/>
              <w:spacing w:after="0" w:line="123"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line="123" w:lineRule="exact"/>
              <w:rPr>
                <w:sz w:val="20"/>
                <w:szCs w:val="20"/>
                <w:color w:val="auto"/>
              </w:rPr>
            </w:pPr>
            <w:r>
              <w:rPr>
                <w:rFonts w:ascii="Arial" w:cs="Arial" w:eastAsia="Arial" w:hAnsi="Arial"/>
                <w:sz w:val="14"/>
                <w:szCs w:val="14"/>
                <w:color w:val="auto"/>
              </w:rPr>
              <w:t>3,600</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260"/>
              <w:spacing w:after="0" w:line="149" w:lineRule="exact"/>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2"/>
                <w:szCs w:val="12"/>
                <w:color w:val="auto"/>
              </w:rPr>
            </w:pPr>
          </w:p>
        </w:tc>
        <w:tc>
          <w:tcPr>
            <w:tcW w:w="11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(1,650)</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(1,650)</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260"/>
              <w:spacing w:after="0" w:line="149" w:lineRule="exact"/>
              <w:rPr>
                <w:sz w:val="20"/>
                <w:szCs w:val="20"/>
                <w:color w:val="auto"/>
              </w:rPr>
            </w:pPr>
            <w:r>
              <w:rPr>
                <w:rFonts w:ascii="Arial" w:cs="Arial" w:eastAsia="Arial" w:hAnsi="Arial"/>
                <w:sz w:val="14"/>
                <w:szCs w:val="14"/>
                <w:color w:val="auto"/>
              </w:rPr>
              <w:t>Proceeds from divestitures of businesses and</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820" w:type="dxa"/>
            <w:vAlign w:val="bottom"/>
          </w:tcPr>
          <w:p>
            <w:pPr>
              <w:ind w:left="260"/>
              <w:spacing w:after="0" w:line="145" w:lineRule="exact"/>
              <w:rPr>
                <w:sz w:val="20"/>
                <w:szCs w:val="20"/>
                <w:color w:val="auto"/>
              </w:rPr>
            </w:pPr>
            <w:r>
              <w:rPr>
                <w:rFonts w:ascii="Arial" w:cs="Arial" w:eastAsia="Arial" w:hAnsi="Arial"/>
                <w:sz w:val="14"/>
                <w:szCs w:val="14"/>
                <w:color w:val="auto"/>
              </w:rPr>
              <w:t>other assets (net of cash divested)</w:t>
            </w:r>
          </w:p>
        </w:tc>
        <w:tc>
          <w:tcPr>
            <w:tcW w:w="200" w:type="dxa"/>
            <w:vAlign w:val="bottom"/>
          </w:tcPr>
          <w:p>
            <w:pPr>
              <w:spacing w:after="0"/>
              <w:rPr>
                <w:sz w:val="12"/>
                <w:szCs w:val="12"/>
                <w:color w:val="auto"/>
              </w:rPr>
            </w:pPr>
          </w:p>
        </w:tc>
        <w:tc>
          <w:tcPr>
            <w:tcW w:w="1120" w:type="dxa"/>
            <w:vAlign w:val="bottom"/>
          </w:tcPr>
          <w:p>
            <w:pPr>
              <w:jc w:val="right"/>
              <w:ind w:right="68"/>
              <w:spacing w:after="0" w:line="145" w:lineRule="exact"/>
              <w:rPr>
                <w:sz w:val="20"/>
                <w:szCs w:val="20"/>
                <w:color w:val="auto"/>
              </w:rPr>
            </w:pPr>
            <w:r>
              <w:rPr>
                <w:rFonts w:ascii="Arial" w:cs="Arial" w:eastAsia="Arial" w:hAnsi="Arial"/>
                <w:sz w:val="14"/>
                <w:szCs w:val="14"/>
                <w:color w:val="auto"/>
              </w:rPr>
              <w:t>100</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jc w:val="right"/>
              <w:ind w:right="48"/>
              <w:spacing w:after="0" w:line="145" w:lineRule="exact"/>
              <w:rPr>
                <w:sz w:val="20"/>
                <w:szCs w:val="20"/>
                <w:color w:val="auto"/>
              </w:rPr>
            </w:pPr>
            <w:r>
              <w:rPr>
                <w:rFonts w:ascii="Arial" w:cs="Arial" w:eastAsia="Arial" w:hAnsi="Arial"/>
                <w:sz w:val="14"/>
                <w:szCs w:val="14"/>
                <w:color w:val="auto"/>
              </w:rPr>
              <w:t>100</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Free Cash Flow</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1,950</w:t>
            </w:r>
          </w:p>
        </w:tc>
        <w:tc>
          <w:tcPr>
            <w:tcW w:w="360" w:type="dxa"/>
            <w:vAlign w:val="bottom"/>
            <w:vMerge w:val="continue"/>
          </w:tcPr>
          <w:p>
            <w:pPr>
              <w:spacing w:after="0"/>
              <w:rPr>
                <w:sz w:val="12"/>
                <w:szCs w:val="12"/>
                <w:color w:val="auto"/>
              </w:rPr>
            </w:pPr>
          </w:p>
        </w:tc>
        <w:tc>
          <w:tcPr>
            <w:tcW w:w="58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2,050</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right="240" w:hanging="293"/>
        <w:spacing w:after="0" w:line="230" w:lineRule="auto"/>
        <w:tabs>
          <w:tab w:leader="none" w:pos="317"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Fourth quarter 2017 adjusted income from operations increased $61 million, or 9.9%, as compared with as-reported results for the same prior year period. Adjusted income from operations margin increased 80 basis points to 18.6% of revenues in the fourth quarter 2017. There were no adjustments made to our fourth quarter 2016 results.</w:t>
      </w:r>
    </w:p>
    <w:p>
      <w:pPr>
        <w:ind w:left="340" w:right="300" w:hanging="293"/>
        <w:spacing w:after="0" w:line="221" w:lineRule="auto"/>
        <w:tabs>
          <w:tab w:leader="none" w:pos="325"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Fourth quarter 2017 adjusted operating EBITDA increased $90 million, or 9.7%, as compared with as-reported results for the same prior year period. Adjusted operating EBITDA margin increased 100 basis points to 27.9% of revenues in the fourth quarter 2017. There were no adjustments made to our fourth quarter 2016 results.</w:t>
      </w:r>
    </w:p>
    <w:p>
      <w:pPr>
        <w:ind w:left="320" w:hanging="273"/>
        <w:spacing w:after="0" w:line="221" w:lineRule="auto"/>
        <w:tabs>
          <w:tab w:leader="none" w:pos="32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Full year 2017 adjusted operating EBITDA increased 8.1% as compared with adjusted results for the same prior year period.</w:t>
      </w:r>
    </w:p>
    <w:p>
      <w:pPr>
        <w:ind w:left="340" w:hanging="293"/>
        <w:spacing w:after="0" w:line="237" w:lineRule="auto"/>
        <w:tabs>
          <w:tab w:leader="none" w:pos="325"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The reconciliation includes two scenarios that illustrate our projected free cash flow range for 2018. The amounts used in the reconciliation are subject to many variables, some of which are not under our control and, therefore, are not necessarily indicative of actual results.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2019-12-29T01:05:20Z</dcterms:created>
  <dcterms:modified xsi:type="dcterms:W3CDTF">2019-12-29T01:05:20Z</dcterms:modified>
</cp:coreProperties>
</file>