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13,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154940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On February 13, 2009, Waste Management, Inc. (the “Company”) disclosed certain supplemental information relating to its Consolidated Statements of Cash Flows. As a result of an increase in the significance of certain non-cash expenses, the Company has elected to separately identify the effects of “Interest accretion on landfill liabilities,” “Interest accretion on and discount rate adjustments to environmental remediation liabilities and recovery assets” and “Equity-based compensation expense” within the “Cash flows from operating activities” section of its Consolidated Statements of Cash Flows. The following table reflects the impacts of these reclassifications on the Company’s cash flows from operations for the nine months ended September 30, 2008 and provides the Company’s operating cash flows for the three and twelve months ended December 31, 2008 on a reclassified basis (in millions):</w:t>
      </w:r>
    </w:p>
    <w:p>
      <w:pPr>
        <w:spacing w:after="0" w:line="13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w w:val="97"/>
              </w:rPr>
              <w:t>Nine Months Ended September 30, 2008</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7"/>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Ended</w:t>
            </w:r>
          </w:p>
        </w:tc>
        <w:tc>
          <w:tcPr>
            <w:tcW w:w="94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18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Reclassifications</w:t>
            </w:r>
          </w:p>
        </w:tc>
        <w:tc>
          <w:tcPr>
            <w:tcW w:w="200" w:type="dxa"/>
            <w:vAlign w:val="bottom"/>
          </w:tcPr>
          <w:p>
            <w:pPr>
              <w:spacing w:after="0"/>
              <w:rPr>
                <w:sz w:val="10"/>
                <w:szCs w:val="10"/>
                <w:color w:val="auto"/>
              </w:rPr>
            </w:pPr>
          </w:p>
        </w:tc>
        <w:tc>
          <w:tcPr>
            <w:tcW w:w="540" w:type="dxa"/>
            <w:vAlign w:val="bottom"/>
          </w:tcPr>
          <w:p>
            <w:pPr>
              <w:jc w:val="right"/>
              <w:ind w:right="191"/>
              <w:spacing w:after="0" w:line="119" w:lineRule="exact"/>
              <w:rPr>
                <w:sz w:val="20"/>
                <w:szCs w:val="20"/>
                <w:color w:val="auto"/>
              </w:rPr>
            </w:pPr>
            <w:r>
              <w:rPr>
                <w:rFonts w:ascii="Arial" w:cs="Arial" w:eastAsia="Arial" w:hAnsi="Arial"/>
                <w:sz w:val="13"/>
                <w:szCs w:val="13"/>
                <w:b w:val="1"/>
                <w:bCs w:val="1"/>
                <w:color w:val="auto"/>
              </w:rPr>
              <w:t>As</w:t>
            </w:r>
          </w:p>
        </w:tc>
        <w:tc>
          <w:tcPr>
            <w:tcW w:w="600" w:type="dxa"/>
            <w:vAlign w:val="bottom"/>
          </w:tcPr>
          <w:p>
            <w:pPr>
              <w:spacing w:after="0"/>
              <w:rPr>
                <w:sz w:val="10"/>
                <w:szCs w:val="10"/>
                <w:color w:val="auto"/>
              </w:rPr>
            </w:pPr>
          </w:p>
        </w:tc>
        <w:tc>
          <w:tcPr>
            <w:tcW w:w="14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Reported</w:t>
            </w:r>
          </w:p>
        </w:tc>
        <w:tc>
          <w:tcPr>
            <w:tcW w:w="1880" w:type="dxa"/>
            <w:vAlign w:val="bottom"/>
            <w:gridSpan w:val="4"/>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Reclassified</w:t>
            </w:r>
          </w:p>
        </w:tc>
        <w:tc>
          <w:tcPr>
            <w:tcW w:w="16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869</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income to net cash</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provided by operating activities: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941</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 provision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Interest accretion on landfill liabilities</w:t>
            </w:r>
          </w:p>
        </w:tc>
        <w:tc>
          <w:tcPr>
            <w:tcW w:w="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Interest accretion on and discount rate adjustments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 environmental remediation liabilities and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recovery assets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Equity in net losses of unconsolidated entities, net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of distributions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Net gain from disposal of assets</w:t>
            </w: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Effect of (income) expense from divestitures, asset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impairments and unusual items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Excess tax benefits associated with equity-based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Change in operating assets and liabilities, net of</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effects of acquisitions and divestitures: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Deferred revenues and other liabilities</w:t>
            </w: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1,902</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The Company also made clarifications with respect to information disclosed on its earnings conference call and in its press release on February 12, 2009 regarding its Annual Incentive Plan. As the Company has disclosed in its Proxy Statement for the 2008 Annual Meeting of Stockholders, under the Annual Incentive Plan, executives of the Company earn their bonuses dependent on the Company achieving pre-set financial measures, which include income from operations as a percentage of revenue and income from operations excluding depreciation and amortization. The Company has not changed the structure of the Plan and still uses these pre-set measures to determine the bonuses, if any, that are earned. However, due to current economic conditions, and in order to drive performance, the Company has determined to implement policies and practices within the organization that must be followed in order for its executives to be eligible to earn bonuses under the Plan. These policies will include meeting certain hurdles related to minimum yield. Similar measures will be set for otherwise bonus eligible employees throughout the Company.</w:t>
      </w:r>
    </w:p>
    <w:p>
      <w:pPr>
        <w:sectPr>
          <w:pgSz w:w="11900" w:h="16934" w:orient="portrait"/>
          <w:cols w:equalWidth="0" w:num="1">
            <w:col w:w="11420"/>
          </w:cols>
          <w:pgMar w:left="240" w:top="931" w:right="239" w:bottom="0" w:gutter="0" w:footer="0" w:header="0"/>
        </w:sectPr>
      </w:pPr>
    </w:p>
    <w:bookmarkStart w:id="2" w:name="page3"/>
    <w:bookmarkEnd w:id="2"/>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13, 2009</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Senior Vice President</w:t>
            </w:r>
          </w:p>
        </w:tc>
      </w:tr>
    </w:tbl>
    <w:p>
      <w:pPr>
        <w:spacing w:after="0" w:line="1" w:lineRule="exact"/>
        <w:rPr>
          <w:sz w:val="20"/>
          <w:szCs w:val="20"/>
          <w:color w:val="auto"/>
        </w:rPr>
      </w:pPr>
    </w:p>
    <w:sectPr>
      <w:pgSz w:w="11900" w:h="16838" w:orient="portrait"/>
      <w:cols w:equalWidth="0" w:num="1">
        <w:col w:w="11120"/>
      </w:cols>
      <w:pgMar w:left="240" w:top="9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2019-12-10T06:57:10Z</dcterms:created>
  <dcterms:modified xsi:type="dcterms:W3CDTF">2019-12-10T06:57:10Z</dcterms:modified>
</cp:coreProperties>
</file>