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392"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tabs>
          <w:tab w:leader="none" w:pos="28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FORM 10-Q</w:t>
      </w:r>
    </w:p>
    <w:p>
      <w:pPr>
        <w:spacing w:after="0" w:line="397" w:lineRule="exact"/>
        <w:rPr>
          <w:sz w:val="24"/>
          <w:szCs w:val="24"/>
          <w:color w:val="auto"/>
        </w:rPr>
      </w:pPr>
    </w:p>
    <w:p>
      <w:pPr>
        <w:ind w:left="920" w:right="2559" w:hanging="915"/>
        <w:spacing w:after="0" w:line="243" w:lineRule="auto"/>
        <w:tabs>
          <w:tab w:leader="none" w:pos="9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ectPr>
          <w:pgSz w:w="11900" w:h="16838" w:orient="portrait"/>
          <w:cols w:equalWidth="0" w:num="1">
            <w:col w:w="10219"/>
          </w:cols>
          <w:pgMar w:left="240" w:top="245" w:right="1440" w:bottom="1440" w:gutter="0" w:footer="0" w:header="0"/>
        </w:sectPr>
      </w:pPr>
    </w:p>
    <w:p>
      <w:pPr>
        <w:spacing w:after="0" w:line="199"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7"/>
          <w:szCs w:val="17"/>
          <w:color w:val="auto"/>
        </w:rPr>
        <w:t>SEPTEMBER 30, 1995</w:t>
      </w:r>
    </w:p>
    <w:p>
      <w:pPr>
        <w:spacing w:after="0" w:line="4"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3980" w:space="100"/>
            <w:col w:w="6139"/>
          </w:cols>
          <w:pgMar w:left="240" w:top="245" w:right="1440" w:bottom="1440" w:gutter="0" w:footer="0" w:header="0"/>
          <w:type w:val="continuous"/>
        </w:sectPr>
      </w:pPr>
    </w:p>
    <w:p>
      <w:pPr>
        <w:ind w:left="3980"/>
        <w:spacing w:after="0"/>
        <w:rPr>
          <w:sz w:val="20"/>
          <w:szCs w:val="20"/>
          <w:color w:val="auto"/>
        </w:rPr>
      </w:pPr>
      <w:r>
        <w:rPr>
          <w:rFonts w:ascii="Courier New" w:cs="Courier New" w:eastAsia="Courier New" w:hAnsi="Courier New"/>
          <w:sz w:val="17"/>
          <w:szCs w:val="17"/>
          <w:color w:val="auto"/>
        </w:rPr>
        <w:t>OR</w:t>
      </w:r>
    </w:p>
    <w:p>
      <w:pPr>
        <w:spacing w:after="0" w:line="201" w:lineRule="exact"/>
        <w:rPr>
          <w:sz w:val="24"/>
          <w:szCs w:val="24"/>
          <w:color w:val="auto"/>
        </w:rPr>
      </w:pPr>
    </w:p>
    <w:p>
      <w:pPr>
        <w:ind w:left="920" w:right="2459" w:hanging="915"/>
        <w:spacing w:after="0" w:line="243" w:lineRule="auto"/>
        <w:tabs>
          <w:tab w:leader="none" w:pos="20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REPORT PURSUANT TO SECTION 13 OR 15(d) OF THE SECURITIES EXCHANGE ACT OF 1934</w:t>
      </w:r>
    </w:p>
    <w:p>
      <w:pPr>
        <w:sectPr>
          <w:pgSz w:w="11900" w:h="16838" w:orient="portrait"/>
          <w:cols w:equalWidth="0" w:num="1">
            <w:col w:w="10219"/>
          </w:cols>
          <w:pgMar w:left="240" w:top="245" w:right="1440" w:bottom="1440" w:gutter="0" w:footer="0" w:header="0"/>
          <w:type w:val="continuous"/>
        </w:sectPr>
      </w:pPr>
    </w:p>
    <w:p>
      <w:pPr>
        <w:spacing w:after="0" w:line="199"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4" w:lineRule="exact"/>
        <w:rPr>
          <w:sz w:val="24"/>
          <w:szCs w:val="24"/>
          <w:color w:val="auto"/>
        </w:rPr>
      </w:pPr>
    </w:p>
    <w:p>
      <w:pPr>
        <w:sectPr>
          <w:pgSz w:w="11900" w:h="16838" w:orient="portrait"/>
          <w:cols w:equalWidth="0" w:num="2">
            <w:col w:w="4800" w:space="720"/>
            <w:col w:w="4699"/>
          </w:cols>
          <w:pgMar w:left="240" w:top="245" w:right="1440" w:bottom="1440" w:gutter="0" w:footer="0" w:header="0"/>
          <w:type w:val="continuous"/>
        </w:sectPr>
      </w:pPr>
    </w:p>
    <w:p>
      <w:pPr>
        <w:ind w:left="408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5420" w:space="400"/>
            <w:col w:w="4399"/>
          </w:cols>
          <w:pgMar w:left="240" w:top="245"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1-12154</w:t>
      </w:r>
    </w:p>
    <w:p>
      <w:pPr>
        <w:spacing w:after="0" w:line="210" w:lineRule="exact"/>
        <w:rPr>
          <w:sz w:val="24"/>
          <w:szCs w:val="24"/>
          <w:color w:val="auto"/>
        </w:rPr>
      </w:pPr>
    </w:p>
    <w:p>
      <w:pPr>
        <w:sectPr>
          <w:pgSz w:w="11900" w:h="16838" w:orient="portrait"/>
          <w:cols w:equalWidth="0" w:num="2">
            <w:col w:w="2360" w:space="200"/>
            <w:col w:w="7659"/>
          </w:cols>
          <w:pgMar w:left="240" w:top="245"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7"/>
          <w:szCs w:val="17"/>
          <w:color w:val="auto"/>
        </w:rPr>
        <w:t>____________________</w:t>
      </w:r>
    </w:p>
    <w:p>
      <w:pPr>
        <w:spacing w:after="0" w:line="396"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USA WASTE SERVICES, INC.</w:t>
      </w:r>
    </w:p>
    <w:p>
      <w:pPr>
        <w:spacing w:after="0" w:line="5"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5" w:right="1440"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73-1309529</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4900" w:space="720"/>
            <w:col w:w="4599"/>
          </w:cols>
          <w:pgMar w:left="240" w:top="245" w:right="1440" w:bottom="1440" w:gutter="0" w:footer="0" w:header="0"/>
          <w:type w:val="continuous"/>
        </w:sectPr>
      </w:pPr>
    </w:p>
    <w:p>
      <w:pPr>
        <w:ind w:left="3260"/>
        <w:spacing w:after="0"/>
        <w:rPr>
          <w:sz w:val="20"/>
          <w:szCs w:val="20"/>
          <w:color w:val="auto"/>
        </w:rPr>
      </w:pPr>
      <w:r>
        <w:rPr>
          <w:rFonts w:ascii="Courier New" w:cs="Courier New" w:eastAsia="Courier New" w:hAnsi="Courier New"/>
          <w:sz w:val="17"/>
          <w:szCs w:val="17"/>
          <w:color w:val="auto"/>
        </w:rPr>
        <w:t>5400 LBJ FREEWAY</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SUITE 300 - TOWER ONE</w:t>
      </w:r>
    </w:p>
    <w:p>
      <w:pPr>
        <w:spacing w:after="0" w:line="4" w:lineRule="exact"/>
        <w:rPr>
          <w:sz w:val="24"/>
          <w:szCs w:val="24"/>
          <w:color w:val="auto"/>
        </w:rPr>
      </w:pPr>
    </w:p>
    <w:p>
      <w:pPr>
        <w:ind w:left="2960"/>
        <w:spacing w:after="0"/>
        <w:tabs>
          <w:tab w:leader="none" w:pos="4580" w:val="left"/>
        </w:tabs>
        <w:rPr>
          <w:sz w:val="20"/>
          <w:szCs w:val="20"/>
          <w:color w:val="auto"/>
        </w:rPr>
      </w:pPr>
      <w:r>
        <w:rPr>
          <w:rFonts w:ascii="Courier New" w:cs="Courier New" w:eastAsia="Courier New" w:hAnsi="Courier New"/>
          <w:sz w:val="17"/>
          <w:szCs w:val="17"/>
          <w:color w:val="auto"/>
        </w:rPr>
        <w:t>DALLAS, TEXAS</w:t>
      </w:r>
      <w:r>
        <w:rPr>
          <w:sz w:val="20"/>
          <w:szCs w:val="20"/>
          <w:color w:val="auto"/>
        </w:rPr>
        <w:tab/>
      </w:r>
      <w:r>
        <w:rPr>
          <w:rFonts w:ascii="Courier New" w:cs="Courier New" w:eastAsia="Courier New" w:hAnsi="Courier New"/>
          <w:sz w:val="16"/>
          <w:szCs w:val="16"/>
          <w:color w:val="auto"/>
        </w:rPr>
        <w:t>75240</w:t>
      </w:r>
    </w:p>
    <w:p>
      <w:pPr>
        <w:spacing w:after="0" w:line="4" w:lineRule="exact"/>
        <w:rPr>
          <w:sz w:val="24"/>
          <w:szCs w:val="24"/>
          <w:color w:val="auto"/>
        </w:rPr>
      </w:pPr>
    </w:p>
    <w:p>
      <w:pPr>
        <w:ind w:left="204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(214) 383-7900</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NO CHANGE</w:t>
      </w:r>
    </w:p>
    <w:p>
      <w:pPr>
        <w:spacing w:after="0" w:line="4"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(FORMER NAME, FORMER ADDRESS, AND FORMER FISCAL YEAR,</w:t>
      </w:r>
    </w:p>
    <w:p>
      <w:pPr>
        <w:spacing w:after="0" w:line="4"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IF CHANGED SINCE LAST REPORT)</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__________</w:t>
      </w:r>
    </w:p>
    <w:p>
      <w:pPr>
        <w:spacing w:after="0" w:line="201" w:lineRule="exact"/>
        <w:rPr>
          <w:sz w:val="24"/>
          <w:szCs w:val="24"/>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45" w:right="1440" w:bottom="1440" w:gutter="0" w:footer="0" w:header="0"/>
          <w:type w:val="continuous"/>
        </w:sectPr>
      </w:pPr>
    </w:p>
    <w:p>
      <w:pPr>
        <w:spacing w:after="0" w:line="19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14" w:lineRule="exact"/>
        <w:rPr>
          <w:sz w:val="24"/>
          <w:szCs w:val="24"/>
          <w:color w:val="auto"/>
        </w:rPr>
      </w:pPr>
    </w:p>
    <w:p>
      <w:pPr>
        <w:sectPr>
          <w:pgSz w:w="11900" w:h="16838" w:orient="portrait"/>
          <w:cols w:equalWidth="0" w:num="3">
            <w:col w:w="2960" w:space="300"/>
            <w:col w:w="620" w:space="720"/>
            <w:col w:w="5619"/>
          </w:cols>
          <w:pgMar w:left="240" w:top="245"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4180" w:space="720"/>
            <w:col w:w="5319"/>
          </w:cols>
          <w:pgMar w:left="240" w:top="245" w:right="1440" w:bottom="1440" w:gutter="0" w:footer="0" w:header="0"/>
          <w:type w:val="continuous"/>
        </w:sectPr>
      </w:pPr>
    </w:p>
    <w:p>
      <w:pPr>
        <w:spacing w:after="0" w:line="1" w:lineRule="exact"/>
        <w:rPr>
          <w:sz w:val="24"/>
          <w:szCs w:val="24"/>
          <w:color w:val="auto"/>
        </w:rPr>
      </w:pPr>
    </w:p>
    <w:p>
      <w:pPr>
        <w:ind w:right="2659" w:firstLine="918"/>
        <w:spacing w:after="0" w:line="243"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NOVEMBER 10, 1995:</w:t>
      </w:r>
    </w:p>
    <w:p>
      <w:pPr>
        <w:sectPr>
          <w:pgSz w:w="11900" w:h="16838" w:orient="portrait"/>
          <w:cols w:equalWidth="0" w:num="1">
            <w:col w:w="10219"/>
          </w:cols>
          <w:pgMar w:left="240" w:top="245" w:right="1440" w:bottom="1440" w:gutter="0" w:footer="0" w:header="0"/>
          <w:type w:val="continuous"/>
        </w:sectPr>
      </w:pPr>
    </w:p>
    <w:p>
      <w:pPr>
        <w:spacing w:after="0" w:line="199" w:lineRule="exact"/>
        <w:rPr>
          <w:sz w:val="24"/>
          <w:szCs w:val="24"/>
          <w:color w:val="auto"/>
        </w:rPr>
      </w:pPr>
    </w:p>
    <w:p>
      <w:pPr>
        <w:ind w:left="8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$.01 PAR VALUE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60,659,184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4">
            <w:col w:w="2340" w:space="720"/>
            <w:col w:w="1640" w:space="720"/>
            <w:col w:w="1020" w:space="200"/>
            <w:col w:w="3579"/>
          </w:cols>
          <w:pgMar w:left="240" w:top="24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820" w:type="dxa"/>
            <w:vAlign w:val="bottom"/>
          </w:tcPr>
          <w:p>
            <w:pPr>
              <w:ind w:left="320"/>
              <w:spacing w:after="0"/>
              <w:rPr>
                <w:sz w:val="20"/>
                <w:szCs w:val="20"/>
                <w:color w:val="auto"/>
              </w:rPr>
            </w:pPr>
            <w:r>
              <w:rPr>
                <w:rFonts w:ascii="Courier New" w:cs="Courier New" w:eastAsia="Courier New" w:hAnsi="Courier New"/>
                <w:sz w:val="17"/>
                <w:szCs w:val="17"/>
                <w:color w:val="auto"/>
              </w:rPr>
              <w:t>2</w:t>
            </w:r>
          </w:p>
        </w:tc>
        <w:tc>
          <w:tcPr>
            <w:tcW w:w="55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82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5520" w:type="dxa"/>
            <w:vAlign w:val="bottom"/>
          </w:tcPr>
          <w:p>
            <w:pPr>
              <w:ind w:left="100"/>
              <w:spacing w:after="0"/>
              <w:rPr>
                <w:sz w:val="20"/>
                <w:szCs w:val="20"/>
                <w:color w:val="auto"/>
              </w:rPr>
            </w:pPr>
            <w:r>
              <w:rPr>
                <w:rFonts w:ascii="Courier New" w:cs="Courier New" w:eastAsia="Courier New" w:hAnsi="Courier New"/>
                <w:sz w:val="17"/>
                <w:szCs w:val="17"/>
                <w:color w:val="auto"/>
              </w:rPr>
              <w:t>FINANCIAL INFORMATION</w:t>
            </w: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2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5520" w:type="dxa"/>
            <w:vAlign w:val="bottom"/>
          </w:tcPr>
          <w:p>
            <w:pPr>
              <w:ind w:left="100"/>
              <w:spacing w:after="0"/>
              <w:rPr>
                <w:sz w:val="20"/>
                <w:szCs w:val="20"/>
                <w:color w:val="auto"/>
              </w:rPr>
            </w:pPr>
            <w:r>
              <w:rPr>
                <w:rFonts w:ascii="Courier New" w:cs="Courier New" w:eastAsia="Courier New" w:hAnsi="Courier New"/>
                <w:sz w:val="17"/>
                <w:szCs w:val="17"/>
                <w:color w:val="auto"/>
              </w:rPr>
              <w:t>FINANCIAL STATEMENTS</w:t>
            </w: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89"/>
        </w:trPr>
        <w:tc>
          <w:tcPr>
            <w:tcW w:w="820" w:type="dxa"/>
            <w:vAlign w:val="bottom"/>
          </w:tcPr>
          <w:p>
            <w:pPr>
              <w:spacing w:after="0"/>
              <w:rPr>
                <w:sz w:val="24"/>
                <w:szCs w:val="24"/>
                <w:color w:val="auto"/>
              </w:rPr>
            </w:pPr>
          </w:p>
        </w:tc>
        <w:tc>
          <w:tcPr>
            <w:tcW w:w="5520" w:type="dxa"/>
            <w:vAlign w:val="bottom"/>
          </w:tcPr>
          <w:p>
            <w:pPr>
              <w:ind w:left="1840"/>
              <w:spacing w:after="0"/>
              <w:rPr>
                <w:sz w:val="20"/>
                <w:szCs w:val="20"/>
                <w:color w:val="auto"/>
              </w:rPr>
            </w:pPr>
            <w:r>
              <w:rPr>
                <w:rFonts w:ascii="Courier New" w:cs="Courier New" w:eastAsia="Courier New" w:hAnsi="Courier New"/>
                <w:sz w:val="17"/>
                <w:szCs w:val="17"/>
                <w:color w:val="auto"/>
              </w:rPr>
              <w:t>USA WASTE SERVICES, INC.</w:t>
            </w:r>
          </w:p>
        </w:tc>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5520" w:type="dxa"/>
            <w:vAlign w:val="bottom"/>
          </w:tcPr>
          <w:p>
            <w:pPr>
              <w:ind w:left="1220"/>
              <w:spacing w:after="0"/>
              <w:rPr>
                <w:sz w:val="20"/>
                <w:szCs w:val="20"/>
                <w:color w:val="auto"/>
              </w:rPr>
            </w:pPr>
            <w:r>
              <w:rPr>
                <w:rFonts w:ascii="Courier New" w:cs="Courier New" w:eastAsia="Courier New" w:hAnsi="Courier New"/>
                <w:sz w:val="17"/>
                <w:szCs w:val="17"/>
                <w:color w:val="auto"/>
              </w:rPr>
              <w:t>CONDENSED CONSOLIDATED BALANCE SHEETS</w:t>
            </w: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520" w:type="dxa"/>
            <w:vAlign w:val="bottom"/>
          </w:tcPr>
          <w:p>
            <w:pPr>
              <w:ind w:left="1220"/>
              <w:spacing w:after="0"/>
              <w:rPr>
                <w:sz w:val="20"/>
                <w:szCs w:val="20"/>
                <w:color w:val="auto"/>
              </w:rPr>
            </w:pPr>
            <w:r>
              <w:rPr>
                <w:rFonts w:ascii="Courier New" w:cs="Courier New" w:eastAsia="Courier New" w:hAnsi="Courier New"/>
                <w:sz w:val="17"/>
                <w:szCs w:val="17"/>
                <w:color w:val="auto"/>
              </w:rPr>
              <w:t>(In Thousands, Except Share Amounts)</w:t>
            </w: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520" w:type="dxa"/>
            <w:vAlign w:val="bottom"/>
          </w:tcPr>
          <w:p>
            <w:pPr>
              <w:ind w:left="2560"/>
              <w:spacing w:after="0"/>
              <w:rPr>
                <w:sz w:val="20"/>
                <w:szCs w:val="20"/>
                <w:color w:val="auto"/>
              </w:rPr>
            </w:pPr>
            <w:r>
              <w:rPr>
                <w:rFonts w:ascii="Courier New" w:cs="Courier New" w:eastAsia="Courier New" w:hAnsi="Courier New"/>
                <w:sz w:val="17"/>
                <w:szCs w:val="17"/>
                <w:color w:val="auto"/>
              </w:rPr>
              <w:t>(Unaudited)</w:t>
            </w: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785"/>
        </w:trPr>
        <w:tc>
          <w:tcPr>
            <w:tcW w:w="8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September 30,</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6"/>
        </w:trPr>
        <w:tc>
          <w:tcPr>
            <w:tcW w:w="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1995</w:t>
            </w:r>
          </w:p>
        </w:tc>
        <w:tc>
          <w:tcPr>
            <w:tcW w:w="600" w:type="dxa"/>
            <w:vAlign w:val="bottom"/>
          </w:tcPr>
          <w:p>
            <w:pPr>
              <w:spacing w:after="0"/>
              <w:rPr>
                <w:sz w:val="17"/>
                <w:szCs w:val="17"/>
                <w:color w:val="auto"/>
              </w:rPr>
            </w:pPr>
          </w:p>
        </w:tc>
        <w:tc>
          <w:tcPr>
            <w:tcW w:w="11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ind w:left="500"/>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8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5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Current assets:</w:t>
            </w: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Cash and cash equivalents</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$ 11,985</w:t>
            </w: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30,161</w:t>
            </w: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Accounts receivable, net</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62,777</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48,765</w:t>
            </w: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Notes and other receivables</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7,951</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19,245</w:t>
            </w: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Prepaid expenses and other</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21,523</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20,945</w:t>
            </w:r>
          </w:p>
        </w:tc>
      </w:tr>
      <w:tr>
        <w:trPr>
          <w:trHeight w:val="196"/>
        </w:trPr>
        <w:tc>
          <w:tcPr>
            <w:tcW w:w="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Total current assets</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104,236</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119,116</w:t>
            </w:r>
          </w:p>
        </w:tc>
      </w:tr>
      <w:tr>
        <w:trPr>
          <w:trHeight w:val="392"/>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Notes and other receivables</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9,070</w:t>
            </w:r>
          </w:p>
        </w:tc>
        <w:tc>
          <w:tcPr>
            <w:tcW w:w="600" w:type="dxa"/>
            <w:vAlign w:val="bottom"/>
          </w:tcPr>
          <w:p>
            <w:pPr>
              <w:spacing w:after="0"/>
              <w:rPr>
                <w:sz w:val="24"/>
                <w:szCs w:val="24"/>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7,621</w:t>
            </w:r>
          </w:p>
        </w:tc>
      </w:tr>
      <w:tr>
        <w:trPr>
          <w:trHeight w:val="196"/>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Property and equipment, net</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564,355</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523,557</w:t>
            </w:r>
          </w:p>
        </w:tc>
      </w:tr>
      <w:tr>
        <w:trPr>
          <w:trHeight w:val="196"/>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Excess of cost over net assets of acquired</w:t>
            </w: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businesses, net</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92,010</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69,164</w:t>
            </w:r>
          </w:p>
        </w:tc>
      </w:tr>
      <w:tr>
        <w:trPr>
          <w:trHeight w:val="196"/>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Other intangible assets, net</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25,921</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24,252</w:t>
            </w:r>
          </w:p>
        </w:tc>
      </w:tr>
      <w:tr>
        <w:trPr>
          <w:trHeight w:val="196"/>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Other assets</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41,289</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41,906</w:t>
            </w:r>
          </w:p>
        </w:tc>
      </w:tr>
      <w:tr>
        <w:trPr>
          <w:trHeight w:val="196"/>
        </w:trPr>
        <w:tc>
          <w:tcPr>
            <w:tcW w:w="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Total assets</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$ 836,881</w:t>
            </w: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$ 785,616</w:t>
            </w:r>
          </w:p>
        </w:tc>
      </w:tr>
      <w:tr>
        <w:trPr>
          <w:trHeight w:val="196"/>
        </w:trPr>
        <w:tc>
          <w:tcPr>
            <w:tcW w:w="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392"/>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Current liabilities:</w:t>
            </w: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Accounts payable and accrued liabilities</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$ 53,061</w:t>
            </w: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60,258</w:t>
            </w: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Accrued shareholder litigation</w:t>
            </w:r>
          </w:p>
        </w:tc>
        <w:tc>
          <w:tcPr>
            <w:tcW w:w="2340" w:type="dxa"/>
            <w:vAlign w:val="bottom"/>
          </w:tcPr>
          <w:p>
            <w:pPr>
              <w:jc w:val="right"/>
              <w:ind w:right="1135"/>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10,000</w:t>
            </w: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Deferred revenues</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7,730</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6,664</w:t>
            </w: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Current maturities of long-term debt</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36,744</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46,795</w:t>
            </w:r>
          </w:p>
        </w:tc>
      </w:tr>
      <w:tr>
        <w:trPr>
          <w:trHeight w:val="196"/>
        </w:trPr>
        <w:tc>
          <w:tcPr>
            <w:tcW w:w="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Total current liabilities</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97,535</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123,717</w:t>
            </w:r>
          </w:p>
        </w:tc>
      </w:tr>
      <w:tr>
        <w:trPr>
          <w:trHeight w:val="392"/>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Long-term debt</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488,665</w:t>
            </w:r>
          </w:p>
        </w:tc>
        <w:tc>
          <w:tcPr>
            <w:tcW w:w="600" w:type="dxa"/>
            <w:vAlign w:val="bottom"/>
          </w:tcPr>
          <w:p>
            <w:pPr>
              <w:spacing w:after="0"/>
              <w:rPr>
                <w:sz w:val="24"/>
                <w:szCs w:val="24"/>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363,919</w:t>
            </w:r>
          </w:p>
        </w:tc>
      </w:tr>
      <w:tr>
        <w:trPr>
          <w:trHeight w:val="196"/>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Accrued shareholder litigation settlement</w:t>
            </w:r>
          </w:p>
        </w:tc>
        <w:tc>
          <w:tcPr>
            <w:tcW w:w="2340" w:type="dxa"/>
            <w:vAlign w:val="bottom"/>
          </w:tcPr>
          <w:p>
            <w:pPr>
              <w:jc w:val="right"/>
              <w:ind w:right="1135"/>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75,300</w:t>
            </w:r>
          </w:p>
        </w:tc>
      </w:tr>
      <w:tr>
        <w:trPr>
          <w:trHeight w:val="196"/>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Closure, post-closure, and other liabilities</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59,529</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58,331</w:t>
            </w:r>
          </w:p>
        </w:tc>
      </w:tr>
      <w:tr>
        <w:trPr>
          <w:trHeight w:val="196"/>
        </w:trPr>
        <w:tc>
          <w:tcPr>
            <w:tcW w:w="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Total liabilities</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645,729</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621,267</w:t>
            </w:r>
          </w:p>
        </w:tc>
      </w:tr>
      <w:tr>
        <w:trPr>
          <w:trHeight w:val="196"/>
        </w:trPr>
        <w:tc>
          <w:tcPr>
            <w:tcW w:w="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392"/>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2"/>
        </w:trPr>
        <w:tc>
          <w:tcPr>
            <w:tcW w:w="6340" w:type="dxa"/>
            <w:vAlign w:val="bottom"/>
            <w:gridSpan w:val="2"/>
          </w:tcPr>
          <w:p>
            <w:pPr>
              <w:spacing w:after="0"/>
              <w:rPr>
                <w:sz w:val="20"/>
                <w:szCs w:val="20"/>
                <w:color w:val="auto"/>
              </w:rPr>
            </w:pPr>
            <w:r>
              <w:rPr>
                <w:rFonts w:ascii="Courier New" w:cs="Courier New" w:eastAsia="Courier New" w:hAnsi="Courier New"/>
                <w:sz w:val="17"/>
                <w:szCs w:val="17"/>
                <w:color w:val="auto"/>
              </w:rPr>
              <w:t>Stockholders' equity:</w:t>
            </w:r>
          </w:p>
        </w:tc>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Preferred stock, $1.00 par value;</w:t>
            </w: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634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10,000,000 shares authorized;</w:t>
            </w: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634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none issued</w:t>
            </w:r>
          </w:p>
        </w:tc>
        <w:tc>
          <w:tcPr>
            <w:tcW w:w="2340" w:type="dxa"/>
            <w:vAlign w:val="bottom"/>
          </w:tcPr>
          <w:p>
            <w:pPr>
              <w:jc w:val="right"/>
              <w:ind w:right="1135"/>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17"/>
                <w:szCs w:val="17"/>
                <w:color w:val="auto"/>
              </w:rPr>
            </w:pPr>
          </w:p>
        </w:tc>
        <w:tc>
          <w:tcPr>
            <w:tcW w:w="11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Common stock, $.01 par value;</w:t>
            </w: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634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150,000,000 shares authorized;</w:t>
            </w:r>
          </w:p>
        </w:tc>
        <w:tc>
          <w:tcPr>
            <w:tcW w:w="2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634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53,848,250 and 50,557,574 shares issued, respectively</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539</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505</w:t>
            </w: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Additional paid-in capital</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555,555</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520,031</w:t>
            </w: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Accumulated deficit</w:t>
            </w:r>
          </w:p>
        </w:tc>
        <w:tc>
          <w:tcPr>
            <w:tcW w:w="23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(362,981)</w:t>
            </w:r>
          </w:p>
        </w:tc>
        <w:tc>
          <w:tcPr>
            <w:tcW w:w="600" w:type="dxa"/>
            <w:vAlign w:val="bottom"/>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(354,226)</w:t>
            </w:r>
          </w:p>
        </w:tc>
      </w:tr>
      <w:tr>
        <w:trPr>
          <w:trHeight w:val="196"/>
        </w:trPr>
        <w:tc>
          <w:tcPr>
            <w:tcW w:w="6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Less treasury stock at cost, 149,285 shares</w:t>
            </w:r>
          </w:p>
        </w:tc>
        <w:tc>
          <w:tcPr>
            <w:tcW w:w="23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(1,961)</w:t>
            </w:r>
          </w:p>
        </w:tc>
        <w:tc>
          <w:tcPr>
            <w:tcW w:w="600" w:type="dxa"/>
            <w:vAlign w:val="bottom"/>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(1,961)</w:t>
            </w:r>
          </w:p>
        </w:tc>
      </w:tr>
      <w:tr>
        <w:trPr>
          <w:trHeight w:val="196"/>
        </w:trPr>
        <w:tc>
          <w:tcPr>
            <w:tcW w:w="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Total stockholders' equity</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191,152</w:t>
            </w:r>
          </w:p>
        </w:tc>
        <w:tc>
          <w:tcPr>
            <w:tcW w:w="6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164,349</w:t>
            </w:r>
          </w:p>
        </w:tc>
      </w:tr>
      <w:tr>
        <w:trPr>
          <w:trHeight w:val="196"/>
        </w:trPr>
        <w:tc>
          <w:tcPr>
            <w:tcW w:w="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$ 836,881</w:t>
            </w: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$ 785,616</w:t>
            </w:r>
          </w:p>
        </w:tc>
      </w:tr>
      <w:tr>
        <w:trPr>
          <w:trHeight w:val="196"/>
        </w:trPr>
        <w:tc>
          <w:tcPr>
            <w:tcW w:w="8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3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The accompanying notes are an integral part of these condensed consolidated</w:t>
      </w:r>
    </w:p>
    <w:p>
      <w:pPr>
        <w:spacing w:after="0" w:line="4"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financial statements.</w:t>
      </w:r>
    </w:p>
    <w:p>
      <w:pPr>
        <w:sectPr>
          <w:pgSz w:w="11900" w:h="16838" w:orient="portrait"/>
          <w:cols w:equalWidth="0" w:num="1">
            <w:col w:w="10420"/>
          </w:cols>
          <w:pgMar w:left="240" w:top="311" w:right="1239" w:bottom="1440" w:gutter="0" w:footer="0" w:header="0"/>
        </w:sect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420"/>
          </w:cols>
          <w:pgMar w:left="240" w:top="311" w:right="1239"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4"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CONDENSED CONSOLIDATED STATEMENTS OF OPERATIONS</w:t>
      </w:r>
    </w:p>
    <w:p>
      <w:pPr>
        <w:spacing w:after="0" w:line="4"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3320" w:type="dxa"/>
            <w:vAlign w:val="bottom"/>
            <w:gridSpan w:val="2"/>
          </w:tcPr>
          <w:p>
            <w:pPr>
              <w:jc w:val="right"/>
              <w:ind w:right="635"/>
              <w:spacing w:after="0"/>
              <w:rPr>
                <w:sz w:val="20"/>
                <w:szCs w:val="20"/>
                <w:color w:val="auto"/>
              </w:rPr>
            </w:pPr>
            <w:r>
              <w:rPr>
                <w:rFonts w:ascii="Courier New" w:cs="Courier New" w:eastAsia="Courier New" w:hAnsi="Courier New"/>
                <w:sz w:val="17"/>
                <w:szCs w:val="17"/>
                <w:color w:val="auto"/>
              </w:rPr>
              <w:t>Three months ended</w:t>
            </w:r>
          </w:p>
        </w:tc>
        <w:tc>
          <w:tcPr>
            <w:tcW w:w="294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5260" w:type="dxa"/>
            <w:vAlign w:val="bottom"/>
          </w:tcPr>
          <w:p>
            <w:pPr>
              <w:spacing w:after="0"/>
              <w:rPr>
                <w:sz w:val="17"/>
                <w:szCs w:val="17"/>
                <w:color w:val="auto"/>
              </w:rPr>
            </w:pPr>
          </w:p>
        </w:tc>
        <w:tc>
          <w:tcPr>
            <w:tcW w:w="332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September 30,</w:t>
            </w:r>
          </w:p>
        </w:tc>
        <w:tc>
          <w:tcPr>
            <w:tcW w:w="294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5260" w:type="dxa"/>
            <w:vAlign w:val="bottom"/>
          </w:tcPr>
          <w:p>
            <w:pPr>
              <w:spacing w:after="0"/>
              <w:rPr>
                <w:sz w:val="17"/>
                <w:szCs w:val="17"/>
                <w:color w:val="auto"/>
              </w:rPr>
            </w:pPr>
          </w:p>
        </w:tc>
        <w:tc>
          <w:tcPr>
            <w:tcW w:w="332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w:t>
            </w:r>
          </w:p>
        </w:tc>
        <w:tc>
          <w:tcPr>
            <w:tcW w:w="294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1995</w:t>
            </w:r>
          </w:p>
        </w:tc>
        <w:tc>
          <w:tcPr>
            <w:tcW w:w="168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1994</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1995</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(restated)</w:t>
            </w:r>
          </w:p>
        </w:tc>
        <w:tc>
          <w:tcPr>
            <w:tcW w:w="1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(restated)</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$119,976</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$114,270</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$332,447</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$325,755</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Operating</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65,121</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67,440</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186,998</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192,427</w:t>
            </w:r>
          </w:p>
        </w:tc>
      </w:tr>
      <w:tr>
        <w:trPr>
          <w:trHeight w:val="196"/>
        </w:trPr>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General and administrative</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13,879</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16,667</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47,710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51,293</w:t>
            </w:r>
          </w:p>
        </w:tc>
      </w:tr>
      <w:tr>
        <w:trPr>
          <w:trHeight w:val="196"/>
        </w:trPr>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Unusual items</w:t>
            </w:r>
          </w:p>
        </w:tc>
        <w:tc>
          <w:tcPr>
            <w:tcW w:w="16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4,733</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Merger costs</w:t>
            </w:r>
          </w:p>
        </w:tc>
        <w:tc>
          <w:tcPr>
            <w:tcW w:w="16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25,073</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3,782</w:t>
            </w:r>
          </w:p>
        </w:tc>
      </w:tr>
      <w:tr>
        <w:trPr>
          <w:trHeight w:val="196"/>
        </w:trPr>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Depreciation and amortization</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14,588</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14,307</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41,789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42,762</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93,588</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98,414</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306,303</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290,264</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26,388</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15,856</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26,144</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35,491</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Shareholder litigation settlement</w:t>
            </w:r>
          </w:p>
        </w:tc>
        <w:tc>
          <w:tcPr>
            <w:tcW w:w="1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5260" w:type="dxa"/>
            <w:vAlign w:val="bottom"/>
          </w:tcPr>
          <w:p>
            <w:pPr>
              <w:ind w:left="620"/>
              <w:spacing w:after="0"/>
              <w:rPr>
                <w:sz w:val="20"/>
                <w:szCs w:val="20"/>
                <w:color w:val="auto"/>
              </w:rPr>
            </w:pPr>
            <w:r>
              <w:rPr>
                <w:rFonts w:ascii="Courier New" w:cs="Courier New" w:eastAsia="Courier New" w:hAnsi="Courier New"/>
                <w:sz w:val="17"/>
                <w:szCs w:val="17"/>
                <w:color w:val="auto"/>
              </w:rPr>
              <w:t>and other litigation related costs</w:t>
            </w:r>
          </w:p>
        </w:tc>
        <w:tc>
          <w:tcPr>
            <w:tcW w:w="16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(74,100)</w:t>
            </w: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(74,100)</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Interest expense:</w:t>
            </w:r>
          </w:p>
        </w:tc>
        <w:tc>
          <w:tcPr>
            <w:tcW w:w="1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Early redemption premiums, extension fees,</w:t>
            </w:r>
          </w:p>
        </w:tc>
        <w:tc>
          <w:tcPr>
            <w:tcW w:w="1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5260" w:type="dxa"/>
            <w:vAlign w:val="bottom"/>
          </w:tcPr>
          <w:p>
            <w:pPr>
              <w:ind w:left="620"/>
              <w:spacing w:after="0"/>
              <w:rPr>
                <w:sz w:val="20"/>
                <w:szCs w:val="20"/>
                <w:color w:val="auto"/>
              </w:rPr>
            </w:pPr>
            <w:r>
              <w:rPr>
                <w:rFonts w:ascii="Courier New" w:cs="Courier New" w:eastAsia="Courier New" w:hAnsi="Courier New"/>
                <w:sz w:val="17"/>
                <w:szCs w:val="17"/>
                <w:color w:val="auto"/>
              </w:rPr>
              <w:t>and other nonrecurring interest</w:t>
            </w:r>
          </w:p>
        </w:tc>
        <w:tc>
          <w:tcPr>
            <w:tcW w:w="16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(10,994)</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Other</w:t>
            </w:r>
          </w:p>
        </w:tc>
        <w:tc>
          <w:tcPr>
            <w:tcW w:w="16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(8,481)</w:t>
            </w:r>
          </w:p>
        </w:tc>
        <w:tc>
          <w:tcPr>
            <w:tcW w:w="16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(8,568)</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(24,583)</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(25,075)</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Interest and other income, net</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1,187</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1,458</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4,036</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3,396</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(7,294)</w:t>
            </w:r>
          </w:p>
        </w:tc>
        <w:tc>
          <w:tcPr>
            <w:tcW w:w="16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(81,210)</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(31,541)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(95,779)</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Income (loss) before provision for income taxes</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19,094</w:t>
            </w:r>
          </w:p>
        </w:tc>
        <w:tc>
          <w:tcPr>
            <w:tcW w:w="16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(65,354)</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(5,397)</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(60,288)</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192</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2,835</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3,358</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4,983</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18,902</w:t>
            </w:r>
          </w:p>
        </w:tc>
        <w:tc>
          <w:tcPr>
            <w:tcW w:w="16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(68,189)</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(8,755)</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(65,271)</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Preferred dividends</w:t>
            </w:r>
          </w:p>
        </w:tc>
        <w:tc>
          <w:tcPr>
            <w:tcW w:w="16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565</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Income (loss) available to common shareholders</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$18,902</w:t>
            </w:r>
          </w:p>
        </w:tc>
        <w:tc>
          <w:tcPr>
            <w:tcW w:w="16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$(68,189)</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$(8,755)</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$(65,836)</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$0.35</w:t>
            </w:r>
          </w:p>
        </w:tc>
        <w:tc>
          <w:tcPr>
            <w:tcW w:w="16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$(1.35)</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$(0.17)</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$(1.34)</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w:t>
            </w: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common equivalent shares outstanding</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53,267</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50,328</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51,977</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49,182</w:t>
            </w:r>
          </w:p>
        </w:tc>
      </w:tr>
      <w:tr>
        <w:trPr>
          <w:trHeight w:val="196"/>
        </w:trPr>
        <w:tc>
          <w:tcPr>
            <w:tcW w:w="5260" w:type="dxa"/>
            <w:vAlign w:val="bottom"/>
          </w:tcPr>
          <w:p>
            <w:pPr>
              <w:spacing w:after="0"/>
              <w:rPr>
                <w:sz w:val="17"/>
                <w:szCs w:val="17"/>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The accompanying notes are an integral part of these condensed consolidated</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financial statements.</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311" w:right="139"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4" w:lineRule="exact"/>
        <w:rPr>
          <w:sz w:val="20"/>
          <w:szCs w:val="20"/>
          <w:color w:val="auto"/>
        </w:rPr>
      </w:pPr>
    </w:p>
    <w:p>
      <w:pPr>
        <w:jc w:val="center"/>
        <w:ind w:right="244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7"/>
          <w:szCs w:val="17"/>
          <w:color w:val="auto"/>
        </w:rPr>
        <w:t>CONDENSED CONSOLIDATED STATEMENTS OF CASH FLOWS</w:t>
      </w:r>
    </w:p>
    <w:p>
      <w:pPr>
        <w:spacing w:after="0" w:line="4" w:lineRule="exact"/>
        <w:rPr>
          <w:sz w:val="20"/>
          <w:szCs w:val="20"/>
          <w:color w:val="auto"/>
        </w:rPr>
      </w:pPr>
    </w:p>
    <w:p>
      <w:pPr>
        <w:jc w:val="center"/>
        <w:ind w:right="2440"/>
        <w:spacing w:after="0"/>
        <w:rPr>
          <w:sz w:val="20"/>
          <w:szCs w:val="20"/>
          <w:color w:val="auto"/>
        </w:rPr>
      </w:pPr>
      <w:r>
        <w:rPr>
          <w:rFonts w:ascii="Courier New" w:cs="Courier New" w:eastAsia="Courier New" w:hAnsi="Courier New"/>
          <w:sz w:val="17"/>
          <w:szCs w:val="17"/>
          <w:color w:val="auto"/>
        </w:rPr>
        <w:t>(In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00" w:type="dxa"/>
            <w:vAlign w:val="bottom"/>
          </w:tcPr>
          <w:p>
            <w:pPr>
              <w:ind w:left="3480"/>
              <w:spacing w:after="0"/>
              <w:rPr>
                <w:sz w:val="20"/>
                <w:szCs w:val="20"/>
                <w:color w:val="auto"/>
              </w:rPr>
            </w:pPr>
            <w:r>
              <w:rPr>
                <w:rFonts w:ascii="Courier New" w:cs="Courier New" w:eastAsia="Courier New" w:hAnsi="Courier New"/>
                <w:sz w:val="17"/>
                <w:szCs w:val="17"/>
                <w:color w:val="auto"/>
              </w:rPr>
              <w:t>(Unaudited)</w:t>
            </w: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785"/>
        </w:trPr>
        <w:tc>
          <w:tcPr>
            <w:tcW w:w="6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80" w:type="dxa"/>
            <w:vAlign w:val="bottom"/>
            <w:gridSpan w:val="3"/>
          </w:tcPr>
          <w:p>
            <w:pPr>
              <w:jc w:val="right"/>
              <w:ind w:right="235"/>
              <w:spacing w:after="0"/>
              <w:rPr>
                <w:sz w:val="20"/>
                <w:szCs w:val="20"/>
                <w:color w:val="auto"/>
              </w:rPr>
            </w:pPr>
            <w:r>
              <w:rPr>
                <w:rFonts w:ascii="Courier New" w:cs="Courier New" w:eastAsia="Courier New" w:hAnsi="Courier New"/>
                <w:sz w:val="17"/>
                <w:szCs w:val="17"/>
                <w:color w:val="auto"/>
                <w:w w:val="99"/>
              </w:rPr>
              <w:t>Nine months ended September 30,</w:t>
            </w:r>
          </w:p>
        </w:tc>
      </w:tr>
      <w:tr>
        <w:trPr>
          <w:trHeight w:val="196"/>
        </w:trPr>
        <w:tc>
          <w:tcPr>
            <w:tcW w:w="6900" w:type="dxa"/>
            <w:vAlign w:val="bottom"/>
          </w:tcPr>
          <w:p>
            <w:pPr>
              <w:spacing w:after="0"/>
              <w:rPr>
                <w:sz w:val="17"/>
                <w:szCs w:val="17"/>
                <w:color w:val="auto"/>
              </w:rPr>
            </w:pPr>
          </w:p>
        </w:tc>
        <w:tc>
          <w:tcPr>
            <w:tcW w:w="3720" w:type="dxa"/>
            <w:vAlign w:val="bottom"/>
            <w:gridSpan w:val="4"/>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1995</w:t>
            </w:r>
          </w:p>
        </w:tc>
        <w:tc>
          <w:tcPr>
            <w:tcW w:w="5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6900" w:type="dxa"/>
            <w:vAlign w:val="bottom"/>
          </w:tcPr>
          <w:p>
            <w:pPr>
              <w:spacing w:after="0"/>
              <w:rPr>
                <w:sz w:val="17"/>
                <w:szCs w:val="17"/>
                <w:color w:val="auto"/>
              </w:rPr>
            </w:pPr>
          </w:p>
        </w:tc>
        <w:tc>
          <w:tcPr>
            <w:tcW w:w="19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(restated)</w:t>
            </w:r>
          </w:p>
        </w:tc>
      </w:tr>
      <w:tr>
        <w:trPr>
          <w:trHeight w:val="589"/>
        </w:trPr>
        <w:tc>
          <w:tcPr>
            <w:tcW w:w="690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Net cash provided by (used in) operating activities (see Note 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(76,785)</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40,968</w:t>
            </w:r>
          </w:p>
        </w:tc>
      </w:tr>
      <w:tr>
        <w:trPr>
          <w:trHeight w:val="196"/>
        </w:trPr>
        <w:tc>
          <w:tcPr>
            <w:tcW w:w="6900" w:type="dxa"/>
            <w:vAlign w:val="bottom"/>
          </w:tcPr>
          <w:p>
            <w:pPr>
              <w:spacing w:after="0"/>
              <w:rPr>
                <w:sz w:val="17"/>
                <w:szCs w:val="17"/>
                <w:color w:val="auto"/>
              </w:rPr>
            </w:pPr>
          </w:p>
        </w:tc>
        <w:tc>
          <w:tcPr>
            <w:tcW w:w="19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90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Acquisitions of businesses, net of cash acquired</w:t>
            </w:r>
          </w:p>
        </w:tc>
        <w:tc>
          <w:tcPr>
            <w:tcW w:w="240" w:type="dxa"/>
            <w:vAlign w:val="bottom"/>
          </w:tcPr>
          <w:p>
            <w:pPr>
              <w:spacing w:after="0"/>
              <w:rPr>
                <w:sz w:val="17"/>
                <w:szCs w:val="17"/>
                <w:color w:val="auto"/>
              </w:rPr>
            </w:pPr>
          </w:p>
        </w:tc>
        <w:tc>
          <w:tcPr>
            <w:tcW w:w="168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(10,014)</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(19,419)</w:t>
            </w: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Capital expenditures</w:t>
            </w:r>
          </w:p>
        </w:tc>
        <w:tc>
          <w:tcPr>
            <w:tcW w:w="240" w:type="dxa"/>
            <w:vAlign w:val="bottom"/>
          </w:tcPr>
          <w:p>
            <w:pPr>
              <w:spacing w:after="0"/>
              <w:rPr>
                <w:sz w:val="17"/>
                <w:szCs w:val="17"/>
                <w:color w:val="auto"/>
              </w:rPr>
            </w:pPr>
          </w:p>
        </w:tc>
        <w:tc>
          <w:tcPr>
            <w:tcW w:w="168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(55,891)</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(57,770)</w:t>
            </w: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Loans and advances to others</w:t>
            </w:r>
          </w:p>
        </w:tc>
        <w:tc>
          <w:tcPr>
            <w:tcW w:w="240" w:type="dxa"/>
            <w:vAlign w:val="bottom"/>
          </w:tcPr>
          <w:p>
            <w:pPr>
              <w:spacing w:after="0"/>
              <w:rPr>
                <w:sz w:val="17"/>
                <w:szCs w:val="17"/>
                <w:color w:val="auto"/>
              </w:rPr>
            </w:pPr>
          </w:p>
        </w:tc>
        <w:tc>
          <w:tcPr>
            <w:tcW w:w="168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(2,395)</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(5,876)</w:t>
            </w: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Collection of loans to others</w:t>
            </w:r>
          </w:p>
        </w:tc>
        <w:tc>
          <w:tcPr>
            <w:tcW w:w="240" w:type="dxa"/>
            <w:vAlign w:val="bottom"/>
          </w:tcPr>
          <w:p>
            <w:pPr>
              <w:spacing w:after="0"/>
              <w:rPr>
                <w:sz w:val="17"/>
                <w:szCs w:val="17"/>
                <w:color w:val="auto"/>
              </w:rPr>
            </w:pPr>
          </w:p>
        </w:tc>
        <w:tc>
          <w:tcPr>
            <w:tcW w:w="16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4,033</w:t>
            </w:r>
          </w:p>
        </w:tc>
        <w:tc>
          <w:tcPr>
            <w:tcW w:w="58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1,713</w:t>
            </w: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Proceeds from sale of assets</w:t>
            </w:r>
          </w:p>
        </w:tc>
        <w:tc>
          <w:tcPr>
            <w:tcW w:w="240" w:type="dxa"/>
            <w:vAlign w:val="bottom"/>
          </w:tcPr>
          <w:p>
            <w:pPr>
              <w:spacing w:after="0"/>
              <w:rPr>
                <w:sz w:val="17"/>
                <w:szCs w:val="17"/>
                <w:color w:val="auto"/>
              </w:rPr>
            </w:pPr>
          </w:p>
        </w:tc>
        <w:tc>
          <w:tcPr>
            <w:tcW w:w="16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6,933</w:t>
            </w:r>
          </w:p>
        </w:tc>
        <w:tc>
          <w:tcPr>
            <w:tcW w:w="58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15,701</w:t>
            </w: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Decrease (increase) in restricted funds</w:t>
            </w:r>
          </w:p>
        </w:tc>
        <w:tc>
          <w:tcPr>
            <w:tcW w:w="240" w:type="dxa"/>
            <w:vAlign w:val="bottom"/>
          </w:tcPr>
          <w:p>
            <w:pPr>
              <w:spacing w:after="0"/>
              <w:rPr>
                <w:sz w:val="17"/>
                <w:szCs w:val="17"/>
                <w:color w:val="auto"/>
              </w:rPr>
            </w:pPr>
          </w:p>
        </w:tc>
        <w:tc>
          <w:tcPr>
            <w:tcW w:w="16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13,860</w:t>
            </w:r>
          </w:p>
        </w:tc>
        <w:tc>
          <w:tcPr>
            <w:tcW w:w="58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16,606</w:t>
            </w: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240" w:type="dxa"/>
            <w:vAlign w:val="bottom"/>
          </w:tcPr>
          <w:p>
            <w:pPr>
              <w:spacing w:after="0"/>
              <w:rPr>
                <w:sz w:val="17"/>
                <w:szCs w:val="17"/>
                <w:color w:val="auto"/>
              </w:rPr>
            </w:pPr>
          </w:p>
        </w:tc>
        <w:tc>
          <w:tcPr>
            <w:tcW w:w="168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(4,268)</w:t>
            </w:r>
          </w:p>
        </w:tc>
        <w:tc>
          <w:tcPr>
            <w:tcW w:w="58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706</w:t>
            </w:r>
          </w:p>
        </w:tc>
      </w:tr>
      <w:tr>
        <w:trPr>
          <w:trHeight w:val="196"/>
        </w:trPr>
        <w:tc>
          <w:tcPr>
            <w:tcW w:w="6900" w:type="dxa"/>
            <w:vAlign w:val="bottom"/>
          </w:tcPr>
          <w:p>
            <w:pPr>
              <w:spacing w:after="0"/>
              <w:rPr>
                <w:sz w:val="17"/>
                <w:szCs w:val="17"/>
                <w:color w:val="auto"/>
              </w:rPr>
            </w:pPr>
          </w:p>
        </w:tc>
        <w:tc>
          <w:tcPr>
            <w:tcW w:w="19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Net cash used in investing activities</w:t>
            </w:r>
          </w:p>
        </w:tc>
        <w:tc>
          <w:tcPr>
            <w:tcW w:w="240" w:type="dxa"/>
            <w:vAlign w:val="bottom"/>
          </w:tcPr>
          <w:p>
            <w:pPr>
              <w:spacing w:after="0"/>
              <w:rPr>
                <w:sz w:val="17"/>
                <w:szCs w:val="17"/>
                <w:color w:val="auto"/>
              </w:rPr>
            </w:pPr>
          </w:p>
        </w:tc>
        <w:tc>
          <w:tcPr>
            <w:tcW w:w="168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(47,742)</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(48,339)</w:t>
            </w:r>
          </w:p>
        </w:tc>
      </w:tr>
      <w:tr>
        <w:trPr>
          <w:trHeight w:val="196"/>
        </w:trPr>
        <w:tc>
          <w:tcPr>
            <w:tcW w:w="6900" w:type="dxa"/>
            <w:vAlign w:val="bottom"/>
          </w:tcPr>
          <w:p>
            <w:pPr>
              <w:spacing w:after="0"/>
              <w:rPr>
                <w:sz w:val="17"/>
                <w:szCs w:val="17"/>
                <w:color w:val="auto"/>
              </w:rPr>
            </w:pPr>
          </w:p>
        </w:tc>
        <w:tc>
          <w:tcPr>
            <w:tcW w:w="19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90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Proceeds from issuance of long-term debt</w:t>
            </w:r>
          </w:p>
        </w:tc>
        <w:tc>
          <w:tcPr>
            <w:tcW w:w="240" w:type="dxa"/>
            <w:vAlign w:val="bottom"/>
          </w:tcPr>
          <w:p>
            <w:pPr>
              <w:spacing w:after="0"/>
              <w:rPr>
                <w:sz w:val="17"/>
                <w:szCs w:val="17"/>
                <w:color w:val="auto"/>
              </w:rPr>
            </w:pPr>
          </w:p>
        </w:tc>
        <w:tc>
          <w:tcPr>
            <w:tcW w:w="16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392,000</w:t>
            </w:r>
          </w:p>
        </w:tc>
        <w:tc>
          <w:tcPr>
            <w:tcW w:w="58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27,260</w:t>
            </w: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Principal payments on long-term debt</w:t>
            </w:r>
          </w:p>
        </w:tc>
        <w:tc>
          <w:tcPr>
            <w:tcW w:w="240" w:type="dxa"/>
            <w:vAlign w:val="bottom"/>
          </w:tcPr>
          <w:p>
            <w:pPr>
              <w:spacing w:after="0"/>
              <w:rPr>
                <w:sz w:val="17"/>
                <w:szCs w:val="17"/>
                <w:color w:val="auto"/>
              </w:rPr>
            </w:pPr>
          </w:p>
        </w:tc>
        <w:tc>
          <w:tcPr>
            <w:tcW w:w="168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(287,459)</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(27,508)</w:t>
            </w: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Proceeds from exercise of stock options</w:t>
            </w:r>
          </w:p>
        </w:tc>
        <w:tc>
          <w:tcPr>
            <w:tcW w:w="240" w:type="dxa"/>
            <w:vAlign w:val="bottom"/>
          </w:tcPr>
          <w:p>
            <w:pPr>
              <w:spacing w:after="0"/>
              <w:rPr>
                <w:sz w:val="17"/>
                <w:szCs w:val="17"/>
                <w:color w:val="auto"/>
              </w:rPr>
            </w:pPr>
          </w:p>
        </w:tc>
        <w:tc>
          <w:tcPr>
            <w:tcW w:w="16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1,463</w:t>
            </w:r>
          </w:p>
        </w:tc>
        <w:tc>
          <w:tcPr>
            <w:tcW w:w="58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492</w:t>
            </w: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Proceeds from exercise of warrants</w:t>
            </w:r>
          </w:p>
        </w:tc>
        <w:tc>
          <w:tcPr>
            <w:tcW w:w="240" w:type="dxa"/>
            <w:vAlign w:val="bottom"/>
          </w:tcPr>
          <w:p>
            <w:pPr>
              <w:spacing w:after="0"/>
              <w:rPr>
                <w:sz w:val="17"/>
                <w:szCs w:val="17"/>
                <w:color w:val="auto"/>
              </w:rPr>
            </w:pPr>
          </w:p>
        </w:tc>
        <w:tc>
          <w:tcPr>
            <w:tcW w:w="16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2,428</w:t>
            </w:r>
          </w:p>
        </w:tc>
        <w:tc>
          <w:tcPr>
            <w:tcW w:w="58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151</w:t>
            </w: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240" w:type="dxa"/>
            <w:vAlign w:val="bottom"/>
          </w:tcPr>
          <w:p>
            <w:pPr>
              <w:spacing w:after="0"/>
              <w:rPr>
                <w:sz w:val="17"/>
                <w:szCs w:val="17"/>
                <w:color w:val="auto"/>
              </w:rPr>
            </w:pPr>
          </w:p>
        </w:tc>
        <w:tc>
          <w:tcPr>
            <w:tcW w:w="168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(2,081)</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(627)</w:t>
            </w:r>
          </w:p>
        </w:tc>
      </w:tr>
      <w:tr>
        <w:trPr>
          <w:trHeight w:val="196"/>
        </w:trPr>
        <w:tc>
          <w:tcPr>
            <w:tcW w:w="6900" w:type="dxa"/>
            <w:vAlign w:val="bottom"/>
          </w:tcPr>
          <w:p>
            <w:pPr>
              <w:spacing w:after="0"/>
              <w:rPr>
                <w:sz w:val="17"/>
                <w:szCs w:val="17"/>
                <w:color w:val="auto"/>
              </w:rPr>
            </w:pPr>
          </w:p>
        </w:tc>
        <w:tc>
          <w:tcPr>
            <w:tcW w:w="19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900" w:type="dxa"/>
            <w:vAlign w:val="bottom"/>
          </w:tcPr>
          <w:p>
            <w:pPr>
              <w:ind w:left="200"/>
              <w:spacing w:after="0"/>
              <w:rPr>
                <w:sz w:val="20"/>
                <w:szCs w:val="20"/>
                <w:color w:val="auto"/>
              </w:rPr>
            </w:pPr>
            <w:r>
              <w:rPr>
                <w:rFonts w:ascii="Courier New" w:cs="Courier New" w:eastAsia="Courier New" w:hAnsi="Courier New"/>
                <w:sz w:val="17"/>
                <w:szCs w:val="17"/>
                <w:color w:val="auto"/>
              </w:rPr>
              <w:t>Net cash provided by (used in) financing activities</w:t>
            </w:r>
          </w:p>
        </w:tc>
        <w:tc>
          <w:tcPr>
            <w:tcW w:w="240" w:type="dxa"/>
            <w:vAlign w:val="bottom"/>
          </w:tcPr>
          <w:p>
            <w:pPr>
              <w:spacing w:after="0"/>
              <w:rPr>
                <w:sz w:val="17"/>
                <w:szCs w:val="17"/>
                <w:color w:val="auto"/>
              </w:rPr>
            </w:pPr>
          </w:p>
        </w:tc>
        <w:tc>
          <w:tcPr>
            <w:tcW w:w="16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106,351</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(232)</w:t>
            </w:r>
          </w:p>
        </w:tc>
      </w:tr>
      <w:tr>
        <w:trPr>
          <w:trHeight w:val="196"/>
        </w:trPr>
        <w:tc>
          <w:tcPr>
            <w:tcW w:w="6900" w:type="dxa"/>
            <w:vAlign w:val="bottom"/>
          </w:tcPr>
          <w:p>
            <w:pPr>
              <w:spacing w:after="0"/>
              <w:rPr>
                <w:sz w:val="17"/>
                <w:szCs w:val="17"/>
                <w:color w:val="auto"/>
              </w:rPr>
            </w:pPr>
          </w:p>
        </w:tc>
        <w:tc>
          <w:tcPr>
            <w:tcW w:w="19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900" w:type="dxa"/>
            <w:vAlign w:val="bottom"/>
          </w:tcPr>
          <w:p>
            <w:pPr>
              <w:spacing w:after="0"/>
              <w:rPr>
                <w:sz w:val="20"/>
                <w:szCs w:val="20"/>
                <w:color w:val="auto"/>
              </w:rPr>
            </w:pPr>
            <w:r>
              <w:rPr>
                <w:rFonts w:ascii="Courier New" w:cs="Courier New" w:eastAsia="Courier New" w:hAnsi="Courier New"/>
                <w:sz w:val="17"/>
                <w:szCs w:val="17"/>
                <w:color w:val="auto"/>
              </w:rPr>
              <w:t>Increase (decrease) in cash and cash equivalents</w:t>
            </w:r>
          </w:p>
        </w:tc>
        <w:tc>
          <w:tcPr>
            <w:tcW w:w="240" w:type="dxa"/>
            <w:vAlign w:val="bottom"/>
          </w:tcPr>
          <w:p>
            <w:pPr>
              <w:spacing w:after="0"/>
              <w:rPr>
                <w:sz w:val="17"/>
                <w:szCs w:val="17"/>
                <w:color w:val="auto"/>
              </w:rPr>
            </w:pPr>
          </w:p>
        </w:tc>
        <w:tc>
          <w:tcPr>
            <w:tcW w:w="168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(18,176)</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(7,603)</w:t>
            </w:r>
          </w:p>
        </w:tc>
      </w:tr>
      <w:tr>
        <w:trPr>
          <w:trHeight w:val="196"/>
        </w:trPr>
        <w:tc>
          <w:tcPr>
            <w:tcW w:w="69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240" w:type="dxa"/>
            <w:vAlign w:val="bottom"/>
          </w:tcPr>
          <w:p>
            <w:pPr>
              <w:spacing w:after="0"/>
              <w:rPr>
                <w:sz w:val="17"/>
                <w:szCs w:val="17"/>
                <w:color w:val="auto"/>
              </w:rPr>
            </w:pPr>
          </w:p>
        </w:tc>
        <w:tc>
          <w:tcPr>
            <w:tcW w:w="16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30,161</w:t>
            </w:r>
          </w:p>
        </w:tc>
        <w:tc>
          <w:tcPr>
            <w:tcW w:w="58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49,179</w:t>
            </w:r>
          </w:p>
        </w:tc>
      </w:tr>
      <w:tr>
        <w:trPr>
          <w:trHeight w:val="196"/>
        </w:trPr>
        <w:tc>
          <w:tcPr>
            <w:tcW w:w="6900" w:type="dxa"/>
            <w:vAlign w:val="bottom"/>
          </w:tcPr>
          <w:p>
            <w:pPr>
              <w:spacing w:after="0"/>
              <w:rPr>
                <w:sz w:val="17"/>
                <w:szCs w:val="17"/>
                <w:color w:val="auto"/>
              </w:rPr>
            </w:pPr>
          </w:p>
        </w:tc>
        <w:tc>
          <w:tcPr>
            <w:tcW w:w="19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9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11,985</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41,576</w:t>
            </w:r>
          </w:p>
        </w:tc>
      </w:tr>
      <w:tr>
        <w:trPr>
          <w:trHeight w:val="196"/>
        </w:trPr>
        <w:tc>
          <w:tcPr>
            <w:tcW w:w="6900" w:type="dxa"/>
            <w:vAlign w:val="bottom"/>
          </w:tcPr>
          <w:p>
            <w:pPr>
              <w:spacing w:after="0"/>
              <w:rPr>
                <w:sz w:val="17"/>
                <w:szCs w:val="17"/>
                <w:color w:val="auto"/>
              </w:rPr>
            </w:pPr>
          </w:p>
        </w:tc>
        <w:tc>
          <w:tcPr>
            <w:tcW w:w="19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7"/>
          <w:szCs w:val="17"/>
          <w:color w:val="auto"/>
        </w:rPr>
        <w:t>The accompanying notes are an integral part of these condensed consolidated</w:t>
      </w:r>
    </w:p>
    <w:p>
      <w:pPr>
        <w:spacing w:after="0" w:line="4"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7"/>
          <w:szCs w:val="17"/>
          <w:color w:val="auto"/>
        </w:rPr>
        <w:t>financial statements.</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620"/>
          </w:cols>
          <w:pgMar w:left="240" w:top="311" w:right="103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4" w:lineRule="exact"/>
        <w:rPr>
          <w:sz w:val="20"/>
          <w:szCs w:val="20"/>
          <w:color w:val="auto"/>
        </w:rPr>
      </w:pPr>
    </w:p>
    <w:p>
      <w:pPr>
        <w:jc w:val="center"/>
        <w:ind w:right="234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jc w:val="center"/>
        <w:ind w:right="2340"/>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4" w:lineRule="exact"/>
        <w:rPr>
          <w:sz w:val="20"/>
          <w:szCs w:val="20"/>
          <w:color w:val="auto"/>
        </w:rPr>
      </w:pPr>
    </w:p>
    <w:p>
      <w:pPr>
        <w:jc w:val="center"/>
        <w:ind w:right="2460"/>
        <w:spacing w:after="0"/>
        <w:rPr>
          <w:sz w:val="20"/>
          <w:szCs w:val="20"/>
          <w:color w:val="auto"/>
        </w:rPr>
      </w:pPr>
      <w:r>
        <w:rPr>
          <w:rFonts w:ascii="Courier New" w:cs="Courier New" w:eastAsia="Courier New" w:hAnsi="Courier New"/>
          <w:sz w:val="17"/>
          <w:szCs w:val="17"/>
          <w:color w:val="auto"/>
        </w:rPr>
        <w:t>(Unaudited)</w:t>
      </w:r>
    </w:p>
    <w:p>
      <w:pPr>
        <w:spacing w:after="0" w:line="201" w:lineRule="exact"/>
        <w:rPr>
          <w:sz w:val="20"/>
          <w:szCs w:val="20"/>
          <w:color w:val="auto"/>
        </w:rPr>
      </w:pPr>
    </w:p>
    <w:p>
      <w:pPr>
        <w:ind w:right="2360" w:firstLine="306"/>
        <w:spacing w:after="0" w:line="244" w:lineRule="auto"/>
        <w:rPr>
          <w:sz w:val="20"/>
          <w:szCs w:val="20"/>
          <w:color w:val="auto"/>
        </w:rPr>
      </w:pPr>
      <w:r>
        <w:rPr>
          <w:rFonts w:ascii="Courier New" w:cs="Courier New" w:eastAsia="Courier New" w:hAnsi="Courier New"/>
          <w:sz w:val="17"/>
          <w:szCs w:val="17"/>
          <w:color w:val="auto"/>
        </w:rPr>
        <w:t>The condensed consolidated balance sheets of USA Waste Services, Inc. ("the Company") as of September 30, 1995 and December 31, 1994, the related condensed consolidated statements of operations for the three and nine months ended September 30, 1995 and 1994, and condensed consolidated statements of cash flows for the nine months ended September 30, 1995 and 1994 are unaudited. In the opinion of management, such financial statements include all adjustments, consisting only of normal recurring adjustments, necessary for a fair presentation of financial position, results of operations, and cash flows for the periods presented. The Company has restated the previously issued financial statements for the three and nine months ended September 30, 1994 to reflect the acquisition of Chambers Development Company, Inc. ("Chambers"), accounted for using the pooling of interests method of accounting. The December 31, 1994 condensed consolidated balance sheet data was derived from audited financial statements, but does not include all disclosures required by generally accepted accounting principles.</w:t>
      </w:r>
    </w:p>
    <w:p>
      <w:pPr>
        <w:spacing w:after="0" w:line="398" w:lineRule="exact"/>
        <w:rPr>
          <w:sz w:val="20"/>
          <w:szCs w:val="20"/>
          <w:color w:val="auto"/>
        </w:rPr>
      </w:pPr>
    </w:p>
    <w:p>
      <w:pPr>
        <w:ind w:left="420" w:hanging="415"/>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WITH CHAMBERS DEVELOPMENT COMPANY, INC.:</w:t>
      </w:r>
    </w:p>
    <w:p>
      <w:pPr>
        <w:spacing w:after="0" w:line="201" w:lineRule="exact"/>
        <w:rPr>
          <w:sz w:val="20"/>
          <w:szCs w:val="20"/>
          <w:color w:val="auto"/>
        </w:rPr>
      </w:pPr>
    </w:p>
    <w:p>
      <w:pPr>
        <w:ind w:right="2760" w:firstLine="306"/>
        <w:spacing w:after="0" w:line="244" w:lineRule="auto"/>
        <w:rPr>
          <w:sz w:val="20"/>
          <w:szCs w:val="20"/>
          <w:color w:val="auto"/>
        </w:rPr>
      </w:pPr>
      <w:r>
        <w:rPr>
          <w:rFonts w:ascii="Courier New" w:cs="Courier New" w:eastAsia="Courier New" w:hAnsi="Courier New"/>
          <w:sz w:val="17"/>
          <w:szCs w:val="17"/>
          <w:color w:val="auto"/>
        </w:rPr>
        <w:t>On June 30, 1995, the Company completed its merger with Chambers and approximately 27,800,000 shares of the Company's common stock were issued in exchange for all outstanding shares of Chambers' Common Stock and Class A Common Stock. The transaction has been accounted for using the pooling of interests method of accounting, and accordingly, the accompanying condensed consolidated financial statements include the accounts of Chambers for all periods presented.</w:t>
      </w:r>
    </w:p>
    <w:p>
      <w:pPr>
        <w:spacing w:after="0" w:line="199" w:lineRule="exact"/>
        <w:rPr>
          <w:sz w:val="20"/>
          <w:szCs w:val="20"/>
          <w:color w:val="auto"/>
        </w:rPr>
      </w:pPr>
    </w:p>
    <w:p>
      <w:pPr>
        <w:jc w:val="both"/>
        <w:ind w:right="2560" w:firstLine="306"/>
        <w:spacing w:after="0" w:line="243" w:lineRule="auto"/>
        <w:rPr>
          <w:sz w:val="20"/>
          <w:szCs w:val="20"/>
          <w:color w:val="auto"/>
        </w:rPr>
      </w:pPr>
      <w:r>
        <w:rPr>
          <w:rFonts w:ascii="Courier New" w:cs="Courier New" w:eastAsia="Courier New" w:hAnsi="Courier New"/>
          <w:sz w:val="17"/>
          <w:szCs w:val="17"/>
          <w:color w:val="auto"/>
        </w:rPr>
        <w:t>Combined and separate results of operations of the Company and Chambers for the periods prior to the merger with Chambers, which are included in whole or in part in this report, are as follows (in thousands):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7"/>
              </w:rPr>
              <w:t>USA Waste</w:t>
            </w:r>
          </w:p>
        </w:tc>
        <w:tc>
          <w:tcPr>
            <w:tcW w:w="460" w:type="dxa"/>
            <w:vAlign w:val="bottom"/>
          </w:tcPr>
          <w:p>
            <w:pPr>
              <w:spacing w:after="0"/>
              <w:rPr>
                <w:sz w:val="16"/>
                <w:szCs w:val="16"/>
                <w:color w:val="auto"/>
              </w:rPr>
            </w:pPr>
          </w:p>
        </w:tc>
        <w:tc>
          <w:tcPr>
            <w:tcW w:w="12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Chambers</w:t>
            </w:r>
          </w:p>
        </w:tc>
        <w:tc>
          <w:tcPr>
            <w:tcW w:w="20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Adjustments</w:t>
            </w:r>
          </w:p>
        </w:tc>
        <w:tc>
          <w:tcPr>
            <w:tcW w:w="220" w:type="dxa"/>
            <w:vAlign w:val="bottom"/>
          </w:tcPr>
          <w:p>
            <w:pPr>
              <w:spacing w:after="0"/>
              <w:rPr>
                <w:sz w:val="16"/>
                <w:szCs w:val="16"/>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5"/>
              </w:rPr>
              <w:t>Combined</w:t>
            </w:r>
          </w:p>
        </w:tc>
      </w:tr>
      <w:tr>
        <w:trPr>
          <w:trHeight w:val="196"/>
        </w:trPr>
        <w:tc>
          <w:tcPr>
            <w:tcW w:w="3940" w:type="dxa"/>
            <w:vAlign w:val="bottom"/>
          </w:tcPr>
          <w:p>
            <w:pPr>
              <w:spacing w:after="0"/>
              <w:rPr>
                <w:sz w:val="17"/>
                <w:szCs w:val="17"/>
                <w:color w:val="auto"/>
              </w:rPr>
            </w:pPr>
          </w:p>
        </w:tc>
        <w:tc>
          <w:tcPr>
            <w:tcW w:w="15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20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940" w:type="dxa"/>
            <w:vAlign w:val="bottom"/>
          </w:tcPr>
          <w:p>
            <w:pPr>
              <w:spacing w:after="0"/>
              <w:rPr>
                <w:sz w:val="20"/>
                <w:szCs w:val="20"/>
                <w:color w:val="auto"/>
              </w:rPr>
            </w:pPr>
            <w:r>
              <w:rPr>
                <w:rFonts w:ascii="Courier New" w:cs="Courier New" w:eastAsia="Courier New" w:hAnsi="Courier New"/>
                <w:sz w:val="17"/>
                <w:szCs w:val="17"/>
                <w:color w:val="auto"/>
              </w:rPr>
              <w:t>Three months ended March 31, 1995:</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46,508</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54,734</w:t>
            </w:r>
          </w:p>
        </w:tc>
        <w:tc>
          <w:tcPr>
            <w:tcW w:w="6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101,242</w:t>
            </w:r>
          </w:p>
        </w:tc>
      </w:tr>
      <w:tr>
        <w:trPr>
          <w:trHeight w:val="196"/>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Net income (loss)</w:t>
            </w:r>
          </w:p>
        </w:tc>
        <w:tc>
          <w:tcPr>
            <w:tcW w:w="240" w:type="dxa"/>
            <w:vAlign w:val="bottom"/>
          </w:tcPr>
          <w:p>
            <w:pPr>
              <w:spacing w:after="0"/>
              <w:rPr>
                <w:sz w:val="17"/>
                <w:szCs w:val="17"/>
                <w:color w:val="auto"/>
              </w:rPr>
            </w:pP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4,788</w:t>
            </w:r>
          </w:p>
        </w:tc>
        <w:tc>
          <w:tcPr>
            <w:tcW w:w="460" w:type="dxa"/>
            <w:vAlign w:val="bottom"/>
          </w:tcPr>
          <w:p>
            <w:pPr>
              <w:spacing w:after="0"/>
              <w:rPr>
                <w:sz w:val="17"/>
                <w:szCs w:val="17"/>
                <w:color w:val="auto"/>
              </w:rPr>
            </w:pP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(5,269)</w:t>
            </w:r>
          </w:p>
        </w:tc>
        <w:tc>
          <w:tcPr>
            <w:tcW w:w="620" w:type="dxa"/>
            <w:vAlign w:val="bottom"/>
          </w:tcPr>
          <w:p>
            <w:pPr>
              <w:spacing w:after="0"/>
              <w:rPr>
                <w:sz w:val="17"/>
                <w:szCs w:val="17"/>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7"/>
                <w:szCs w:val="17"/>
                <w:color w:val="auto"/>
              </w:rPr>
              <w:t>665(a)(b)</w:t>
            </w:r>
          </w:p>
        </w:tc>
        <w:tc>
          <w:tcPr>
            <w:tcW w:w="22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184</w:t>
            </w:r>
          </w:p>
        </w:tc>
      </w:tr>
      <w:tr>
        <w:trPr>
          <w:trHeight w:val="392"/>
        </w:trPr>
        <w:tc>
          <w:tcPr>
            <w:tcW w:w="3940" w:type="dxa"/>
            <w:vAlign w:val="bottom"/>
          </w:tcPr>
          <w:p>
            <w:pPr>
              <w:spacing w:after="0"/>
              <w:rPr>
                <w:sz w:val="20"/>
                <w:szCs w:val="20"/>
                <w:color w:val="auto"/>
              </w:rPr>
            </w:pPr>
            <w:r>
              <w:rPr>
                <w:rFonts w:ascii="Courier New" w:cs="Courier New" w:eastAsia="Courier New" w:hAnsi="Courier New"/>
                <w:sz w:val="17"/>
                <w:szCs w:val="17"/>
                <w:color w:val="auto"/>
              </w:rPr>
              <w:t>Three months ended September 30, 1994:</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47,134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67,136</w:t>
            </w:r>
          </w:p>
        </w:tc>
        <w:tc>
          <w:tcPr>
            <w:tcW w:w="6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114,270</w:t>
            </w:r>
          </w:p>
        </w:tc>
      </w:tr>
      <w:tr>
        <w:trPr>
          <w:trHeight w:val="196"/>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Net income (loss)</w:t>
            </w:r>
          </w:p>
        </w:tc>
        <w:tc>
          <w:tcPr>
            <w:tcW w:w="240" w:type="dxa"/>
            <w:vAlign w:val="bottom"/>
          </w:tcPr>
          <w:p>
            <w:pPr>
              <w:spacing w:after="0"/>
              <w:rPr>
                <w:sz w:val="17"/>
                <w:szCs w:val="17"/>
                <w:color w:val="auto"/>
              </w:rPr>
            </w:pP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4,617</w:t>
            </w:r>
          </w:p>
        </w:tc>
        <w:tc>
          <w:tcPr>
            <w:tcW w:w="460" w:type="dxa"/>
            <w:vAlign w:val="bottom"/>
          </w:tcPr>
          <w:p>
            <w:pPr>
              <w:spacing w:after="0"/>
              <w:rPr>
                <w:sz w:val="17"/>
                <w:szCs w:val="17"/>
                <w:color w:val="auto"/>
              </w:rPr>
            </w:pP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(72,719)</w:t>
            </w:r>
          </w:p>
        </w:tc>
        <w:tc>
          <w:tcPr>
            <w:tcW w:w="620" w:type="dxa"/>
            <w:vAlign w:val="bottom"/>
          </w:tcPr>
          <w:p>
            <w:pPr>
              <w:spacing w:after="0"/>
              <w:rPr>
                <w:sz w:val="17"/>
                <w:szCs w:val="17"/>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7"/>
                <w:szCs w:val="17"/>
                <w:color w:val="auto"/>
              </w:rPr>
              <w:t>(87)(a)(b)</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(68,189)</w:t>
            </w:r>
          </w:p>
        </w:tc>
      </w:tr>
      <w:tr>
        <w:trPr>
          <w:trHeight w:val="392"/>
        </w:trPr>
        <w:tc>
          <w:tcPr>
            <w:tcW w:w="3940" w:type="dxa"/>
            <w:vAlign w:val="bottom"/>
          </w:tcPr>
          <w:p>
            <w:pPr>
              <w:spacing w:after="0"/>
              <w:rPr>
                <w:sz w:val="20"/>
                <w:szCs w:val="20"/>
                <w:color w:val="auto"/>
              </w:rPr>
            </w:pPr>
            <w:r>
              <w:rPr>
                <w:rFonts w:ascii="Courier New" w:cs="Courier New" w:eastAsia="Courier New" w:hAnsi="Courier New"/>
                <w:sz w:val="17"/>
                <w:szCs w:val="17"/>
                <w:color w:val="auto"/>
              </w:rPr>
              <w:t>Nine months ended September 30, 1994:</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130,209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195,546</w:t>
            </w:r>
          </w:p>
        </w:tc>
        <w:tc>
          <w:tcPr>
            <w:tcW w:w="6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325,755</w:t>
            </w:r>
          </w:p>
        </w:tc>
      </w:tr>
      <w:tr>
        <w:trPr>
          <w:trHeight w:val="196"/>
        </w:trPr>
        <w:tc>
          <w:tcPr>
            <w:tcW w:w="3940" w:type="dxa"/>
            <w:vAlign w:val="bottom"/>
          </w:tcPr>
          <w:p>
            <w:pPr>
              <w:ind w:left="320"/>
              <w:spacing w:after="0"/>
              <w:rPr>
                <w:sz w:val="20"/>
                <w:szCs w:val="20"/>
                <w:color w:val="auto"/>
              </w:rPr>
            </w:pPr>
            <w:r>
              <w:rPr>
                <w:rFonts w:ascii="Courier New" w:cs="Courier New" w:eastAsia="Courier New" w:hAnsi="Courier New"/>
                <w:sz w:val="17"/>
                <w:szCs w:val="17"/>
                <w:color w:val="auto"/>
              </w:rPr>
              <w:t>Net income (loss)</w:t>
            </w:r>
          </w:p>
        </w:tc>
        <w:tc>
          <w:tcPr>
            <w:tcW w:w="240" w:type="dxa"/>
            <w:vAlign w:val="bottom"/>
          </w:tcPr>
          <w:p>
            <w:pPr>
              <w:spacing w:after="0"/>
              <w:rPr>
                <w:sz w:val="17"/>
                <w:szCs w:val="17"/>
                <w:color w:val="auto"/>
              </w:rPr>
            </w:pP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8,341</w:t>
            </w:r>
          </w:p>
        </w:tc>
        <w:tc>
          <w:tcPr>
            <w:tcW w:w="460" w:type="dxa"/>
            <w:vAlign w:val="bottom"/>
          </w:tcPr>
          <w:p>
            <w:pPr>
              <w:spacing w:after="0"/>
              <w:rPr>
                <w:sz w:val="17"/>
                <w:szCs w:val="17"/>
                <w:color w:val="auto"/>
              </w:rPr>
            </w:pP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(73,834)</w:t>
            </w:r>
          </w:p>
        </w:tc>
        <w:tc>
          <w:tcPr>
            <w:tcW w:w="620" w:type="dxa"/>
            <w:vAlign w:val="bottom"/>
          </w:tcPr>
          <w:p>
            <w:pPr>
              <w:spacing w:after="0"/>
              <w:rPr>
                <w:sz w:val="17"/>
                <w:szCs w:val="17"/>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7"/>
                <w:szCs w:val="17"/>
                <w:color w:val="auto"/>
              </w:rPr>
              <w:t>222(a)(b)</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(65,271)</w:t>
            </w:r>
          </w:p>
        </w:tc>
      </w:tr>
      <w:tr>
        <w:trPr>
          <w:trHeight w:val="785"/>
        </w:trPr>
        <w:tc>
          <w:tcPr>
            <w:tcW w:w="3940" w:type="dxa"/>
            <w:vAlign w:val="bottom"/>
          </w:tcPr>
          <w:p>
            <w:pPr>
              <w:spacing w:after="0"/>
              <w:rPr>
                <w:sz w:val="24"/>
                <w:szCs w:val="24"/>
                <w:color w:val="auto"/>
              </w:rPr>
            </w:pPr>
          </w:p>
        </w:tc>
        <w:tc>
          <w:tcPr>
            <w:tcW w:w="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520"/>
          </w:cols>
          <w:pgMar w:left="240" w:top="311" w:right="113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4"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7"/>
          <w:szCs w:val="17"/>
          <w:color w:val="auto"/>
        </w:rPr>
        <w:t>NOTES TO CONDENSED CONSOLIDATED FINANCIAL STATEMENTS, CONTINUED</w:t>
      </w:r>
    </w:p>
    <w:p>
      <w:pPr>
        <w:spacing w:after="0" w:line="4"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ind w:left="420" w:hanging="415"/>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WITH CHAMBERS DEVELOPMENT COMPANY, INC., CONTINUED:</w:t>
      </w:r>
    </w:p>
    <w:p>
      <w:pPr>
        <w:spacing w:after="0" w:line="201" w:lineRule="exact"/>
        <w:rPr>
          <w:sz w:val="20"/>
          <w:szCs w:val="20"/>
          <w:color w:val="auto"/>
        </w:rPr>
      </w:pPr>
    </w:p>
    <w:p>
      <w:pPr>
        <w:ind w:right="1640" w:firstLine="306"/>
        <w:spacing w:after="0" w:line="243" w:lineRule="auto"/>
        <w:rPr>
          <w:sz w:val="20"/>
          <w:szCs w:val="20"/>
          <w:color w:val="auto"/>
        </w:rPr>
      </w:pPr>
      <w:r>
        <w:rPr>
          <w:rFonts w:ascii="Courier New" w:cs="Courier New" w:eastAsia="Courier New" w:hAnsi="Courier New"/>
          <w:sz w:val="17"/>
          <w:szCs w:val="17"/>
          <w:color w:val="auto"/>
        </w:rPr>
        <w:t>The following adjustments have been made to the combined results of operations:</w:t>
      </w:r>
    </w:p>
    <w:p>
      <w:pPr>
        <w:spacing w:after="0" w:line="199" w:lineRule="exact"/>
        <w:rPr>
          <w:sz w:val="20"/>
          <w:szCs w:val="20"/>
          <w:color w:val="auto"/>
        </w:rPr>
      </w:pPr>
    </w:p>
    <w:p>
      <w:pPr>
        <w:ind w:right="720" w:firstLine="311"/>
        <w:spacing w:after="0" w:line="244" w:lineRule="auto"/>
        <w:tabs>
          <w:tab w:leader="none" w:pos="816"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intercompany transactions between the Company and Chambers have been eliminated. In September 1993, Chambers sold certain of its collection and landfill operations to the Company. The Company accounted for the transaction as a purchase and allocated the purchase price to the assets acquired. The assets acquired have been adjusted to reflect Chamber's carrying value at the date of sale and the results for the periods presented above have been adjusted for the effect of lower depreciation and amortization as a result of the reduction in the asset amounts on a restated basis.</w:t>
      </w:r>
    </w:p>
    <w:p>
      <w:pPr>
        <w:spacing w:after="0" w:line="199" w:lineRule="exact"/>
        <w:rPr>
          <w:rFonts w:ascii="Courier New" w:cs="Courier New" w:eastAsia="Courier New" w:hAnsi="Courier New"/>
          <w:sz w:val="17"/>
          <w:szCs w:val="17"/>
          <w:color w:val="auto"/>
        </w:rPr>
      </w:pPr>
    </w:p>
    <w:p>
      <w:pPr>
        <w:ind w:right="720" w:firstLine="311"/>
        <w:spacing w:after="0" w:line="244" w:lineRule="auto"/>
        <w:tabs>
          <w:tab w:leader="none" w:pos="816"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combined results reflect the transaction as a "tax-free" reorganization for federal income tax purposes. As a result of the transaction, certain tax net operating loss carryforwards will become available to offset future taxable income of the combined company. Although Chambers had not recognized any benefit with respect to these tax net operating loss carryforwards in prior years, the condensed consolidated financial statements recognize these benefits to the extent of previously recognized deferred tax liabilities.</w:t>
      </w:r>
    </w:p>
    <w:p>
      <w:pPr>
        <w:spacing w:after="0" w:line="198" w:lineRule="exact"/>
        <w:rPr>
          <w:rFonts w:ascii="Courier New" w:cs="Courier New" w:eastAsia="Courier New" w:hAnsi="Courier New"/>
          <w:sz w:val="17"/>
          <w:szCs w:val="17"/>
          <w:color w:val="auto"/>
        </w:rPr>
      </w:pPr>
    </w:p>
    <w:p>
      <w:pPr>
        <w:ind w:left="420" w:hanging="415"/>
        <w:spacing w:after="0"/>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Long-term debt consists of the following (in thousands):</w:t>
      </w:r>
    </w:p>
    <w:p>
      <w:pPr>
        <w:spacing w:after="0" w:line="396"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546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5460" w:type="dxa"/>
            <w:vAlign w:val="bottom"/>
          </w:tcPr>
          <w:p>
            <w:pPr>
              <w:spacing w:after="0"/>
              <w:rPr>
                <w:sz w:val="17"/>
                <w:szCs w:val="17"/>
                <w:color w:val="auto"/>
              </w:rPr>
            </w:pPr>
          </w:p>
        </w:tc>
        <w:tc>
          <w:tcPr>
            <w:tcW w:w="24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5460" w:type="dxa"/>
            <w:vAlign w:val="bottom"/>
          </w:tcPr>
          <w:p>
            <w:pPr>
              <w:spacing w:after="0"/>
              <w:rPr>
                <w:sz w:val="17"/>
                <w:szCs w:val="17"/>
                <w:color w:val="auto"/>
              </w:rPr>
            </w:pPr>
          </w:p>
        </w:tc>
        <w:tc>
          <w:tcPr>
            <w:tcW w:w="2400" w:type="dxa"/>
            <w:vAlign w:val="bottom"/>
          </w:tcPr>
          <w:p>
            <w:pPr>
              <w:jc w:val="center"/>
              <w:ind w:left="995"/>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5460" w:type="dxa"/>
            <w:vAlign w:val="bottom"/>
          </w:tcPr>
          <w:p>
            <w:pPr>
              <w:spacing w:after="0"/>
              <w:rPr>
                <w:sz w:val="20"/>
                <w:szCs w:val="20"/>
                <w:color w:val="auto"/>
              </w:rPr>
            </w:pPr>
            <w:r>
              <w:rPr>
                <w:rFonts w:ascii="Courier New" w:cs="Courier New" w:eastAsia="Courier New" w:hAnsi="Courier New"/>
                <w:sz w:val="17"/>
                <w:szCs w:val="17"/>
                <w:color w:val="auto"/>
              </w:rPr>
              <w:t>Revolving credit facility</w:t>
            </w: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$ 120,000</w:t>
            </w:r>
          </w:p>
        </w:tc>
      </w:tr>
      <w:tr>
        <w:trPr>
          <w:trHeight w:val="1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Term loan facility</w:t>
            </w: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247,500</w:t>
            </w:r>
          </w:p>
        </w:tc>
      </w:tr>
      <w:tr>
        <w:trPr>
          <w:trHeight w:val="1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Senior Notes, interest at 11.45%</w:t>
            </w:r>
          </w:p>
        </w:tc>
        <w:tc>
          <w:tcPr>
            <w:tcW w:w="2400" w:type="dxa"/>
            <w:vAlign w:val="bottom"/>
          </w:tcPr>
          <w:p>
            <w:pPr>
              <w:jc w:val="center"/>
              <w:ind w:left="97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Senior Notes, interest at 11.95%</w:t>
            </w:r>
          </w:p>
        </w:tc>
        <w:tc>
          <w:tcPr>
            <w:tcW w:w="2400" w:type="dxa"/>
            <w:vAlign w:val="bottom"/>
          </w:tcPr>
          <w:p>
            <w:pPr>
              <w:jc w:val="center"/>
              <w:ind w:left="97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8  1/2% Convertible Subordinated Debentures</w:t>
            </w: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48,070</w:t>
            </w:r>
          </w:p>
        </w:tc>
      </w:tr>
      <w:tr>
        <w:trPr>
          <w:trHeight w:val="1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Industrial revenue bonds</w:t>
            </w: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84,850</w:t>
            </w:r>
          </w:p>
        </w:tc>
      </w:tr>
      <w:tr>
        <w:trPr>
          <w:trHeight w:val="1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24,989</w:t>
            </w:r>
          </w:p>
        </w:tc>
      </w:tr>
      <w:tr>
        <w:trPr>
          <w:trHeight w:val="196"/>
        </w:trPr>
        <w:tc>
          <w:tcPr>
            <w:tcW w:w="5460" w:type="dxa"/>
            <w:vAlign w:val="bottom"/>
          </w:tcPr>
          <w:p>
            <w:pPr>
              <w:spacing w:after="0"/>
              <w:rPr>
                <w:sz w:val="17"/>
                <w:szCs w:val="17"/>
                <w:color w:val="auto"/>
              </w:rPr>
            </w:pP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5460" w:type="dxa"/>
            <w:vAlign w:val="bottom"/>
          </w:tcPr>
          <w:p>
            <w:pPr>
              <w:spacing w:after="0"/>
              <w:rPr>
                <w:sz w:val="17"/>
                <w:szCs w:val="17"/>
                <w:color w:val="auto"/>
              </w:rPr>
            </w:pP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525,409</w:t>
            </w:r>
          </w:p>
        </w:tc>
      </w:tr>
      <w:tr>
        <w:trPr>
          <w:trHeight w:val="1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Less current maturities</w:t>
            </w: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36,744</w:t>
            </w:r>
          </w:p>
        </w:tc>
      </w:tr>
      <w:tr>
        <w:trPr>
          <w:trHeight w:val="196"/>
        </w:trPr>
        <w:tc>
          <w:tcPr>
            <w:tcW w:w="5460" w:type="dxa"/>
            <w:vAlign w:val="bottom"/>
          </w:tcPr>
          <w:p>
            <w:pPr>
              <w:spacing w:after="0"/>
              <w:rPr>
                <w:sz w:val="17"/>
                <w:szCs w:val="17"/>
                <w:color w:val="auto"/>
              </w:rPr>
            </w:pP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5460" w:type="dxa"/>
            <w:vAlign w:val="bottom"/>
          </w:tcPr>
          <w:p>
            <w:pPr>
              <w:spacing w:after="0"/>
              <w:rPr>
                <w:sz w:val="17"/>
                <w:szCs w:val="17"/>
                <w:color w:val="auto"/>
              </w:rPr>
            </w:pP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$488,665</w:t>
            </w:r>
          </w:p>
        </w:tc>
      </w:tr>
      <w:tr>
        <w:trPr>
          <w:trHeight w:val="196"/>
        </w:trPr>
        <w:tc>
          <w:tcPr>
            <w:tcW w:w="5460" w:type="dxa"/>
            <w:vAlign w:val="bottom"/>
          </w:tcPr>
          <w:p>
            <w:pPr>
              <w:spacing w:after="0"/>
              <w:rPr>
                <w:sz w:val="17"/>
                <w:szCs w:val="17"/>
                <w:color w:val="auto"/>
              </w:rPr>
            </w:pPr>
          </w:p>
        </w:tc>
        <w:tc>
          <w:tcPr>
            <w:tcW w:w="24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620" w:firstLine="306"/>
        <w:spacing w:after="0" w:line="261" w:lineRule="auto"/>
        <w:rPr>
          <w:sz w:val="20"/>
          <w:szCs w:val="20"/>
          <w:color w:val="auto"/>
        </w:rPr>
      </w:pPr>
      <w:r>
        <w:rPr>
          <w:rFonts w:ascii="Courier New" w:cs="Courier New" w:eastAsia="Courier New" w:hAnsi="Courier New"/>
          <w:sz w:val="16"/>
          <w:szCs w:val="16"/>
          <w:color w:val="auto"/>
        </w:rPr>
        <w:t>On June 30, 1995, in connection with the acquisition of Chambers, the Company entered into a $550,000,000 financing agreement consisting of a $300,000,000 five-year revolving credit and letter of credit facility and a $250,000,000 term loan facility (the "Credit Facility"). On that date, the Company arranged to borrow $370,000,000, of which $367,500,000 was outstanding as of September 30, 1995, the proceeds of which were used to refinance outstanding indebtedness under the Company's revolving credit facility, pay the 11.45% and 11.95% Senior Notes of Chambers, and to finance the Chambers' shareholder litigation settlements discussed in Note 4 and certain other merger related costs. The Credit Facility is collateralized by all the stock of the Company's subsidiaries, whether now owned or hereafter acquired, and intercompany receivables between the Company and its subsidiaries or between subsidiaries.</w:t>
      </w:r>
    </w:p>
    <w:p>
      <w:pPr>
        <w:spacing w:after="0" w:line="18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Revolving credit loans under the Credit Facility are limited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$160,000,000, less the amount of any future industrial revenue bonds enhanced</w:t>
      </w:r>
    </w:p>
    <w:p>
      <w:pPr>
        <w:spacing w:after="0" w:line="4"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7"/>
          <w:szCs w:val="17"/>
          <w:color w:val="auto"/>
        </w:rPr>
        <w:t>or secured by letters of credit under the Credit Facility.</w:t>
      </w:r>
      <w:r>
        <w:rPr>
          <w:sz w:val="20"/>
          <w:szCs w:val="20"/>
          <w:color w:val="auto"/>
        </w:rPr>
        <w:tab/>
      </w:r>
      <w:r>
        <w:rPr>
          <w:rFonts w:ascii="Courier New" w:cs="Courier New" w:eastAsia="Courier New" w:hAnsi="Courier New"/>
          <w:sz w:val="16"/>
          <w:szCs w:val="16"/>
          <w:color w:val="auto"/>
        </w:rPr>
        <w:t>Loans bear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based on the Eurodollar rate or the prime rate, plus a spread not to</w:t>
      </w:r>
    </w:p>
    <w:p>
      <w:pPr>
        <w:spacing w:after="0" w:line="4"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7"/>
          <w:szCs w:val="17"/>
          <w:color w:val="auto"/>
        </w:rPr>
        <w:t>exceed 1.75% per annum.</w:t>
      </w:r>
      <w:r>
        <w:rPr>
          <w:sz w:val="20"/>
          <w:szCs w:val="20"/>
          <w:color w:val="auto"/>
        </w:rPr>
        <w:tab/>
      </w:r>
      <w:r>
        <w:rPr>
          <w:rFonts w:ascii="Courier New" w:cs="Courier New" w:eastAsia="Courier New" w:hAnsi="Courier New"/>
          <w:sz w:val="16"/>
          <w:szCs w:val="16"/>
          <w:color w:val="auto"/>
        </w:rPr>
        <w:t>The Credit Facility may also be used for letters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purposes with variable rates up to 1.75% per annum charged on</w:t>
      </w:r>
    </w:p>
    <w:p>
      <w:pPr>
        <w:spacing w:after="0" w:line="4"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7"/>
          <w:szCs w:val="17"/>
          <w:color w:val="auto"/>
        </w:rPr>
        <w:t>outstanding balances.</w:t>
      </w:r>
      <w:r>
        <w:rPr>
          <w:sz w:val="20"/>
          <w:szCs w:val="20"/>
          <w:color w:val="auto"/>
        </w:rPr>
        <w:tab/>
      </w:r>
      <w:r>
        <w:rPr>
          <w:rFonts w:ascii="Courier New" w:cs="Courier New" w:eastAsia="Courier New" w:hAnsi="Courier New"/>
          <w:sz w:val="16"/>
          <w:szCs w:val="16"/>
          <w:color w:val="auto"/>
        </w:rPr>
        <w:t>A commitment fee of up to .5% per annum is required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unused portion of the 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December 31,</w:t>
      </w:r>
    </w:p>
    <w:p>
      <w:pPr>
        <w:spacing w:after="0" w:line="1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ind w:left="400" w:hanging="307"/>
        <w:spacing w:after="0"/>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98,000</w:t>
      </w:r>
    </w:p>
    <w:p>
      <w:pPr>
        <w:spacing w:after="0" w:line="3" w:lineRule="exact"/>
        <w:rPr>
          <w:rFonts w:ascii="Courier New" w:cs="Courier New" w:eastAsia="Courier New" w:hAnsi="Courier New"/>
          <w:sz w:val="17"/>
          <w:szCs w:val="17"/>
          <w:color w:val="auto"/>
        </w:rPr>
      </w:pPr>
    </w:p>
    <w:p>
      <w:pPr>
        <w:ind w:left="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7"/>
          <w:szCs w:val="17"/>
          <w:color w:val="auto"/>
        </w:rPr>
        <w:t>133,501</w:t>
      </w:r>
    </w:p>
    <w:p>
      <w:pPr>
        <w:spacing w:after="0" w:line="4"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7"/>
          <w:szCs w:val="17"/>
          <w:color w:val="auto"/>
        </w:rPr>
        <w:t>17,929</w:t>
      </w:r>
    </w:p>
    <w:p>
      <w:pPr>
        <w:spacing w:after="0" w:line="4"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7"/>
          <w:szCs w:val="17"/>
          <w:color w:val="auto"/>
        </w:rPr>
        <w:t>49,000</w:t>
      </w:r>
    </w:p>
    <w:p>
      <w:pPr>
        <w:spacing w:after="0" w:line="4"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7"/>
          <w:szCs w:val="17"/>
          <w:color w:val="auto"/>
        </w:rPr>
        <w:t>88,800</w:t>
      </w:r>
    </w:p>
    <w:p>
      <w:pPr>
        <w:spacing w:after="0" w:line="4"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7"/>
          <w:szCs w:val="17"/>
          <w:color w:val="auto"/>
        </w:rPr>
        <w:t>23,484</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7"/>
          <w:szCs w:val="17"/>
          <w:color w:val="auto"/>
        </w:rPr>
        <w:t>410,714</w:t>
      </w:r>
    </w:p>
    <w:p>
      <w:pPr>
        <w:spacing w:after="0" w:line="4"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7"/>
          <w:szCs w:val="17"/>
          <w:color w:val="auto"/>
        </w:rPr>
        <w:t>46,795</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$363,919</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4712" w:lineRule="exact"/>
        <w:rPr>
          <w:sz w:val="20"/>
          <w:szCs w:val="20"/>
          <w:color w:val="auto"/>
        </w:rPr>
      </w:pPr>
    </w:p>
    <w:p>
      <w:pPr>
        <w:sectPr>
          <w:pgSz w:w="11900" w:h="16838" w:orient="portrait"/>
          <w:cols w:equalWidth="0" w:num="2">
            <w:col w:w="8780" w:space="620"/>
            <w:col w:w="1220"/>
          </w:cols>
          <w:pgMar w:left="240" w:top="311" w:right="1039" w:bottom="1066"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620"/>
          </w:cols>
          <w:pgMar w:left="240" w:top="311" w:right="1039" w:bottom="1066"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NOTES TO CONDENSED CONSOLIDATED FINANCIAL STATEMENTS, CONTINUED</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ind w:left="420" w:hanging="415"/>
        <w:spacing w:after="0"/>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 CONTINUED:</w:t>
      </w:r>
    </w:p>
    <w:p>
      <w:pPr>
        <w:spacing w:after="0" w:line="201" w:lineRule="exact"/>
        <w:rPr>
          <w:sz w:val="20"/>
          <w:szCs w:val="20"/>
          <w:color w:val="auto"/>
        </w:rPr>
      </w:pPr>
    </w:p>
    <w:p>
      <w:pPr>
        <w:ind w:right="2159" w:firstLine="306"/>
        <w:spacing w:after="0" w:line="244" w:lineRule="auto"/>
        <w:rPr>
          <w:sz w:val="20"/>
          <w:szCs w:val="20"/>
          <w:color w:val="auto"/>
        </w:rPr>
      </w:pPr>
      <w:r>
        <w:rPr>
          <w:rFonts w:ascii="Courier New" w:cs="Courier New" w:eastAsia="Courier New" w:hAnsi="Courier New"/>
          <w:sz w:val="17"/>
          <w:szCs w:val="17"/>
          <w:color w:val="auto"/>
        </w:rPr>
        <w:t>The Credit Facility contains financial covenants including minimum consolidated net worth, funded debt levels, capital expenditures, and interest and debt service coverage requirements. The Credit Facility also restricts the incurrence of additional indebtedness, liens, and the payment of dividends.</w:t>
      </w:r>
    </w:p>
    <w:p>
      <w:pPr>
        <w:spacing w:after="0" w:line="198" w:lineRule="exact"/>
        <w:rPr>
          <w:sz w:val="20"/>
          <w:szCs w:val="20"/>
          <w:color w:val="auto"/>
        </w:rPr>
      </w:pPr>
    </w:p>
    <w:p>
      <w:pPr>
        <w:ind w:right="2259" w:firstLine="306"/>
        <w:spacing w:after="0" w:line="244" w:lineRule="auto"/>
        <w:rPr>
          <w:sz w:val="20"/>
          <w:szCs w:val="20"/>
          <w:color w:val="auto"/>
        </w:rPr>
      </w:pPr>
      <w:r>
        <w:rPr>
          <w:rFonts w:ascii="Courier New" w:cs="Courier New" w:eastAsia="Courier New" w:hAnsi="Courier New"/>
          <w:sz w:val="17"/>
          <w:szCs w:val="17"/>
          <w:color w:val="auto"/>
        </w:rPr>
        <w:t>Upon refinancing of the 11.45% and 11.95% Senior Notes, the Company paid an early redemption premium of $9,400,000 to the note holders based on the difference between the interest rates on the Senior Notes and an adjusted rate for U.S. Treasury securities having similar maturity.</w:t>
      </w:r>
    </w:p>
    <w:p>
      <w:pPr>
        <w:spacing w:after="0" w:line="198" w:lineRule="exact"/>
        <w:rPr>
          <w:sz w:val="20"/>
          <w:szCs w:val="20"/>
          <w:color w:val="auto"/>
        </w:rPr>
      </w:pPr>
    </w:p>
    <w:p>
      <w:pPr>
        <w:ind w:right="2159" w:firstLine="306"/>
        <w:spacing w:after="0" w:line="244" w:lineRule="auto"/>
        <w:rPr>
          <w:sz w:val="20"/>
          <w:szCs w:val="20"/>
          <w:color w:val="auto"/>
        </w:rPr>
      </w:pPr>
      <w:r>
        <w:rPr>
          <w:rFonts w:ascii="Courier New" w:cs="Courier New" w:eastAsia="Courier New" w:hAnsi="Courier New"/>
          <w:sz w:val="17"/>
          <w:szCs w:val="17"/>
          <w:color w:val="auto"/>
        </w:rPr>
        <w:t>In September 1992, the Company issued $49,000,000 of 8 1/2% convertible debentures due October 15, 2002 in an underwritten public offering. Interest on the debentures is payable semi-annually. The debentures are convertible into the Company's common stock before maturity, unless previously redeemed, at $13.25 per share, subject to adjustment in certain events. The debentures are redeemable at the option of the Company, in whole or in part, at any time on or after October 15, 1995, at an original redemption price of 105.67% of the principal amount, declining to par over the term of the debentures. The debentures are subordinated to all existing and future indebtedness of the Company and do not restrict the incurrence of additional debt. Between October 1, 1995 and October 31, 1995, an additional $6,693,000 in principal amount of the 8 1/2% convertible debentures had been converted into common stock. On November 1, 1995, the Company called for the redemption of the convertible debentures to be made on December 11, 1995 (see Note 6 to Condensed Consolidated Financial Statements).</w:t>
      </w:r>
    </w:p>
    <w:p>
      <w:pPr>
        <w:spacing w:after="0" w:line="201" w:lineRule="exact"/>
        <w:rPr>
          <w:sz w:val="20"/>
          <w:szCs w:val="20"/>
          <w:color w:val="auto"/>
        </w:rPr>
      </w:pPr>
    </w:p>
    <w:p>
      <w:pPr>
        <w:ind w:left="420" w:hanging="415"/>
        <w:spacing w:after="0"/>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ACCOUNTING ESTIMATE:</w:t>
      </w:r>
    </w:p>
    <w:p>
      <w:pPr>
        <w:spacing w:after="0" w:line="201" w:lineRule="exact"/>
        <w:rPr>
          <w:sz w:val="20"/>
          <w:szCs w:val="20"/>
          <w:color w:val="auto"/>
        </w:rPr>
      </w:pPr>
    </w:p>
    <w:p>
      <w:pPr>
        <w:ind w:right="2159" w:firstLine="306"/>
        <w:spacing w:after="0" w:line="244" w:lineRule="auto"/>
        <w:rPr>
          <w:sz w:val="20"/>
          <w:szCs w:val="20"/>
          <w:color w:val="auto"/>
        </w:rPr>
      </w:pPr>
      <w:r>
        <w:rPr>
          <w:rFonts w:ascii="Courier New" w:cs="Courier New" w:eastAsia="Courier New" w:hAnsi="Courier New"/>
          <w:sz w:val="17"/>
          <w:szCs w:val="17"/>
          <w:color w:val="auto"/>
        </w:rPr>
        <w:t>As of January 1, 1995, the Company changed the estimated useful life of the excess of cost over net assets of acquired businesses from 25 years to 40 years to more appropriately reflect the estimated period during which the benefit of the assets will be realized. This change in accounting estimate had the effect of reducing amortization expense by approximately $391,000 and $1,111,000 for the three and nine months ended September 30, 1995, respectively.</w:t>
      </w:r>
    </w:p>
    <w:p>
      <w:pPr>
        <w:spacing w:after="0" w:line="198" w:lineRule="exact"/>
        <w:rPr>
          <w:sz w:val="20"/>
          <w:szCs w:val="20"/>
          <w:color w:val="auto"/>
        </w:rPr>
      </w:pPr>
    </w:p>
    <w:p>
      <w:pPr>
        <w:ind w:left="420" w:hanging="415"/>
        <w:spacing w:after="0"/>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SETTLEMENT OF SHAREHOLDER LITIGATION:</w:t>
      </w:r>
    </w:p>
    <w:p>
      <w:pPr>
        <w:spacing w:after="0" w:line="201" w:lineRule="exact"/>
        <w:rPr>
          <w:sz w:val="20"/>
          <w:szCs w:val="20"/>
          <w:color w:val="auto"/>
        </w:rPr>
      </w:pPr>
    </w:p>
    <w:p>
      <w:pPr>
        <w:ind w:right="2659" w:firstLine="306"/>
        <w:spacing w:after="0" w:line="244" w:lineRule="auto"/>
        <w:rPr>
          <w:sz w:val="20"/>
          <w:szCs w:val="20"/>
          <w:color w:val="auto"/>
        </w:rPr>
      </w:pPr>
      <w:r>
        <w:rPr>
          <w:rFonts w:ascii="Courier New" w:cs="Courier New" w:eastAsia="Courier New" w:hAnsi="Courier New"/>
          <w:sz w:val="17"/>
          <w:szCs w:val="17"/>
          <w:color w:val="auto"/>
        </w:rPr>
        <w:t>In connection with the settlement of certain Chambers' shareholder litigation, the defendants paid a total of approximately $97,000,000 on or before July 11, 1995. Of this amount, the sum of $10,000,000 was paid from funds received from Chambers' directors and officers liability insurance carrier and $75,900,000 was paid by the Company as of July 11, 1995.</w:t>
      </w:r>
    </w:p>
    <w:p>
      <w:pPr>
        <w:spacing w:after="0" w:line="19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In connection with the settlement of certain Chambers' shareholder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litigation, Chambers accrued $85,300,000 for the cost of the settlements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$4,100,000 for other litigation related costs in 1994. Of that 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$79,400,000 was recorded as a charge to unusual items as a component of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(expense) and $10,000,000 to be paid from the proceeds of Chambers'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and officers liability insurance policy was recorded as a current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 and is included in notes and other receivables at December 31, 1994.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1994, $75,300,000 of the amount accrued for settlement payments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 classified as a noncurrent liability based on the expectation that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would be funded by long-term financing in connection with the Merger</w:t>
      </w:r>
    </w:p>
    <w:p>
      <w:pPr>
        <w:spacing w:after="0" w:line="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(see Note 2).</w:t>
      </w:r>
      <w:r>
        <w:rPr>
          <w:sz w:val="20"/>
          <w:szCs w:val="20"/>
          <w:color w:val="auto"/>
        </w:rPr>
        <w:tab/>
      </w:r>
      <w:r>
        <w:rPr>
          <w:rFonts w:ascii="Courier New" w:cs="Courier New" w:eastAsia="Courier New" w:hAnsi="Courier New"/>
          <w:sz w:val="16"/>
          <w:szCs w:val="16"/>
          <w:color w:val="auto"/>
        </w:rPr>
        <w:t>The $10,000,000 of settlement payments funded by the proceeds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Chambers' directors and officers liability insurance policy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$4,100,000 of other litigation related costs are included in current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liabilities at December 31, 1994.</w:t>
      </w:r>
    </w:p>
    <w:p>
      <w:pPr>
        <w:spacing w:after="0" w:line="201" w:lineRule="exact"/>
        <w:rPr>
          <w:sz w:val="20"/>
          <w:szCs w:val="20"/>
          <w:color w:val="auto"/>
        </w:rPr>
      </w:pPr>
    </w:p>
    <w:p>
      <w:pPr>
        <w:ind w:right="2059" w:firstLine="306"/>
        <w:spacing w:after="0" w:line="260" w:lineRule="auto"/>
        <w:rPr>
          <w:sz w:val="20"/>
          <w:szCs w:val="20"/>
          <w:color w:val="auto"/>
        </w:rPr>
      </w:pPr>
      <w:r>
        <w:rPr>
          <w:rFonts w:ascii="Courier New" w:cs="Courier New" w:eastAsia="Courier New" w:hAnsi="Courier New"/>
          <w:sz w:val="16"/>
          <w:szCs w:val="16"/>
          <w:color w:val="auto"/>
        </w:rPr>
        <w:t>On or about August 8, 1995, Frederick A. Moran and certain related persons and entities filed a lawsuit against Chambers Development Company, Inc., certain former officers and directors of Chambers, and Grant Thornton, LLP, in the United States District Court for the Southern District of New York under the caption Moran et al. v. Chambers et al., Civil Action No. 95-6034. Plaintiffs, who claim to represent approximately 484,000 shares of Chambers stock, requested exclusion from the Class Action Settlement Agreement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Company has requested the Multidistrict Litigation Panel to transfer this case to the United States District Court for the Western District of Pennsylvania. The Company has filed its answer to the complaint and intends to vigorously defend against these claims. The case is currently in the early stages of discovery. Management of the Company believes the ultimate resolution of such complaint will not have a material adverse effect on the Company's financial position or results of operations.</w:t>
      </w:r>
    </w:p>
    <w:p>
      <w:pPr>
        <w:sectPr>
          <w:pgSz w:w="11900" w:h="16838" w:orient="portrait"/>
          <w:cols w:equalWidth="0" w:num="1">
            <w:col w:w="10219"/>
          </w:cols>
          <w:pgMar w:left="240" w:top="311" w:right="1440" w:bottom="67" w:gutter="0" w:footer="0" w:header="0"/>
        </w:sectPr>
      </w:pPr>
    </w:p>
    <w:bookmarkStart w:id="7" w:name="page8"/>
    <w:bookmarkEnd w:id="7"/>
    <w:p>
      <w:pPr>
        <w:ind w:left="2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38"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8</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NOTES TO CONDENSED CONSOLIDATED FINANCIAL STATEMENTS, CONTINUED</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(Unaudited)</w:t>
      </w:r>
    </w:p>
    <w:p>
      <w:pPr>
        <w:spacing w:after="0" w:line="396" w:lineRule="exact"/>
        <w:rPr>
          <w:sz w:val="20"/>
          <w:szCs w:val="20"/>
          <w:color w:val="auto"/>
        </w:rPr>
      </w:pPr>
    </w:p>
    <w:p>
      <w:pPr>
        <w:ind w:left="420" w:hanging="415"/>
        <w:spacing w:after="0"/>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20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Environmental Matters</w:t>
      </w:r>
    </w:p>
    <w:p>
      <w:pPr>
        <w:spacing w:after="0" w:line="201" w:lineRule="exact"/>
        <w:rPr>
          <w:sz w:val="20"/>
          <w:szCs w:val="20"/>
          <w:color w:val="auto"/>
        </w:rPr>
      </w:pPr>
    </w:p>
    <w:p>
      <w:pPr>
        <w:ind w:right="2159" w:firstLine="306"/>
        <w:spacing w:after="0" w:line="244" w:lineRule="auto"/>
        <w:rPr>
          <w:sz w:val="20"/>
          <w:szCs w:val="20"/>
          <w:color w:val="auto"/>
        </w:rPr>
      </w:pPr>
      <w:r>
        <w:rPr>
          <w:rFonts w:ascii="Courier New" w:cs="Courier New" w:eastAsia="Courier New" w:hAnsi="Courier New"/>
          <w:sz w:val="17"/>
          <w:szCs w:val="17"/>
          <w:color w:val="auto"/>
        </w:rPr>
        <w:t>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20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Litigation and Investigations</w:t>
      </w:r>
    </w:p>
    <w:p>
      <w:pPr>
        <w:spacing w:after="0" w:line="201" w:lineRule="exact"/>
        <w:rPr>
          <w:sz w:val="20"/>
          <w:szCs w:val="20"/>
          <w:color w:val="auto"/>
        </w:rPr>
      </w:pPr>
    </w:p>
    <w:p>
      <w:pPr>
        <w:ind w:right="2259" w:firstLine="306"/>
        <w:spacing w:after="0" w:line="244" w:lineRule="auto"/>
        <w:rPr>
          <w:sz w:val="20"/>
          <w:szCs w:val="20"/>
          <w:color w:val="auto"/>
        </w:rPr>
      </w:pPr>
      <w:r>
        <w:rPr>
          <w:rFonts w:ascii="Courier New" w:cs="Courier New" w:eastAsia="Courier New" w:hAnsi="Courier New"/>
          <w:sz w:val="17"/>
          <w:szCs w:val="17"/>
          <w:color w:val="auto"/>
        </w:rPr>
        <w:t>In 1992, the American Stock Exchange and the Chicago Board of Options Exchange also advised Chambers that they would conduct investigations into trading activity on their respective exchanges in Chambers' securities and in put options on Chambers' securities prior to the March 17, 1992 announcement. 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To the knowledge of the Company, the grand jury investigation is ongoing and it appears to be focusing on issues similar to those raised by the shareholder litigation commenced against Chambers in 1992 and 1993. The Company is cooperating with each of the investigations.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Insurance</w:t>
      </w:r>
    </w:p>
    <w:p>
      <w:pPr>
        <w:spacing w:after="0" w:line="201" w:lineRule="exact"/>
        <w:rPr>
          <w:sz w:val="20"/>
          <w:szCs w:val="20"/>
          <w:color w:val="auto"/>
        </w:rPr>
      </w:pPr>
    </w:p>
    <w:p>
      <w:pPr>
        <w:ind w:right="2259" w:firstLine="306"/>
        <w:spacing w:after="0" w:line="244" w:lineRule="auto"/>
        <w:rPr>
          <w:sz w:val="20"/>
          <w:szCs w:val="20"/>
          <w:color w:val="auto"/>
        </w:rPr>
      </w:pPr>
      <w:r>
        <w:rPr>
          <w:rFonts w:ascii="Courier New" w:cs="Courier New" w:eastAsia="Courier New" w:hAnsi="Courier New"/>
          <w:sz w:val="17"/>
          <w:szCs w:val="17"/>
          <w:color w:val="auto"/>
        </w:rPr>
        <w:t>The Company self-insures certain of its comprehensive general liability and workers' compensation risks, while maintaining third-party coverage to protect against catastrophic loss. The Company has not incurred significant fines, penalties, or liabilities for pollution or environmental liabilities at any of its facilities; however, the Company's operating results could be adversely affected in the future in the event of uninsured losses.</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1"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9</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NOTES TO CONDENSED CONSOLIDATED FINANCIAL STATEMENTS, CONTINUED</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(Unaudited)</w:t>
      </w:r>
    </w:p>
    <w:p>
      <w:pPr>
        <w:spacing w:after="0" w:line="201" w:lineRule="exact"/>
        <w:rPr>
          <w:sz w:val="20"/>
          <w:szCs w:val="20"/>
          <w:color w:val="auto"/>
        </w:rPr>
      </w:pPr>
    </w:p>
    <w:p>
      <w:pPr>
        <w:ind w:left="320" w:right="5619" w:hanging="315"/>
        <w:spacing w:after="0" w:line="487" w:lineRule="auto"/>
        <w:tabs>
          <w:tab w:leader="none" w:pos="42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 CONTINUED: Employment Agreements</w:t>
      </w:r>
    </w:p>
    <w:p>
      <w:pPr>
        <w:spacing w:after="0" w:line="3" w:lineRule="exact"/>
        <w:rPr>
          <w:sz w:val="20"/>
          <w:szCs w:val="20"/>
          <w:color w:val="auto"/>
        </w:rPr>
      </w:pPr>
    </w:p>
    <w:p>
      <w:pPr>
        <w:ind w:right="2159" w:firstLine="306"/>
        <w:spacing w:after="0" w:line="244" w:lineRule="auto"/>
        <w:rPr>
          <w:sz w:val="20"/>
          <w:szCs w:val="20"/>
          <w:color w:val="auto"/>
        </w:rPr>
      </w:pPr>
      <w:r>
        <w:rPr>
          <w:rFonts w:ascii="Courier New" w:cs="Courier New" w:eastAsia="Courier New" w:hAnsi="Courier New"/>
          <w:sz w:val="17"/>
          <w:szCs w:val="17"/>
          <w:color w:val="auto"/>
        </w:rPr>
        <w:t>The Company has entered into employment agreements with certain of its executives and officers. These employment agreements include provisions governing compensation and benefits to be paid upon termination of employment with the Company or certain changes in control of the Company. Under certain conditions, the agreements can be terminated by the Company or the employee. Upon termination of an agreement, the employee's compensation would continue at approximately 75% of the employee's prior compensation for periods ranging from three to five years. During the three to five year period, the employee would be available to the Company on a part-time basis for consulting and also would not be permitted to engage in any activities in direct competition with the Company. If these executives were to be terminated without cause during 1995 or if certain executives elected to terminate their agreements, the aggregate annual compensation on a part-time basis would be approximately $1,300,000. If a change in control were to occur in 1995 and the executives were to elect to take the change in control payments, they would receive approximately $4,300,000. As of September 30, 1995, the Company has not recorded any accruals in the financial statements related to these employment agreements.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Other Commitments and Litigation</w:t>
      </w:r>
    </w:p>
    <w:p>
      <w:pPr>
        <w:spacing w:after="0" w:line="201" w:lineRule="exact"/>
        <w:rPr>
          <w:sz w:val="20"/>
          <w:szCs w:val="20"/>
          <w:color w:val="auto"/>
        </w:rPr>
      </w:pPr>
    </w:p>
    <w:p>
      <w:pPr>
        <w:ind w:right="2159" w:firstLine="306"/>
        <w:spacing w:after="0" w:line="244" w:lineRule="auto"/>
        <w:rPr>
          <w:sz w:val="20"/>
          <w:szCs w:val="20"/>
          <w:color w:val="auto"/>
        </w:rPr>
      </w:pPr>
      <w:r>
        <w:rPr>
          <w:rFonts w:ascii="Courier New" w:cs="Courier New" w:eastAsia="Courier New" w:hAnsi="Courier New"/>
          <w:sz w:val="17"/>
          <w:szCs w:val="17"/>
          <w:color w:val="auto"/>
        </w:rPr>
        <w:t>The Company has entered into certain agreements in which the Company has committed to advance or invest up to approximately $20,000,000 for purchase commitments, investment obligations, and loans. Certain of these commitments are dependent upon the fulfillment of certain conditions by the other party prior to the Company's outlay of funds. These commitments, if ultimately fulfilled, are expected to occur over a period of one to five years. The total amount invested and advanced under these agreements amounted to $ 8,700,000 as of September 30, 1995.</w:t>
      </w:r>
    </w:p>
    <w:p>
      <w:pPr>
        <w:spacing w:after="0" w:line="199" w:lineRule="exact"/>
        <w:rPr>
          <w:sz w:val="20"/>
          <w:szCs w:val="20"/>
          <w:color w:val="auto"/>
        </w:rPr>
      </w:pPr>
    </w:p>
    <w:p>
      <w:pPr>
        <w:ind w:right="2259" w:firstLine="306"/>
        <w:spacing w:after="0" w:line="244" w:lineRule="auto"/>
        <w:rPr>
          <w:sz w:val="20"/>
          <w:szCs w:val="20"/>
          <w:color w:val="auto"/>
        </w:rPr>
      </w:pPr>
      <w:r>
        <w:rPr>
          <w:rFonts w:ascii="Courier New" w:cs="Courier New" w:eastAsia="Courier New" w:hAnsi="Courier New"/>
          <w:sz w:val="17"/>
          <w:szCs w:val="17"/>
          <w:color w:val="auto"/>
        </w:rPr>
        <w:t>The Company is a party to other litigation arising in the normal course of business. In addition, contingencies of an environmental nature currently exist at certain of its disposal sites. Management believes that the ultimate outcome of these matters will not have a material adverse effect on the Company's financial position and results of operations.</w:t>
      </w:r>
    </w:p>
    <w:p>
      <w:pPr>
        <w:spacing w:after="0" w:line="197" w:lineRule="exact"/>
        <w:rPr>
          <w:sz w:val="20"/>
          <w:szCs w:val="20"/>
          <w:color w:val="auto"/>
        </w:rPr>
      </w:pPr>
    </w:p>
    <w:p>
      <w:pPr>
        <w:ind w:left="420" w:hanging="415"/>
        <w:spacing w:after="0"/>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EVENTS:</w:t>
      </w:r>
    </w:p>
    <w:p>
      <w:pPr>
        <w:spacing w:after="0" w:line="201" w:lineRule="exact"/>
        <w:rPr>
          <w:sz w:val="20"/>
          <w:szCs w:val="20"/>
          <w:color w:val="auto"/>
        </w:rPr>
      </w:pPr>
    </w:p>
    <w:p>
      <w:pPr>
        <w:ind w:right="2159" w:firstLine="306"/>
        <w:spacing w:after="0" w:line="244" w:lineRule="auto"/>
        <w:rPr>
          <w:sz w:val="20"/>
          <w:szCs w:val="20"/>
          <w:color w:val="auto"/>
        </w:rPr>
      </w:pPr>
      <w:r>
        <w:rPr>
          <w:rFonts w:ascii="Courier New" w:cs="Courier New" w:eastAsia="Courier New" w:hAnsi="Courier New"/>
          <w:sz w:val="17"/>
          <w:szCs w:val="17"/>
          <w:color w:val="auto"/>
        </w:rPr>
        <w:t>On October 6, 1995, the Company completed a public offering of 6,345,625 shares of its common stock, priced at $19.625 per share. The net proceeds of approximately $118,000,000 were primarily used for the repayment of debt. Approximately 75% of the proceeds were applied to the revolving credit facility and can be redrawn as the Company's needs dictate for use in the expansion of its business, including acquisitions.</w:t>
      </w:r>
    </w:p>
    <w:p>
      <w:pPr>
        <w:spacing w:after="0" w:line="199" w:lineRule="exact"/>
        <w:rPr>
          <w:sz w:val="20"/>
          <w:szCs w:val="20"/>
          <w:color w:val="auto"/>
        </w:rPr>
      </w:pPr>
    </w:p>
    <w:p>
      <w:pPr>
        <w:ind w:right="2159" w:firstLine="306"/>
        <w:spacing w:after="0" w:line="244" w:lineRule="auto"/>
        <w:rPr>
          <w:sz w:val="20"/>
          <w:szCs w:val="20"/>
          <w:color w:val="auto"/>
        </w:rPr>
      </w:pPr>
      <w:r>
        <w:rPr>
          <w:rFonts w:ascii="Courier New" w:cs="Courier New" w:eastAsia="Courier New" w:hAnsi="Courier New"/>
          <w:sz w:val="17"/>
          <w:szCs w:val="17"/>
          <w:color w:val="auto"/>
        </w:rPr>
        <w:t>On November 1, 1995, the Company called for the redemption of the 8 1/2 % Convertible Subordinated Debentures to be made on December 11, 1995. The Company has received a commitment from an investment banking firm to purchase an amount of shares from the Company equivalent to the underlying shares of any convertible debentures that are redeemed for cash.</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1"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10</w:t>
      </w:r>
    </w:p>
    <w:p>
      <w:pPr>
        <w:spacing w:after="0" w:line="4" w:lineRule="exact"/>
        <w:rPr>
          <w:sz w:val="20"/>
          <w:szCs w:val="20"/>
          <w:color w:val="auto"/>
        </w:rPr>
      </w:pPr>
    </w:p>
    <w:p>
      <w:pPr>
        <w:jc w:val="center"/>
        <w:ind w:right="234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jc w:val="center"/>
        <w:ind w:right="2460"/>
        <w:spacing w:after="0"/>
        <w:rPr>
          <w:sz w:val="20"/>
          <w:szCs w:val="20"/>
          <w:color w:val="auto"/>
        </w:rPr>
      </w:pPr>
      <w:r>
        <w:rPr>
          <w:rFonts w:ascii="Courier New" w:cs="Courier New" w:eastAsia="Courier New" w:hAnsi="Courier New"/>
          <w:sz w:val="17"/>
          <w:szCs w:val="17"/>
          <w:color w:val="auto"/>
        </w:rPr>
        <w:t>NOTES TO CONDENSED CONSOLIDATED FINANCIAL STATEMENTS, CONTINUED</w:t>
      </w:r>
    </w:p>
    <w:p>
      <w:pPr>
        <w:spacing w:after="0" w:line="4" w:lineRule="exact"/>
        <w:rPr>
          <w:sz w:val="20"/>
          <w:szCs w:val="20"/>
          <w:color w:val="auto"/>
        </w:rPr>
      </w:pPr>
    </w:p>
    <w:p>
      <w:pPr>
        <w:jc w:val="center"/>
        <w:ind w:right="2460"/>
        <w:spacing w:after="0"/>
        <w:rPr>
          <w:sz w:val="20"/>
          <w:szCs w:val="20"/>
          <w:color w:val="auto"/>
        </w:rPr>
      </w:pPr>
      <w:r>
        <w:rPr>
          <w:rFonts w:ascii="Courier New" w:cs="Courier New" w:eastAsia="Courier New" w:hAnsi="Courier New"/>
          <w:sz w:val="17"/>
          <w:szCs w:val="17"/>
          <w:color w:val="auto"/>
        </w:rPr>
        <w:t>(Unaudited)</w:t>
      </w:r>
    </w:p>
    <w:p>
      <w:pPr>
        <w:spacing w:after="0" w:line="201" w:lineRule="exact"/>
        <w:rPr>
          <w:sz w:val="20"/>
          <w:szCs w:val="20"/>
          <w:color w:val="auto"/>
        </w:rPr>
      </w:pPr>
    </w:p>
    <w:p>
      <w:pPr>
        <w:ind w:right="2760" w:firstLine="408"/>
        <w:spacing w:after="0" w:line="244" w:lineRule="auto"/>
        <w:rPr>
          <w:sz w:val="20"/>
          <w:szCs w:val="20"/>
          <w:color w:val="auto"/>
        </w:rPr>
      </w:pPr>
      <w:r>
        <w:rPr>
          <w:rFonts w:ascii="Courier New" w:cs="Courier New" w:eastAsia="Courier New" w:hAnsi="Courier New"/>
          <w:sz w:val="17"/>
          <w:szCs w:val="17"/>
          <w:color w:val="auto"/>
        </w:rPr>
        <w:t>The following summarized balance sheet as of September 30, 1995 has been adjusted to reflect the sale of approximately 6.3 million shares of the Company's common stock, the net proceeds of which were approximately $118 million, and the effect of the retirement of the debentures, assuming all debentures are converted into shares of common stock.</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40" w:type="dxa"/>
            <w:vAlign w:val="bottom"/>
          </w:tcPr>
          <w:p>
            <w:pPr>
              <w:spacing w:after="0"/>
              <w:rPr>
                <w:sz w:val="16"/>
                <w:szCs w:val="16"/>
                <w:color w:val="auto"/>
              </w:rPr>
            </w:pPr>
          </w:p>
        </w:tc>
        <w:tc>
          <w:tcPr>
            <w:tcW w:w="37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As of September 30, 1995</w:t>
            </w:r>
          </w:p>
        </w:tc>
      </w:tr>
      <w:tr>
        <w:trPr>
          <w:trHeight w:val="196"/>
        </w:trPr>
        <w:tc>
          <w:tcPr>
            <w:tcW w:w="6740" w:type="dxa"/>
            <w:vAlign w:val="bottom"/>
          </w:tcPr>
          <w:p>
            <w:pPr>
              <w:spacing w:after="0"/>
              <w:rPr>
                <w:sz w:val="17"/>
                <w:szCs w:val="17"/>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740" w:type="dxa"/>
            <w:vAlign w:val="bottom"/>
          </w:tcPr>
          <w:p>
            <w:pPr>
              <w:spacing w:after="0"/>
              <w:rPr>
                <w:sz w:val="17"/>
                <w:szCs w:val="17"/>
                <w:color w:val="auto"/>
              </w:rPr>
            </w:pPr>
          </w:p>
        </w:tc>
        <w:tc>
          <w:tcPr>
            <w:tcW w:w="20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Actual</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As Adjusted</w:t>
            </w:r>
          </w:p>
        </w:tc>
      </w:tr>
      <w:tr>
        <w:trPr>
          <w:trHeight w:val="196"/>
        </w:trPr>
        <w:tc>
          <w:tcPr>
            <w:tcW w:w="6740" w:type="dxa"/>
            <w:vAlign w:val="bottom"/>
          </w:tcPr>
          <w:p>
            <w:pPr>
              <w:spacing w:after="0"/>
              <w:rPr>
                <w:sz w:val="17"/>
                <w:szCs w:val="17"/>
                <w:color w:val="auto"/>
              </w:rPr>
            </w:pPr>
          </w:p>
        </w:tc>
        <w:tc>
          <w:tcPr>
            <w:tcW w:w="20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740" w:type="dxa"/>
            <w:vAlign w:val="bottom"/>
          </w:tcPr>
          <w:p>
            <w:pPr>
              <w:spacing w:after="0"/>
              <w:rPr>
                <w:sz w:val="17"/>
                <w:szCs w:val="17"/>
                <w:color w:val="auto"/>
              </w:rPr>
            </w:pPr>
          </w:p>
        </w:tc>
        <w:tc>
          <w:tcPr>
            <w:tcW w:w="3780" w:type="dxa"/>
            <w:vAlign w:val="bottom"/>
            <w:gridSpan w:val="2"/>
          </w:tcPr>
          <w:p>
            <w:pPr>
              <w:jc w:val="right"/>
              <w:ind w:right="835"/>
              <w:spacing w:after="0"/>
              <w:rPr>
                <w:sz w:val="20"/>
                <w:szCs w:val="20"/>
                <w:color w:val="auto"/>
              </w:rPr>
            </w:pPr>
            <w:r>
              <w:rPr>
                <w:rFonts w:ascii="Courier New" w:cs="Courier New" w:eastAsia="Courier New" w:hAnsi="Courier New"/>
                <w:sz w:val="17"/>
                <w:szCs w:val="17"/>
                <w:color w:val="auto"/>
              </w:rPr>
              <w:t>(In thousands)</w:t>
            </w:r>
          </w:p>
        </w:tc>
      </w:tr>
      <w:tr>
        <w:trPr>
          <w:trHeight w:val="392"/>
        </w:trPr>
        <w:tc>
          <w:tcPr>
            <w:tcW w:w="67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6740" w:type="dxa"/>
            <w:vAlign w:val="bottom"/>
          </w:tcPr>
          <w:p>
            <w:pPr>
              <w:ind w:left="200"/>
              <w:spacing w:after="0"/>
              <w:rPr>
                <w:sz w:val="20"/>
                <w:szCs w:val="20"/>
                <w:color w:val="auto"/>
              </w:rPr>
            </w:pPr>
            <w:r>
              <w:rPr>
                <w:rFonts w:ascii="Courier New" w:cs="Courier New" w:eastAsia="Courier New" w:hAnsi="Courier New"/>
                <w:sz w:val="17"/>
                <w:szCs w:val="17"/>
                <w:color w:val="auto"/>
              </w:rPr>
              <w:t>Current assets</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$ 104,236</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$ 104,236</w:t>
            </w:r>
          </w:p>
        </w:tc>
      </w:tr>
      <w:tr>
        <w:trPr>
          <w:trHeight w:val="196"/>
        </w:trPr>
        <w:tc>
          <w:tcPr>
            <w:tcW w:w="6740" w:type="dxa"/>
            <w:vAlign w:val="bottom"/>
          </w:tcPr>
          <w:p>
            <w:pPr>
              <w:ind w:left="200"/>
              <w:spacing w:after="0"/>
              <w:rPr>
                <w:sz w:val="20"/>
                <w:szCs w:val="20"/>
                <w:color w:val="auto"/>
              </w:rPr>
            </w:pPr>
            <w:r>
              <w:rPr>
                <w:rFonts w:ascii="Courier New" w:cs="Courier New" w:eastAsia="Courier New" w:hAnsi="Courier New"/>
                <w:sz w:val="17"/>
                <w:szCs w:val="17"/>
                <w:color w:val="auto"/>
              </w:rPr>
              <w:t>Property and equipment, net</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564,335</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564,335</w:t>
            </w:r>
          </w:p>
        </w:tc>
      </w:tr>
      <w:tr>
        <w:trPr>
          <w:trHeight w:val="196"/>
        </w:trPr>
        <w:tc>
          <w:tcPr>
            <w:tcW w:w="6740" w:type="dxa"/>
            <w:vAlign w:val="bottom"/>
          </w:tcPr>
          <w:p>
            <w:pPr>
              <w:ind w:left="200"/>
              <w:spacing w:after="0"/>
              <w:rPr>
                <w:sz w:val="20"/>
                <w:szCs w:val="20"/>
                <w:color w:val="auto"/>
              </w:rPr>
            </w:pPr>
            <w:r>
              <w:rPr>
                <w:rFonts w:ascii="Courier New" w:cs="Courier New" w:eastAsia="Courier New" w:hAnsi="Courier New"/>
                <w:sz w:val="17"/>
                <w:szCs w:val="17"/>
                <w:color w:val="auto"/>
              </w:rPr>
              <w:t>Excess of cost over net assets of acquired businesses, net</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92,010</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92,010</w:t>
            </w:r>
          </w:p>
        </w:tc>
      </w:tr>
      <w:tr>
        <w:trPr>
          <w:trHeight w:val="196"/>
        </w:trPr>
        <w:tc>
          <w:tcPr>
            <w:tcW w:w="6740" w:type="dxa"/>
            <w:vAlign w:val="bottom"/>
          </w:tcPr>
          <w:p>
            <w:pPr>
              <w:ind w:left="200"/>
              <w:spacing w:after="0"/>
              <w:rPr>
                <w:sz w:val="20"/>
                <w:szCs w:val="20"/>
                <w:color w:val="auto"/>
              </w:rPr>
            </w:pPr>
            <w:r>
              <w:rPr>
                <w:rFonts w:ascii="Courier New" w:cs="Courier New" w:eastAsia="Courier New" w:hAnsi="Courier New"/>
                <w:sz w:val="17"/>
                <w:szCs w:val="17"/>
                <w:color w:val="auto"/>
              </w:rPr>
              <w:t>Other assets</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76,300</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74,269</w:t>
            </w:r>
          </w:p>
        </w:tc>
      </w:tr>
      <w:tr>
        <w:trPr>
          <w:trHeight w:val="196"/>
        </w:trPr>
        <w:tc>
          <w:tcPr>
            <w:tcW w:w="6740" w:type="dxa"/>
            <w:vAlign w:val="bottom"/>
          </w:tcPr>
          <w:p>
            <w:pPr>
              <w:spacing w:after="0"/>
              <w:rPr>
                <w:sz w:val="17"/>
                <w:szCs w:val="17"/>
                <w:color w:val="auto"/>
              </w:rPr>
            </w:pP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740" w:type="dxa"/>
            <w:vAlign w:val="bottom"/>
          </w:tcPr>
          <w:p>
            <w:pPr>
              <w:ind w:left="520"/>
              <w:spacing w:after="0"/>
              <w:rPr>
                <w:sz w:val="20"/>
                <w:szCs w:val="20"/>
                <w:color w:val="auto"/>
              </w:rPr>
            </w:pPr>
            <w:r>
              <w:rPr>
                <w:rFonts w:ascii="Courier New" w:cs="Courier New" w:eastAsia="Courier New" w:hAnsi="Courier New"/>
                <w:sz w:val="17"/>
                <w:szCs w:val="17"/>
                <w:color w:val="auto"/>
              </w:rPr>
              <w:t>Total assets</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$ 836,881</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$ 834,850</w:t>
            </w:r>
          </w:p>
        </w:tc>
      </w:tr>
      <w:tr>
        <w:trPr>
          <w:trHeight w:val="196"/>
        </w:trPr>
        <w:tc>
          <w:tcPr>
            <w:tcW w:w="6740" w:type="dxa"/>
            <w:vAlign w:val="bottom"/>
          </w:tcPr>
          <w:p>
            <w:pPr>
              <w:spacing w:after="0"/>
              <w:rPr>
                <w:sz w:val="17"/>
                <w:szCs w:val="17"/>
                <w:color w:val="auto"/>
              </w:rPr>
            </w:pP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7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6740" w:type="dxa"/>
            <w:vAlign w:val="bottom"/>
          </w:tcPr>
          <w:p>
            <w:pPr>
              <w:ind w:left="200"/>
              <w:spacing w:after="0"/>
              <w:rPr>
                <w:sz w:val="20"/>
                <w:szCs w:val="20"/>
                <w:color w:val="auto"/>
              </w:rPr>
            </w:pPr>
            <w:r>
              <w:rPr>
                <w:rFonts w:ascii="Courier New" w:cs="Courier New" w:eastAsia="Courier New" w:hAnsi="Courier New"/>
                <w:sz w:val="17"/>
                <w:szCs w:val="17"/>
                <w:color w:val="auto"/>
              </w:rPr>
              <w:t>Current liabilities:</w:t>
            </w:r>
          </w:p>
        </w:tc>
        <w:tc>
          <w:tcPr>
            <w:tcW w:w="2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Current maturities of long-term debt</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  36,744</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34,661</w:t>
            </w:r>
          </w:p>
        </w:tc>
      </w:tr>
      <w:tr>
        <w:trPr>
          <w:trHeight w:val="196"/>
        </w:trPr>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Other</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60,791</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60,791</w:t>
            </w:r>
          </w:p>
        </w:tc>
      </w:tr>
      <w:tr>
        <w:trPr>
          <w:trHeight w:val="196"/>
        </w:trPr>
        <w:tc>
          <w:tcPr>
            <w:tcW w:w="6740" w:type="dxa"/>
            <w:vAlign w:val="bottom"/>
          </w:tcPr>
          <w:p>
            <w:pPr>
              <w:spacing w:after="0"/>
              <w:rPr>
                <w:sz w:val="17"/>
                <w:szCs w:val="17"/>
                <w:color w:val="auto"/>
              </w:rPr>
            </w:pP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740" w:type="dxa"/>
            <w:vAlign w:val="bottom"/>
          </w:tcPr>
          <w:p>
            <w:pPr>
              <w:ind w:left="520"/>
              <w:spacing w:after="0"/>
              <w:rPr>
                <w:sz w:val="20"/>
                <w:szCs w:val="20"/>
                <w:color w:val="auto"/>
              </w:rPr>
            </w:pPr>
            <w:r>
              <w:rPr>
                <w:rFonts w:ascii="Courier New" w:cs="Courier New" w:eastAsia="Courier New" w:hAnsi="Courier New"/>
                <w:sz w:val="17"/>
                <w:szCs w:val="17"/>
                <w:color w:val="auto"/>
              </w:rPr>
              <w:t>Total current liabilities</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97,535</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95,452</w:t>
            </w:r>
          </w:p>
        </w:tc>
      </w:tr>
      <w:tr>
        <w:trPr>
          <w:trHeight w:val="196"/>
        </w:trPr>
        <w:tc>
          <w:tcPr>
            <w:tcW w:w="6740" w:type="dxa"/>
            <w:vAlign w:val="bottom"/>
          </w:tcPr>
          <w:p>
            <w:pPr>
              <w:ind w:left="200"/>
              <w:spacing w:after="0"/>
              <w:rPr>
                <w:sz w:val="20"/>
                <w:szCs w:val="20"/>
                <w:color w:val="auto"/>
              </w:rPr>
            </w:pPr>
            <w:r>
              <w:rPr>
                <w:rFonts w:ascii="Courier New" w:cs="Courier New" w:eastAsia="Courier New" w:hAnsi="Courier New"/>
                <w:sz w:val="17"/>
                <w:szCs w:val="17"/>
                <w:color w:val="auto"/>
              </w:rPr>
              <w:t>Long-term debt</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488,665</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324,827</w:t>
            </w:r>
          </w:p>
        </w:tc>
      </w:tr>
      <w:tr>
        <w:trPr>
          <w:trHeight w:val="196"/>
        </w:trPr>
        <w:tc>
          <w:tcPr>
            <w:tcW w:w="6740" w:type="dxa"/>
            <w:vAlign w:val="bottom"/>
          </w:tcPr>
          <w:p>
            <w:pPr>
              <w:ind w:left="200"/>
              <w:spacing w:after="0"/>
              <w:rPr>
                <w:sz w:val="20"/>
                <w:szCs w:val="20"/>
                <w:color w:val="auto"/>
              </w:rPr>
            </w:pPr>
            <w:r>
              <w:rPr>
                <w:rFonts w:ascii="Courier New" w:cs="Courier New" w:eastAsia="Courier New" w:hAnsi="Courier New"/>
                <w:sz w:val="17"/>
                <w:szCs w:val="17"/>
                <w:color w:val="auto"/>
              </w:rPr>
              <w:t>Other liabilities</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59,529</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59,529</w:t>
            </w:r>
          </w:p>
        </w:tc>
      </w:tr>
      <w:tr>
        <w:trPr>
          <w:trHeight w:val="196"/>
        </w:trPr>
        <w:tc>
          <w:tcPr>
            <w:tcW w:w="6740" w:type="dxa"/>
            <w:vAlign w:val="bottom"/>
          </w:tcPr>
          <w:p>
            <w:pPr>
              <w:spacing w:after="0"/>
              <w:rPr>
                <w:sz w:val="17"/>
                <w:szCs w:val="17"/>
                <w:color w:val="auto"/>
              </w:rPr>
            </w:pP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740" w:type="dxa"/>
            <w:vAlign w:val="bottom"/>
          </w:tcPr>
          <w:p>
            <w:pPr>
              <w:ind w:left="520"/>
              <w:spacing w:after="0"/>
              <w:rPr>
                <w:sz w:val="20"/>
                <w:szCs w:val="20"/>
                <w:color w:val="auto"/>
              </w:rPr>
            </w:pPr>
            <w:r>
              <w:rPr>
                <w:rFonts w:ascii="Courier New" w:cs="Courier New" w:eastAsia="Courier New" w:hAnsi="Courier New"/>
                <w:sz w:val="17"/>
                <w:szCs w:val="17"/>
                <w:color w:val="auto"/>
              </w:rPr>
              <w:t>Total liabilities</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645,729</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479,808</w:t>
            </w:r>
          </w:p>
        </w:tc>
      </w:tr>
      <w:tr>
        <w:trPr>
          <w:trHeight w:val="196"/>
        </w:trPr>
        <w:tc>
          <w:tcPr>
            <w:tcW w:w="6740" w:type="dxa"/>
            <w:vAlign w:val="bottom"/>
          </w:tcPr>
          <w:p>
            <w:pPr>
              <w:ind w:left="200"/>
              <w:spacing w:after="0"/>
              <w:rPr>
                <w:sz w:val="20"/>
                <w:szCs w:val="20"/>
                <w:color w:val="auto"/>
              </w:rPr>
            </w:pPr>
            <w:r>
              <w:rPr>
                <w:rFonts w:ascii="Courier New" w:cs="Courier New" w:eastAsia="Courier New" w:hAnsi="Courier New"/>
                <w:sz w:val="17"/>
                <w:szCs w:val="17"/>
                <w:color w:val="auto"/>
              </w:rPr>
              <w:t>Stockholders' equity</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191,152</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355,042</w:t>
            </w:r>
          </w:p>
        </w:tc>
      </w:tr>
      <w:tr>
        <w:trPr>
          <w:trHeight w:val="196"/>
        </w:trPr>
        <w:tc>
          <w:tcPr>
            <w:tcW w:w="6740" w:type="dxa"/>
            <w:vAlign w:val="bottom"/>
          </w:tcPr>
          <w:p>
            <w:pPr>
              <w:spacing w:after="0"/>
              <w:rPr>
                <w:sz w:val="17"/>
                <w:szCs w:val="17"/>
                <w:color w:val="auto"/>
              </w:rPr>
            </w:pP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740" w:type="dxa"/>
            <w:vAlign w:val="bottom"/>
          </w:tcPr>
          <w:p>
            <w:pPr>
              <w:ind w:left="52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$ 836,881</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$ 834,850</w:t>
            </w:r>
          </w:p>
        </w:tc>
      </w:tr>
      <w:tr>
        <w:trPr>
          <w:trHeight w:val="196"/>
        </w:trPr>
        <w:tc>
          <w:tcPr>
            <w:tcW w:w="6740" w:type="dxa"/>
            <w:vAlign w:val="bottom"/>
          </w:tcPr>
          <w:p>
            <w:pPr>
              <w:spacing w:after="0"/>
              <w:rPr>
                <w:sz w:val="17"/>
                <w:szCs w:val="17"/>
                <w:color w:val="auto"/>
              </w:rPr>
            </w:pPr>
          </w:p>
        </w:tc>
        <w:tc>
          <w:tcPr>
            <w:tcW w:w="20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785"/>
        </w:trPr>
        <w:tc>
          <w:tcPr>
            <w:tcW w:w="6740" w:type="dxa"/>
            <w:vAlign w:val="bottom"/>
          </w:tcPr>
          <w:p>
            <w:pPr>
              <w:ind w:left="3980"/>
              <w:spacing w:after="0"/>
              <w:rPr>
                <w:sz w:val="20"/>
                <w:szCs w:val="20"/>
                <w:color w:val="auto"/>
              </w:rPr>
            </w:pPr>
            <w:r>
              <w:rPr>
                <w:rFonts w:ascii="Courier New" w:cs="Courier New" w:eastAsia="Courier New" w:hAnsi="Courier New"/>
                <w:sz w:val="17"/>
                <w:szCs w:val="17"/>
                <w:color w:val="auto"/>
              </w:rPr>
              <w:t>10</w:t>
            </w: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520"/>
          </w:cols>
          <w:pgMar w:left="240" w:top="311" w:right="1139"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11</w:t>
      </w:r>
    </w:p>
    <w:p>
      <w:pPr>
        <w:spacing w:after="0" w:line="5" w:lineRule="exact"/>
        <w:rPr>
          <w:sz w:val="20"/>
          <w:szCs w:val="20"/>
          <w:color w:val="auto"/>
        </w:rPr>
      </w:pPr>
    </w:p>
    <w:p>
      <w:pPr>
        <w:ind w:right="2859"/>
        <w:spacing w:after="0" w:line="243"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395" w:lineRule="exact"/>
        <w:rPr>
          <w:sz w:val="20"/>
          <w:szCs w:val="20"/>
          <w:color w:val="auto"/>
        </w:rPr>
      </w:pPr>
    </w:p>
    <w:p>
      <w:pPr>
        <w:ind w:right="2059" w:firstLine="204"/>
        <w:spacing w:after="0" w:line="244" w:lineRule="auto"/>
        <w:rPr>
          <w:sz w:val="20"/>
          <w:szCs w:val="20"/>
          <w:color w:val="auto"/>
        </w:rPr>
      </w:pPr>
      <w:r>
        <w:rPr>
          <w:rFonts w:ascii="Courier New" w:cs="Courier New" w:eastAsia="Courier New" w:hAnsi="Courier New"/>
          <w:sz w:val="17"/>
          <w:szCs w:val="17"/>
          <w:color w:val="auto"/>
        </w:rPr>
        <w:t>The following discussion reviews the Company's operations for the three and nine months ended September 30, 1995 and 1994, and should be read in conjunction with the Company's condensed consolidated financial statements and related notes thereto included elsewhere herein, as well as the Company's consolidated financial statements and related notes thereto included in the Company's Annual Report on Form 10-K for the year ended December 31, 1994, the Company's Joint Proxy Statement and Prospectus dated May 19, 1995, included in the Company's Registration Statement on Form S-4 filed in connection with the acquisition of Chambers, and the supplemental consolidated financial statements included in the Company's Form 8-K dated June 30, 1995, filed in connection with the acquisition of Chambers. As discussed below, the Company has restated its previously issued financial statements to reflect the acquisition of Chambers, consummated June 30, 1995, and accounted for under the pooling of interests method of accounting.</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INTRODUCTION</w:t>
      </w:r>
    </w:p>
    <w:p>
      <w:pPr>
        <w:spacing w:after="0" w:line="201" w:lineRule="exact"/>
        <w:rPr>
          <w:sz w:val="20"/>
          <w:szCs w:val="20"/>
          <w:color w:val="auto"/>
        </w:rPr>
      </w:pPr>
    </w:p>
    <w:p>
      <w:pPr>
        <w:ind w:right="2159" w:firstLine="408"/>
        <w:spacing w:after="0" w:line="244" w:lineRule="auto"/>
        <w:rPr>
          <w:sz w:val="20"/>
          <w:szCs w:val="20"/>
          <w:color w:val="auto"/>
        </w:rPr>
      </w:pPr>
      <w:r>
        <w:rPr>
          <w:rFonts w:ascii="Courier New" w:cs="Courier New" w:eastAsia="Courier New" w:hAnsi="Courier New"/>
          <w:sz w:val="17"/>
          <w:szCs w:val="17"/>
          <w:color w:val="auto"/>
        </w:rPr>
        <w:t>The Company provides non-hazardous solid waste management services, consisting of collection, transfer, disposal, soil remediation, and recycling services in 21 states. Since August 1990, the Company has experienced significant growth principally through the acquisition and integration of solid waste businesses and is now the fourth largest non-hazardous solid waste company in North America. The company owns or operates 31 landfills (29 of which are currently operating), 22 transfer stations, and 44 collection companies serving more than 450,000 customers.</w:t>
      </w:r>
    </w:p>
    <w:p>
      <w:pPr>
        <w:spacing w:after="0" w:line="199" w:lineRule="exact"/>
        <w:rPr>
          <w:sz w:val="20"/>
          <w:szCs w:val="20"/>
          <w:color w:val="auto"/>
        </w:rPr>
      </w:pPr>
    </w:p>
    <w:p>
      <w:pPr>
        <w:ind w:right="2159" w:firstLine="408"/>
        <w:spacing w:after="0" w:line="244" w:lineRule="auto"/>
        <w:rPr>
          <w:sz w:val="20"/>
          <w:szCs w:val="20"/>
          <w:color w:val="auto"/>
        </w:rPr>
      </w:pPr>
      <w:r>
        <w:rPr>
          <w:rFonts w:ascii="Courier New" w:cs="Courier New" w:eastAsia="Courier New" w:hAnsi="Courier New"/>
          <w:sz w:val="17"/>
          <w:szCs w:val="17"/>
          <w:color w:val="auto"/>
        </w:rPr>
        <w:t>The Company's revenues consist primarily of fees charged for its collection and disposal services. Revenues for collection services include fees from residential, commercial, industrial, and municipal collection customers. A portion of these fees are billed in advance; a liability for future service is recorded upon receipt of payment and revenues are recognized as services are actually provided. Fees for residential services are normally based on the type and frequency of service. Fees for commercial and industrial services are normally based on the type and frequency of service and the volume of solid waste collected.</w:t>
      </w:r>
    </w:p>
    <w:p>
      <w:pPr>
        <w:spacing w:after="0" w:line="200" w:lineRule="exact"/>
        <w:rPr>
          <w:sz w:val="20"/>
          <w:szCs w:val="20"/>
          <w:color w:val="auto"/>
        </w:rPr>
      </w:pPr>
    </w:p>
    <w:p>
      <w:pPr>
        <w:ind w:right="2259" w:firstLine="408"/>
        <w:spacing w:after="0" w:line="244" w:lineRule="auto"/>
        <w:rPr>
          <w:sz w:val="20"/>
          <w:szCs w:val="20"/>
          <w:color w:val="auto"/>
        </w:rPr>
      </w:pPr>
      <w:r>
        <w:rPr>
          <w:rFonts w:ascii="Courier New" w:cs="Courier New" w:eastAsia="Courier New" w:hAnsi="Courier New"/>
          <w:sz w:val="17"/>
          <w:szCs w:val="17"/>
          <w:color w:val="auto"/>
        </w:rPr>
        <w:t>The Company's revenues from its landfill operations consist of disposal fees (known as tipping fees) charged to third parties and are normally billed monthly. Tipping fees are based on the volume or weight of solid waste being disposed of at the Company's landfill sites. Fees are charged at transfer stations based on the volume of solid waste deposited, taking into account the Company's cost of loading, transporting, and disposing of the solid waste at a landfill. Intercompany revenues between the Company's landfill and collection operations have been eliminated in the financial statements presented herein.</w:t>
      </w:r>
    </w:p>
    <w:p>
      <w:pPr>
        <w:spacing w:after="0" w:line="199" w:lineRule="exact"/>
        <w:rPr>
          <w:sz w:val="20"/>
          <w:szCs w:val="20"/>
          <w:color w:val="auto"/>
        </w:rPr>
      </w:pPr>
    </w:p>
    <w:p>
      <w:pPr>
        <w:ind w:right="2259" w:firstLine="408"/>
        <w:spacing w:after="0" w:line="244" w:lineRule="auto"/>
        <w:rPr>
          <w:sz w:val="20"/>
          <w:szCs w:val="20"/>
          <w:color w:val="auto"/>
        </w:rPr>
      </w:pPr>
      <w:r>
        <w:rPr>
          <w:rFonts w:ascii="Courier New" w:cs="Courier New" w:eastAsia="Courier New" w:hAnsi="Courier New"/>
          <w:sz w:val="17"/>
          <w:szCs w:val="17"/>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expenses are capitalized and depreciated over the estimated useful life of a site as capacity is consumed, and include acquisition, engineering, upgrading, construction, and permitting costs. All indirect development expenses, such as administrative salaries and general corporate overhead, are expensed in the period incurred.</w:t>
      </w:r>
    </w:p>
    <w:p>
      <w:pPr>
        <w:spacing w:after="0" w:line="200" w:lineRule="exact"/>
        <w:rPr>
          <w:sz w:val="20"/>
          <w:szCs w:val="20"/>
          <w:color w:val="auto"/>
        </w:rPr>
      </w:pPr>
    </w:p>
    <w:p>
      <w:pPr>
        <w:ind w:right="2159" w:firstLine="408"/>
        <w:spacing w:after="0" w:line="244" w:lineRule="auto"/>
        <w:rPr>
          <w:sz w:val="20"/>
          <w:szCs w:val="20"/>
          <w:color w:val="auto"/>
        </w:rPr>
      </w:pPr>
      <w:r>
        <w:rPr>
          <w:rFonts w:ascii="Courier New" w:cs="Courier New" w:eastAsia="Courier New" w:hAnsi="Courier New"/>
          <w:sz w:val="17"/>
          <w:szCs w:val="17"/>
          <w:color w:val="auto"/>
        </w:rPr>
        <w:t>General and administrative costs include management salaries, clerical, and administrative costs, professional services, facility rentals, and related insurance costs, as well as costs related to the Company's marketing and sales force.</w:t>
      </w:r>
    </w:p>
    <w:p>
      <w:pPr>
        <w:sectPr>
          <w:pgSz w:w="11900" w:h="16838" w:orient="portrait"/>
          <w:cols w:equalWidth="0" w:num="1">
            <w:col w:w="10219"/>
          </w:cols>
          <w:pgMar w:left="240" w:top="311" w:right="1440" w:bottom="1440" w:gutter="0" w:footer="0" w:header="0"/>
        </w:sectPr>
      </w:pP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1"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1" w:lineRule="exact"/>
        <w:rPr>
          <w:sz w:val="20"/>
          <w:szCs w:val="20"/>
          <w:color w:val="auto"/>
        </w:rPr>
      </w:pPr>
    </w:p>
    <w:p>
      <w:pPr>
        <w:ind w:right="3260" w:firstLine="408"/>
        <w:spacing w:after="0" w:line="244" w:lineRule="auto"/>
        <w:rPr>
          <w:sz w:val="20"/>
          <w:szCs w:val="20"/>
          <w:color w:val="auto"/>
        </w:rPr>
      </w:pPr>
      <w:r>
        <w:rPr>
          <w:rFonts w:ascii="Courier New" w:cs="Courier New" w:eastAsia="Courier New" w:hAnsi="Courier New"/>
          <w:sz w:val="17"/>
          <w:szCs w:val="17"/>
          <w:color w:val="auto"/>
        </w:rPr>
        <w:t>The Company reported net income (loss) of $18,902,000 and $(8,755,000) for the three and nine months ended September 30, 1995, respectively. This compares to net income (loss) of $(68,189,000) and $(65,836,000) for the corresponding periods in 1994. The results of operations for the nine months ended September 30, 1995, and for the three and nine months ended September 30, 1994, include certain nonrecurring expenses, as discussed below, in connection with the acquisitions of Chambers in June 1995 and Envirofil, Inc. in May 1994 in transactions accounted for as poolings of interests. Earnings per share, exclusive of merger costs, unusual items, and nonrecurring interest, as reported, would be $ 0.35 and $ 0.59 for the three and nine months ended September 30, 1995, respectively, as compared to $ 0.12 and $ 0.22, respectively, for the same prior year periods.</w:t>
      </w:r>
    </w:p>
    <w:p>
      <w:pPr>
        <w:spacing w:after="0" w:line="201" w:lineRule="exact"/>
        <w:rPr>
          <w:sz w:val="20"/>
          <w:szCs w:val="20"/>
          <w:color w:val="auto"/>
        </w:rPr>
      </w:pPr>
    </w:p>
    <w:p>
      <w:pPr>
        <w:ind w:right="3460" w:firstLine="408"/>
        <w:spacing w:after="0" w:line="243" w:lineRule="auto"/>
        <w:rPr>
          <w:sz w:val="20"/>
          <w:szCs w:val="20"/>
          <w:color w:val="auto"/>
        </w:rPr>
      </w:pPr>
      <w:r>
        <w:rPr>
          <w:rFonts w:ascii="Courier New" w:cs="Courier New" w:eastAsia="Courier New" w:hAnsi="Courier New"/>
          <w:sz w:val="17"/>
          <w:szCs w:val="17"/>
          <w:color w:val="auto"/>
        </w:rPr>
        <w:t>The following table presents, for the periods indicated, the period to period change in dollars (in thousands) and percent for the various Condensed Consolidated Statements of Operations items:</w:t>
      </w:r>
    </w:p>
    <w:p>
      <w:pPr>
        <w:spacing w:after="0" w:line="200" w:lineRule="exact"/>
        <w:rPr>
          <w:sz w:val="20"/>
          <w:szCs w:val="20"/>
          <w:color w:val="auto"/>
        </w:rPr>
      </w:pPr>
    </w:p>
    <w:p>
      <w:pPr>
        <w:spacing w:after="0" w:line="391"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5420" w:type="dxa"/>
            <w:vAlign w:val="bottom"/>
          </w:tcPr>
          <w:p>
            <w:pPr>
              <w:spacing w:after="0"/>
              <w:rPr>
                <w:sz w:val="16"/>
                <w:szCs w:val="16"/>
                <w:color w:val="auto"/>
              </w:rPr>
            </w:pPr>
          </w:p>
        </w:tc>
        <w:tc>
          <w:tcPr>
            <w:tcW w:w="274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Period to Period</w:t>
            </w:r>
          </w:p>
        </w:tc>
        <w:tc>
          <w:tcPr>
            <w:tcW w:w="22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Period to Period</w:t>
            </w:r>
          </w:p>
        </w:tc>
      </w:tr>
      <w:tr>
        <w:trPr>
          <w:trHeight w:val="196"/>
        </w:trPr>
        <w:tc>
          <w:tcPr>
            <w:tcW w:w="5420" w:type="dxa"/>
            <w:vAlign w:val="bottom"/>
          </w:tcPr>
          <w:p>
            <w:pPr>
              <w:spacing w:after="0"/>
              <w:rPr>
                <w:sz w:val="17"/>
                <w:szCs w:val="17"/>
                <w:color w:val="auto"/>
              </w:rPr>
            </w:pPr>
          </w:p>
        </w:tc>
        <w:tc>
          <w:tcPr>
            <w:tcW w:w="274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Change for the</w:t>
            </w:r>
          </w:p>
        </w:tc>
        <w:tc>
          <w:tcPr>
            <w:tcW w:w="22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Change for the</w:t>
            </w:r>
          </w:p>
        </w:tc>
      </w:tr>
      <w:tr>
        <w:trPr>
          <w:trHeight w:val="196"/>
        </w:trPr>
        <w:tc>
          <w:tcPr>
            <w:tcW w:w="5420" w:type="dxa"/>
            <w:vAlign w:val="bottom"/>
          </w:tcPr>
          <w:p>
            <w:pPr>
              <w:spacing w:after="0"/>
              <w:rPr>
                <w:sz w:val="17"/>
                <w:szCs w:val="17"/>
                <w:color w:val="auto"/>
              </w:rPr>
            </w:pPr>
          </w:p>
        </w:tc>
        <w:tc>
          <w:tcPr>
            <w:tcW w:w="274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Three Months Ended</w:t>
            </w:r>
          </w:p>
        </w:tc>
        <w:tc>
          <w:tcPr>
            <w:tcW w:w="22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5420" w:type="dxa"/>
            <w:vAlign w:val="bottom"/>
          </w:tcPr>
          <w:p>
            <w:pPr>
              <w:spacing w:after="0"/>
              <w:rPr>
                <w:sz w:val="17"/>
                <w:szCs w:val="17"/>
                <w:color w:val="auto"/>
              </w:rPr>
            </w:pPr>
          </w:p>
        </w:tc>
        <w:tc>
          <w:tcPr>
            <w:tcW w:w="274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September 30,</w:t>
            </w:r>
          </w:p>
        </w:tc>
        <w:tc>
          <w:tcPr>
            <w:tcW w:w="224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54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1995</w:t>
            </w:r>
          </w:p>
        </w:tc>
        <w:tc>
          <w:tcPr>
            <w:tcW w:w="1520" w:type="dxa"/>
            <w:vAlign w:val="bottom"/>
          </w:tcPr>
          <w:p>
            <w:pPr>
              <w:jc w:val="right"/>
              <w:ind w:right="615"/>
              <w:spacing w:after="0"/>
              <w:rPr>
                <w:sz w:val="20"/>
                <w:szCs w:val="20"/>
                <w:color w:val="auto"/>
              </w:rPr>
            </w:pPr>
            <w:r>
              <w:rPr>
                <w:rFonts w:ascii="Courier New" w:cs="Courier New" w:eastAsia="Courier New" w:hAnsi="Courier New"/>
                <w:sz w:val="17"/>
                <w:szCs w:val="17"/>
                <w:color w:val="auto"/>
                <w:w w:val="97"/>
              </w:rPr>
              <w:t>and 1994</w:t>
            </w:r>
          </w:p>
        </w:tc>
        <w:tc>
          <w:tcPr>
            <w:tcW w:w="224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1995 and 1994</w:t>
            </w:r>
          </w:p>
        </w:tc>
      </w:tr>
      <w:tr>
        <w:trPr>
          <w:trHeight w:val="196"/>
        </w:trPr>
        <w:tc>
          <w:tcPr>
            <w:tcW w:w="5420" w:type="dxa"/>
            <w:vAlign w:val="bottom"/>
          </w:tcPr>
          <w:p>
            <w:pPr>
              <w:spacing w:after="0"/>
              <w:rPr>
                <w:sz w:val="17"/>
                <w:szCs w:val="17"/>
                <w:color w:val="auto"/>
              </w:rPr>
            </w:pPr>
          </w:p>
        </w:tc>
        <w:tc>
          <w:tcPr>
            <w:tcW w:w="274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22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17"/>
                <w:szCs w:val="17"/>
                <w:color w:val="auto"/>
              </w:rPr>
            </w:pPr>
          </w:p>
        </w:tc>
        <w:tc>
          <w:tcPr>
            <w:tcW w:w="122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4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$ 5,706</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5.0%</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$ 6,692</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196"/>
        </w:trPr>
        <w:tc>
          <w:tcPr>
            <w:tcW w:w="54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Operating</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(2,319)</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(3.4)</w:t>
            </w:r>
          </w:p>
        </w:tc>
        <w:tc>
          <w:tcPr>
            <w:tcW w:w="1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(5,429)</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General and administrative</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(2,788)</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(16.7)</w:t>
            </w:r>
          </w:p>
        </w:tc>
        <w:tc>
          <w:tcPr>
            <w:tcW w:w="1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(3,583)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Unusual items</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4,733</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Merger costs</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21,291</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563.0</w:t>
            </w: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281</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w:t>
            </w:r>
          </w:p>
        </w:tc>
        <w:tc>
          <w:tcPr>
            <w:tcW w:w="1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(973)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6"/>
        </w:trPr>
        <w:tc>
          <w:tcPr>
            <w:tcW w:w="54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(4,826)</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(4.9)</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16,039</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5.5</w:t>
            </w:r>
          </w:p>
        </w:tc>
      </w:tr>
      <w:tr>
        <w:trPr>
          <w:trHeight w:val="196"/>
        </w:trPr>
        <w:tc>
          <w:tcPr>
            <w:tcW w:w="54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42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10,532</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66.4</w:t>
            </w:r>
          </w:p>
        </w:tc>
        <w:tc>
          <w:tcPr>
            <w:tcW w:w="1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(9,347)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(26.3)</w:t>
            </w:r>
          </w:p>
        </w:tc>
      </w:tr>
      <w:tr>
        <w:trPr>
          <w:trHeight w:val="392"/>
        </w:trPr>
        <w:tc>
          <w:tcPr>
            <w:tcW w:w="54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Shareholder litigation settlement and other</w:t>
            </w: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420" w:type="dxa"/>
            <w:vAlign w:val="bottom"/>
          </w:tcPr>
          <w:p>
            <w:pPr>
              <w:ind w:left="300"/>
              <w:spacing w:after="0"/>
              <w:rPr>
                <w:sz w:val="20"/>
                <w:szCs w:val="20"/>
                <w:color w:val="auto"/>
              </w:rPr>
            </w:pPr>
            <w:r>
              <w:rPr>
                <w:rFonts w:ascii="Courier New" w:cs="Courier New" w:eastAsia="Courier New" w:hAnsi="Courier New"/>
                <w:sz w:val="17"/>
                <w:szCs w:val="17"/>
                <w:color w:val="auto"/>
              </w:rPr>
              <w:t>litigation related costs</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(74,100)</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(100.0)</w:t>
            </w:r>
          </w:p>
        </w:tc>
        <w:tc>
          <w:tcPr>
            <w:tcW w:w="1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(74,100)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Interest expense:</w:t>
            </w: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420" w:type="dxa"/>
            <w:vAlign w:val="bottom"/>
          </w:tcPr>
          <w:p>
            <w:pPr>
              <w:ind w:left="420"/>
              <w:spacing w:after="0"/>
              <w:rPr>
                <w:sz w:val="20"/>
                <w:szCs w:val="20"/>
                <w:color w:val="auto"/>
              </w:rPr>
            </w:pPr>
            <w:r>
              <w:rPr>
                <w:rFonts w:ascii="Courier New" w:cs="Courier New" w:eastAsia="Courier New" w:hAnsi="Courier New"/>
                <w:sz w:val="17"/>
                <w:szCs w:val="17"/>
                <w:color w:val="auto"/>
              </w:rPr>
              <w:t>Early redemption premium, extension fees, and</w:t>
            </w: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420" w:type="dxa"/>
            <w:vAlign w:val="bottom"/>
          </w:tcPr>
          <w:p>
            <w:pPr>
              <w:ind w:left="620"/>
              <w:spacing w:after="0"/>
              <w:rPr>
                <w:sz w:val="20"/>
                <w:szCs w:val="20"/>
                <w:color w:val="auto"/>
              </w:rPr>
            </w:pPr>
            <w:r>
              <w:rPr>
                <w:rFonts w:ascii="Courier New" w:cs="Courier New" w:eastAsia="Courier New" w:hAnsi="Courier New"/>
                <w:sz w:val="17"/>
                <w:szCs w:val="17"/>
                <w:color w:val="auto"/>
              </w:rPr>
              <w:t>other nonrecurring interest</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10,994</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ind w:left="420"/>
              <w:spacing w:after="0"/>
              <w:rPr>
                <w:sz w:val="20"/>
                <w:szCs w:val="20"/>
                <w:color w:val="auto"/>
              </w:rPr>
            </w:pPr>
            <w:r>
              <w:rPr>
                <w:rFonts w:ascii="Courier New" w:cs="Courier New" w:eastAsia="Courier New" w:hAnsi="Courier New"/>
                <w:sz w:val="17"/>
                <w:szCs w:val="17"/>
                <w:color w:val="auto"/>
              </w:rPr>
              <w:t>Other</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(87)</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w:t>
            </w:r>
          </w:p>
        </w:tc>
        <w:tc>
          <w:tcPr>
            <w:tcW w:w="1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(492)</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Interest income</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130</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22.9</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45</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w:t>
            </w:r>
          </w:p>
        </w:tc>
      </w:tr>
      <w:tr>
        <w:trPr>
          <w:trHeight w:val="196"/>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Other, net</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141</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15.8</w:t>
            </w:r>
          </w:p>
        </w:tc>
        <w:tc>
          <w:tcPr>
            <w:tcW w:w="1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(685)</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47.8</w:t>
            </w:r>
          </w:p>
        </w:tc>
      </w:tr>
      <w:tr>
        <w:trPr>
          <w:trHeight w:val="196"/>
        </w:trPr>
        <w:tc>
          <w:tcPr>
            <w:tcW w:w="54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(73,916)</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(91.0)</w:t>
            </w:r>
          </w:p>
        </w:tc>
        <w:tc>
          <w:tcPr>
            <w:tcW w:w="1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(64,238)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(67.1)</w:t>
            </w:r>
          </w:p>
        </w:tc>
      </w:tr>
      <w:tr>
        <w:trPr>
          <w:trHeight w:val="196"/>
        </w:trPr>
        <w:tc>
          <w:tcPr>
            <w:tcW w:w="54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420" w:type="dxa"/>
            <w:vAlign w:val="bottom"/>
          </w:tcPr>
          <w:p>
            <w:pPr>
              <w:spacing w:after="0"/>
              <w:rPr>
                <w:sz w:val="20"/>
                <w:szCs w:val="20"/>
                <w:color w:val="auto"/>
              </w:rPr>
            </w:pPr>
            <w:r>
              <w:rPr>
                <w:rFonts w:ascii="Courier New" w:cs="Courier New" w:eastAsia="Courier New" w:hAnsi="Courier New"/>
                <w:sz w:val="17"/>
                <w:szCs w:val="17"/>
                <w:color w:val="auto"/>
              </w:rPr>
              <w:t>Income (loss) before provision for income taxes</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84,448</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129.2</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54,891</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91.0</w:t>
            </w:r>
          </w:p>
        </w:tc>
      </w:tr>
      <w:tr>
        <w:trPr>
          <w:trHeight w:val="196"/>
        </w:trPr>
        <w:tc>
          <w:tcPr>
            <w:tcW w:w="54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(2,643)</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(93.2)</w:t>
            </w:r>
          </w:p>
        </w:tc>
        <w:tc>
          <w:tcPr>
            <w:tcW w:w="1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(1,625)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(32.6)</w:t>
            </w:r>
          </w:p>
        </w:tc>
      </w:tr>
      <w:tr>
        <w:trPr>
          <w:trHeight w:val="196"/>
        </w:trPr>
        <w:tc>
          <w:tcPr>
            <w:tcW w:w="54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87,091</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129.0</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56,516</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86.6</w:t>
            </w:r>
          </w:p>
        </w:tc>
      </w:tr>
      <w:tr>
        <w:trPr>
          <w:trHeight w:val="196"/>
        </w:trPr>
        <w:tc>
          <w:tcPr>
            <w:tcW w:w="5420" w:type="dxa"/>
            <w:vAlign w:val="bottom"/>
          </w:tcPr>
          <w:p>
            <w:pPr>
              <w:spacing w:after="0"/>
              <w:rPr>
                <w:sz w:val="20"/>
                <w:szCs w:val="20"/>
                <w:color w:val="auto"/>
              </w:rPr>
            </w:pPr>
            <w:r>
              <w:rPr>
                <w:rFonts w:ascii="Courier New" w:cs="Courier New" w:eastAsia="Courier New" w:hAnsi="Courier New"/>
                <w:sz w:val="17"/>
                <w:szCs w:val="17"/>
                <w:color w:val="auto"/>
              </w:rPr>
              <w:t>Preferred dividends</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(565)</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54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20"/>
                <w:szCs w:val="20"/>
                <w:color w:val="auto"/>
              </w:rPr>
            </w:pPr>
            <w:r>
              <w:rPr>
                <w:rFonts w:ascii="Courier New" w:cs="Courier New" w:eastAsia="Courier New" w:hAnsi="Courier New"/>
                <w:sz w:val="17"/>
                <w:szCs w:val="17"/>
                <w:color w:val="auto"/>
              </w:rPr>
              <w:t>Income (loss) available to common shareholders</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$87,091</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127.7%</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$57,081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86.7%</w:t>
            </w:r>
          </w:p>
        </w:tc>
      </w:tr>
      <w:tr>
        <w:trPr>
          <w:trHeight w:val="196"/>
        </w:trPr>
        <w:tc>
          <w:tcPr>
            <w:tcW w:w="54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1320"/>
          </w:cols>
          <w:pgMar w:left="240" w:top="311" w:right="339" w:bottom="1440" w:gutter="0" w:footer="0" w:header="0"/>
        </w:sectPr>
      </w:pP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1320"/>
          </w:cols>
          <w:pgMar w:left="240" w:top="311" w:right="339"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13</w:t>
      </w:r>
    </w:p>
    <w:p>
      <w:pPr>
        <w:spacing w:after="0" w:line="5" w:lineRule="exact"/>
        <w:rPr>
          <w:sz w:val="20"/>
          <w:szCs w:val="20"/>
          <w:color w:val="auto"/>
        </w:rPr>
      </w:pPr>
    </w:p>
    <w:p>
      <w:pPr>
        <w:jc w:val="both"/>
        <w:ind w:right="3660" w:firstLine="408"/>
        <w:spacing w:after="0" w:line="243" w:lineRule="auto"/>
        <w:rPr>
          <w:sz w:val="20"/>
          <w:szCs w:val="20"/>
          <w:color w:val="auto"/>
        </w:rPr>
      </w:pPr>
      <w:r>
        <w:rPr>
          <w:rFonts w:ascii="Courier New" w:cs="Courier New" w:eastAsia="Courier New" w:hAnsi="Courier New"/>
          <w:sz w:val="17"/>
          <w:szCs w:val="17"/>
          <w:color w:val="auto"/>
        </w:rPr>
        <w:t>The following table presents, for the periods indicated, the percentage relationship that the various components of the Consolidated Statements of Income bear to operating revenues:</w:t>
      </w:r>
    </w:p>
    <w:p>
      <w:pPr>
        <w:spacing w:after="0" w:line="200" w:lineRule="exact"/>
        <w:rPr>
          <w:sz w:val="20"/>
          <w:szCs w:val="20"/>
          <w:color w:val="auto"/>
        </w:rPr>
      </w:pPr>
    </w:p>
    <w:p>
      <w:pPr>
        <w:spacing w:after="0" w:line="391"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6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Three Months</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Ended</w:t>
            </w:r>
          </w:p>
        </w:tc>
        <w:tc>
          <w:tcPr>
            <w:tcW w:w="20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6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September</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30,</w:t>
            </w:r>
          </w:p>
        </w:tc>
        <w:tc>
          <w:tcPr>
            <w:tcW w:w="20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6320" w:type="dxa"/>
            <w:vAlign w:val="bottom"/>
          </w:tcPr>
          <w:p>
            <w:pPr>
              <w:spacing w:after="0"/>
              <w:rPr>
                <w:sz w:val="17"/>
                <w:szCs w:val="17"/>
                <w:color w:val="auto"/>
              </w:rPr>
            </w:pPr>
          </w:p>
        </w:tc>
        <w:tc>
          <w:tcPr>
            <w:tcW w:w="25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20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1995</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1994</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6320" w:type="dxa"/>
            <w:vAlign w:val="bottom"/>
          </w:tcPr>
          <w:p>
            <w:pPr>
              <w:spacing w:after="0"/>
              <w:rPr>
                <w:sz w:val="17"/>
                <w:szCs w:val="17"/>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Disposal</w:t>
            </w: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34.2%</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30.2%</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32.1%</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30.6%</w:t>
            </w: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Waste collection</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50.4</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50.4</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52.3</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48.5</w:t>
            </w: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Transfer stations</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9.4</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13.6</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9.2</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13.4</w:t>
            </w: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Other</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6.0</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5.8</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6.4</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7.5</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100.0</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100.0</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100.0</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Operating</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54.3</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59.0</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56.2</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59.1</w:t>
            </w: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General and administrative</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11.5</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14.6</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14.4</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15.7</w:t>
            </w: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Unusual items</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1.4</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Merger costs</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7.5</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w:t>
            </w: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Depreciation and amortization</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12.2</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12.5</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12.6</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13.1</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78.0</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86.1</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92.1</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89.1</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2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22.0</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13.9</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7.9</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10.9</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Shareholder litigation settlement and other litigation</w:t>
            </w: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320" w:type="dxa"/>
            <w:vAlign w:val="bottom"/>
          </w:tcPr>
          <w:p>
            <w:pPr>
              <w:ind w:left="600"/>
              <w:spacing w:after="0"/>
              <w:rPr>
                <w:sz w:val="20"/>
                <w:szCs w:val="20"/>
                <w:color w:val="auto"/>
              </w:rPr>
            </w:pPr>
            <w:r>
              <w:rPr>
                <w:rFonts w:ascii="Courier New" w:cs="Courier New" w:eastAsia="Courier New" w:hAnsi="Courier New"/>
                <w:sz w:val="17"/>
                <w:szCs w:val="17"/>
                <w:color w:val="auto"/>
              </w:rPr>
              <w:t>related costs</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(64.9)</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(22.7)</w:t>
            </w: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Interest expense:</w:t>
            </w: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320" w:type="dxa"/>
            <w:vAlign w:val="bottom"/>
          </w:tcPr>
          <w:p>
            <w:pPr>
              <w:ind w:left="700"/>
              <w:spacing w:after="0"/>
              <w:rPr>
                <w:sz w:val="20"/>
                <w:szCs w:val="20"/>
                <w:color w:val="auto"/>
              </w:rPr>
            </w:pPr>
            <w:r>
              <w:rPr>
                <w:rFonts w:ascii="Courier New" w:cs="Courier New" w:eastAsia="Courier New" w:hAnsi="Courier New"/>
                <w:sz w:val="17"/>
                <w:szCs w:val="17"/>
                <w:color w:val="auto"/>
              </w:rPr>
              <w:t>Early redemption premium, extension fees, and other</w:t>
            </w: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320" w:type="dxa"/>
            <w:vAlign w:val="bottom"/>
          </w:tcPr>
          <w:p>
            <w:pPr>
              <w:ind w:left="1020"/>
              <w:spacing w:after="0"/>
              <w:rPr>
                <w:sz w:val="20"/>
                <w:szCs w:val="20"/>
                <w:color w:val="auto"/>
              </w:rPr>
            </w:pPr>
            <w:r>
              <w:rPr>
                <w:rFonts w:ascii="Courier New" w:cs="Courier New" w:eastAsia="Courier New" w:hAnsi="Courier New"/>
                <w:sz w:val="17"/>
                <w:szCs w:val="17"/>
                <w:color w:val="auto"/>
              </w:rPr>
              <w:t>nonrecurring interest</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(3.3)</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20" w:type="dxa"/>
            <w:vAlign w:val="bottom"/>
          </w:tcPr>
          <w:p>
            <w:pPr>
              <w:ind w:left="700"/>
              <w:spacing w:after="0"/>
              <w:rPr>
                <w:sz w:val="20"/>
                <w:szCs w:val="20"/>
                <w:color w:val="auto"/>
              </w:rPr>
            </w:pPr>
            <w:r>
              <w:rPr>
                <w:rFonts w:ascii="Courier New" w:cs="Courier New" w:eastAsia="Courier New" w:hAnsi="Courier New"/>
                <w:sz w:val="17"/>
                <w:szCs w:val="17"/>
                <w:color w:val="auto"/>
              </w:rPr>
              <w:t>Other</w:t>
            </w: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(7.1)</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(7.5)</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(7.4)</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(7.7)</w:t>
            </w: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Interest income</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0.4</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0.5</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0.6</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0.6</w:t>
            </w:r>
          </w:p>
        </w:tc>
      </w:tr>
      <w:tr>
        <w:trPr>
          <w:trHeight w:val="196"/>
        </w:trPr>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Other, net</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0.6</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0.8</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0.6</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0.4</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(6.1)</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(71.1)</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(9.5)</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(29.4)</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20" w:type="dxa"/>
            <w:vAlign w:val="bottom"/>
          </w:tcPr>
          <w:p>
            <w:pPr>
              <w:spacing w:after="0"/>
              <w:rPr>
                <w:sz w:val="20"/>
                <w:szCs w:val="20"/>
                <w:color w:val="auto"/>
              </w:rPr>
            </w:pPr>
            <w:r>
              <w:rPr>
                <w:rFonts w:ascii="Courier New" w:cs="Courier New" w:eastAsia="Courier New" w:hAnsi="Courier New"/>
                <w:sz w:val="17"/>
                <w:szCs w:val="17"/>
                <w:color w:val="auto"/>
              </w:rPr>
              <w:t>Income (loss) before provision for income taxes</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15.9</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(57.2)</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(1.6)</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(18.5)</w:t>
            </w:r>
          </w:p>
        </w:tc>
      </w:tr>
      <w:tr>
        <w:trPr>
          <w:trHeight w:val="196"/>
        </w:trPr>
        <w:tc>
          <w:tcPr>
            <w:tcW w:w="63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(0.1)</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(1.0)</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2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15.8</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(59.7)</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(2.6)</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(20.0)</w:t>
            </w:r>
          </w:p>
        </w:tc>
      </w:tr>
      <w:tr>
        <w:trPr>
          <w:trHeight w:val="196"/>
        </w:trPr>
        <w:tc>
          <w:tcPr>
            <w:tcW w:w="6320" w:type="dxa"/>
            <w:vAlign w:val="bottom"/>
          </w:tcPr>
          <w:p>
            <w:pPr>
              <w:spacing w:after="0"/>
              <w:rPr>
                <w:sz w:val="20"/>
                <w:szCs w:val="20"/>
                <w:color w:val="auto"/>
              </w:rPr>
            </w:pPr>
            <w:r>
              <w:rPr>
                <w:rFonts w:ascii="Courier New" w:cs="Courier New" w:eastAsia="Courier New" w:hAnsi="Courier New"/>
                <w:sz w:val="17"/>
                <w:szCs w:val="17"/>
                <w:color w:val="auto"/>
              </w:rPr>
              <w:t>Preferred dividends</w:t>
            </w: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(0.2)</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20" w:type="dxa"/>
            <w:vAlign w:val="bottom"/>
          </w:tcPr>
          <w:p>
            <w:pPr>
              <w:spacing w:after="0"/>
              <w:rPr>
                <w:sz w:val="20"/>
                <w:szCs w:val="20"/>
                <w:color w:val="auto"/>
              </w:rPr>
            </w:pPr>
            <w:r>
              <w:rPr>
                <w:rFonts w:ascii="Courier New" w:cs="Courier New" w:eastAsia="Courier New" w:hAnsi="Courier New"/>
                <w:sz w:val="17"/>
                <w:szCs w:val="17"/>
                <w:color w:val="auto"/>
              </w:rPr>
              <w:t>Income (loss) available to common shareholders</w:t>
            </w:r>
          </w:p>
        </w:tc>
        <w:tc>
          <w:tcPr>
            <w:tcW w:w="15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15.8%</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(59.7)%</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(20.2)%</w:t>
            </w:r>
          </w:p>
        </w:tc>
      </w:tr>
      <w:tr>
        <w:trPr>
          <w:trHeight w:val="196"/>
        </w:trPr>
        <w:tc>
          <w:tcPr>
            <w:tcW w:w="6320" w:type="dxa"/>
            <w:vAlign w:val="bottom"/>
          </w:tcPr>
          <w:p>
            <w:pPr>
              <w:spacing w:after="0"/>
              <w:rPr>
                <w:sz w:val="17"/>
                <w:szCs w:val="17"/>
                <w:color w:val="auto"/>
              </w:rPr>
            </w:pPr>
          </w:p>
        </w:tc>
        <w:tc>
          <w:tcPr>
            <w:tcW w:w="15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AND NINE MONTHS ENDED SEPTEMBER 30, 1995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Revenues</w:t>
      </w:r>
    </w:p>
    <w:p>
      <w:pPr>
        <w:spacing w:after="0" w:line="201" w:lineRule="exact"/>
        <w:rPr>
          <w:sz w:val="20"/>
          <w:szCs w:val="20"/>
          <w:color w:val="auto"/>
        </w:rPr>
      </w:pPr>
    </w:p>
    <w:p>
      <w:pPr>
        <w:ind w:right="3160" w:firstLine="510"/>
        <w:spacing w:after="0" w:line="260" w:lineRule="auto"/>
        <w:rPr>
          <w:sz w:val="20"/>
          <w:szCs w:val="20"/>
          <w:color w:val="auto"/>
        </w:rPr>
      </w:pPr>
      <w:r>
        <w:rPr>
          <w:rFonts w:ascii="Courier New" w:cs="Courier New" w:eastAsia="Courier New" w:hAnsi="Courier New"/>
          <w:sz w:val="16"/>
          <w:szCs w:val="16"/>
          <w:color w:val="auto"/>
        </w:rPr>
        <w:t>Operating revenues for the three and nine months ended September 30, 1995 increased $5.7 million or 5.0% and $6.7 million or 2.1%, respectively, as compared to respective 1994 periods. The change in operating revenues from 1994 to 1995 is attributable to the improved performance of comparable operations, the net effect of acquisitions and dispositions, and the negative impact of certain business in New Jersey. Revenues were negatively impacted by the sale but continued operation of two transfer stations in Morris County, New Jersey, as a result of a significant rate reduction as well as decreased waste volumes due to the loss of an ash transportation and disposal contract. In addition, the Company renewed its municipal solid waste contract with Bergen County, New Jersey, for three years at a reduced rate compared to the prior contract. Excluding the effects of these New Jersey circumstances, operating revenues from comparable operations increased 8.1% for the quarter. The changes attributable to prices and volumes were 2.1% and 2.7%, respectively, for the quarter. The remainder of the increase in operating revenues resulted from acquisitions, net of dispositions, which increased revenues by $6.0 million for the quarter.</w:t>
      </w:r>
    </w:p>
    <w:p>
      <w:pPr>
        <w:sectPr>
          <w:pgSz w:w="11900" w:h="16838" w:orient="portrait"/>
          <w:cols w:equalWidth="0" w:num="1">
            <w:col w:w="11320"/>
          </w:cols>
          <w:pgMar w:left="240" w:top="311" w:right="339" w:bottom="85" w:gutter="0" w:footer="0" w:header="0"/>
        </w:sectPr>
      </w:pPr>
    </w:p>
    <w:p>
      <w:pPr>
        <w:spacing w:after="0" w:line="39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1320"/>
          </w:cols>
          <w:pgMar w:left="240" w:top="311" w:right="339" w:bottom="85"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Costs and Expenses</w:t>
      </w:r>
    </w:p>
    <w:p>
      <w:pPr>
        <w:spacing w:after="0" w:line="201" w:lineRule="exact"/>
        <w:rPr>
          <w:sz w:val="20"/>
          <w:szCs w:val="20"/>
          <w:color w:val="auto"/>
        </w:rPr>
      </w:pPr>
    </w:p>
    <w:p>
      <w:pPr>
        <w:ind w:right="2059" w:firstLine="408"/>
        <w:spacing w:after="0" w:line="244" w:lineRule="auto"/>
        <w:rPr>
          <w:sz w:val="20"/>
          <w:szCs w:val="20"/>
          <w:color w:val="auto"/>
        </w:rPr>
      </w:pPr>
      <w:r>
        <w:rPr>
          <w:rFonts w:ascii="Courier New" w:cs="Courier New" w:eastAsia="Courier New" w:hAnsi="Courier New"/>
          <w:sz w:val="17"/>
          <w:szCs w:val="17"/>
          <w:color w:val="auto"/>
        </w:rPr>
        <w:t>Operating costs and expenses decreased $2.3 million and $5.4 million, respectively, for the three months and nine months ended September 30, 1995, as compared to 1994, and also decreased as a percent of operating revenues in both comparative periods. The decrease is attributable to strategic business decisions to exit or reduce operations in certain markets in 1994 where margins were not as profitable. In September 1994, the Company determined that it would exit the market in Phoenix, Arizona, which resulted in the reduction of operating costs and decreased the percentage of operating costs as compared to operating revenues. To further reduce operating costs and expenses and improve operating margins, the Company has emphasized the increased utilization of internal disposal capacity. The related increase in costs incurred to transport waste to Company landfills was offset by a reduction in costs as a result of the loss of the ash transportation and disposal contract discussed above. Another contributing factor to the decrease in the percentage of operating costs and expenses as compared to operating revenues is that the businesses acquired, including the Chambers operations, are now operating more efficiently as operational improvements have been effectively implemented by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and Administrative</w:t>
      </w:r>
    </w:p>
    <w:p>
      <w:pPr>
        <w:spacing w:after="0" w:line="201" w:lineRule="exact"/>
        <w:rPr>
          <w:sz w:val="20"/>
          <w:szCs w:val="20"/>
          <w:color w:val="auto"/>
        </w:rPr>
      </w:pPr>
    </w:p>
    <w:p>
      <w:pPr>
        <w:ind w:right="2059" w:firstLine="408"/>
        <w:spacing w:after="0" w:line="244" w:lineRule="auto"/>
        <w:rPr>
          <w:sz w:val="20"/>
          <w:szCs w:val="20"/>
          <w:color w:val="auto"/>
        </w:rPr>
      </w:pPr>
      <w:r>
        <w:rPr>
          <w:rFonts w:ascii="Courier New" w:cs="Courier New" w:eastAsia="Courier New" w:hAnsi="Courier New"/>
          <w:sz w:val="17"/>
          <w:szCs w:val="17"/>
          <w:color w:val="auto"/>
        </w:rPr>
        <w:t>General and administrative expenses decreased $2.8 million and $3.6 million, respectively, for the three months and nine months ended September 30, 1995, as compared to 1994, and were down as a percent of operating revenues in both comparative periods. This is the result of the Company's ability to integrate revenues from acquisitions without a proportionate increase in general and administrative expenses and cost reductions as a result of the merger with Chambers.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Unusual Items</w:t>
      </w:r>
    </w:p>
    <w:p>
      <w:pPr>
        <w:spacing w:after="0" w:line="201" w:lineRule="exact"/>
        <w:rPr>
          <w:sz w:val="20"/>
          <w:szCs w:val="20"/>
          <w:color w:val="auto"/>
        </w:rPr>
      </w:pPr>
    </w:p>
    <w:p>
      <w:pPr>
        <w:ind w:right="2359" w:firstLine="408"/>
        <w:spacing w:after="0" w:line="244" w:lineRule="auto"/>
        <w:rPr>
          <w:sz w:val="20"/>
          <w:szCs w:val="20"/>
          <w:color w:val="auto"/>
        </w:rPr>
      </w:pPr>
      <w:r>
        <w:rPr>
          <w:rFonts w:ascii="Courier New" w:cs="Courier New" w:eastAsia="Courier New" w:hAnsi="Courier New"/>
          <w:sz w:val="17"/>
          <w:szCs w:val="17"/>
          <w:color w:val="auto"/>
        </w:rPr>
        <w:t>In 1995, the unusual items include $2.8 million of severance and other termination benefits paid to former Chambers employees in connection with the its pre-merger reorganization, $1.3 million of estimated future losses associated with the renegotiated Bergen County, New Jersey, municipal solid waste contract, and $0.6 million of shareholder litigation settlement costs.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 Costs</w:t>
      </w:r>
    </w:p>
    <w:p>
      <w:pPr>
        <w:spacing w:after="0" w:line="201" w:lineRule="exact"/>
        <w:rPr>
          <w:sz w:val="20"/>
          <w:szCs w:val="20"/>
          <w:color w:val="auto"/>
        </w:rPr>
      </w:pPr>
    </w:p>
    <w:p>
      <w:pPr>
        <w:ind w:right="2259" w:firstLine="408"/>
        <w:spacing w:after="0" w:line="244" w:lineRule="auto"/>
        <w:rPr>
          <w:sz w:val="20"/>
          <w:szCs w:val="20"/>
          <w:color w:val="auto"/>
        </w:rPr>
      </w:pPr>
      <w:r>
        <w:rPr>
          <w:rFonts w:ascii="Courier New" w:cs="Courier New" w:eastAsia="Courier New" w:hAnsi="Courier New"/>
          <w:sz w:val="17"/>
          <w:szCs w:val="17"/>
          <w:color w:val="auto"/>
        </w:rPr>
        <w:t>In 1995, the Company incurred approximately $25.1 million in merger costs in the second quarter related to the Chambers acquisition, which include $11.9 million of transaction costs, $9.5 million of severance and other termination benefits, and $3.7 million of costs related to integrating operations. In 1994, the Company incurred $3.8 million of merger costs in the second quarter related to the acquisition of Envirofil, Inc.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Depreciation and Amortization</w:t>
      </w:r>
    </w:p>
    <w:p>
      <w:pPr>
        <w:spacing w:after="0" w:line="201" w:lineRule="exact"/>
        <w:rPr>
          <w:sz w:val="20"/>
          <w:szCs w:val="20"/>
          <w:color w:val="auto"/>
        </w:rPr>
      </w:pPr>
    </w:p>
    <w:p>
      <w:pPr>
        <w:ind w:right="2159" w:firstLine="408"/>
        <w:spacing w:after="0" w:line="244" w:lineRule="auto"/>
        <w:rPr>
          <w:sz w:val="20"/>
          <w:szCs w:val="20"/>
          <w:color w:val="auto"/>
        </w:rPr>
      </w:pPr>
      <w:r>
        <w:rPr>
          <w:rFonts w:ascii="Courier New" w:cs="Courier New" w:eastAsia="Courier New" w:hAnsi="Courier New"/>
          <w:sz w:val="17"/>
          <w:szCs w:val="17"/>
          <w:color w:val="auto"/>
        </w:rPr>
        <w:t>Depreciation and amortization increased $0.3 million and decreased $1.0 million for the three and nine months ended September 30, 1995, respectively, however, decreased as a percent of sales in both comparative periods. The change in the estimated useful life of goodwill related to certain acquisitions from 25 to 40 years, effective January 1, 1995, resulted in decreased amortization expense of approximately $391,000 and $1,111,000 for the quarter and year-to-date periods, respectively. This change in accounting policy as well as increased operating revenues resulted in a decrease in depreciation and amortization as a percent of sales despite an increase in the depreciable fixed asset base as a result of acquisitions and capital improvements.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from Operations</w:t>
      </w:r>
    </w:p>
    <w:p>
      <w:pPr>
        <w:spacing w:after="0" w:line="201" w:lineRule="exact"/>
        <w:rPr>
          <w:sz w:val="20"/>
          <w:szCs w:val="20"/>
          <w:color w:val="auto"/>
        </w:rPr>
      </w:pPr>
    </w:p>
    <w:p>
      <w:pPr>
        <w:ind w:right="2159" w:firstLine="408"/>
        <w:spacing w:after="0" w:line="244" w:lineRule="auto"/>
        <w:rPr>
          <w:sz w:val="20"/>
          <w:szCs w:val="20"/>
          <w:color w:val="auto"/>
        </w:rPr>
      </w:pPr>
      <w:r>
        <w:rPr>
          <w:rFonts w:ascii="Courier New" w:cs="Courier New" w:eastAsia="Courier New" w:hAnsi="Courier New"/>
          <w:sz w:val="17"/>
          <w:szCs w:val="17"/>
          <w:color w:val="auto"/>
        </w:rPr>
        <w:t>Excluding unusual items, merger costs, and nonrecurring interest expense incurred in the nine months ended September 30, 1995 and in the three and nine months ended September 30, 1994, income from operations as a percent of sales in fiscal 1995 was 22.0% and 16.8%, respectively, on a quarter and year-to-date basis, compared to 13.9% and 12.1% in the comparative 1994 periods. The improvement in recurring operations is the result of economies of scale realized by the Company with respect to recent acquisitions, dispositions of less profitable businesses, and improvements in comparative operations.</w:t>
      </w:r>
    </w:p>
    <w:p>
      <w:pPr>
        <w:sectPr>
          <w:pgSz w:w="11900" w:h="16838" w:orient="portrait"/>
          <w:cols w:equalWidth="0" w:num="1">
            <w:col w:w="10219"/>
          </w:cols>
          <w:pgMar w:left="240" w:top="311" w:right="1440" w:bottom="1440" w:gutter="0" w:footer="0" w:header="0"/>
        </w:sectPr>
      </w:pP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1"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Income and Expense</w:t>
      </w:r>
    </w:p>
    <w:p>
      <w:pPr>
        <w:spacing w:after="0" w:line="201" w:lineRule="exact"/>
        <w:rPr>
          <w:sz w:val="20"/>
          <w:szCs w:val="20"/>
          <w:color w:val="auto"/>
        </w:rPr>
      </w:pPr>
    </w:p>
    <w:p>
      <w:pPr>
        <w:ind w:right="2059" w:firstLine="408"/>
        <w:spacing w:after="0" w:line="244" w:lineRule="auto"/>
        <w:rPr>
          <w:sz w:val="20"/>
          <w:szCs w:val="20"/>
          <w:color w:val="auto"/>
        </w:rPr>
      </w:pPr>
      <w:r>
        <w:rPr>
          <w:rFonts w:ascii="Courier New" w:cs="Courier New" w:eastAsia="Courier New" w:hAnsi="Courier New"/>
          <w:sz w:val="17"/>
          <w:szCs w:val="17"/>
          <w:color w:val="auto"/>
        </w:rPr>
        <w:t>Other income and expense consists of shareholder litigation settlement, interest expense, interest income, and other income. Interest expense, gross of amounts capitalized, increased slightly on both a comparative quarter and year-to- date basis as a result of additional indebtedness incurred to finance the Company's aggressive growth through business acquisitions and capital expenditures. Capitalized interest for the quarter and year-to-date periods of 1995 approximated $1.6 million and $3.8 million, respectively, compared to $0.9 million and $2.8 million in the respective 1994 periods. The year-to-date increase in other income is primarily a result of the sale of real estate in Phoenix, Arizona, during the first quarter of 1995.</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 for Income Taxes</w:t>
      </w:r>
    </w:p>
    <w:p>
      <w:pPr>
        <w:spacing w:after="0" w:line="201" w:lineRule="exact"/>
        <w:rPr>
          <w:sz w:val="20"/>
          <w:szCs w:val="20"/>
          <w:color w:val="auto"/>
        </w:rPr>
      </w:pPr>
    </w:p>
    <w:p>
      <w:pPr>
        <w:ind w:right="2259" w:firstLine="408"/>
        <w:spacing w:after="0" w:line="244" w:lineRule="auto"/>
        <w:rPr>
          <w:sz w:val="20"/>
          <w:szCs w:val="20"/>
          <w:color w:val="auto"/>
        </w:rPr>
      </w:pPr>
      <w:r>
        <w:rPr>
          <w:rFonts w:ascii="Courier New" w:cs="Courier New" w:eastAsia="Courier New" w:hAnsi="Courier New"/>
          <w:sz w:val="17"/>
          <w:szCs w:val="17"/>
          <w:color w:val="auto"/>
        </w:rPr>
        <w:t>The provision for income taxes decreased $2.6 million and $1.6 million for the three and nine months ended September 30, 1995, respectively, as compared to the corresponding periods of 1994. The provision for income taxes represents current income taxes of the separate companies through the date of the combination. The decrease in the provision for income taxes in the third quarter of 1995 is the result of the Company's full utilization of Chambers' net operating loss carryforwards.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Income (Loss)</w:t>
      </w:r>
    </w:p>
    <w:p>
      <w:pPr>
        <w:spacing w:after="0" w:line="201" w:lineRule="exact"/>
        <w:rPr>
          <w:sz w:val="20"/>
          <w:szCs w:val="20"/>
          <w:color w:val="auto"/>
        </w:rPr>
      </w:pPr>
    </w:p>
    <w:p>
      <w:pPr>
        <w:jc w:val="both"/>
        <w:ind w:right="2259" w:firstLine="408"/>
        <w:spacing w:after="0" w:line="243" w:lineRule="auto"/>
        <w:rPr>
          <w:sz w:val="20"/>
          <w:szCs w:val="20"/>
          <w:color w:val="auto"/>
        </w:rPr>
      </w:pPr>
      <w:r>
        <w:rPr>
          <w:rFonts w:ascii="Courier New" w:cs="Courier New" w:eastAsia="Courier New" w:hAnsi="Courier New"/>
          <w:sz w:val="17"/>
          <w:szCs w:val="17"/>
          <w:color w:val="auto"/>
        </w:rPr>
        <w:t>For the reasons discussed above, net income (loss) increased $87.1 million and $57.1 million during the three and nine months ended September 30, 1995 as compared to the corresponding periods of 1994.</w:t>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As of September 30, 1995, the Company had working capital of $6,701,000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cash balance of $11,985,000, which compares to a working capital deficit of</w:t>
      </w:r>
    </w:p>
    <w:p>
      <w:pPr>
        <w:spacing w:after="0" w:line="4" w:lineRule="exact"/>
        <w:rPr>
          <w:sz w:val="20"/>
          <w:szCs w:val="20"/>
          <w:color w:val="auto"/>
        </w:rPr>
      </w:pPr>
    </w:p>
    <w:p>
      <w:pPr>
        <w:spacing w:after="0"/>
        <w:tabs>
          <w:tab w:leader="none" w:pos="7220" w:val="left"/>
        </w:tabs>
        <w:rPr>
          <w:sz w:val="20"/>
          <w:szCs w:val="20"/>
          <w:color w:val="auto"/>
        </w:rPr>
      </w:pPr>
      <w:r>
        <w:rPr>
          <w:rFonts w:ascii="Courier New" w:cs="Courier New" w:eastAsia="Courier New" w:hAnsi="Courier New"/>
          <w:sz w:val="17"/>
          <w:szCs w:val="17"/>
          <w:color w:val="auto"/>
        </w:rPr>
        <w:t>$4,601,000 and a cash balance of $30,161,000 as of December 31, 1994.</w:t>
        <w:tab/>
        <w:t>During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first nine months of 1995, the Company used net cash from operations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$76,785,000, which includes the effect of payment of $75,900,000 of shareholder</w:t>
      </w:r>
    </w:p>
    <w:p>
      <w:pPr>
        <w:spacing w:after="0" w:line="4"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7"/>
          <w:szCs w:val="17"/>
          <w:color w:val="auto"/>
        </w:rPr>
        <w:t>litigation settlement costs,</w:t>
        <w:tab/>
        <w:t>and received net cash from financing activities</w:t>
      </w:r>
    </w:p>
    <w:p>
      <w:pPr>
        <w:spacing w:after="0" w:line="4"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of $106,351,000.</w:t>
      </w:r>
      <w:r>
        <w:rPr>
          <w:sz w:val="20"/>
          <w:szCs w:val="20"/>
          <w:color w:val="auto"/>
        </w:rPr>
        <w:tab/>
      </w:r>
      <w:r>
        <w:rPr>
          <w:rFonts w:ascii="Courier New" w:cs="Courier New" w:eastAsia="Courier New" w:hAnsi="Courier New"/>
          <w:sz w:val="16"/>
          <w:szCs w:val="16"/>
          <w:color w:val="auto"/>
        </w:rPr>
        <w:t>These funds were used primarily to fund investments in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businesses of $17,200,000 and for capital expenditures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$57,000,000.</w:t>
      </w:r>
    </w:p>
    <w:p>
      <w:pPr>
        <w:spacing w:after="0" w:line="201" w:lineRule="exact"/>
        <w:rPr>
          <w:sz w:val="20"/>
          <w:szCs w:val="20"/>
          <w:color w:val="auto"/>
        </w:rPr>
      </w:pPr>
    </w:p>
    <w:p>
      <w:pPr>
        <w:ind w:right="2259" w:firstLine="408"/>
        <w:spacing w:after="0" w:line="244" w:lineRule="auto"/>
        <w:rPr>
          <w:sz w:val="20"/>
          <w:szCs w:val="20"/>
          <w:color w:val="auto"/>
        </w:rPr>
      </w:pPr>
      <w:r>
        <w:rPr>
          <w:rFonts w:ascii="Courier New" w:cs="Courier New" w:eastAsia="Courier New" w:hAnsi="Courier New"/>
          <w:sz w:val="17"/>
          <w:szCs w:val="17"/>
          <w:color w:val="auto"/>
        </w:rPr>
        <w:t>The Company's capital expenditure and working capital requirements have increased reflecting the Company's business strategy of growth through acquisitions and development projects. The Company's budgeted cash requirements for the remainder of 1995 include estimated capital expenditures of approximately $25,000,000. The Company intends to finance the remainder of its 1995 capital requirements through internally generated cash flow and amounts available under its revolving credit facility. At November 10, 1995, the available line of credit for cash borrowings was $118,000,000.</w:t>
      </w:r>
    </w:p>
    <w:p>
      <w:pPr>
        <w:spacing w:after="0" w:line="199" w:lineRule="exact"/>
        <w:rPr>
          <w:sz w:val="20"/>
          <w:szCs w:val="20"/>
          <w:color w:val="auto"/>
        </w:rPr>
      </w:pPr>
    </w:p>
    <w:p>
      <w:pPr>
        <w:ind w:right="2259" w:firstLine="408"/>
        <w:spacing w:after="0" w:line="244" w:lineRule="auto"/>
        <w:rPr>
          <w:sz w:val="20"/>
          <w:szCs w:val="20"/>
          <w:color w:val="auto"/>
        </w:rPr>
      </w:pPr>
      <w:r>
        <w:rPr>
          <w:rFonts w:ascii="Courier New" w:cs="Courier New" w:eastAsia="Courier New" w:hAnsi="Courier New"/>
          <w:sz w:val="17"/>
          <w:szCs w:val="17"/>
          <w:color w:val="auto"/>
        </w:rPr>
        <w:t>In connection with the merger of Chambers on June 30, 1995, the Company entered into a $550,000,000 financing agreement consisting of a $300,000,000 five-year revolving credit facility and a $250,000,000 term loan facility. On that date, the Company arranged to borrow $370,000,000, of which $367,500,000 was outstanding as of September 30, 1995, the proceeds of which were used to refinance the Company's existing revolving credit facility, pay the 11.45% and 11.95% senior notes of Chambers, and finance the Chambers' shareholder litigation settlements of $75,900,000 and certain other merger related costs. Borrowings under this agreement bear interest based on the Eurodollar Rate or prime, plus a spread. On July 17, 1995, the Company entered into a three-year interest rate swap agreement whereby it established a fixed minimum interest rate of 7.65% on $125,000,000 of the facility.</w:t>
      </w:r>
    </w:p>
    <w:p>
      <w:pPr>
        <w:spacing w:after="0" w:line="201" w:lineRule="exact"/>
        <w:rPr>
          <w:sz w:val="20"/>
          <w:szCs w:val="20"/>
          <w:color w:val="auto"/>
        </w:rPr>
      </w:pPr>
    </w:p>
    <w:p>
      <w:pPr>
        <w:ind w:right="2159" w:firstLine="408"/>
        <w:spacing w:after="0" w:line="244" w:lineRule="auto"/>
        <w:rPr>
          <w:sz w:val="20"/>
          <w:szCs w:val="20"/>
          <w:color w:val="auto"/>
        </w:rPr>
      </w:pPr>
      <w:r>
        <w:rPr>
          <w:rFonts w:ascii="Courier New" w:cs="Courier New" w:eastAsia="Courier New" w:hAnsi="Courier New"/>
          <w:sz w:val="17"/>
          <w:szCs w:val="17"/>
          <w:color w:val="auto"/>
        </w:rPr>
        <w:t>As a result of the sale of approximately 6.3 million shares of the Company's common stock in October 1995 and the eventual retirement of the Company's convertible debentures in December 1995, the Company will have significantly changed its balance sheet. If these transactions were assumed to have occurred as of September 30, 1995, the Company's total liabilities would have been reduced by approximately $166 million and the stockholders' equity would have increased by approximately $164. See the effects of these changes</w:t>
      </w:r>
    </w:p>
    <w:p>
      <w:pPr>
        <w:sectPr>
          <w:pgSz w:w="11900" w:h="16838" w:orient="portrait"/>
          <w:cols w:equalWidth="0" w:num="1">
            <w:col w:w="10219"/>
          </w:cols>
          <w:pgMar w:left="240" w:top="311" w:right="1440" w:bottom="1440" w:gutter="0" w:footer="0" w:header="0"/>
        </w:sectPr>
      </w:pP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1"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16</w:t>
      </w:r>
    </w:p>
    <w:p>
      <w:pPr>
        <w:spacing w:after="0" w:line="5"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on the balance sheet as of September 30, 1995, as reflected in Note 6 to the Condensed Consolidated Financial Statements.</w:t>
      </w:r>
    </w:p>
    <w:p>
      <w:pPr>
        <w:spacing w:after="0" w:line="199" w:lineRule="exact"/>
        <w:rPr>
          <w:sz w:val="20"/>
          <w:szCs w:val="20"/>
          <w:color w:val="auto"/>
        </w:rPr>
      </w:pPr>
    </w:p>
    <w:p>
      <w:pPr>
        <w:jc w:val="both"/>
        <w:ind w:right="2559" w:firstLine="408"/>
        <w:spacing w:after="0" w:line="243" w:lineRule="auto"/>
        <w:rPr>
          <w:sz w:val="20"/>
          <w:szCs w:val="20"/>
          <w:color w:val="auto"/>
        </w:rPr>
      </w:pPr>
      <w:r>
        <w:rPr>
          <w:rFonts w:ascii="Courier New" w:cs="Courier New" w:eastAsia="Courier New" w:hAnsi="Courier New"/>
          <w:sz w:val="17"/>
          <w:szCs w:val="17"/>
          <w:color w:val="auto"/>
        </w:rPr>
        <w:t>The Company's business plan is to grow through acquisitions as well as development projects. The Company has issued equity securities in business acquisitions where appropriate and expects to do so in the future.</w:t>
      </w:r>
    </w:p>
    <w:p>
      <w:pPr>
        <w:spacing w:after="0" w:line="4"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Furthermore, the Company's future growth will depend greatly upon its ability to raise additional capital. Management believes that it can arrange the necessary financing required to accomplish its business plan; however, to the extent the Company is not successful in its future financing strategies the Company's growth could be limited.</w:t>
      </w:r>
    </w:p>
    <w:p>
      <w:pPr>
        <w:spacing w:after="0" w:line="198" w:lineRule="exact"/>
        <w:rPr>
          <w:sz w:val="20"/>
          <w:szCs w:val="20"/>
          <w:color w:val="auto"/>
        </w:rPr>
      </w:pPr>
    </w:p>
    <w:p>
      <w:pPr>
        <w:ind w:right="2559" w:firstLine="408"/>
        <w:spacing w:after="0" w:line="243" w:lineRule="auto"/>
        <w:rPr>
          <w:sz w:val="20"/>
          <w:szCs w:val="20"/>
          <w:color w:val="auto"/>
        </w:rPr>
      </w:pPr>
      <w:r>
        <w:rPr>
          <w:rFonts w:ascii="Courier New" w:cs="Courier New" w:eastAsia="Courier New" w:hAnsi="Courier New"/>
          <w:sz w:val="17"/>
          <w:szCs w:val="17"/>
          <w:color w:val="auto"/>
        </w:rPr>
        <w:t>The Company regularly engages in discussions relating to potential acquisitions and has identified several possible acquisition opportunities. The Company may announce acquisition transactions at any time.</w:t>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SEASONALITY</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Certain types of waste, such as yard clippings and construction debris, tend to have higher volumes in the spring and summer. As a result, the Company's revenues tend to be higher in the spring and summer compared to fall and winter.</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1"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17</w:t>
      </w:r>
    </w:p>
    <w:p>
      <w:pPr>
        <w:spacing w:after="0" w:line="20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3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tab/>
        <w:t>LEGAL PROCEEDINGS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Chambers Development Company, Inc. ("Chambers")</w:t>
      </w:r>
    </w:p>
    <w:p>
      <w:pPr>
        <w:spacing w:after="0" w:line="201" w:lineRule="exact"/>
        <w:rPr>
          <w:sz w:val="20"/>
          <w:szCs w:val="20"/>
          <w:color w:val="auto"/>
        </w:rPr>
      </w:pPr>
    </w:p>
    <w:p>
      <w:pPr>
        <w:ind w:right="2059" w:firstLine="306"/>
        <w:spacing w:after="0" w:line="244" w:lineRule="auto"/>
        <w:rPr>
          <w:sz w:val="20"/>
          <w:szCs w:val="20"/>
          <w:color w:val="auto"/>
        </w:rPr>
      </w:pPr>
      <w:r>
        <w:rPr>
          <w:rFonts w:ascii="Courier New" w:cs="Courier New" w:eastAsia="Courier New" w:hAnsi="Courier New"/>
          <w:sz w:val="17"/>
          <w:szCs w:val="17"/>
          <w:color w:val="auto"/>
        </w:rPr>
        <w:t>Chambers Shareholders Litigation. On February 24, 1995, representatives of the plaintiffs in In Re: Chambers Development Company, Inc. Shareholders Litigation, Civil Action No. 92-0679 (the "Chambers Federal Class Action"), representatives of the plaintiffs in Yeager v. Rangos, et al., Civil Action No. 92-1081 (the "Chambers Federal Derivative Action"), Chambers, and certain individual defendants entered into a 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were the definitive settlement documents for all of the pending Chambers' class actions and the derivative actions commenced by various Chambers' shareholders in 1992 and 1993. Reference should be made to "Chambers Shareholders Litigation" in Item 1. Legal Proceedings in the Company's Quarterly Report on Form 10-Q for the quarter ended June 30, 1995, for more information concerning the Chambers Shareholders Litigation.</w:t>
      </w:r>
    </w:p>
    <w:p>
      <w:pPr>
        <w:spacing w:after="0" w:line="203" w:lineRule="exact"/>
        <w:rPr>
          <w:sz w:val="20"/>
          <w:szCs w:val="20"/>
          <w:color w:val="auto"/>
        </w:rPr>
      </w:pPr>
    </w:p>
    <w:p>
      <w:pPr>
        <w:ind w:right="2259" w:firstLine="306"/>
        <w:spacing w:after="0" w:line="244" w:lineRule="auto"/>
        <w:rPr>
          <w:sz w:val="20"/>
          <w:szCs w:val="20"/>
          <w:color w:val="auto"/>
        </w:rPr>
      </w:pPr>
      <w:r>
        <w:rPr>
          <w:rFonts w:ascii="Courier New" w:cs="Courier New" w:eastAsia="Courier New" w:hAnsi="Courier New"/>
          <w:sz w:val="17"/>
          <w:szCs w:val="17"/>
          <w:color w:val="auto"/>
        </w:rPr>
        <w:t>In order for the settlements to be effective, certain related actions, as described in the Settlement Agreements, were required to be dismissed with prejudice, including Integrated Investments, Inc. et al. v. Chambers Development Company, Inc., et al., No. G.D. 92-7036 (the "Chambers State Class Action"), In Re: Chambers Development Company, Inc. Shareholders Litigation, Consolidated C.A. No. 12508 (the "Chambers Delaware Derivative Action"), and Babalan v. Rangos, et al. (the "Chambers Pennsylvania Derivative Action").</w:t>
      </w:r>
    </w:p>
    <w:p>
      <w:pPr>
        <w:spacing w:after="0" w:line="199" w:lineRule="exact"/>
        <w:rPr>
          <w:sz w:val="20"/>
          <w:szCs w:val="20"/>
          <w:color w:val="auto"/>
        </w:rPr>
      </w:pPr>
    </w:p>
    <w:p>
      <w:pPr>
        <w:ind w:right="2259" w:firstLine="306"/>
        <w:spacing w:after="0" w:line="244" w:lineRule="auto"/>
        <w:rPr>
          <w:sz w:val="20"/>
          <w:szCs w:val="20"/>
          <w:color w:val="auto"/>
        </w:rPr>
      </w:pPr>
      <w:r>
        <w:rPr>
          <w:rFonts w:ascii="Courier New" w:cs="Courier New" w:eastAsia="Courier New" w:hAnsi="Courier New"/>
          <w:sz w:val="17"/>
          <w:szCs w:val="17"/>
          <w:color w:val="auto"/>
        </w:rPr>
        <w:t>On March 22, 1995, the court granted preliminary approval of the Settlement Agreements and the distribution of notices to Chambers' stockholders and the plaintiff class members regarding the settlements. A hearing upon the fairness, reasonableness and adequacy of the proposed settlements was held on May 19, 1995. On May 30, 1995, the court issued a Memorandum Opinion, a Final Judgement and an Order of Dismissal as to All Defendants in the Chambers Federal Class Action, and a Final Order and Judgment in the Chambers Federal Derivative Action approving the settlements. Subsequently, the Chambers Delaware Derivative Action, the Chambers State Class Action, and the Chambers Pennsylvania Derivative Action were dismissed with prejudice.</w:t>
      </w:r>
    </w:p>
    <w:p>
      <w:pPr>
        <w:spacing w:after="0" w:line="19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On July 3, 1995, pursuant to the terms of the Settlement Agreements,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on behalf of Chambers, paid into the settlement fund an initial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$25,000,000 installment of the settlement and on July 11, 1995, the Company,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behalf of Chambers, paid into the settlement fund the balance owed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$50,900,000.</w:t>
      </w:r>
    </w:p>
    <w:p>
      <w:pPr>
        <w:spacing w:after="0" w:line="201" w:lineRule="exact"/>
        <w:rPr>
          <w:sz w:val="20"/>
          <w:szCs w:val="20"/>
          <w:color w:val="auto"/>
        </w:rPr>
      </w:pPr>
    </w:p>
    <w:p>
      <w:pPr>
        <w:ind w:right="2059" w:firstLine="306"/>
        <w:spacing w:after="0" w:line="260" w:lineRule="auto"/>
        <w:rPr>
          <w:sz w:val="20"/>
          <w:szCs w:val="20"/>
          <w:color w:val="auto"/>
        </w:rPr>
      </w:pPr>
      <w:r>
        <w:rPr>
          <w:rFonts w:ascii="Courier New" w:cs="Courier New" w:eastAsia="Courier New" w:hAnsi="Courier New"/>
          <w:sz w:val="16"/>
          <w:szCs w:val="16"/>
          <w:color w:val="auto"/>
        </w:rPr>
        <w:t>On or about August 8, 1995, Frederick A. Moran and certain related persons and entities filed a lawsuit against Chambers Development Company, Inc., certain former officers and directors of Chambers, and Grant Thornton, LLP, in the United States District Court for the Southern District of New York under the caption Moran et al. v. Chambers et al., Civil Action No. 95-6034. Plaintiffs, who claim to represent approximately 484,000 shares of Chambers stock, requested exclusion from the Class Action Settlement Agreement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Company has requested the Multidistrict Litigation Panel to transfer this case to the United States District Court for the Western District of Pennsylvania. The Company has filed its answer to the complaint and intends to vigorously defend against these claims. The case is currently in the early stages of discovery. Management of the Company believes the ultimate resolution of such complaint will not have a material adverse effect on the Company's financial position or results of operations.</w:t>
      </w:r>
    </w:p>
    <w:p>
      <w:pPr>
        <w:spacing w:after="0" w:line="390" w:lineRule="exact"/>
        <w:rPr>
          <w:sz w:val="20"/>
          <w:szCs w:val="20"/>
          <w:color w:val="auto"/>
        </w:rPr>
      </w:pPr>
    </w:p>
    <w:p>
      <w:pPr>
        <w:ind w:right="2159" w:firstLine="306"/>
        <w:spacing w:after="0" w:line="243" w:lineRule="auto"/>
        <w:rPr>
          <w:sz w:val="20"/>
          <w:szCs w:val="20"/>
          <w:color w:val="auto"/>
        </w:rPr>
      </w:pPr>
      <w:r>
        <w:rPr>
          <w:rFonts w:ascii="Courier New" w:cs="Courier New" w:eastAsia="Courier New" w:hAnsi="Courier New"/>
          <w:sz w:val="17"/>
          <w:szCs w:val="17"/>
          <w:color w:val="auto"/>
        </w:rPr>
        <w:t>Merger Litigation. Following the announcement of the proposed merger of Chambers with the company, three actions were filed in the court of Chancery of the State of Delaware in New Castle County against</w:t>
      </w:r>
    </w:p>
    <w:p>
      <w:pPr>
        <w:sectPr>
          <w:pgSz w:w="11900" w:h="16838" w:orient="portrait"/>
          <w:cols w:equalWidth="0" w:num="1">
            <w:col w:w="10219"/>
          </w:cols>
          <w:pgMar w:left="240" w:top="311" w:right="1440" w:bottom="1066" w:gutter="0" w:footer="0" w:header="0"/>
        </w:sectPr>
      </w:pP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1" w:right="1440" w:bottom="1066"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18</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Chambers, its officers and directors, and the Company. These cases were Smith v. Rangos et al., C.A. No. 13906; Krim v. Rangos et al., C.A. No. 13985; and Adams v. Rangos et al., C.A. No. 13909. A consolidation order was entered on March 1, 1995, and the cases were consolidated under the caption In Re Chambers Development Company, Inc. Shareholders Litigation, Consolidated C.A. No. 13906. The consolidated case was brought as a purported class action on behalf of the plaintiff and all similarly situated Chambers security holders. The complaint alleged that the individual defendants, inter alia, engaged in unfair dealing to the detriment of the class, the merger was grossly unfair to the members of the class, the members of the class would be irreparably damaged if the merger were to be consummated, and the defendants' conduct constituted a breach of fiduciary and other common law duties allegedly owed to the putative class. A Stipulation of Settlement was filed on June 30, 1995. In exchange for plaintiffs' agreement to such settlement, Chambers and the Company agreed, inter alia, to reduce the Termination Fee payable under certain conditions by Chambers to the Company pursuant to the merger documents from $28,000,000 to $21,000,000, and Chambers and the Company provided plaintiffs' counsel the opportunity to comment on, and included suggested changes in, the Joint Proxy Statement and Prospectus, dated May 19, 1995 issued by the Company and Chambers in connection with the merger. Based on such stipulation, the Company consummated the merger with Chambers. A Final Order and Judgment was entered by the court on September 28, 1995 approving the settlement.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396"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 Exhibits.</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3.1</w:t>
            </w:r>
          </w:p>
        </w:tc>
        <w:tc>
          <w:tcPr>
            <w:tcW w:w="5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Restated Certificate of Incorporation [Incorporated by Reference</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to Exhibit 3.1 of the Registrant's Registration Statement on</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Form S-4, File No. 33-60103].</w:t>
            </w:r>
          </w:p>
        </w:tc>
      </w:tr>
      <w:tr>
        <w:trPr>
          <w:trHeight w:val="392"/>
        </w:trPr>
        <w:tc>
          <w:tcPr>
            <w:tcW w:w="560" w:type="dxa"/>
            <w:vAlign w:val="bottom"/>
          </w:tcPr>
          <w:p>
            <w:pPr>
              <w:spacing w:after="0"/>
              <w:rPr>
                <w:sz w:val="20"/>
                <w:szCs w:val="20"/>
                <w:color w:val="auto"/>
              </w:rPr>
            </w:pPr>
            <w:r>
              <w:rPr>
                <w:rFonts w:ascii="Courier New" w:cs="Courier New" w:eastAsia="Courier New" w:hAnsi="Courier New"/>
                <w:sz w:val="17"/>
                <w:szCs w:val="17"/>
                <w:color w:val="auto"/>
              </w:rPr>
              <w:t>3.2</w:t>
            </w:r>
          </w:p>
        </w:tc>
        <w:tc>
          <w:tcPr>
            <w:tcW w:w="5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Bylaws [Incorporated by Reference to Exhibit 3.2 of the</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Registrant's Registration Statement on Form S-4, File No.</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33-60103].</w:t>
            </w:r>
          </w:p>
        </w:tc>
      </w:tr>
      <w:tr>
        <w:trPr>
          <w:trHeight w:val="392"/>
        </w:trPr>
        <w:tc>
          <w:tcPr>
            <w:tcW w:w="56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5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Indenture dated September 25, 1992, between the Registrant and</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The First National Bank of Boston, as Trustee, with respect to</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the Registrant's 8 1/2% Convertible Subordinated Debentures Due</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2002 [Incorporated by reference to Exhibit 4.1 of the</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Registrant's Registration Statement on Form S-1, File No.</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33-50918].</w:t>
            </w:r>
          </w:p>
        </w:tc>
      </w:tr>
      <w:tr>
        <w:trPr>
          <w:trHeight w:val="392"/>
        </w:trPr>
        <w:tc>
          <w:tcPr>
            <w:tcW w:w="56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5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Specimen Stock Certificate [Incorporated by reference to Exhibit</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4.3 of the Registrant's Registration Statement on Form S-3, File</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No. 33-76224].</w:t>
            </w:r>
          </w:p>
        </w:tc>
      </w:tr>
      <w:tr>
        <w:trPr>
          <w:trHeight w:val="392"/>
        </w:trPr>
        <w:tc>
          <w:tcPr>
            <w:tcW w:w="560" w:type="dxa"/>
            <w:vAlign w:val="bottom"/>
          </w:tcPr>
          <w:p>
            <w:pPr>
              <w:spacing w:after="0"/>
              <w:rPr>
                <w:sz w:val="20"/>
                <w:szCs w:val="20"/>
                <w:color w:val="auto"/>
              </w:rPr>
            </w:pPr>
            <w:r>
              <w:rPr>
                <w:rFonts w:ascii="Courier New" w:cs="Courier New" w:eastAsia="Courier New" w:hAnsi="Courier New"/>
                <w:sz w:val="17"/>
                <w:szCs w:val="17"/>
                <w:color w:val="auto"/>
              </w:rPr>
              <w:t>10.1</w:t>
            </w:r>
          </w:p>
        </w:tc>
        <w:tc>
          <w:tcPr>
            <w:tcW w:w="5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1990 Stock Option Plan [Incorporated by reference to Exhibit</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10.1 of the Registrant's Annual Report on Form 10-K for the year</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ended December 31, 1990].</w:t>
            </w:r>
          </w:p>
        </w:tc>
      </w:tr>
      <w:tr>
        <w:trPr>
          <w:trHeight w:val="392"/>
        </w:trPr>
        <w:tc>
          <w:tcPr>
            <w:tcW w:w="560" w:type="dxa"/>
            <w:vAlign w:val="bottom"/>
          </w:tcPr>
          <w:p>
            <w:pPr>
              <w:spacing w:after="0"/>
              <w:rPr>
                <w:sz w:val="20"/>
                <w:szCs w:val="20"/>
                <w:color w:val="auto"/>
              </w:rPr>
            </w:pPr>
            <w:r>
              <w:rPr>
                <w:rFonts w:ascii="Courier New" w:cs="Courier New" w:eastAsia="Courier New" w:hAnsi="Courier New"/>
                <w:sz w:val="17"/>
                <w:szCs w:val="17"/>
                <w:color w:val="auto"/>
              </w:rPr>
              <w:t>10.2</w:t>
            </w:r>
          </w:p>
        </w:tc>
        <w:tc>
          <w:tcPr>
            <w:tcW w:w="5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1993 Stock Incentive Plan [Incorporated by reference to Exhibit</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4.4 of the Registrants Registration Statement on Form S-8, File</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No. 33-72436].</w:t>
            </w:r>
          </w:p>
        </w:tc>
      </w:tr>
      <w:tr>
        <w:trPr>
          <w:trHeight w:val="392"/>
        </w:trPr>
        <w:tc>
          <w:tcPr>
            <w:tcW w:w="560" w:type="dxa"/>
            <w:vAlign w:val="bottom"/>
          </w:tcPr>
          <w:p>
            <w:pPr>
              <w:spacing w:after="0"/>
              <w:rPr>
                <w:sz w:val="20"/>
                <w:szCs w:val="20"/>
                <w:color w:val="auto"/>
              </w:rPr>
            </w:pPr>
            <w:r>
              <w:rPr>
                <w:rFonts w:ascii="Courier New" w:cs="Courier New" w:eastAsia="Courier New" w:hAnsi="Courier New"/>
                <w:sz w:val="17"/>
                <w:szCs w:val="17"/>
                <w:color w:val="auto"/>
              </w:rPr>
              <w:t>10.3</w:t>
            </w:r>
          </w:p>
        </w:tc>
        <w:tc>
          <w:tcPr>
            <w:tcW w:w="5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Envirofil, Inc. 1993 Stock Incentive Plan [Incorporated by</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reference to Exhibit 10.3 of the Registrant's Annual Report on</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Form 10-K for the year ended December 31, 1994].</w:t>
            </w:r>
          </w:p>
        </w:tc>
      </w:tr>
      <w:tr>
        <w:trPr>
          <w:trHeight w:val="392"/>
        </w:trPr>
        <w:tc>
          <w:tcPr>
            <w:tcW w:w="560" w:type="dxa"/>
            <w:vAlign w:val="bottom"/>
          </w:tcPr>
          <w:p>
            <w:pPr>
              <w:spacing w:after="0"/>
              <w:rPr>
                <w:sz w:val="20"/>
                <w:szCs w:val="20"/>
                <w:color w:val="auto"/>
              </w:rPr>
            </w:pPr>
            <w:r>
              <w:rPr>
                <w:rFonts w:ascii="Courier New" w:cs="Courier New" w:eastAsia="Courier New" w:hAnsi="Courier New"/>
                <w:sz w:val="17"/>
                <w:szCs w:val="17"/>
                <w:color w:val="auto"/>
              </w:rPr>
              <w:t>10.4</w:t>
            </w:r>
          </w:p>
        </w:tc>
        <w:tc>
          <w:tcPr>
            <w:tcW w:w="5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Asset Purchase Agreement dated August 12, 1993, between Chambers</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of Indiana, Inc. and USA Waste of Indiana, Inc. [Incorporated by</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reference to Exhibit 2.2 to Registrant's Current Report on Form</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8-K dated September 30, 1993].</w:t>
            </w:r>
          </w:p>
        </w:tc>
      </w:tr>
      <w:tr>
        <w:trPr>
          <w:trHeight w:val="392"/>
        </w:trPr>
        <w:tc>
          <w:tcPr>
            <w:tcW w:w="560" w:type="dxa"/>
            <w:vAlign w:val="bottom"/>
          </w:tcPr>
          <w:p>
            <w:pPr>
              <w:spacing w:after="0"/>
              <w:rPr>
                <w:sz w:val="20"/>
                <w:szCs w:val="20"/>
                <w:color w:val="auto"/>
              </w:rPr>
            </w:pPr>
            <w:r>
              <w:rPr>
                <w:rFonts w:ascii="Courier New" w:cs="Courier New" w:eastAsia="Courier New" w:hAnsi="Courier New"/>
                <w:sz w:val="17"/>
                <w:szCs w:val="17"/>
                <w:color w:val="auto"/>
              </w:rPr>
              <w:t>10.5</w:t>
            </w:r>
          </w:p>
        </w:tc>
        <w:tc>
          <w:tcPr>
            <w:tcW w:w="5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Stock Purchase Agreement dated August 12, 1993, between Chambers</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Development Company, Inc. and USA Waste of Indiana, Inc.</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[Incorporated by reference to Exhibit 2.1 to Registrant's</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Current Report on Form 8-K dated September 30, 1993].</w:t>
            </w:r>
          </w:p>
        </w:tc>
      </w:tr>
      <w:tr>
        <w:trPr>
          <w:trHeight w:val="392"/>
        </w:trPr>
        <w:tc>
          <w:tcPr>
            <w:tcW w:w="560" w:type="dxa"/>
            <w:vAlign w:val="bottom"/>
          </w:tcPr>
          <w:p>
            <w:pPr>
              <w:spacing w:after="0"/>
              <w:rPr>
                <w:sz w:val="20"/>
                <w:szCs w:val="20"/>
                <w:color w:val="auto"/>
              </w:rPr>
            </w:pPr>
            <w:r>
              <w:rPr>
                <w:rFonts w:ascii="Courier New" w:cs="Courier New" w:eastAsia="Courier New" w:hAnsi="Courier New"/>
                <w:sz w:val="17"/>
                <w:szCs w:val="17"/>
                <w:color w:val="auto"/>
              </w:rPr>
              <w:t>10.6</w:t>
            </w:r>
          </w:p>
        </w:tc>
        <w:tc>
          <w:tcPr>
            <w:tcW w:w="5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Agreement of Merger dated as of September 29, 1993, among USA</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Waste Services, Inc., USA Acquisition Co., Soil Remediation of</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Philadelphia, Inc., and Louis D. Paolino, Jr. [Incorporated by</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reference to Exhibit 2.3 to Registrant's Current Report on Form</w:t>
            </w: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8-K dated September 30, 1993].</w:t>
            </w:r>
          </w:p>
        </w:tc>
      </w:tr>
    </w:tbl>
    <w:p>
      <w:pPr>
        <w:spacing w:after="0" w:line="200" w:lineRule="exact"/>
        <w:rPr>
          <w:sz w:val="20"/>
          <w:szCs w:val="20"/>
          <w:color w:val="auto"/>
        </w:rPr>
      </w:pPr>
    </w:p>
    <w:p>
      <w:pPr>
        <w:sectPr>
          <w:pgSz w:w="11900" w:h="16838" w:orient="portrait"/>
          <w:cols w:equalWidth="0" w:num="1">
            <w:col w:w="10219"/>
          </w:cols>
          <w:pgMar w:left="240" w:top="311" w:right="1440" w:bottom="477"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1" w:right="1440" w:bottom="477"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3"/>
        </w:trPr>
        <w:tc>
          <w:tcPr>
            <w:tcW w:w="600" w:type="dxa"/>
            <w:vAlign w:val="bottom"/>
          </w:tcPr>
          <w:p>
            <w:pPr>
              <w:spacing w:after="0"/>
              <w:rPr>
                <w:sz w:val="20"/>
                <w:szCs w:val="20"/>
                <w:color w:val="auto"/>
              </w:rPr>
            </w:pPr>
            <w:r>
              <w:rPr>
                <w:rFonts w:ascii="Courier New" w:cs="Courier New" w:eastAsia="Courier New" w:hAnsi="Courier New"/>
                <w:sz w:val="17"/>
                <w:szCs w:val="17"/>
                <w:color w:val="auto"/>
              </w:rPr>
              <w:t>19</w:t>
            </w:r>
          </w:p>
        </w:tc>
        <w:tc>
          <w:tcPr>
            <w:tcW w:w="460" w:type="dxa"/>
            <w:vAlign w:val="bottom"/>
          </w:tcPr>
          <w:p>
            <w:pPr>
              <w:spacing w:after="0"/>
              <w:rPr>
                <w:sz w:val="16"/>
                <w:szCs w:val="16"/>
                <w:color w:val="auto"/>
              </w:rPr>
            </w:pPr>
          </w:p>
        </w:tc>
        <w:tc>
          <w:tcPr>
            <w:tcW w:w="6680" w:type="dxa"/>
            <w:vAlign w:val="bottom"/>
          </w:tcPr>
          <w:p>
            <w:pPr>
              <w:spacing w:after="0"/>
              <w:rPr>
                <w:sz w:val="16"/>
                <w:szCs w:val="16"/>
                <w:color w:val="auto"/>
              </w:rPr>
            </w:pPr>
          </w:p>
        </w:tc>
      </w:tr>
      <w:tr>
        <w:trPr>
          <w:trHeight w:val="196"/>
        </w:trPr>
        <w:tc>
          <w:tcPr>
            <w:tcW w:w="600" w:type="dxa"/>
            <w:vAlign w:val="bottom"/>
          </w:tcPr>
          <w:p>
            <w:pPr>
              <w:spacing w:after="0"/>
              <w:rPr>
                <w:sz w:val="20"/>
                <w:szCs w:val="20"/>
                <w:color w:val="auto"/>
              </w:rPr>
            </w:pPr>
            <w:r>
              <w:rPr>
                <w:rFonts w:ascii="Courier New" w:cs="Courier New" w:eastAsia="Courier New" w:hAnsi="Courier New"/>
                <w:sz w:val="17"/>
                <w:szCs w:val="17"/>
                <w:color w:val="auto"/>
              </w:rPr>
              <w:t>10.7</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Agreement and Plan of Reorganization dated as of March 17, 1993,</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as amended on March 25, 1993, March 31, 1993, and August 20,</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1993, between Envirofil, Inc. and Environmental Waste of</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America, Inc. [Incorporated by reference to Exhibit (c)(I) to</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Envirofil's Current Report on Form 8-K filed on November 16,</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1993, as amended by a Current Report in Form 8-K/A filed on</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January 18, 1994].</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10.8</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Stock Purchase Agreement dated March 15, 1993, between</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Environmental Waste of America, Inc. and Donald G.  Lindgren, as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amended and assigned to Envirofil, Inc. as of November 5, 1993.</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[Incorporated by reference to Exhibit (c)(I) to Envirofil's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Current Report on Form 8-K filed on November 16, 1993, as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amended by a Current Report in Form 8-K/A filed on January 18,</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1994].</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10.9</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Stock Purchase Agreement dated March 19, 1993, among Envirofil,</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Inc., Meadowbrook Carting Co., Inc., and certain shareholders of</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Meadowbrook Carting Co., Inc. [Incorporated by reference to</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Exhibit (c)(ii) to Envirofil's Current Report on Form 8-K filed</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February 28, 1994, as amended by Current Report on Form 8- K/A</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filed on May 11, 1994].</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10.10</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Stock Purchase Agreement dated March 19, 1993, among Envirofil,</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Inc., Mid-Jersey Disposal, Co., Inc., and certain shareholders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of Mid-Jersey Disposal Co., Inc. [Incorporated by reference to</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Exhibit (c)(ii) to Envirofil's Current Report on Form 8-K filed</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February 28, 1994, as amended by Current Report on Form 8- K/A</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filed on May 11, 1994].</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10.11</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Stock Purchase Agreement dated March 19, 1993, among Envirofil,</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Inc., Quality Recycling Co., Inc., and certain shareholders of</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Quality Recycling Co., Inc. [Incorporated by reference to</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Exhibit (c)(iii) to Envirofil's Current Report on Form 8-K filed</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February 28, 1994, as amended by Current Report on Form 8- K/A</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filed on May 11, 1994].</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10.12</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Stock Purchase Agreement dated March 19, 1993, among Envirofil,</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Inc., Forcees, Inc., and certain shareholders of Forcees., Inc.</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[Incorporated by reference to Exhibit (c)(iv) to Envirofil's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Current Report on Form 8-K filed February 28, 1994, as amended</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by Current Report on Form 8-K/A filed on May 11, 1994].</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10.13</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Amended and Restated Plan and Agreement of Reorganization dated</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March 29, 1994, among the Registrant, Envirofil Acquisition</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Corporation, a Delaware corporation and wholly owned subsidiary</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of the Registrant, and Envirofil, Inc., a Delaware corporation</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[Incorporated by reference to Exhibit 2.1 to the Registrant's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Registration Statement on Form S-4 (File No. 33-77110].</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10.14</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Amended and Restated Agreement and Plan of Merger dated as of</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November 28, 1994, among the Registrant, Chambers Acquisition</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Corporation, a Delaware corporation and wholly owned subsidiary</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of the Registrant, and Chambers Development Company, Inc., a</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Delaware corporation [Incorporated by reference to Exhibit 2.1</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of the Registrant's Registration Statement on Form S-4, File No.</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33-59259].</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10.15</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Form of Employment Agreement between the Registrant and each of</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John E. Drury, Donald F. Moorehead, Jr., David Sutherland-Yoest,</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and Charles A. Wilcox [Incorporated by reference to Exhibit</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10.18 of the Registrant's Annual Report on Form 10-K for the</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year ended December 31, 1994].</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10.16</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w w:val="99"/>
              </w:rPr>
              <w:t>Employment Agreement between the Registrant and Earl E. DeFrates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[Incorporated by reference to Exhibit 10.19 of the Registrant's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Annual Report on Form 10-K for the year ended December 31,</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1994].</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10.17</w:t>
            </w:r>
          </w:p>
        </w:tc>
        <w:tc>
          <w:tcPr>
            <w:tcW w:w="4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Employment Agreement between the Registrant and Gregory T.</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Sangalis [Incorporated by reference to Exhibit 10.17 to the</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Registrant's Registration Statement on Form S-4, File No.</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tcPr>
          <w:p>
            <w:pPr>
              <w:ind w:left="160"/>
              <w:spacing w:after="0"/>
              <w:rPr>
                <w:sz w:val="20"/>
                <w:szCs w:val="20"/>
                <w:color w:val="auto"/>
              </w:rPr>
            </w:pPr>
            <w:r>
              <w:rPr>
                <w:rFonts w:ascii="Courier New" w:cs="Courier New" w:eastAsia="Courier New" w:hAnsi="Courier New"/>
                <w:sz w:val="17"/>
                <w:szCs w:val="17"/>
                <w:color w:val="auto"/>
              </w:rPr>
              <w:t>33-59259].</w:t>
            </w:r>
          </w:p>
        </w:tc>
      </w:tr>
    </w:tbl>
    <w:p>
      <w:pPr>
        <w:spacing w:after="0" w:line="200" w:lineRule="exact"/>
        <w:rPr>
          <w:sz w:val="20"/>
          <w:szCs w:val="20"/>
          <w:color w:val="auto"/>
        </w:rPr>
      </w:pPr>
    </w:p>
    <w:p>
      <w:pPr>
        <w:sectPr>
          <w:pgSz w:w="11900" w:h="16838" w:orient="portrait"/>
          <w:cols w:equalWidth="0" w:num="1">
            <w:col w:w="9899"/>
          </w:cols>
          <w:pgMar w:left="560" w:top="311" w:right="1440" w:bottom="2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899"/>
          </w:cols>
          <w:pgMar w:left="560" w:top="311" w:right="1440" w:bottom="281"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93"/>
        </w:trPr>
        <w:tc>
          <w:tcPr>
            <w:tcW w:w="600" w:type="dxa"/>
            <w:vAlign w:val="bottom"/>
          </w:tcPr>
          <w:p>
            <w:pPr>
              <w:spacing w:after="0"/>
              <w:rPr>
                <w:sz w:val="20"/>
                <w:szCs w:val="20"/>
                <w:color w:val="auto"/>
              </w:rPr>
            </w:pPr>
            <w:r>
              <w:rPr>
                <w:rFonts w:ascii="Courier New" w:cs="Courier New" w:eastAsia="Courier New" w:hAnsi="Courier New"/>
                <w:sz w:val="17"/>
                <w:szCs w:val="17"/>
                <w:color w:val="auto"/>
              </w:rPr>
              <w:t>20</w:t>
            </w:r>
          </w:p>
        </w:tc>
        <w:tc>
          <w:tcPr>
            <w:tcW w:w="4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96"/>
        </w:trPr>
        <w:tc>
          <w:tcPr>
            <w:tcW w:w="600" w:type="dxa"/>
            <w:vAlign w:val="bottom"/>
          </w:tcPr>
          <w:p>
            <w:pPr>
              <w:spacing w:after="0"/>
              <w:rPr>
                <w:sz w:val="20"/>
                <w:szCs w:val="20"/>
                <w:color w:val="auto"/>
              </w:rPr>
            </w:pPr>
            <w:r>
              <w:rPr>
                <w:rFonts w:ascii="Courier New" w:cs="Courier New" w:eastAsia="Courier New" w:hAnsi="Courier New"/>
                <w:sz w:val="17"/>
                <w:szCs w:val="17"/>
                <w:color w:val="auto"/>
              </w:rPr>
              <w:t>10.18</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Amendment to Amended and Restated Agreement and Plan of Merger</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dated June 27, 1995, among the Registrant, Chambers Acquisition</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Corporation, and Chambers Development Company, Inc.</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80" w:type="dxa"/>
            <w:vAlign w:val="bottom"/>
          </w:tcPr>
          <w:p>
            <w:pPr>
              <w:ind w:left="160"/>
              <w:spacing w:after="0"/>
              <w:rPr>
                <w:sz w:val="20"/>
                <w:szCs w:val="20"/>
                <w:color w:val="auto"/>
              </w:rPr>
            </w:pPr>
            <w:r>
              <w:rPr>
                <w:rFonts w:ascii="Courier New" w:cs="Courier New" w:eastAsia="Courier New" w:hAnsi="Courier New"/>
                <w:sz w:val="17"/>
                <w:szCs w:val="17"/>
                <w:color w:val="auto"/>
              </w:rPr>
              <w:t>[Incorporated by reference to Exhibit</w:t>
            </w:r>
          </w:p>
        </w:tc>
        <w:tc>
          <w:tcPr>
            <w:tcW w:w="2700" w:type="dxa"/>
            <w:vAlign w:val="bottom"/>
          </w:tcPr>
          <w:p>
            <w:pPr>
              <w:ind w:left="60"/>
              <w:spacing w:after="0"/>
              <w:rPr>
                <w:sz w:val="20"/>
                <w:szCs w:val="20"/>
                <w:color w:val="auto"/>
              </w:rPr>
            </w:pPr>
            <w:r>
              <w:rPr>
                <w:rFonts w:ascii="Courier New" w:cs="Courier New" w:eastAsia="Courier New" w:hAnsi="Courier New"/>
                <w:sz w:val="17"/>
                <w:szCs w:val="17"/>
                <w:color w:val="auto"/>
              </w:rPr>
              <w:t>2.2 to the Registrant's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Current Report on Form 8-K dated June 27, 1995].</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10.19</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Revolving Credit and Term Loan Agreement dated as of June 30,</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1995, among the Registrant, its subsidiaries, The First National</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Bank of Boston, Bank of America Illinois, J.P. Morgan Securities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Inc., an Morgan Guaranty Trust Company of New York.</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[Incorporated by reference to Exhibit 10.19 to the Registrant's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Quarterly Report on Form 10-Q dated June 30, 1995].</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10.20</w:t>
            </w:r>
          </w:p>
        </w:tc>
        <w:tc>
          <w:tcPr>
            <w:tcW w:w="4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Shareholders Agreement dated June 25, 1995, among USA Waste</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Services, Inc., Donald F.  Moorehead, Jr., John E. Drury, John</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G. Rangos, Sr., John G. Rangos Jr., Alexander W.Rangos, and John</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80" w:type="dxa"/>
            <w:vAlign w:val="bottom"/>
          </w:tcPr>
          <w:p>
            <w:pPr>
              <w:ind w:left="160"/>
              <w:spacing w:after="0"/>
              <w:rPr>
                <w:sz w:val="20"/>
                <w:szCs w:val="20"/>
                <w:color w:val="auto"/>
              </w:rPr>
            </w:pPr>
            <w:r>
              <w:rPr>
                <w:rFonts w:ascii="Courier New" w:cs="Courier New" w:eastAsia="Courier New" w:hAnsi="Courier New"/>
                <w:sz w:val="17"/>
                <w:szCs w:val="17"/>
                <w:color w:val="auto"/>
              </w:rPr>
              <w:t>Rangos Development Corporation, Inc.</w:t>
            </w:r>
          </w:p>
        </w:tc>
        <w:tc>
          <w:tcPr>
            <w:tcW w:w="270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[Incorporated by reference to Exhibit 10.20 to the Registrant's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Quarterly Report on Form 10-Q/A dated June 30, 1995].</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10.21</w:t>
            </w:r>
          </w:p>
        </w:tc>
        <w:tc>
          <w:tcPr>
            <w:tcW w:w="4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Consulting and Non-Compete Agreement dated June 25, 1995,</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between the Registrant John G. Rangos, Sr.</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[Incorporated by reference to Exhibit 10.21 to the Registrant's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Quarterly Report on Form 10-Q/A dated June 30, 1995].</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10.22</w:t>
            </w:r>
          </w:p>
        </w:tc>
        <w:tc>
          <w:tcPr>
            <w:tcW w:w="4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Employment Agreement dated June 25, 1995, between the Registrant</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80" w:type="dxa"/>
            <w:vAlign w:val="bottom"/>
          </w:tcPr>
          <w:p>
            <w:pPr>
              <w:ind w:left="160"/>
              <w:spacing w:after="0"/>
              <w:rPr>
                <w:sz w:val="20"/>
                <w:szCs w:val="20"/>
                <w:color w:val="auto"/>
              </w:rPr>
            </w:pPr>
            <w:r>
              <w:rPr>
                <w:rFonts w:ascii="Courier New" w:cs="Courier New" w:eastAsia="Courier New" w:hAnsi="Courier New"/>
                <w:sz w:val="17"/>
                <w:szCs w:val="17"/>
                <w:color w:val="auto"/>
              </w:rPr>
              <w:t>and Alexander W. Rangos.</w:t>
            </w:r>
          </w:p>
        </w:tc>
        <w:tc>
          <w:tcPr>
            <w:tcW w:w="270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[Incorporated by reference to Exhibit 10.22 to the Registrant's</w:t>
            </w: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Quarterly Report on Form 10-Q/A dated June 30, 1995].</w:t>
            </w:r>
          </w:p>
        </w:tc>
      </w:tr>
      <w:tr>
        <w:trPr>
          <w:trHeight w:val="392"/>
        </w:trPr>
        <w:tc>
          <w:tcPr>
            <w:tcW w:w="600" w:type="dxa"/>
            <w:vAlign w:val="bottom"/>
          </w:tcPr>
          <w:p>
            <w:pPr>
              <w:spacing w:after="0"/>
              <w:rPr>
                <w:sz w:val="20"/>
                <w:szCs w:val="20"/>
                <w:color w:val="auto"/>
              </w:rPr>
            </w:pPr>
            <w:r>
              <w:rPr>
                <w:rFonts w:ascii="Courier New" w:cs="Courier New" w:eastAsia="Courier New" w:hAnsi="Courier New"/>
                <w:sz w:val="17"/>
                <w:szCs w:val="17"/>
                <w:color w:val="auto"/>
              </w:rPr>
              <w:t>27.1</w:t>
            </w:r>
          </w:p>
        </w:tc>
        <w:tc>
          <w:tcPr>
            <w:tcW w:w="4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3980" w:type="dxa"/>
            <w:vAlign w:val="bottom"/>
          </w:tcPr>
          <w:p>
            <w:pPr>
              <w:ind w:left="160"/>
              <w:spacing w:after="0"/>
              <w:rPr>
                <w:sz w:val="20"/>
                <w:szCs w:val="20"/>
                <w:color w:val="auto"/>
              </w:rPr>
            </w:pPr>
            <w:r>
              <w:rPr>
                <w:rFonts w:ascii="Courier New" w:cs="Courier New" w:eastAsia="Courier New" w:hAnsi="Courier New"/>
                <w:sz w:val="17"/>
                <w:szCs w:val="17"/>
                <w:color w:val="auto"/>
              </w:rPr>
              <w:t>Financial Data Schedule.</w:t>
            </w:r>
          </w:p>
        </w:tc>
        <w:tc>
          <w:tcPr>
            <w:tcW w:w="2700" w:type="dxa"/>
            <w:vAlign w:val="bottom"/>
          </w:tcPr>
          <w:p>
            <w:pPr>
              <w:spacing w:after="0"/>
              <w:rPr>
                <w:sz w:val="24"/>
                <w:szCs w:val="24"/>
                <w:color w:val="auto"/>
              </w:rPr>
            </w:pPr>
          </w:p>
        </w:tc>
      </w:tr>
      <w:tr>
        <w:trPr>
          <w:trHeight w:val="589"/>
        </w:trPr>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80" w:type="dxa"/>
            <w:vAlign w:val="bottom"/>
          </w:tcPr>
          <w:p>
            <w:pPr>
              <w:ind w:left="2600"/>
              <w:spacing w:after="0"/>
              <w:rPr>
                <w:sz w:val="20"/>
                <w:szCs w:val="20"/>
                <w:color w:val="auto"/>
              </w:rPr>
            </w:pPr>
            <w:r>
              <w:rPr>
                <w:rFonts w:ascii="Courier New" w:cs="Courier New" w:eastAsia="Courier New" w:hAnsi="Courier New"/>
                <w:sz w:val="17"/>
                <w:szCs w:val="17"/>
                <w:color w:val="auto"/>
              </w:rPr>
              <w:t>20</w:t>
            </w:r>
          </w:p>
        </w:tc>
        <w:tc>
          <w:tcPr>
            <w:tcW w:w="2700" w:type="dxa"/>
            <w:vAlign w:val="bottom"/>
          </w:tcPr>
          <w:p>
            <w:pPr>
              <w:spacing w:after="0"/>
              <w:rPr>
                <w:sz w:val="24"/>
                <w:szCs w:val="24"/>
                <w:color w:val="auto"/>
              </w:rPr>
            </w:pPr>
          </w:p>
        </w:tc>
      </w:tr>
    </w:tbl>
    <w:p>
      <w:pPr>
        <w:sectPr>
          <w:pgSz w:w="11900" w:h="16838" w:orient="portrait"/>
          <w:cols w:equalWidth="0" w:num="1">
            <w:col w:w="9899"/>
          </w:cols>
          <w:pgMar w:left="560" w:top="311"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21</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393" w:lineRule="exact"/>
        <w:rPr>
          <w:sz w:val="20"/>
          <w:szCs w:val="20"/>
          <w:color w:val="auto"/>
        </w:rPr>
      </w:pPr>
    </w:p>
    <w:p>
      <w:pPr>
        <w:jc w:val="both"/>
        <w:ind w:right="28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1"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November 14,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Earl E. DeFrates</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Earl E. DeFrates,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Executive Vice President,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Chief Financial Officer</w:t>
      </w:r>
    </w:p>
    <w:p>
      <w:pPr>
        <w:spacing w:after="0" w:line="200" w:lineRule="exact"/>
        <w:rPr>
          <w:sz w:val="20"/>
          <w:szCs w:val="20"/>
          <w:color w:val="auto"/>
        </w:rPr>
      </w:pPr>
    </w:p>
    <w:p>
      <w:pPr>
        <w:sectPr>
          <w:pgSz w:w="11900" w:h="16838" w:orient="portrait"/>
          <w:cols w:equalWidth="0" w:num="2">
            <w:col w:w="3360" w:space="720"/>
            <w:col w:w="6139"/>
          </w:cols>
          <w:pgMar w:left="240" w:top="311" w:right="1440" w:bottom="1440" w:gutter="0" w:footer="0" w:header="0"/>
          <w:type w:val="continuous"/>
        </w:sectPr>
      </w:pP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November 14,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Bruce E. Snyder</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Bruce E. Snyder,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Vice President - Controller,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Chief Accounting Officer</w:t>
      </w:r>
    </w:p>
    <w:p>
      <w:pPr>
        <w:spacing w:after="0" w:line="200" w:lineRule="exact"/>
        <w:rPr>
          <w:sz w:val="20"/>
          <w:szCs w:val="20"/>
          <w:color w:val="auto"/>
        </w:rPr>
      </w:pPr>
    </w:p>
    <w:p>
      <w:pPr>
        <w:sectPr>
          <w:pgSz w:w="11900" w:h="16838" w:orient="portrait"/>
          <w:cols w:equalWidth="0" w:num="2">
            <w:col w:w="3360" w:space="720"/>
            <w:col w:w="6139"/>
          </w:cols>
          <w:pgMar w:left="240" w:top="31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1" w:right="1440" w:bottom="1440"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22</w:t>
      </w:r>
    </w:p>
    <w:p>
      <w:pPr>
        <w:spacing w:after="0" w:line="4"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7"/>
          <w:szCs w:val="17"/>
          <w:color w:val="auto"/>
        </w:rPr>
        <w:t>INDEX TO EXHIBITS</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1320" w:space="720"/>
            <w:col w:w="8179"/>
          </w:cols>
          <w:pgMar w:left="240" w:top="311" w:right="1440"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w:t>
      </w:r>
    </w:p>
    <w:p>
      <w:pPr>
        <w:sectPr>
          <w:pgSz w:w="11900" w:h="16838" w:orient="portrait"/>
          <w:cols w:equalWidth="0" w:num="2">
            <w:col w:w="620" w:space="720"/>
            <w:col w:w="8879"/>
          </w:cols>
          <w:pgMar w:left="240" w:top="311" w:right="1440" w:bottom="1440" w:gutter="0" w:footer="0" w:header="0"/>
          <w:type w:val="continuous"/>
        </w:sectPr>
      </w:pPr>
    </w:p>
    <w:bookmarkStart w:id="23" w:name="page24"/>
    <w:bookmarkEnd w:id="23"/>
    <w:p>
      <w:pPr>
        <w:ind w:left="60"/>
        <w:spacing w:after="0"/>
        <w:rPr>
          <w:sz w:val="20"/>
          <w:szCs w:val="20"/>
          <w:color w:val="auto"/>
        </w:rPr>
      </w:pPr>
      <w:r>
        <w:rPr>
          <w:rFonts w:ascii="Courier New" w:cs="Courier New" w:eastAsia="Courier New" w:hAnsi="Courier New"/>
          <w:sz w:val="17"/>
          <w:szCs w:val="17"/>
          <w:color w:val="auto"/>
        </w:rPr>
        <w:t>5</w:t>
      </w:r>
    </w:p>
    <w:p>
      <w:pPr>
        <w:spacing w:after="0" w:line="201" w:lineRule="exact"/>
        <w:rPr>
          <w:sz w:val="20"/>
          <w:szCs w:val="20"/>
          <w:color w:val="auto"/>
        </w:rPr>
      </w:pPr>
    </w:p>
    <w:p>
      <w:pPr>
        <w:ind w:right="2239"/>
        <w:spacing w:after="0" w:line="266" w:lineRule="auto"/>
        <w:rPr>
          <w:sz w:val="20"/>
          <w:szCs w:val="20"/>
          <w:color w:val="auto"/>
        </w:rPr>
      </w:pPr>
      <w:r>
        <w:rPr>
          <w:rFonts w:ascii="Courier New" w:cs="Courier New" w:eastAsia="Courier New" w:hAnsi="Courier New"/>
          <w:sz w:val="16"/>
          <w:szCs w:val="16"/>
          <w:color w:val="auto"/>
        </w:rPr>
        <w:t>THIS SCHEDULE CONTAINS SUMMARY FINANCIAL INFORMATION EXTRACTED FROM THE FINANCIAL STATEMENTS OF USA WASTE FOR THE NINE MONTHS ENDED SEPTEMBER 30, 1995 AND IS QUALIFIED IN ITS ENTIRETY BY REFERENCE TO SUCH FINANCIAL STATEMENTS.</w:t>
      </w:r>
    </w:p>
    <w:p>
      <w:pPr>
        <w:spacing w:after="0" w:line="200" w:lineRule="exact"/>
        <w:rPr>
          <w:sz w:val="20"/>
          <w:szCs w:val="20"/>
          <w:color w:val="auto"/>
        </w:rPr>
      </w:pPr>
    </w:p>
    <w:p>
      <w:pPr>
        <w:spacing w:after="0" w:line="374"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9-MOS</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DEC-31-1995</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JAN-01-1995</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SEP-30-1995</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11,985,000</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66,842,000</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(4,065,000)</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104,236,000</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789,507,000</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(225,152,000)</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836,881,000</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97,535,000</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488,665,000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539,000</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190,613,000</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836,881,000</w:t>
      </w:r>
    </w:p>
    <w:p>
      <w:pPr>
        <w:spacing w:after="0" w:line="4"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332,447,000</w:t>
      </w:r>
    </w:p>
    <w:p>
      <w:pPr>
        <w:spacing w:after="0" w:line="4"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306,303,000</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(4,036,000)</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35,577,000</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(5,397,000)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3,358,000</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(8,755,000)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(8,755,000)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(0.17)</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(0.10)</w:t>
      </w:r>
    </w:p>
    <w:sectPr>
      <w:pgSz w:w="11900" w:h="16838" w:orient="portrait"/>
      <w:cols w:equalWidth="0" w:num="1">
        <w:col w:w="10179"/>
      </w:cols>
      <w:pgMar w:left="280" w:top="5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lvl w:ilvl="1">
      <w:lvlJc w:val="left"/>
      <w:lvlText w:val="(%2)"/>
      <w:numFmt w:val="lowerLetter"/>
      <w:start w:val="1"/>
    </w:lvl>
  </w:abstractNum>
  <w:abstractNum w:abstractNumId="5">
    <w:nsid w:val="12200854"/>
    <w:multiLevelType w:val="hybridMultilevel"/>
    <w:lvl w:ilvl="0">
      <w:lvlJc w:val="left"/>
      <w:lvlText w:val="%1."/>
      <w:numFmt w:val="decimal"/>
      <w:start w:val="2"/>
    </w:lvl>
    <w:lvl w:ilvl="1">
      <w:lvlJc w:val="left"/>
      <w:lvlText w:val="%2"/>
      <w:numFmt w:val="lowerLetter"/>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decimal"/>
      <w:start w:val="3"/>
    </w:lvl>
  </w:abstractNum>
  <w:abstractNum w:abstractNumId="9">
    <w:nsid w:val="1190CDE7"/>
    <w:multiLevelType w:val="hybridMultilevel"/>
    <w:lvl w:ilvl="0">
      <w:lvlJc w:val="left"/>
      <w:lvlText w:val="%1."/>
      <w:numFmt w:val="decimal"/>
      <w:start w:val="4"/>
    </w:lvl>
  </w:abstractNum>
  <w:abstractNum w:abstractNumId="10">
    <w:nsid w:val="66EF438D"/>
    <w:multiLevelType w:val="hybridMultilevel"/>
    <w:lvl w:ilvl="0">
      <w:lvlJc w:val="left"/>
      <w:lvlText w:val="%1."/>
      <w:numFmt w:val="decimal"/>
      <w:start w:val="5"/>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2019-12-20T04:48:12Z</dcterms:created>
  <dcterms:modified xsi:type="dcterms:W3CDTF">2019-12-20T04:48:12Z</dcterms:modified>
</cp:coreProperties>
</file>