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4883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20" w:right="1060"/>
        <w:spacing w:after="0" w:line="250" w:lineRule="auto"/>
        <w:rPr>
          <w:sz w:val="20"/>
          <w:szCs w:val="20"/>
          <w:color w:val="auto"/>
        </w:rPr>
      </w:pPr>
      <w:r>
        <w:rPr>
          <w:rFonts w:ascii="Arial" w:cs="Arial" w:eastAsia="Arial" w:hAnsi="Arial"/>
          <w:sz w:val="14"/>
          <w:szCs w:val="14"/>
          <w:color w:val="E8112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352"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Registration No. 333-162059</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E8112D"/>
        </w:rPr>
        <w:t>SUBJECT TO COMPLETION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E8112D"/>
        </w:rPr>
        <w:t>PRELIMINARY PROSPECTUS SUPPLEMENT DATED JUNE 3, 2010</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 Senior Notes due 2020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hanging="277"/>
        <w:spacing w:after="0" w:line="277" w:lineRule="auto"/>
        <w:rPr>
          <w:sz w:val="20"/>
          <w:szCs w:val="20"/>
          <w:color w:val="auto"/>
        </w:rPr>
      </w:pPr>
      <w:r>
        <w:rPr>
          <w:rFonts w:ascii="Arial" w:cs="Arial" w:eastAsia="Arial" w:hAnsi="Arial"/>
          <w:sz w:val="18"/>
          <w:szCs w:val="18"/>
          <w:color w:val="auto"/>
        </w:rPr>
        <w:t>We are offering $</w:t>
      </w:r>
      <w:r>
        <w:rPr>
          <w:sz w:val="20"/>
          <w:szCs w:val="20"/>
          <w:color w:val="auto"/>
        </w:rPr>
        <w:t xml:space="preserve"> </w:t>
      </w:r>
      <w:r>
        <w:rPr>
          <w:rFonts w:ascii="Arial" w:cs="Arial" w:eastAsia="Arial" w:hAnsi="Arial"/>
          <w:sz w:val="18"/>
          <w:szCs w:val="18"/>
          <w:color w:val="auto"/>
        </w:rPr>
        <w:t>of our % senior notes due 2020. Interest on the notes will accrue from June and of each year, beginning , 2010. The notes will mature on , 2020.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2010 and will be payable</w:t>
      </w:r>
    </w:p>
    <w:p>
      <w:pPr>
        <w:spacing w:after="0" w:line="369" w:lineRule="exact"/>
        <w:rPr>
          <w:sz w:val="20"/>
          <w:szCs w:val="20"/>
          <w:color w:val="auto"/>
        </w:rPr>
      </w:pPr>
    </w:p>
    <w:p>
      <w:pPr>
        <w:sectPr>
          <w:pgSz w:w="11900" w:h="16838" w:orient="portrait"/>
          <w:cols w:equalWidth="0" w:num="3">
            <w:col w:w="880" w:space="480"/>
            <w:col w:w="6840" w:space="140"/>
            <w:col w:w="3080"/>
          </w:cols>
          <w:pgMar w:left="240" w:top="122" w:right="239" w:bottom="1440" w:gutter="0" w:footer="0" w:header="0"/>
          <w:type w:val="continuous"/>
        </w:sectPr>
      </w:pPr>
    </w:p>
    <w:p>
      <w:pPr>
        <w:ind w:left="700" w:right="840" w:firstLine="397"/>
        <w:spacing w:after="0" w:line="286" w:lineRule="auto"/>
        <w:rPr>
          <w:sz w:val="20"/>
          <w:szCs w:val="20"/>
          <w:color w:val="auto"/>
        </w:rPr>
      </w:pPr>
      <w:r>
        <w:rPr>
          <w:rFonts w:ascii="Arial" w:cs="Arial" w:eastAsia="Arial" w:hAnsi="Arial"/>
          <w:sz w:val="17"/>
          <w:szCs w:val="17"/>
          <w:color w:val="auto"/>
        </w:rPr>
        <w:t>The notes will be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80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S-16. If a change of control triggering event as described beginning on page S-19 occurs, we may be required to offer to purchase the notes from holders.</w:t>
      </w:r>
    </w:p>
    <w:p>
      <w:pPr>
        <w:spacing w:after="0" w:line="16" w:lineRule="exact"/>
        <w:rPr>
          <w:sz w:val="20"/>
          <w:szCs w:val="20"/>
          <w:color w:val="auto"/>
        </w:rPr>
      </w:pPr>
    </w:p>
    <w:p>
      <w:pPr>
        <w:ind w:left="700" w:right="13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77" w:lineRule="exact"/>
        <w:rPr>
          <w:sz w:val="20"/>
          <w:szCs w:val="20"/>
          <w:color w:val="auto"/>
        </w:rPr>
      </w:pPr>
    </w:p>
    <w:p>
      <w:pPr>
        <w:ind w:left="700" w:right="8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 Note</w:t>
            </w:r>
          </w:p>
        </w:tc>
        <w:tc>
          <w:tcPr>
            <w:tcW w:w="280" w:type="dxa"/>
            <w:vAlign w:val="bottom"/>
          </w:tcPr>
          <w:p>
            <w:pPr>
              <w:spacing w:after="0"/>
              <w:rPr>
                <w:sz w:val="14"/>
                <w:szCs w:val="14"/>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49"/>
        </w:trPr>
        <w:tc>
          <w:tcPr>
            <w:tcW w:w="2680" w:type="dxa"/>
            <w:vAlign w:val="bottom"/>
            <w:gridSpan w:val="2"/>
          </w:tcPr>
          <w:p>
            <w:pPr>
              <w:spacing w:after="0"/>
              <w:rPr>
                <w:sz w:val="20"/>
                <w:szCs w:val="20"/>
                <w:color w:val="auto"/>
              </w:rPr>
            </w:pPr>
            <w:r>
              <w:rPr>
                <w:rFonts w:ascii="Arial" w:cs="Arial" w:eastAsia="Arial" w:hAnsi="Arial"/>
                <w:sz w:val="18"/>
                <w:szCs w:val="18"/>
                <w:color w:val="auto"/>
              </w:rPr>
              <w:t>Public Offering Price(1)</w:t>
            </w:r>
          </w:p>
        </w:tc>
        <w:tc>
          <w:tcPr>
            <w:tcW w:w="57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57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w w:val="89"/>
              </w:rPr>
              <w:t>Proceeds to Us (excluding expenses)</w:t>
            </w:r>
          </w:p>
        </w:tc>
        <w:tc>
          <w:tcPr>
            <w:tcW w:w="57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r>
      <w:tr>
        <w:trPr>
          <w:trHeight w:val="122"/>
        </w:trPr>
        <w:tc>
          <w:tcPr>
            <w:tcW w:w="126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57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77"/>
        </w:trPr>
        <w:tc>
          <w:tcPr>
            <w:tcW w:w="2680" w:type="dxa"/>
            <w:vAlign w:val="bottom"/>
            <w:gridSpan w:val="2"/>
          </w:tcPr>
          <w:p>
            <w:pPr>
              <w:spacing w:after="0"/>
              <w:rPr>
                <w:sz w:val="20"/>
                <w:szCs w:val="20"/>
                <w:color w:val="auto"/>
              </w:rPr>
            </w:pPr>
            <w:r>
              <w:rPr>
                <w:rFonts w:ascii="Arial" w:cs="Arial" w:eastAsia="Arial" w:hAnsi="Arial"/>
                <w:sz w:val="18"/>
                <w:szCs w:val="18"/>
                <w:color w:val="auto"/>
                <w:w w:val="94"/>
              </w:rPr>
              <w:t>(1) Plus accrued interest from June</w:t>
            </w:r>
          </w:p>
        </w:tc>
        <w:tc>
          <w:tcPr>
            <w:tcW w:w="5740" w:type="dxa"/>
            <w:vAlign w:val="bottom"/>
            <w:gridSpan w:val="2"/>
          </w:tcPr>
          <w:p>
            <w:pPr>
              <w:jc w:val="right"/>
              <w:ind w:right="2808"/>
              <w:spacing w:after="0"/>
              <w:rPr>
                <w:sz w:val="20"/>
                <w:szCs w:val="20"/>
                <w:color w:val="auto"/>
              </w:rPr>
            </w:pPr>
            <w:r>
              <w:rPr>
                <w:rFonts w:ascii="Arial" w:cs="Arial" w:eastAsia="Arial" w:hAnsi="Arial"/>
                <w:sz w:val="18"/>
                <w:szCs w:val="18"/>
                <w:color w:val="auto"/>
                <w:w w:val="91"/>
              </w:rPr>
              <w:t>, 2010 if delivery occurs after that date.</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ind w:left="1080"/>
              <w:spacing w:after="0"/>
              <w:rPr>
                <w:sz w:val="20"/>
                <w:szCs w:val="20"/>
                <w:color w:val="auto"/>
              </w:rPr>
            </w:pPr>
            <w:r>
              <w:rPr>
                <w:rFonts w:ascii="Arial" w:cs="Arial" w:eastAsia="Arial" w:hAnsi="Arial"/>
                <w:sz w:val="18"/>
                <w:szCs w:val="18"/>
                <w:color w:val="auto"/>
                <w:w w:val="90"/>
              </w:rPr>
              <w:t>The underwriters expect to deliver the notes to investors on or about June</w:t>
            </w:r>
          </w:p>
        </w:tc>
        <w:tc>
          <w:tcPr>
            <w:tcW w:w="4980" w:type="dxa"/>
            <w:vAlign w:val="bottom"/>
          </w:tcPr>
          <w:p>
            <w:pPr>
              <w:jc w:val="right"/>
              <w:ind w:right="802"/>
              <w:spacing w:after="0"/>
              <w:rPr>
                <w:sz w:val="20"/>
                <w:szCs w:val="20"/>
                <w:color w:val="auto"/>
              </w:rPr>
            </w:pPr>
            <w:r>
              <w:rPr>
                <w:rFonts w:ascii="Arial" w:cs="Arial" w:eastAsia="Arial" w:hAnsi="Arial"/>
                <w:sz w:val="18"/>
                <w:szCs w:val="18"/>
                <w:color w:val="auto"/>
                <w:w w:val="94"/>
              </w:rPr>
              <w:t>, 2010 only in book-entry form through the facilities of</w:t>
            </w:r>
          </w:p>
        </w:tc>
      </w:tr>
      <w:tr>
        <w:trPr>
          <w:trHeight w:val="230"/>
        </w:trPr>
        <w:tc>
          <w:tcPr>
            <w:tcW w:w="11420" w:type="dxa"/>
            <w:vAlign w:val="bottom"/>
            <w:gridSpan w:val="2"/>
          </w:tcPr>
          <w:p>
            <w:pPr>
              <w:ind w:left="700"/>
              <w:spacing w:after="0"/>
              <w:rPr>
                <w:sz w:val="20"/>
                <w:szCs w:val="20"/>
                <w:color w:val="auto"/>
              </w:rPr>
            </w:pPr>
            <w:r>
              <w:rPr>
                <w:rFonts w:ascii="Arial" w:cs="Arial" w:eastAsia="Arial" w:hAnsi="Arial"/>
                <w:sz w:val="18"/>
                <w:szCs w:val="18"/>
                <w:color w:val="auto"/>
              </w:rPr>
              <w:t>The Depository Trust Company and its participants, including Euroclear and Clearstream Banking.</w:t>
            </w:r>
          </w:p>
        </w:tc>
      </w:tr>
      <w:tr>
        <w:trPr>
          <w:trHeight w:val="284"/>
        </w:trPr>
        <w:tc>
          <w:tcPr>
            <w:tcW w:w="114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Joint Book-Running Managers</w:t>
            </w:r>
          </w:p>
        </w:tc>
      </w:tr>
      <w:tr>
        <w:trPr>
          <w:trHeight w:val="447"/>
        </w:trPr>
        <w:tc>
          <w:tcPr>
            <w:tcW w:w="6440" w:type="dxa"/>
            <w:vAlign w:val="bottom"/>
          </w:tcPr>
          <w:p>
            <w:pPr>
              <w:ind w:left="700"/>
              <w:spacing w:after="0"/>
              <w:rPr>
                <w:sz w:val="20"/>
                <w:szCs w:val="20"/>
                <w:color w:val="auto"/>
              </w:rPr>
            </w:pPr>
            <w:r>
              <w:rPr>
                <w:rFonts w:ascii="Arial" w:cs="Arial" w:eastAsia="Arial" w:hAnsi="Arial"/>
                <w:sz w:val="32"/>
                <w:szCs w:val="32"/>
                <w:b w:val="1"/>
                <w:bCs w:val="1"/>
                <w:color w:val="auto"/>
              </w:rPr>
              <w:t>BofA Merrill Lynch</w:t>
            </w:r>
          </w:p>
        </w:tc>
        <w:tc>
          <w:tcPr>
            <w:tcW w:w="4980" w:type="dxa"/>
            <w:vAlign w:val="bottom"/>
          </w:tcPr>
          <w:p>
            <w:pPr>
              <w:jc w:val="right"/>
              <w:ind w:right="662"/>
              <w:spacing w:after="0"/>
              <w:rPr>
                <w:sz w:val="20"/>
                <w:szCs w:val="20"/>
                <w:color w:val="auto"/>
              </w:rPr>
            </w:pPr>
            <w:r>
              <w:rPr>
                <w:rFonts w:ascii="Arial" w:cs="Arial" w:eastAsia="Arial" w:hAnsi="Arial"/>
                <w:sz w:val="32"/>
                <w:szCs w:val="32"/>
                <w:b w:val="1"/>
                <w:bCs w:val="1"/>
                <w:color w:val="auto"/>
              </w:rPr>
              <w:t>Barclays Capital</w:t>
            </w:r>
          </w:p>
        </w:tc>
      </w:tr>
      <w:tr>
        <w:trPr>
          <w:trHeight w:val="432"/>
        </w:trPr>
        <w:tc>
          <w:tcPr>
            <w:tcW w:w="6440" w:type="dxa"/>
            <w:vAlign w:val="bottom"/>
          </w:tcPr>
          <w:p>
            <w:pPr>
              <w:ind w:left="700"/>
              <w:spacing w:after="0"/>
              <w:rPr>
                <w:sz w:val="20"/>
                <w:szCs w:val="20"/>
                <w:color w:val="auto"/>
              </w:rPr>
            </w:pPr>
            <w:r>
              <w:rPr>
                <w:rFonts w:ascii="Arial" w:cs="Arial" w:eastAsia="Arial" w:hAnsi="Arial"/>
                <w:sz w:val="32"/>
                <w:szCs w:val="32"/>
                <w:b w:val="1"/>
                <w:bCs w:val="1"/>
                <w:color w:val="auto"/>
              </w:rPr>
              <w:t>Citi</w:t>
            </w:r>
          </w:p>
        </w:tc>
        <w:tc>
          <w:tcPr>
            <w:tcW w:w="4980" w:type="dxa"/>
            <w:vAlign w:val="bottom"/>
          </w:tcPr>
          <w:p>
            <w:pPr>
              <w:jc w:val="right"/>
              <w:ind w:right="662"/>
              <w:spacing w:after="0"/>
              <w:rPr>
                <w:sz w:val="20"/>
                <w:szCs w:val="20"/>
                <w:color w:val="auto"/>
              </w:rPr>
            </w:pPr>
            <w:r>
              <w:rPr>
                <w:rFonts w:ascii="Arial" w:cs="Arial" w:eastAsia="Arial" w:hAnsi="Arial"/>
                <w:sz w:val="32"/>
                <w:szCs w:val="32"/>
                <w:b w:val="1"/>
                <w:bCs w:val="1"/>
                <w:color w:val="auto"/>
              </w:rPr>
              <w:t>Goldman, Sachs &amp; Co.</w:t>
            </w:r>
          </w:p>
        </w:tc>
      </w:tr>
      <w:tr>
        <w:trPr>
          <w:trHeight w:val="269"/>
        </w:trPr>
        <w:tc>
          <w:tcPr>
            <w:tcW w:w="6440" w:type="dxa"/>
            <w:vAlign w:val="bottom"/>
          </w:tcPr>
          <w:p>
            <w:pPr>
              <w:jc w:val="center"/>
              <w:ind w:left="4766"/>
              <w:spacing w:after="0"/>
              <w:rPr>
                <w:sz w:val="20"/>
                <w:szCs w:val="20"/>
                <w:color w:val="auto"/>
              </w:rPr>
            </w:pPr>
            <w:r>
              <w:rPr>
                <w:rFonts w:ascii="Arial" w:cs="Arial" w:eastAsia="Arial" w:hAnsi="Arial"/>
                <w:sz w:val="18"/>
                <w:szCs w:val="18"/>
                <w:color w:val="auto"/>
                <w:w w:val="92"/>
              </w:rPr>
              <w:t>June  , 2010</w:t>
            </w:r>
          </w:p>
        </w:tc>
        <w:tc>
          <w:tcPr>
            <w:tcW w:w="4980" w:type="dxa"/>
            <w:vAlign w:val="bottom"/>
          </w:tcPr>
          <w:p>
            <w:pPr>
              <w:spacing w:after="0"/>
              <w:rPr>
                <w:sz w:val="23"/>
                <w:szCs w:val="23"/>
                <w:color w:val="auto"/>
              </w:rPr>
            </w:pPr>
          </w:p>
        </w:tc>
      </w:tr>
      <w:tr>
        <w:trPr>
          <w:trHeight w:val="226"/>
        </w:trPr>
        <w:tc>
          <w:tcPr>
            <w:tcW w:w="6440" w:type="dxa"/>
            <w:vAlign w:val="bottom"/>
            <w:tcBorders>
              <w:bottom w:val="single" w:sz="8" w:color="808080"/>
            </w:tcBorders>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700" w:right="820" w:firstLine="397"/>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18"/>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17"/>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13"/>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Notes</w:t>
              </w:r>
            </w:hyperlink>
          </w:p>
        </w:tc>
        <w:tc>
          <w:tcPr>
            <w:tcW w:w="2300" w:type="dxa"/>
            <w:vAlign w:val="bottom"/>
            <w:gridSpan w:val="11"/>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Underwriting</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Legal Matters</w:t>
              </w:r>
            </w:hyperlink>
          </w:p>
        </w:tc>
        <w:tc>
          <w:tcPr>
            <w:tcW w:w="2800" w:type="dxa"/>
            <w:vAlign w:val="bottom"/>
            <w:gridSpan w:val="15"/>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S-28</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Incorporation of Certain Documents by Reference</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S-28</w:t>
            </w:r>
          </w:p>
        </w:tc>
        <w:tc>
          <w:tcPr>
            <w:tcW w:w="800" w:type="dxa"/>
            <w:vAlign w:val="bottom"/>
          </w:tcPr>
          <w:p>
            <w:pPr>
              <w:spacing w:after="0"/>
              <w:rPr>
                <w:sz w:val="17"/>
                <w:szCs w:val="17"/>
                <w:color w:val="auto"/>
              </w:rPr>
            </w:pPr>
          </w:p>
        </w:tc>
      </w:tr>
      <w:tr>
        <w:trPr>
          <w:trHeight w:val="384"/>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3800" w:type="dxa"/>
            <w:vAlign w:val="bottom"/>
            <w:gridSpan w:val="20"/>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6120" w:type="dxa"/>
            <w:vAlign w:val="bottom"/>
            <w:gridSpan w:val="2"/>
          </w:tcPr>
          <w:p>
            <w:pPr>
              <w:jc w:val="right"/>
              <w:ind w:right="12"/>
              <w:spacing w:after="0" w:line="190"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About This Prospectus</w:t>
              </w:r>
            </w:hyperlink>
          </w:p>
        </w:tc>
        <w:tc>
          <w:tcPr>
            <w:tcW w:w="460" w:type="dxa"/>
            <w:vAlign w:val="bottom"/>
            <w:tcBorders>
              <w:top w:val="single" w:sz="8" w:color="0000EE"/>
            </w:tcBorders>
            <w:gridSpan w:val="4"/>
          </w:tcPr>
          <w:p>
            <w:pPr>
              <w:spacing w:after="0"/>
              <w:rPr>
                <w:sz w:val="17"/>
                <w:szCs w:val="17"/>
                <w:color w:val="auto"/>
              </w:rPr>
            </w:pPr>
          </w:p>
        </w:tc>
        <w:tc>
          <w:tcPr>
            <w:tcW w:w="1700" w:type="dxa"/>
            <w:vAlign w:val="bottom"/>
            <w:gridSpan w:val="6"/>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Incorporation of Certain Documents by Reference</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The Company</w:t>
              </w:r>
            </w:hyperlink>
          </w:p>
        </w:tc>
        <w:tc>
          <w:tcPr>
            <w:tcW w:w="2780" w:type="dxa"/>
            <w:vAlign w:val="bottom"/>
            <w:gridSpan w:val="14"/>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2900" w:type="dxa"/>
            <w:vAlign w:val="bottom"/>
            <w:gridSpan w:val="17"/>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Ratio of Earnings to Fixed Charges</w:t>
              </w:r>
            </w:hyperlink>
          </w:p>
        </w:tc>
        <w:tc>
          <w:tcPr>
            <w:tcW w:w="1260" w:type="dxa"/>
            <w:vAlign w:val="bottom"/>
            <w:gridSpan w:val="3"/>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the Debt Securities</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Guarantees</w:t>
              </w:r>
            </w:hyperlink>
          </w:p>
        </w:tc>
        <w:tc>
          <w:tcPr>
            <w:tcW w:w="1360" w:type="dxa"/>
            <w:vAlign w:val="bottom"/>
            <w:gridSpan w:val="4"/>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Other Securities</w:t>
              </w:r>
            </w:hyperlink>
          </w:p>
        </w:tc>
        <w:tc>
          <w:tcPr>
            <w:tcW w:w="1560" w:type="dxa"/>
            <w:vAlign w:val="bottom"/>
            <w:gridSpan w:val="5"/>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Selling Securityholders</w:t>
              </w:r>
            </w:hyperlink>
          </w:p>
        </w:tc>
        <w:tc>
          <w:tcPr>
            <w:tcW w:w="2120" w:type="dxa"/>
            <w:vAlign w:val="bottom"/>
            <w:gridSpan w:val="9"/>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Legal Matters</w:t>
              </w:r>
            </w:hyperlink>
          </w:p>
        </w:tc>
        <w:tc>
          <w:tcPr>
            <w:tcW w:w="2800" w:type="dxa"/>
            <w:vAlign w:val="bottom"/>
            <w:gridSpan w:val="15"/>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540" w:type="dxa"/>
            <w:vAlign w:val="bottom"/>
            <w:tcBorders>
              <w:top w:val="single" w:sz="8" w:color="0000EE"/>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58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1"/>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Issuer</w:t>
            </w:r>
          </w:p>
        </w:tc>
        <w:tc>
          <w:tcPr>
            <w:tcW w:w="4200" w:type="dxa"/>
            <w:vAlign w:val="bottom"/>
            <w:gridSpan w:val="3"/>
          </w:tcPr>
          <w:p>
            <w:pPr>
              <w:ind w:left="960"/>
              <w:spacing w:after="0"/>
              <w:rPr>
                <w:sz w:val="20"/>
                <w:szCs w:val="20"/>
                <w:color w:val="auto"/>
              </w:rPr>
            </w:pPr>
            <w:r>
              <w:rPr>
                <w:rFonts w:ascii="Arial" w:cs="Arial" w:eastAsia="Arial" w:hAnsi="Arial"/>
                <w:sz w:val="18"/>
                <w:szCs w:val="18"/>
                <w:color w:val="auto"/>
              </w:rPr>
              <w:t>Waste Management, Inc.</w:t>
            </w: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Securities Offered</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w w:val="97"/>
              </w:rPr>
              <w:t>million aggregate principal amount of</w:t>
            </w:r>
          </w:p>
        </w:tc>
        <w:tc>
          <w:tcPr>
            <w:tcW w:w="2840" w:type="dxa"/>
            <w:vAlign w:val="bottom"/>
            <w:gridSpan w:val="2"/>
          </w:tcPr>
          <w:p>
            <w:pPr>
              <w:ind w:left="60"/>
              <w:spacing w:after="0"/>
              <w:rPr>
                <w:sz w:val="20"/>
                <w:szCs w:val="20"/>
                <w:color w:val="auto"/>
              </w:rPr>
            </w:pPr>
            <w:r>
              <w:rPr>
                <w:rFonts w:ascii="Arial" w:cs="Arial" w:eastAsia="Arial" w:hAnsi="Arial"/>
                <w:sz w:val="18"/>
                <w:szCs w:val="18"/>
                <w:color w:val="auto"/>
              </w:rPr>
              <w:t>% Senior Notes due 2020</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Subsidiary Guarantee</w:t>
            </w: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1"/>
              </w:rPr>
              <w:t>WM Holdings will fully and unconditionally guarantee, on a senior unsecured basis,</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4"/>
              </w:rPr>
              <w:t>the full and prompt payment of the principal and any premium and interest on the</w:t>
            </w:r>
          </w:p>
        </w:tc>
      </w:tr>
      <w:tr>
        <w:trPr>
          <w:trHeight w:val="230"/>
        </w:trPr>
        <w:tc>
          <w:tcPr>
            <w:tcW w:w="2720" w:type="dxa"/>
            <w:vAlign w:val="bottom"/>
          </w:tcPr>
          <w:p>
            <w:pPr>
              <w:spacing w:after="0"/>
              <w:rPr>
                <w:sz w:val="20"/>
                <w:szCs w:val="20"/>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2"/>
              </w:rPr>
              <w:t>notes, when and as it becomes due and payable, whether at maturity or otherwise.</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Maturity Date</w:t>
            </w:r>
          </w:p>
        </w:tc>
        <w:tc>
          <w:tcPr>
            <w:tcW w:w="11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 2020</w:t>
            </w:r>
          </w:p>
        </w:tc>
        <w:tc>
          <w:tcPr>
            <w:tcW w:w="2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Rate</w:t>
            </w:r>
          </w:p>
        </w:tc>
        <w:tc>
          <w:tcPr>
            <w:tcW w:w="11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98"/>
              </w:rPr>
              <w:t>% per year</w:t>
            </w:r>
          </w:p>
        </w:tc>
        <w:tc>
          <w:tcPr>
            <w:tcW w:w="2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1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and</w:t>
            </w:r>
          </w:p>
        </w:tc>
        <w:tc>
          <w:tcPr>
            <w:tcW w:w="2140" w:type="dxa"/>
            <w:vAlign w:val="bottom"/>
          </w:tcPr>
          <w:p>
            <w:pPr>
              <w:ind w:left="100"/>
              <w:spacing w:after="0"/>
              <w:rPr>
                <w:sz w:val="20"/>
                <w:szCs w:val="20"/>
                <w:color w:val="auto"/>
              </w:rPr>
            </w:pPr>
            <w:r>
              <w:rPr>
                <w:rFonts w:ascii="Arial" w:cs="Arial" w:eastAsia="Arial" w:hAnsi="Arial"/>
                <w:sz w:val="18"/>
                <w:szCs w:val="18"/>
                <w:color w:val="auto"/>
              </w:rPr>
              <w:t>of each year, beginning</w:t>
            </w:r>
          </w:p>
        </w:tc>
        <w:tc>
          <w:tcPr>
            <w:tcW w:w="1640" w:type="dxa"/>
            <w:vAlign w:val="bottom"/>
          </w:tcPr>
          <w:p>
            <w:pPr>
              <w:jc w:val="right"/>
              <w:ind w:right="1010"/>
              <w:spacing w:after="0"/>
              <w:rPr>
                <w:sz w:val="20"/>
                <w:szCs w:val="20"/>
                <w:color w:val="auto"/>
              </w:rPr>
            </w:pPr>
            <w:r>
              <w:rPr>
                <w:rFonts w:ascii="Arial" w:cs="Arial" w:eastAsia="Arial" w:hAnsi="Arial"/>
                <w:sz w:val="18"/>
                <w:szCs w:val="18"/>
                <w:color w:val="auto"/>
              </w:rPr>
              <w:t>, 2010</w:t>
            </w:r>
          </w:p>
        </w:tc>
        <w:tc>
          <w:tcPr>
            <w:tcW w:w="120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Optional Redemption</w:t>
            </w: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3"/>
              </w:rPr>
              <w:t>We may elect to redeem and repay any or all of the notes at any time in minimum</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1"/>
              </w:rPr>
              <w:t>principal amounts of $2,000 or any integral multiple of $1,000 in excess thereof. We</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0"/>
              </w:rPr>
              <w:t>will pay an amount equal to the greater of 100% of the principal amount of the notes</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1"/>
              </w:rPr>
              <w:t>redeemed and repaid, or the sum of the present values of the remaining scheduled</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1"/>
              </w:rPr>
              <w:t>payments of principal and interest on the notes. We will also pay accrued interest to</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1"/>
              </w:rPr>
              <w:t>the redemption date. See “Description of Notes — Optional Redemption” beginning</w:t>
            </w:r>
          </w:p>
        </w:tc>
      </w:tr>
      <w:tr>
        <w:trPr>
          <w:trHeight w:val="230"/>
        </w:trPr>
        <w:tc>
          <w:tcPr>
            <w:tcW w:w="2720" w:type="dxa"/>
            <w:vAlign w:val="bottom"/>
          </w:tcPr>
          <w:p>
            <w:pPr>
              <w:spacing w:after="0"/>
              <w:rPr>
                <w:sz w:val="20"/>
                <w:szCs w:val="20"/>
                <w:color w:val="auto"/>
              </w:rPr>
            </w:pPr>
          </w:p>
        </w:tc>
        <w:tc>
          <w:tcPr>
            <w:tcW w:w="4200" w:type="dxa"/>
            <w:vAlign w:val="bottom"/>
            <w:gridSpan w:val="3"/>
          </w:tcPr>
          <w:p>
            <w:pPr>
              <w:ind w:left="960"/>
              <w:spacing w:after="0"/>
              <w:rPr>
                <w:sz w:val="20"/>
                <w:szCs w:val="20"/>
                <w:color w:val="auto"/>
              </w:rPr>
            </w:pPr>
            <w:r>
              <w:rPr>
                <w:rFonts w:ascii="Arial" w:cs="Arial" w:eastAsia="Arial" w:hAnsi="Arial"/>
                <w:sz w:val="18"/>
                <w:szCs w:val="18"/>
                <w:color w:val="auto"/>
                <w:w w:val="90"/>
              </w:rPr>
              <w:t>on page S-16 of this prospectus supplement.</w:t>
            </w: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0"/>
              </w:rPr>
              <w:t>If a change of control triggering event occurs, holders of the notes may require us to</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7"/>
              </w:rPr>
              <w:t>purchase all or a portion of such holders’ notes at a price equal to 101% of the</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rPr>
              <w:t>principal amount, plus accrued interest, if any, to the date of purchase. See</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4"/>
              </w:rPr>
              <w:t>“Description of Notes — Change of Control Offer” beginning on page S-19 of this</w:t>
            </w:r>
          </w:p>
        </w:tc>
      </w:tr>
      <w:tr>
        <w:trPr>
          <w:trHeight w:val="230"/>
        </w:trPr>
        <w:tc>
          <w:tcPr>
            <w:tcW w:w="2720" w:type="dxa"/>
            <w:vAlign w:val="bottom"/>
          </w:tcPr>
          <w:p>
            <w:pPr>
              <w:spacing w:after="0"/>
              <w:rPr>
                <w:sz w:val="20"/>
                <w:szCs w:val="20"/>
                <w:color w:val="auto"/>
              </w:rPr>
            </w:pPr>
          </w:p>
        </w:tc>
        <w:tc>
          <w:tcPr>
            <w:tcW w:w="4200" w:type="dxa"/>
            <w:vAlign w:val="bottom"/>
            <w:gridSpan w:val="3"/>
          </w:tcPr>
          <w:p>
            <w:pPr>
              <w:ind w:left="960"/>
              <w:spacing w:after="0"/>
              <w:rPr>
                <w:sz w:val="20"/>
                <w:szCs w:val="20"/>
                <w:color w:val="auto"/>
              </w:rPr>
            </w:pPr>
            <w:r>
              <w:rPr>
                <w:rFonts w:ascii="Arial" w:cs="Arial" w:eastAsia="Arial" w:hAnsi="Arial"/>
                <w:sz w:val="18"/>
                <w:szCs w:val="18"/>
                <w:color w:val="auto"/>
              </w:rPr>
              <w:t>prospectus supplement.</w:t>
            </w: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Ranking</w:t>
            </w: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4"/>
              </w:rPr>
              <w:t>The notes and the guarantees will constitute the senior unsecured debt of Waste</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3"/>
              </w:rPr>
              <w:t>Management, Inc. and WM Holdings, respectively, and will rank equally with all of</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rPr>
              <w:t>our and its other existing and future senior indebtedness from time to time</w:t>
            </w:r>
          </w:p>
        </w:tc>
      </w:tr>
      <w:tr>
        <w:trPr>
          <w:trHeight w:val="230"/>
        </w:trPr>
        <w:tc>
          <w:tcPr>
            <w:tcW w:w="2720" w:type="dxa"/>
            <w:vAlign w:val="bottom"/>
          </w:tcPr>
          <w:p>
            <w:pPr>
              <w:spacing w:after="0"/>
              <w:rPr>
                <w:sz w:val="20"/>
                <w:szCs w:val="20"/>
                <w:color w:val="auto"/>
              </w:rPr>
            </w:pPr>
          </w:p>
        </w:tc>
        <w:tc>
          <w:tcPr>
            <w:tcW w:w="2060" w:type="dxa"/>
            <w:vAlign w:val="bottom"/>
            <w:gridSpan w:val="2"/>
          </w:tcPr>
          <w:p>
            <w:pPr>
              <w:ind w:left="960"/>
              <w:spacing w:after="0"/>
              <w:rPr>
                <w:sz w:val="20"/>
                <w:szCs w:val="20"/>
                <w:color w:val="auto"/>
              </w:rPr>
            </w:pPr>
            <w:r>
              <w:rPr>
                <w:rFonts w:ascii="Arial" w:cs="Arial" w:eastAsia="Arial" w:hAnsi="Arial"/>
                <w:sz w:val="18"/>
                <w:szCs w:val="18"/>
                <w:color w:val="auto"/>
              </w:rPr>
              <w:t>outstanding.</w:t>
            </w:r>
          </w:p>
        </w:tc>
        <w:tc>
          <w:tcPr>
            <w:tcW w:w="2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Covenants</w:t>
            </w: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4"/>
              </w:rPr>
              <w:t>We will issue the notes under an indenture containing covenants for your benefit.</w:t>
            </w:r>
          </w:p>
        </w:tc>
      </w:tr>
      <w:tr>
        <w:trPr>
          <w:trHeight w:val="230"/>
        </w:trPr>
        <w:tc>
          <w:tcPr>
            <w:tcW w:w="2720" w:type="dxa"/>
            <w:vAlign w:val="bottom"/>
          </w:tcPr>
          <w:p>
            <w:pPr>
              <w:spacing w:after="0"/>
              <w:rPr>
                <w:sz w:val="20"/>
                <w:szCs w:val="20"/>
                <w:color w:val="auto"/>
              </w:rPr>
            </w:pP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w w:val="97"/>
              </w:rPr>
              <w:t>These covenants restrict our ability, with certain exceptions, to:</w:t>
            </w:r>
          </w:p>
        </w:tc>
        <w:tc>
          <w:tcPr>
            <w:tcW w:w="1200" w:type="dxa"/>
            <w:vAlign w:val="bottom"/>
          </w:tcPr>
          <w:p>
            <w:pPr>
              <w:spacing w:after="0"/>
              <w:rPr>
                <w:sz w:val="20"/>
                <w:szCs w:val="20"/>
                <w:color w:val="auto"/>
              </w:rPr>
            </w:pPr>
          </w:p>
        </w:tc>
      </w:tr>
      <w:tr>
        <w:trPr>
          <w:trHeight w:val="324"/>
        </w:trPr>
        <w:tc>
          <w:tcPr>
            <w:tcW w:w="2720" w:type="dxa"/>
            <w:vAlign w:val="bottom"/>
          </w:tcPr>
          <w:p>
            <w:pPr>
              <w:spacing w:after="0"/>
              <w:rPr>
                <w:sz w:val="24"/>
                <w:szCs w:val="24"/>
                <w:color w:val="auto"/>
              </w:rPr>
            </w:pP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rPr>
              <w:t>• create, incur or assume debt secured by liens;</w:t>
            </w:r>
          </w:p>
        </w:tc>
        <w:tc>
          <w:tcPr>
            <w:tcW w:w="1200" w:type="dxa"/>
            <w:vAlign w:val="bottom"/>
          </w:tcPr>
          <w:p>
            <w:pPr>
              <w:spacing w:after="0"/>
              <w:rPr>
                <w:sz w:val="24"/>
                <w:szCs w:val="24"/>
                <w:color w:val="auto"/>
              </w:rPr>
            </w:pPr>
          </w:p>
        </w:tc>
      </w:tr>
      <w:tr>
        <w:trPr>
          <w:trHeight w:val="324"/>
        </w:trPr>
        <w:tc>
          <w:tcPr>
            <w:tcW w:w="2720" w:type="dxa"/>
            <w:vAlign w:val="bottom"/>
          </w:tcPr>
          <w:p>
            <w:pPr>
              <w:spacing w:after="0"/>
              <w:rPr>
                <w:sz w:val="24"/>
                <w:szCs w:val="24"/>
                <w:color w:val="auto"/>
              </w:rPr>
            </w:pP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rPr>
              <w:t>• engage in sale and leaseback transactions; and</w:t>
            </w:r>
          </w:p>
        </w:tc>
        <w:tc>
          <w:tcPr>
            <w:tcW w:w="1200" w:type="dxa"/>
            <w:vAlign w:val="bottom"/>
          </w:tcPr>
          <w:p>
            <w:pPr>
              <w:spacing w:after="0"/>
              <w:rPr>
                <w:sz w:val="24"/>
                <w:szCs w:val="24"/>
                <w:color w:val="auto"/>
              </w:rPr>
            </w:pPr>
          </w:p>
        </w:tc>
      </w:tr>
      <w:tr>
        <w:trPr>
          <w:trHeight w:val="324"/>
        </w:trPr>
        <w:tc>
          <w:tcPr>
            <w:tcW w:w="2720" w:type="dxa"/>
            <w:vAlign w:val="bottom"/>
          </w:tcPr>
          <w:p>
            <w:pPr>
              <w:spacing w:after="0"/>
              <w:rPr>
                <w:sz w:val="24"/>
                <w:szCs w:val="24"/>
                <w:color w:val="auto"/>
              </w:rPr>
            </w:pP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w w:val="90"/>
              </w:rPr>
              <w:t>• merge, consolidate or transfer all or substantially all of our assets.</w:t>
            </w:r>
          </w:p>
        </w:tc>
        <w:tc>
          <w:tcPr>
            <w:tcW w:w="120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Use of Proceeds</w:t>
            </w: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w w:val="93"/>
              </w:rPr>
              <w:t>We expect the net proceeds from the offering of the notes to be $</w:t>
            </w:r>
          </w:p>
        </w:tc>
        <w:tc>
          <w:tcPr>
            <w:tcW w:w="1200" w:type="dxa"/>
            <w:vAlign w:val="bottom"/>
          </w:tcPr>
          <w:p>
            <w:pPr>
              <w:ind w:left="60"/>
              <w:spacing w:after="0"/>
              <w:rPr>
                <w:sz w:val="20"/>
                <w:szCs w:val="20"/>
                <w:color w:val="auto"/>
              </w:rPr>
            </w:pPr>
            <w:r>
              <w:rPr>
                <w:rFonts w:ascii="Arial" w:cs="Arial" w:eastAsia="Arial" w:hAnsi="Arial"/>
                <w:sz w:val="18"/>
                <w:szCs w:val="18"/>
                <w:color w:val="auto"/>
              </w:rPr>
              <w:t>million, after</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1"/>
              </w:rPr>
              <w:t>deducting the underwriting discount and estimated expenses of the offering that we</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2"/>
              </w:rPr>
              <w:t>will pay. We intend to use the net proceeds from the offering of the notes, together</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5"/>
              </w:rPr>
              <w:t>with cash on hand, to repay the $600 million principal amount of our outstanding</w:t>
            </w:r>
          </w:p>
        </w:tc>
      </w:tr>
      <w:tr>
        <w:trPr>
          <w:trHeight w:val="216"/>
        </w:trPr>
        <w:tc>
          <w:tcPr>
            <w:tcW w:w="2720" w:type="dxa"/>
            <w:vAlign w:val="bottom"/>
          </w:tcPr>
          <w:p>
            <w:pPr>
              <w:spacing w:after="0"/>
              <w:rPr>
                <w:sz w:val="18"/>
                <w:szCs w:val="18"/>
                <w:color w:val="auto"/>
              </w:rPr>
            </w:pPr>
          </w:p>
        </w:tc>
        <w:tc>
          <w:tcPr>
            <w:tcW w:w="7040" w:type="dxa"/>
            <w:vAlign w:val="bottom"/>
            <w:gridSpan w:val="5"/>
          </w:tcPr>
          <w:p>
            <w:pPr>
              <w:ind w:left="960"/>
              <w:spacing w:after="0"/>
              <w:rPr>
                <w:sz w:val="20"/>
                <w:szCs w:val="20"/>
                <w:color w:val="auto"/>
              </w:rPr>
            </w:pPr>
            <w:r>
              <w:rPr>
                <w:rFonts w:ascii="Arial" w:cs="Arial" w:eastAsia="Arial" w:hAnsi="Arial"/>
                <w:sz w:val="18"/>
                <w:szCs w:val="18"/>
                <w:color w:val="auto"/>
                <w:w w:val="93"/>
              </w:rPr>
              <w:t>7.375% Senior Notes when they mature in August 2010, plus accrued and unpaid</w:t>
            </w:r>
          </w:p>
        </w:tc>
      </w:tr>
      <w:tr>
        <w:trPr>
          <w:trHeight w:val="230"/>
        </w:trPr>
        <w:tc>
          <w:tcPr>
            <w:tcW w:w="2720" w:type="dxa"/>
            <w:vAlign w:val="bottom"/>
          </w:tcPr>
          <w:p>
            <w:pPr>
              <w:spacing w:after="0"/>
              <w:rPr>
                <w:sz w:val="20"/>
                <w:szCs w:val="20"/>
                <w:color w:val="auto"/>
              </w:rPr>
            </w:pP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rPr>
              <w:t>interest. For more details, see “Use of Proceeds.”</w:t>
            </w:r>
          </w:p>
        </w:tc>
        <w:tc>
          <w:tcPr>
            <w:tcW w:w="1200" w:type="dxa"/>
            <w:vAlign w:val="bottom"/>
          </w:tcPr>
          <w:p>
            <w:pPr>
              <w:spacing w:after="0"/>
              <w:rPr>
                <w:sz w:val="20"/>
                <w:szCs w:val="20"/>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Trustee</w:t>
            </w:r>
          </w:p>
        </w:tc>
        <w:tc>
          <w:tcPr>
            <w:tcW w:w="5840" w:type="dxa"/>
            <w:vAlign w:val="bottom"/>
            <w:gridSpan w:val="4"/>
          </w:tcPr>
          <w:p>
            <w:pPr>
              <w:ind w:left="960"/>
              <w:spacing w:after="0"/>
              <w:rPr>
                <w:sz w:val="20"/>
                <w:szCs w:val="20"/>
                <w:color w:val="auto"/>
              </w:rPr>
            </w:pPr>
            <w:r>
              <w:rPr>
                <w:rFonts w:ascii="Arial" w:cs="Arial" w:eastAsia="Arial" w:hAnsi="Arial"/>
                <w:sz w:val="18"/>
                <w:szCs w:val="18"/>
                <w:color w:val="auto"/>
              </w:rPr>
              <w:t>The Bank of New York Mellon Trust Company, N.A.</w:t>
            </w:r>
          </w:p>
        </w:tc>
        <w:tc>
          <w:tcPr>
            <w:tcW w:w="1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680"/>
          </w:cols>
          <w:pgMar w:left="240" w:top="41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without the consent of the holders, create and issue additional notes ranking</w:t>
      </w:r>
    </w:p>
    <w:p>
      <w:pPr>
        <w:spacing w:after="0" w:line="23" w:lineRule="exact"/>
        <w:rPr>
          <w:sz w:val="20"/>
          <w:szCs w:val="20"/>
          <w:color w:val="auto"/>
        </w:rPr>
      </w:pPr>
    </w:p>
    <w:p>
      <w:pPr>
        <w:ind w:left="4600" w:right="60"/>
        <w:spacing w:after="0" w:line="261" w:lineRule="auto"/>
        <w:rPr>
          <w:sz w:val="20"/>
          <w:szCs w:val="20"/>
          <w:color w:val="auto"/>
        </w:rPr>
      </w:pPr>
      <w:r>
        <w:rPr>
          <w:rFonts w:ascii="Arial" w:cs="Arial" w:eastAsia="Arial" w:hAnsi="Arial"/>
          <w:sz w:val="18"/>
          <w:szCs w:val="18"/>
          <w:color w:val="auto"/>
        </w:rPr>
        <w:t>equally and ratably with the notes in all respects, so that such additional notes shall be considered and form a single series with the notes.</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31, 2010</w:t>
            </w:r>
          </w:p>
        </w:tc>
        <w:tc>
          <w:tcPr>
            <w:tcW w:w="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3.4x</w:t>
            </w: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4.0x</w:t>
            </w:r>
          </w:p>
        </w:tc>
        <w:tc>
          <w:tcPr>
            <w:tcW w:w="30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4.5x</w:t>
            </w:r>
          </w:p>
        </w:tc>
        <w:tc>
          <w:tcPr>
            <w:tcW w:w="3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4.0x</w:t>
            </w:r>
          </w:p>
        </w:tc>
        <w:tc>
          <w:tcPr>
            <w:tcW w:w="30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3.5x</w:t>
            </w:r>
          </w:p>
        </w:tc>
        <w:tc>
          <w:tcPr>
            <w:tcW w:w="3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3.2x</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right="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total interest, whether expensed or capitalized, and the portion of our operating lease rental expense that represents an interest factor.</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materially impair our business operations. The events discussed in the risk factors below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right="400" w:firstLine="397"/>
        <w:spacing w:after="0" w:line="259" w:lineRule="auto"/>
        <w:rPr>
          <w:sz w:val="20"/>
          <w:szCs w:val="20"/>
          <w:color w:val="auto"/>
        </w:rPr>
      </w:pPr>
      <w:r>
        <w:rPr>
          <w:rFonts w:ascii="Arial" w:cs="Arial" w:eastAsia="Arial" w:hAnsi="Arial"/>
          <w:sz w:val="18"/>
          <w:szCs w:val="18"/>
          <w:color w:val="auto"/>
        </w:rPr>
        <w:t>We have substantial indebtedness. At March 31, 2010, our ratio of total debt to total capitalization was 57.4% and our total consolidated indebtedness was $8.82 billion. In addition, as of March 31, 2010, we had approximately $1.45 billion letters of credit outstanding under our $2.4 billion revolving credit facility. Our level of indebtedness and the covenants contained in the agreements governing our debt could have important consequences, including:</w:t>
      </w:r>
    </w:p>
    <w:p>
      <w:pPr>
        <w:spacing w:after="0" w:line="92" w:lineRule="exact"/>
        <w:rPr>
          <w:sz w:val="20"/>
          <w:szCs w:val="20"/>
          <w:color w:val="auto"/>
        </w:rPr>
      </w:pPr>
    </w:p>
    <w:p>
      <w:pPr>
        <w:ind w:left="1300" w:right="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00" w:hanging="202"/>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$2.77 billion of our total debt as of March 31, 2010 is exposed to changes in market interest rates within the next twelve months.</w:t>
      </w:r>
    </w:p>
    <w:p>
      <w:pPr>
        <w:spacing w:after="0" w:line="76"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$2.4 billion revolving credit facility requires us to maintain specified ratios of total debt to consolidated EBITDA and consolidated EBIT to interest expense (each as defined in our revolving credit facility), as of March 31, 2010 and after giving effect to the offering of the notes, we have the ability to incur substantial additional indebtedness while remaining in compliance with these ratios. Our incurrence of significant additional indebtedness would exacerbate the negative consequences mentioned above, and could adversely affect our ability to repay the notes.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subsidiaries to make dividends or distributions to us, whether by reason of financial difficulties or other restrictions, could have a material adverse effect on our ability to service and repay our debt, including the notes.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secured debt.</w:t>
      </w:r>
    </w:p>
    <w:p>
      <w:pPr>
        <w:spacing w:after="0" w:line="131"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As of March 31, 2010, we had approximately $70 million of outstanding secured indebtedness. As of March 31, 2010, our operating subsidiaries had $3.25 billion of indebtedness and WM Holdings had $601 million of indebtedness (excluding guarantees of $4.78 billion of our senior debt), in each case excluding intercompany loans. For a description of the ranking of the notes, see “Description of Notes — Ranking” on page S-18 of this prospectus supplement.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8"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0"/>
        <w:spacing w:after="0" w:line="264" w:lineRule="auto"/>
        <w:rPr>
          <w:sz w:val="20"/>
          <w:szCs w:val="20"/>
          <w:color w:val="auto"/>
        </w:rPr>
      </w:pPr>
      <w:r>
        <w:rPr>
          <w:rFonts w:ascii="Arial" w:cs="Arial" w:eastAsia="Arial" w:hAnsi="Arial"/>
          <w:sz w:val="18"/>
          <w:szCs w:val="18"/>
          <w:color w:val="auto"/>
        </w:rPr>
        <w:t>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87" w:lineRule="exact"/>
        <w:rPr>
          <w:sz w:val="20"/>
          <w:szCs w:val="20"/>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economic conditions can adversely affect our revenues and our operating margins.</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In addition to disruptive credit markets, economic conditions over the last eighteen months negatively affected business and consumer spending generally. If our customers do not have access to capital, we do not expect that our volumes will improve or that we will increase new business.</w:t>
      </w:r>
    </w:p>
    <w:p>
      <w:pPr>
        <w:spacing w:after="0" w:line="180" w:lineRule="exact"/>
        <w:rPr>
          <w:sz w:val="20"/>
          <w:szCs w:val="20"/>
          <w:color w:val="auto"/>
        </w:rPr>
      </w:pPr>
    </w:p>
    <w:p>
      <w:pPr>
        <w:ind w:left="900" w:right="62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primarily of us and one other national waste management company,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7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volumes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our costs, or do not successfully implement our plans and strategies to improve margins, our income from operations could be lower than expected.</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We have implemented price increases and environmental fees, both of which have increased our internal revenue growth, and we have continued our fuel surcharge program to offset fuel costs.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or successfully implement our plans and strategies for any reason, many of which are out of our control, we may not see the expected improvements in our income from operations or our operating margins.</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causes our quarterly results to fluctuate, and prior performance is not necessarily indicative of our future results.</w:t>
      </w:r>
    </w:p>
    <w:p>
      <w:pPr>
        <w:spacing w:after="0" w:line="76"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 to-energy facilities. 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86"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0"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Stringent government regulations at the federal, state, provincial, and local levels in the United States and Canada have a substantial impact on our business. A large number of complex laws, rules, orders and interpretations govern environmental protection, health, safety, land use, zoning, transportation and related</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matters. Among other things, they may restrict our operations and adversely affect our financial condition, results of operations and cash flows by imposing conditions such as:</w:t>
      </w:r>
    </w:p>
    <w:p>
      <w:pPr>
        <w:spacing w:after="0" w:line="76"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mandates regarding the disposal of solid waste, including requirements to recycle rather than landfill certain waste streams.</w:t>
      </w:r>
    </w:p>
    <w:p>
      <w:pPr>
        <w:spacing w:after="0" w:line="14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9"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or regulations restricting emissions of “greenhouse gases” could increase our costs to operate.</w:t>
      </w:r>
    </w:p>
    <w:p>
      <w:pPr>
        <w:spacing w:after="0" w:line="76"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Environmental advocacy groups and regulatory agencies in the United States have been focusing considerable attention on the emissions of carbon dioxide, methane and other “greenhouse gases” and their potential role in climate change. The adoption of laws and regulations to implement controls of greenhouse gases, including the imposition of fees or taxes, could adversely affect our collection and disposal operations. Congress is currently working on legislation to control and reduce emissions of greenhouse gases in the United States, which includes establishing cap-and-trade programs. Additionally, the EPA recently announced regulations to monitor, report and control emissions of greenhouse gases from stationary sources, including municipal solid waste landfills, and several states have already begun taking actions to reduce future emissions of greenhouse gases. At this time, it is not possible to accurately estimate how potential future laws or regulations addressing greenhouse gas emissions would impact our business. However, depending on the form of legislation and regulations that are ultimately enacted, our operating expenses could increase and some of our operations could be less profitable, as we may be required to take any number of actions, including the purchase of emission allowances or installation of additional pollution control technology.</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56% on a year-over-year basis and decrease by as much as 47% on a year-over-year basis within the last two years.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3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72"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parent company financial guarantees. We currently have in place all financial assurance instruments necessary for our operations. We currently do not anticipate any unmanageable difficulty in obtaining financial assurance instruments in the future, but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record material charges against our earnings due to any number of events that could cause impairments to our assets.</w:t>
      </w:r>
    </w:p>
    <w:p>
      <w:pPr>
        <w:spacing w:after="0" w:line="154"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w:t>
      </w:r>
    </w:p>
    <w:p>
      <w:pPr>
        <w:spacing w:after="0" w:line="98"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may be required to incur charges against earnings if we determine that events such as those described cause impairments. Any such charges could have a material adverse effect on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as we experienced in 2008. In the fourth quarter of 2008, the monthly market prices for OCC and ONP fell by 79% and 72%, respectively, from their high points within the year. The decline in market prices for commodities resulted in a year-over-year decrease in revenue of $447 million in 2009. Our recycling operations offer rebates to suppliers. Therefore, even if we experience higher revenues based on increased</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market prices for commodities, the rebates we pay will also increase, and in some circumstances, the rebates may have floors even as market prices decrease, which could eliminate any expected profit margins.</w:t>
      </w:r>
    </w:p>
    <w:p>
      <w:pPr>
        <w:spacing w:after="0" w:line="76"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There may be significant price fluctuations in the price of methane gas, electricity and other energy-related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volatility does not cause our quarterly results to fluctuate significantly. However, if we are unable to successfully negotiate or renegotiate long-term contracts as they expire or become subject to renewal, or, even with long-term contracts in place, if market prices remain at lower levels for sustained periods, our revenues could be adversely affected. Many of our long-term contracts expired in 2009, and the electricity prices we were able to charge without the benefit of long-term contracts were tied to market electricity prices, which generally correlate with fluctuations in natural gas prices in the markets where we operate. As a result, we experienced a $76 million decline in revenues for the year ended December 31, 2009 as compared with the prior year. Additionally, revenues from our independent power production plants could be adversely affected by market price fluctuations.</w:t>
      </w:r>
    </w:p>
    <w:p>
      <w:pPr>
        <w:spacing w:after="0" w:line="183" w:lineRule="exact"/>
        <w:rPr>
          <w:sz w:val="20"/>
          <w:szCs w:val="20"/>
          <w:color w:val="auto"/>
        </w:rPr>
      </w:pPr>
    </w:p>
    <w:p>
      <w:pPr>
        <w:ind w:left="900" w:right="52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customers are increasingly using alternatives to landfill and waste-to-energy disposal, such as recycling and composting, or are working to reduce the waste they generate.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 Our landfills and our waste-to-energy facilities currently provide and have historically provided our highest operating margins. We have been expanding our service offerings and growing lines of businesses to have the ability to service waste streams that do not go to landfills or waste-to-energy facilities and to provide services for customers that wish to reduce the waste they generate. However, it is possible that our revenues and our operating margins could be negatively affected due to disposal alternatives.</w:t>
      </w:r>
    </w:p>
    <w:p>
      <w:pPr>
        <w:spacing w:after="0" w:line="19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i w:val="1"/>
          <w:iCs w:val="1"/>
          <w:color w:val="auto"/>
        </w:rPr>
        <w:t>Our operating expenses could increase as a result of labor unions organizing or changes in regulations related to labor unions.</w:t>
      </w:r>
    </w:p>
    <w:p>
      <w:pPr>
        <w:spacing w:after="0" w:line="154"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Additionally, it is possible that attempts to amend federal labor laws could be successful and make it easier for unions to become recognized as the bargaining representative for employees. If we are unable to negotiate acceptable collective bargaining agreements or to renegotiate existing collective bargaining agreements as they expire, our operating expenses could increase significantly as a result of work stoppages, including strikes. Any of these matters could adversely affect our financial condition, results of operations and cash flows.</w:t>
      </w:r>
    </w:p>
    <w:p>
      <w:pPr>
        <w:spacing w:after="0" w:line="211" w:lineRule="exact"/>
        <w:rPr>
          <w:sz w:val="20"/>
          <w:szCs w:val="20"/>
          <w:color w:val="auto"/>
        </w:rPr>
      </w:pPr>
    </w:p>
    <w:p>
      <w:pPr>
        <w:ind w:left="900" w:right="44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Our subsidiaries are involved in civil litigation in the ordinary course of their business and from time to time are involved in governmental proceedings relating to the conduct of their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76"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203"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capital requirements could increase our expenses or cause us to change our growth and development plans.</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We currently expect to meet our anticipated cash needs for capital expenditures, scheduled debt repayments, acquisitions and other cash expenditures with our cash flows from operations and, to the extent necessary and available, additional financings. Recent economic conditions have reduced our cash flows from operations and could do so in the future. If impacts on our cash flows from operations are significant, we may reduce or suspend capital expenditures, acquisition activity, dividend declarations or share repurchases. We may choose to incur indebtedness to pay for these activities, and there can be no assurances that we would be able to incur indebtedness on terms we deem acceptable. We also may need to incur indebtedness to refinance scheduled debt maturities, and it is possible that the cost of financing could increase significantly, thereby increasing our expenses and decreasing our net income.</w:t>
      </w:r>
    </w:p>
    <w:p>
      <w:pPr>
        <w:spacing w:after="0" w:line="7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Additionally, we have $2.77 billion of debt as of March 31, 2010 that is exposed to changes in market interest rates within the next twelve months as a result of the combined impact of our tax-exempt bonds, our interest rate swap agreements and borrowings outstanding under our Canadian credit facility. Therefore, increases in interest rates can increase our interest expenses which also would lower our net income.</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may use our revolving credit facility to meet our cash needs, to the extent available. As of March 31, 2010, we had $953 million of capacity under our revolving credit facility.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3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expect the net proceeds from the offering of the notes to be $ million, after deducting the underwriting discount and estimated expenses of the offering that we will pay. We intend to use the net proceeds from the offering of the notes, together with cash on hand, to repay the $600 million principal amount of our outstanding 7.375% Senior Notes when they mature in August 2010, plus accrued and unpaid interest. Pending application of the offering proceeds as described, we may temporarily invest the proceeds in short-term investments.</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2010 and as adjusted to give effect to the offering of the notes and the application of the estimated net proceeds as described under “Use of Proceeds.”</w:t>
      </w:r>
    </w:p>
    <w:p>
      <w:pPr>
        <w:spacing w:after="0" w:line="87"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March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Canadian credit facility (weighted average interest rate of 1.3% at March 31, 2010)(b)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Maturing through 2039, interest rates ranging from 5.0% to 7.75% (weighted average interest rate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6.8% at March 31, 2010)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Senior Notes due 2020 offered hereby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2"/>
          </w:tcPr>
          <w:p>
            <w:pPr>
              <w:spacing w:after="0" w:line="201" w:lineRule="exact"/>
              <w:rPr>
                <w:sz w:val="20"/>
                <w:szCs w:val="20"/>
                <w:color w:val="auto"/>
              </w:rPr>
            </w:pPr>
            <w:r>
              <w:rPr>
                <w:rFonts w:ascii="Arial" w:cs="Arial" w:eastAsia="Arial" w:hAnsi="Arial"/>
                <w:sz w:val="18"/>
                <w:szCs w:val="18"/>
                <w:color w:val="auto"/>
                <w:w w:val="97"/>
              </w:rPr>
              <w:t>Tax-exempt bonds maturing through 2039, fixed and variable interest rates ranging from 0.3% to 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(weighted average interest rate of 3.3% at March 31, 2010)(c)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project bonds, principal payable in periodic installments, maturing through 2029, fixed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variable interest rates ranging from 0.3% to 5.4% (weighted average interest rate of 3.1% at March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2010)(d)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Waste Management, Inc.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Treasury stock at cost, 146,441,694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(4,603)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Waste Management, Inc.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Total debt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15,364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340" w:hanging="307"/>
        <w:spacing w:after="0" w:line="286"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party to a $2.4 billion revolving credit facility that matures on August 17, 2011. The facility becomes current in the third quarter of 2010 and, accordingly, we are working to renegotiate it in the near-term. As of March 31, 2010, we had approximately $1.45 billion of letters of credit outstanding under the facility and our available capacity was $953 million.</w:t>
      </w:r>
    </w:p>
    <w:p>
      <w:pPr>
        <w:spacing w:after="0" w:line="3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520" w:hanging="30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hanging="307"/>
        <w:spacing w:after="0" w:line="28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 w:lineRule="exact"/>
        <w:rPr>
          <w:rFonts w:ascii="Arial" w:cs="Arial" w:eastAsia="Arial" w:hAnsi="Arial"/>
          <w:sz w:val="17"/>
          <w:szCs w:val="17"/>
          <w:color w:val="auto"/>
        </w:rPr>
      </w:pPr>
    </w:p>
    <w:p>
      <w:pPr>
        <w:ind w:left="1000" w:right="20" w:hanging="30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form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 million;</w:t>
      </w:r>
    </w:p>
    <w:p>
      <w:pPr>
        <w:spacing w:after="0" w:line="6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  mature on</w:t>
            </w:r>
          </w:p>
        </w:tc>
        <w:tc>
          <w:tcPr>
            <w:tcW w:w="72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94"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10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ectPr>
          <w:pgSz w:w="11900" w:h="16838" w:orient="portrait"/>
          <w:cols w:equalWidth="0" w:num="1">
            <w:col w:w="10620"/>
          </w:cols>
          <w:pgMar w:left="240" w:top="419" w:right="1039" w:bottom="1440" w:gutter="0" w:footer="0" w:header="0"/>
        </w:sectPr>
      </w:pPr>
    </w:p>
    <w:p>
      <w:pPr>
        <w:spacing w:after="0" w:line="131"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per annum;</w:t>
      </w:r>
    </w:p>
    <w:p>
      <w:pPr>
        <w:spacing w:after="0" w:line="139" w:lineRule="exact"/>
        <w:rPr>
          <w:sz w:val="20"/>
          <w:szCs w:val="20"/>
          <w:color w:val="auto"/>
        </w:rPr>
      </w:pPr>
    </w:p>
    <w:p>
      <w:pPr>
        <w:sectPr>
          <w:pgSz w:w="11900" w:h="16838" w:orient="portrait"/>
          <w:cols w:equalWidth="0" w:num="2">
            <w:col w:w="3640" w:space="220"/>
            <w:col w:w="676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accrue from June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2010 or the most recent interest payment date;</w:t>
      </w:r>
    </w:p>
    <w:p>
      <w:pPr>
        <w:spacing w:after="0" w:line="139" w:lineRule="exact"/>
        <w:rPr>
          <w:sz w:val="20"/>
          <w:szCs w:val="20"/>
          <w:color w:val="auto"/>
        </w:rPr>
      </w:pPr>
    </w:p>
    <w:p>
      <w:pPr>
        <w:sectPr>
          <w:pgSz w:w="11900" w:h="16838" w:orient="portrait"/>
          <w:cols w:equalWidth="0" w:num="2">
            <w:col w:w="2540" w:space="140"/>
            <w:col w:w="794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2010;</w:t>
      </w:r>
    </w:p>
    <w:p>
      <w:pPr>
        <w:spacing w:after="0" w:line="139" w:lineRule="exact"/>
        <w:rPr>
          <w:sz w:val="20"/>
          <w:szCs w:val="20"/>
          <w:color w:val="auto"/>
        </w:rPr>
      </w:pPr>
    </w:p>
    <w:p>
      <w:pPr>
        <w:sectPr>
          <w:pgSz w:w="11900" w:h="16838" w:orient="portrait"/>
          <w:cols w:equalWidth="0" w:num="4">
            <w:col w:w="4640" w:space="480"/>
            <w:col w:w="260" w:space="500"/>
            <w:col w:w="1920" w:space="440"/>
            <w:col w:w="238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139" w:lineRule="exact"/>
        <w:rPr>
          <w:sz w:val="20"/>
          <w:szCs w:val="20"/>
          <w:color w:val="auto"/>
        </w:rPr>
      </w:pPr>
    </w:p>
    <w:p>
      <w:pPr>
        <w:sectPr>
          <w:pgSz w:w="11900" w:h="16838" w:orient="portrait"/>
          <w:cols w:equalWidth="0" w:num="3">
            <w:col w:w="4020" w:space="500"/>
            <w:col w:w="260" w:space="500"/>
            <w:col w:w="534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6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60" w:hanging="202"/>
        <w:spacing w:after="0" w:line="291"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 redemption price) on the notes to be redeemed (exclusive of interest accrued to the date of redemption)</w:t>
      </w:r>
    </w:p>
    <w:p>
      <w:pPr>
        <w:ind w:left="1300"/>
        <w:spacing w:after="0"/>
        <w:rPr>
          <w:sz w:val="20"/>
          <w:szCs w:val="20"/>
          <w:color w:val="auto"/>
        </w:rPr>
      </w:pPr>
      <w:r>
        <w:rPr>
          <w:rFonts w:ascii="Arial" w:cs="Arial" w:eastAsia="Arial" w:hAnsi="Arial"/>
          <w:sz w:val="16"/>
          <w:szCs w:val="16"/>
          <w:color w:val="auto"/>
        </w:rPr>
        <w:t>discounted to the date of redemption on a semi-annual basis (assuming a 360-day year consisting of twelve 30-day months) at</w:t>
      </w:r>
    </w:p>
    <w:p>
      <w:pPr>
        <w:spacing w:after="0" w:line="32" w:lineRule="exact"/>
        <w:rPr>
          <w:sz w:val="20"/>
          <w:szCs w:val="20"/>
          <w:color w:val="auto"/>
        </w:rPr>
      </w:pPr>
    </w:p>
    <w:p>
      <w:pPr>
        <w:ind w:left="1300"/>
        <w:spacing w:after="0"/>
        <w:tabs>
          <w:tab w:leader="none" w:pos="4240" w:val="left"/>
        </w:tabs>
        <w:rPr>
          <w:sz w:val="20"/>
          <w:szCs w:val="20"/>
          <w:color w:val="auto"/>
        </w:rPr>
      </w:pPr>
      <w:r>
        <w:rPr>
          <w:rFonts w:ascii="Arial" w:cs="Arial" w:eastAsia="Arial" w:hAnsi="Arial"/>
          <w:sz w:val="18"/>
          <w:szCs w:val="18"/>
          <w:color w:val="auto"/>
        </w:rPr>
        <w:t>the applicable Treasury Yield plus</w:t>
      </w:r>
      <w:r>
        <w:rPr>
          <w:sz w:val="20"/>
          <w:szCs w:val="20"/>
          <w:color w:val="auto"/>
        </w:rPr>
        <w:tab/>
      </w:r>
      <w:r>
        <w:rPr>
          <w:rFonts w:ascii="Arial" w:cs="Arial" w:eastAsia="Arial" w:hAnsi="Arial"/>
          <w:sz w:val="16"/>
          <w:szCs w:val="16"/>
          <w:color w:val="auto"/>
        </w:rPr>
        <w:t>basis points;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8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92"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340" w:firstLine="381"/>
        <w:spacing w:after="0" w:line="277"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Banc of America Securities LLC, Barclays Capital Inc., Citigroup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Inc. and Goldman, Sachs &amp; Co. (and their respective successors), or, if all</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of such firms are unwilling or unable to select the applicable Comparable Treasury Issue, an independent investment banking institution of national standing appointed by the Trustee and reasonably acceptable to us.</w:t>
      </w:r>
    </w:p>
    <w:p>
      <w:pPr>
        <w:spacing w:after="0" w:line="76"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i w:val="1"/>
          <w:iCs w:val="1"/>
          <w:color w:val="auto"/>
        </w:rPr>
        <w:t xml:space="preserve">“Comparable Treasury Price” </w:t>
      </w:r>
      <w:r>
        <w:rPr>
          <w:rFonts w:ascii="Arial" w:cs="Arial" w:eastAsia="Arial" w:hAnsi="Arial"/>
          <w:sz w:val="17"/>
          <w:szCs w:val="17"/>
          <w:color w:val="auto"/>
        </w:rPr>
        <w:t>means, with respect to any redemption date, (a) the bid price for the Comparable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3" w:lineRule="exact"/>
        <w:rPr>
          <w:sz w:val="20"/>
          <w:szCs w:val="20"/>
          <w:color w:val="auto"/>
        </w:rPr>
      </w:pPr>
    </w:p>
    <w:p>
      <w:pPr>
        <w:ind w:left="1080" w:right="400" w:firstLine="381"/>
        <w:spacing w:after="0" w:line="291" w:lineRule="auto"/>
        <w:rPr>
          <w:sz w:val="20"/>
          <w:szCs w:val="20"/>
          <w:color w:val="auto"/>
        </w:rPr>
      </w:pPr>
      <w:r>
        <w:rPr>
          <w:rFonts w:ascii="Arial" w:cs="Arial" w:eastAsia="Arial" w:hAnsi="Arial"/>
          <w:sz w:val="16"/>
          <w:szCs w:val="16"/>
          <w:i w:val="1"/>
          <w:iCs w:val="1"/>
          <w:color w:val="auto"/>
        </w:rPr>
        <w:t xml:space="preserve">“Reference Treasury Dealer” </w:t>
      </w:r>
      <w:r>
        <w:rPr>
          <w:rFonts w:ascii="Arial" w:cs="Arial" w:eastAsia="Arial" w:hAnsi="Arial"/>
          <w:sz w:val="16"/>
          <w:szCs w:val="16"/>
          <w:color w:val="auto"/>
        </w:rPr>
        <w:t>means (i) each of Banc of America Securities LLC, Barclays Capital Inc., Citigroup Global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Inc. and Goldman, Sachs &amp; Co. (and their respective successors), unless any of them ceases to be a primary</w:t>
      </w:r>
    </w:p>
    <w:p>
      <w:pPr>
        <w:ind w:left="1080" w:right="540"/>
        <w:spacing w:after="0" w:line="261" w:lineRule="auto"/>
        <w:rPr>
          <w:sz w:val="20"/>
          <w:szCs w:val="20"/>
          <w:color w:val="auto"/>
        </w:rPr>
      </w:pPr>
      <w:r>
        <w:rPr>
          <w:rFonts w:ascii="Arial" w:cs="Arial" w:eastAsia="Arial" w:hAnsi="Arial"/>
          <w:sz w:val="18"/>
          <w:szCs w:val="18"/>
          <w:color w:val="auto"/>
        </w:rPr>
        <w:t>U.S. government securities dealer in New York City (a “Primary Treasury Dealer”), in which case we will substitute therefor another Primary Treasury Dealer, and (ii) any other Primary Treasury Dealer selected by us.</w:t>
      </w:r>
    </w:p>
    <w:p>
      <w:pPr>
        <w:spacing w:after="0" w:line="89"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20" w:hanging="24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100" w:firstLine="372"/>
        <w:spacing w:after="0" w:line="293" w:lineRule="auto"/>
        <w:tabs>
          <w:tab w:leader="none" w:pos="21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70" w:lineRule="exact"/>
        <w:rPr>
          <w:rFonts w:ascii="Arial" w:cs="Arial" w:eastAsia="Arial" w:hAnsi="Arial"/>
          <w:sz w:val="16"/>
          <w:szCs w:val="16"/>
          <w:color w:val="auto"/>
        </w:rPr>
      </w:pPr>
    </w:p>
    <w:p>
      <w:pPr>
        <w:ind w:left="1720" w:hanging="24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40" w:firstLine="391"/>
        <w:spacing w:after="0" w:line="308" w:lineRule="auto"/>
        <w:tabs>
          <w:tab w:leader="none" w:pos="17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85" w:lineRule="exact"/>
        <w:rPr>
          <w:sz w:val="20"/>
          <w:szCs w:val="20"/>
          <w:color w:val="auto"/>
        </w:rPr>
      </w:pPr>
    </w:p>
    <w:p>
      <w:pPr>
        <w:ind w:left="700" w:right="700" w:firstLine="397"/>
        <w:spacing w:after="0" w:line="342" w:lineRule="auto"/>
        <w:rPr>
          <w:sz w:val="20"/>
          <w:szCs w:val="20"/>
          <w:color w:val="auto"/>
        </w:rPr>
      </w:pPr>
      <w:r>
        <w:rPr>
          <w:rFonts w:ascii="Arial" w:cs="Arial" w:eastAsia="Arial" w:hAnsi="Arial"/>
          <w:sz w:val="16"/>
          <w:szCs w:val="16"/>
          <w:color w:val="auto"/>
        </w:rPr>
        <w:t>As of March 31, 2010, our operating subsidiaries had $3.25 billion of indebtedness and WM Holdings had $601 million of indebtedness (excluding guarantees of $4.78 billion of our senior debt), in each case excluding intercompany loans.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20" w:firstLine="381"/>
        <w:spacing w:after="0" w:line="254"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 (1) the direct or indirect sale, lease, transfer, conveyance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w:t>
      </w: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85" w:lineRule="auto"/>
        <w:rPr>
          <w:sz w:val="20"/>
          <w:szCs w:val="20"/>
          <w:color w:val="auto"/>
        </w:rPr>
      </w:pPr>
      <w:r>
        <w:rPr>
          <w:rFonts w:ascii="Arial" w:cs="Arial" w:eastAsia="Arial" w:hAnsi="Arial"/>
          <w:sz w:val="16"/>
          <w:szCs w:val="16"/>
          <w:color w:val="auto"/>
        </w:rPr>
        <w:t>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2" w:lineRule="exact"/>
        <w:rPr>
          <w:sz w:val="20"/>
          <w:szCs w:val="20"/>
          <w:color w:val="auto"/>
        </w:rPr>
      </w:pPr>
    </w:p>
    <w:p>
      <w:pPr>
        <w:ind w:left="1080" w:right="100" w:firstLine="10"/>
        <w:spacing w:after="0" w:line="261" w:lineRule="auto"/>
        <w:tabs>
          <w:tab w:leader="none" w:pos="1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our Board of Directors are not continuing directors; or (5) the adoption of a plan relating to our liquidation or dissolution.</w:t>
      </w:r>
    </w:p>
    <w:p>
      <w:pPr>
        <w:spacing w:after="0" w:line="89"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jc w:val="both"/>
        <w:ind w:left="1080" w:right="140" w:firstLine="381"/>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1080" w:right="40" w:firstLine="381"/>
        <w:spacing w:after="0" w:line="302" w:lineRule="auto"/>
        <w:rPr>
          <w:sz w:val="20"/>
          <w:szCs w:val="20"/>
          <w:color w:val="auto"/>
        </w:rPr>
      </w:pPr>
      <w:r>
        <w:rPr>
          <w:rFonts w:ascii="Arial" w:cs="Arial" w:eastAsia="Arial" w:hAnsi="Arial"/>
          <w:sz w:val="16"/>
          <w:szCs w:val="16"/>
          <w:i w:val="1"/>
          <w:iCs w:val="1"/>
          <w:color w:val="auto"/>
        </w:rPr>
        <w:t xml:space="preserve">“rating agencies” </w:t>
      </w:r>
      <w:r>
        <w:rPr>
          <w:rFonts w:ascii="Arial" w:cs="Arial" w:eastAsia="Arial" w:hAnsi="Arial"/>
          <w:sz w:val="16"/>
          <w:szCs w:val="16"/>
          <w:color w:val="auto"/>
        </w:rPr>
        <w:t>means (1) each of Fitch, Moody’s and S&amp;P and (2) if any of Fitch, Moody’s or S&amp;P ceases to rate the notes</w:t>
      </w:r>
      <w:r>
        <w:rPr>
          <w:rFonts w:ascii="Arial" w:cs="Arial" w:eastAsia="Arial" w:hAnsi="Arial"/>
          <w:sz w:val="16"/>
          <w:szCs w:val="16"/>
          <w:i w:val="1"/>
          <w:iCs w:val="1"/>
          <w:color w:val="auto"/>
        </w:rPr>
        <w:t xml:space="preserve"> </w:t>
      </w:r>
      <w:r>
        <w:rPr>
          <w:rFonts w:ascii="Arial" w:cs="Arial" w:eastAsia="Arial" w:hAnsi="Arial"/>
          <w:sz w:val="16"/>
          <w:szCs w:val="16"/>
          <w:color w:val="auto"/>
        </w:rPr>
        <w:t>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60"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i w:val="1"/>
          <w:iCs w:val="1"/>
          <w:color w:val="auto"/>
        </w:rPr>
        <w:t xml:space="preserve">“rating event” </w:t>
      </w:r>
      <w:r>
        <w:rPr>
          <w:rFonts w:ascii="Arial" w:cs="Arial" w:eastAsia="Arial" w:hAnsi="Arial"/>
          <w:sz w:val="16"/>
          <w:szCs w:val="16"/>
          <w:color w:val="auto"/>
        </w:rPr>
        <w:t>means the rating on the notes is lowered by at least two of the three rating agencies and the notes are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“S&amp;P” </w:t>
      </w:r>
      <w:r>
        <w:rPr>
          <w:rFonts w:ascii="Arial" w:cs="Arial" w:eastAsia="Arial" w:hAnsi="Arial"/>
          <w:sz w:val="17"/>
          <w:szCs w:val="17"/>
          <w:color w:val="auto"/>
        </w:rPr>
        <w:t>means Standard &amp; Poor’s Ratings Services, a division of The McGraw-Hill Companies, Inc., and its successors.</w:t>
      </w:r>
    </w:p>
    <w:p>
      <w:pPr>
        <w:spacing w:after="0" w:line="142" w:lineRule="exact"/>
        <w:rPr>
          <w:sz w:val="20"/>
          <w:szCs w:val="20"/>
          <w:color w:val="auto"/>
        </w:rPr>
      </w:pPr>
    </w:p>
    <w:p>
      <w:pPr>
        <w:ind w:left="1080" w:right="80" w:firstLine="381"/>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date, the capital stock of such person that is at the time entitled to vote generally in the election of the board of directors of such person.</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hanging="202"/>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8" w:lineRule="exact"/>
        <w:rPr>
          <w:rFonts w:ascii="Arial" w:cs="Arial" w:eastAsia="Arial" w:hAnsi="Arial"/>
          <w:sz w:val="18"/>
          <w:szCs w:val="18"/>
          <w:color w:val="auto"/>
        </w:rPr>
      </w:pPr>
    </w:p>
    <w:p>
      <w:pPr>
        <w:ind w:left="1300" w:right="20" w:hanging="202"/>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2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342" w:lineRule="auto"/>
        <w:rPr>
          <w:sz w:val="20"/>
          <w:szCs w:val="20"/>
          <w:color w:val="auto"/>
        </w:rPr>
      </w:pPr>
      <w:r>
        <w:rPr>
          <w:rFonts w:ascii="Arial" w:cs="Arial" w:eastAsia="Arial" w:hAnsi="Arial"/>
          <w:sz w:val="16"/>
          <w:szCs w:val="16"/>
          <w:color w:val="auto"/>
        </w:rPr>
        <w:t>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2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92" w:lineRule="exact"/>
        <w:rPr>
          <w:sz w:val="20"/>
          <w:szCs w:val="20"/>
          <w:color w:val="auto"/>
        </w:rPr>
      </w:pPr>
    </w:p>
    <w:p>
      <w:pPr>
        <w:ind w:left="700" w:right="20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94"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67"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49"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52"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46"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43"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3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57"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08"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5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43"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50"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43"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Banc of America Securities LLC, Barclays Capital Inc., Citigroup Global Markets Inc. and Goldman, Sachs &amp; Co. are acting as joint book-running managers of the offering and as representatives of the underwriters named below.</w:t>
      </w:r>
    </w:p>
    <w:p>
      <w:pPr>
        <w:spacing w:after="0" w:line="76"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62"/>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1"/>
        </w:trPr>
        <w:tc>
          <w:tcPr>
            <w:tcW w:w="5640" w:type="dxa"/>
            <w:vAlign w:val="bottom"/>
            <w:gridSpan w:val="3"/>
            <w:vMerge w:val="continue"/>
          </w:tcPr>
          <w:p>
            <w:pPr>
              <w:spacing w:after="0"/>
              <w:rPr>
                <w:sz w:val="14"/>
                <w:szCs w:val="14"/>
                <w:color w:val="auto"/>
              </w:rPr>
            </w:pPr>
          </w:p>
        </w:tc>
        <w:tc>
          <w:tcPr>
            <w:tcW w:w="33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5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41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3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banking services for us, for which they have received or will receive customary fees and expense reimbursements.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Prospective Directive) subject to obtaining the prior consent of the manager for any such offer; or (d) in any other circumstances which do not require the publication by us of a prospectus pursuant to Article 3 of the Prospectus Directive. For the purposes of this provision, the term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for notes,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78"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2009 including the schedule appearing therein, and the effectiveness of Waste Management’s internal control over financial reporting as of December 31, 2009,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1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1"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6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620" w:type="dxa"/>
            <w:vAlign w:val="bottom"/>
          </w:tcPr>
          <w:p>
            <w:pPr>
              <w:ind w:left="940"/>
              <w:spacing w:after="0"/>
              <w:rPr>
                <w:sz w:val="20"/>
                <w:szCs w:val="20"/>
                <w:color w:val="auto"/>
              </w:rPr>
            </w:pPr>
            <w:r>
              <w:rPr>
                <w:rFonts w:ascii="Arial" w:cs="Arial" w:eastAsia="Arial" w:hAnsi="Arial"/>
                <w:sz w:val="14"/>
                <w:szCs w:val="14"/>
                <w:b w:val="1"/>
                <w:bCs w:val="1"/>
                <w:color w:val="auto"/>
                <w:w w:val="98"/>
              </w:rPr>
              <w:t>Date Filed</w:t>
            </w:r>
          </w:p>
        </w:tc>
      </w:tr>
      <w:tr>
        <w:trPr>
          <w:trHeight w:val="20"/>
        </w:trPr>
        <w:tc>
          <w:tcPr>
            <w:tcW w:w="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9"/>
        </w:trPr>
        <w:tc>
          <w:tcPr>
            <w:tcW w:w="8080" w:type="dxa"/>
            <w:vAlign w:val="bottom"/>
            <w:gridSpan w:val="2"/>
          </w:tcPr>
          <w:p>
            <w:pPr>
              <w:spacing w:after="0"/>
              <w:rPr>
                <w:sz w:val="20"/>
                <w:szCs w:val="20"/>
                <w:color w:val="auto"/>
              </w:rPr>
            </w:pPr>
            <w:r>
              <w:rPr>
                <w:rFonts w:ascii="Arial" w:cs="Arial" w:eastAsia="Arial" w:hAnsi="Arial"/>
                <w:sz w:val="18"/>
                <w:szCs w:val="18"/>
                <w:color w:val="auto"/>
                <w:w w:val="95"/>
              </w:rPr>
              <w:t>Annual Report on Form 10-K (including the portions of our proxy statement for our 2010 annual meeting of</w:t>
            </w:r>
          </w:p>
        </w:tc>
        <w:tc>
          <w:tcPr>
            <w:tcW w:w="162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stockholders incorporated by reference therein) for the year ended December 31, 2009</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1"/>
              </w:rPr>
              <w:t>February 16,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2010</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5"/>
              </w:rPr>
              <w:t>April 29,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1"/>
              </w:rPr>
              <w:t>March 11,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3"/>
              </w:rPr>
              <w:t>May 14,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3"/>
              </w:rPr>
              <w:t>May 17,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86"/>
              </w:rPr>
              <w:t>June 2, 2010</w:t>
            </w: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1"/>
              </w:rPr>
              <w:t>July 13, 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-1139825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200"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u w:val="single" w:color="auto"/>
          <w:color w:val="auto"/>
        </w:rPr>
        <w:t>www.wm.com</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419" w:right="1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3" w:name="page34"/>
    <w:bookmarkEnd w:id="33"/>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4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42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About this Prospectus</w:t>
              </w:r>
            </w:hyperlink>
          </w:p>
        </w:tc>
        <w:tc>
          <w:tcPr>
            <w:tcW w:w="520" w:type="dxa"/>
            <w:vAlign w:val="bottom"/>
            <w:tcBorders>
              <w:top w:val="single" w:sz="8" w:color="0000EE"/>
            </w:tcBorders>
            <w:gridSpan w:val="5"/>
          </w:tcPr>
          <w:p>
            <w:pPr>
              <w:spacing w:after="0"/>
              <w:rPr>
                <w:sz w:val="17"/>
                <w:szCs w:val="17"/>
                <w:color w:val="auto"/>
              </w:rPr>
            </w:pPr>
          </w:p>
        </w:tc>
        <w:tc>
          <w:tcPr>
            <w:tcW w:w="13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Incorporation by Reference</w:t>
              </w:r>
            </w:hyperlink>
          </w:p>
        </w:tc>
        <w:tc>
          <w:tcPr>
            <w:tcW w:w="144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Where You Can Find More Information</w:t>
              </w:r>
            </w:hyperlink>
          </w:p>
        </w:tc>
        <w:tc>
          <w:tcPr>
            <w:tcW w:w="56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The Company</w:t>
              </w:r>
            </w:hyperlink>
          </w:p>
        </w:tc>
        <w:tc>
          <w:tcPr>
            <w:tcW w:w="240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2520" w:type="dxa"/>
            <w:vAlign w:val="bottom"/>
            <w:gridSpan w:val="1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Ratio of Earnings to Fixed Charges</w:t>
              </w:r>
            </w:hyperlink>
          </w:p>
        </w:tc>
        <w:tc>
          <w:tcPr>
            <w:tcW w:w="88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Debt Securities</w:t>
              </w:r>
            </w:hyperlink>
          </w:p>
        </w:tc>
        <w:tc>
          <w:tcPr>
            <w:tcW w:w="124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Guarantees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Other Securities</w:t>
              </w:r>
            </w:hyperlink>
          </w:p>
        </w:tc>
        <w:tc>
          <w:tcPr>
            <w:tcW w:w="1180" w:type="dxa"/>
            <w:vAlign w:val="bottom"/>
            <w:gridSpan w:val="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Selling Securityholders</w:t>
              </w:r>
            </w:hyperlink>
          </w:p>
        </w:tc>
        <w:tc>
          <w:tcPr>
            <w:tcW w:w="1740" w:type="dxa"/>
            <w:vAlign w:val="bottom"/>
            <w:gridSpan w:val="9"/>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Legal Matters</w:t>
              </w:r>
            </w:hyperlink>
          </w:p>
        </w:tc>
        <w:tc>
          <w:tcPr>
            <w:tcW w:w="242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23"/>
          <w:szCs w:val="23"/>
          <w:b w:val="1"/>
          <w:bCs w:val="1"/>
          <w:color w:val="auto"/>
        </w:rPr>
        <w:t>% Senior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78105</wp:posOffset>
            </wp:positionV>
            <wp:extent cx="1955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88265</wp:posOffset>
            </wp:positionV>
            <wp:extent cx="1955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BofA Merrill Lynch</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Barclays Capital</w:t>
      </w:r>
    </w:p>
    <w:p>
      <w:pPr>
        <w:jc w:val="center"/>
        <w:ind w:right="-1100"/>
        <w:spacing w:after="0" w:line="237" w:lineRule="auto"/>
        <w:rPr>
          <w:sz w:val="20"/>
          <w:szCs w:val="20"/>
          <w:color w:val="auto"/>
        </w:rPr>
      </w:pPr>
      <w:r>
        <w:rPr>
          <w:rFonts w:ascii="Arial" w:cs="Arial" w:eastAsia="Arial" w:hAnsi="Arial"/>
          <w:sz w:val="32"/>
          <w:szCs w:val="32"/>
          <w:b w:val="1"/>
          <w:bCs w:val="1"/>
          <w:color w:val="auto"/>
        </w:rPr>
        <w:t>Citi</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Goldman, Sachs &amp; Co.</w:t>
      </w:r>
    </w:p>
    <w:p>
      <w:pPr>
        <w:spacing w:after="0" w:line="90"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June</w:t>
      </w:r>
      <w:r>
        <w:rPr>
          <w:sz w:val="20"/>
          <w:szCs w:val="20"/>
          <w:color w:val="auto"/>
        </w:rPr>
        <w:tab/>
      </w:r>
      <w:r>
        <w:rPr>
          <w:rFonts w:ascii="Arial" w:cs="Arial" w:eastAsia="Arial" w:hAnsi="Arial"/>
          <w:sz w:val="16"/>
          <w:szCs w:val="16"/>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118110</wp:posOffset>
            </wp:positionV>
            <wp:extent cx="630301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713"/>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2"/>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lvl w:ilvl="1">
      <w:lvlJc w:val="left"/>
      <w:lvlText w:val="(%2)"/>
      <w:numFmt w:val="lowerLetter"/>
      <w:start w:val="1"/>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4"/>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lvl w:ilvl="1">
      <w:lvlJc w:val="left"/>
      <w:lvlText w:val="•"/>
      <w:numFmt w:val="bullet"/>
      <w:start w:val="1"/>
    </w:lvl>
  </w:abstractNum>
  <w:abstractNum w:abstractNumId="35">
    <w:nsid w:val="2463B9EA"/>
    <w:multiLevelType w:val="hybridMultilevel"/>
    <w:lvl w:ilvl="0">
      <w:lvlJc w:val="left"/>
      <w:lvlText w:val="(%1)"/>
      <w:numFmt w:val="lowerLetter"/>
      <w:start w:val="1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2019-12-16T14:02:20Z</dcterms:created>
  <dcterms:modified xsi:type="dcterms:W3CDTF">2019-12-16T14:02:20Z</dcterms:modified>
</cp:coreProperties>
</file>