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04" w:lineRule="exact"/>
        <w:rPr>
          <w:sz w:val="24"/>
          <w:szCs w:val="24"/>
          <w:color w:val="auto"/>
        </w:rPr>
      </w:pPr>
    </w:p>
    <w:p>
      <w:pPr>
        <w:ind w:left="480" w:right="120" w:hanging="337"/>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480" w:right="100" w:hanging="337"/>
        <w:spacing w:after="0" w:line="256"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480"/>
        <w:spacing w:after="0"/>
        <w:tabs>
          <w:tab w:leader="none" w:pos="3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80" w:type="dxa"/>
            <w:vAlign w:val="bottom"/>
            <w:gridSpan w:val="3"/>
          </w:tcPr>
          <w:p>
            <w:pPr>
              <w:jc w:val="center"/>
              <w:ind w:left="1356"/>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77"/>
              <w:spacing w:after="0"/>
              <w:rPr>
                <w:sz w:val="20"/>
                <w:szCs w:val="20"/>
                <w:color w:val="auto"/>
              </w:rPr>
            </w:pPr>
            <w:r>
              <w:rPr>
                <w:rFonts w:ascii="Arial" w:cs="Arial" w:eastAsia="Arial" w:hAnsi="Arial"/>
                <w:sz w:val="18"/>
                <w:szCs w:val="18"/>
                <w:b w:val="1"/>
                <w:bCs w:val="1"/>
                <w:color w:val="auto"/>
                <w:w w:val="89"/>
              </w:rPr>
              <w:t>73-1309529</w:t>
            </w:r>
          </w:p>
        </w:tc>
      </w:tr>
      <w:tr>
        <w:trPr>
          <w:trHeight w:val="189"/>
        </w:trPr>
        <w:tc>
          <w:tcPr>
            <w:tcW w:w="20" w:type="dxa"/>
            <w:vAlign w:val="bottom"/>
          </w:tcPr>
          <w:p>
            <w:pPr>
              <w:spacing w:after="0"/>
              <w:rPr>
                <w:sz w:val="16"/>
                <w:szCs w:val="16"/>
                <w:color w:val="auto"/>
              </w:rPr>
            </w:pPr>
          </w:p>
        </w:tc>
        <w:tc>
          <w:tcPr>
            <w:tcW w:w="3680" w:type="dxa"/>
            <w:vAlign w:val="bottom"/>
            <w:gridSpan w:val="3"/>
          </w:tcPr>
          <w:p>
            <w:pPr>
              <w:jc w:val="center"/>
              <w:ind w:left="1356"/>
              <w:spacing w:after="0" w:line="189" w:lineRule="exact"/>
              <w:rPr>
                <w:sz w:val="20"/>
                <w:szCs w:val="20"/>
                <w:color w:val="auto"/>
              </w:rPr>
            </w:pPr>
            <w:r>
              <w:rPr>
                <w:rFonts w:ascii="Arial" w:cs="Arial" w:eastAsia="Arial" w:hAnsi="Arial"/>
                <w:sz w:val="18"/>
                <w:szCs w:val="18"/>
                <w:i w:val="1"/>
                <w:iCs w:val="1"/>
                <w:color w:val="auto"/>
                <w:w w:val="94"/>
              </w:rPr>
              <w:t>(State or other jurisdiction of</w:t>
            </w:r>
          </w:p>
        </w:tc>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tcPr>
          <w:p>
            <w:pPr>
              <w:jc w:val="center"/>
              <w:ind w:right="1797"/>
              <w:spacing w:after="0" w:line="189"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20" w:type="dxa"/>
            <w:vAlign w:val="bottom"/>
          </w:tcPr>
          <w:p>
            <w:pPr>
              <w:spacing w:after="0"/>
              <w:rPr>
                <w:sz w:val="20"/>
                <w:szCs w:val="20"/>
                <w:color w:val="auto"/>
              </w:rPr>
            </w:pPr>
          </w:p>
        </w:tc>
        <w:tc>
          <w:tcPr>
            <w:tcW w:w="3680" w:type="dxa"/>
            <w:vAlign w:val="bottom"/>
            <w:gridSpan w:val="3"/>
          </w:tcPr>
          <w:p>
            <w:pPr>
              <w:jc w:val="center"/>
              <w:ind w:left="1356"/>
              <w:spacing w:after="0"/>
              <w:rPr>
                <w:sz w:val="20"/>
                <w:szCs w:val="20"/>
                <w:color w:val="auto"/>
              </w:rPr>
            </w:pPr>
            <w:r>
              <w:rPr>
                <w:rFonts w:ascii="Arial" w:cs="Arial" w:eastAsia="Arial" w:hAnsi="Arial"/>
                <w:sz w:val="18"/>
                <w:szCs w:val="18"/>
                <w:i w:val="1"/>
                <w:iCs w:val="1"/>
                <w:color w:val="auto"/>
                <w:w w:val="95"/>
              </w:rPr>
              <w:t>incorporation or organization)</w:t>
            </w: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777"/>
              <w:spacing w:after="0"/>
              <w:rPr>
                <w:sz w:val="20"/>
                <w:szCs w:val="20"/>
                <w:color w:val="auto"/>
              </w:rPr>
            </w:pPr>
            <w:r>
              <w:rPr>
                <w:rFonts w:ascii="Arial" w:cs="Arial" w:eastAsia="Arial" w:hAnsi="Arial"/>
                <w:sz w:val="18"/>
                <w:szCs w:val="18"/>
                <w:i w:val="1"/>
                <w:iCs w:val="1"/>
                <w:color w:val="auto"/>
                <w:w w:val="95"/>
              </w:rPr>
              <w:t>Identification No.)</w:t>
            </w:r>
          </w:p>
        </w:tc>
      </w:tr>
      <w:tr>
        <w:trPr>
          <w:trHeight w:val="306"/>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0"/>
              </w:rPr>
              <w:t>800 Capitol Street</w:t>
            </w:r>
          </w:p>
        </w:tc>
        <w:tc>
          <w:tcPr>
            <w:tcW w:w="3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Suite 3000</w:t>
            </w:r>
          </w:p>
        </w:tc>
        <w:tc>
          <w:tcPr>
            <w:tcW w:w="320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7"/>
              </w:rPr>
              <w:t>Houston, Texas 77002</w:t>
            </w:r>
          </w:p>
        </w:tc>
        <w:tc>
          <w:tcPr>
            <w:tcW w:w="3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3"/>
          </w:tcPr>
          <w:p>
            <w:pPr>
              <w:jc w:val="center"/>
              <w:ind w:right="52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3200" w:type="dxa"/>
            <w:vAlign w:val="bottom"/>
          </w:tcPr>
          <w:p>
            <w:pPr>
              <w:spacing w:after="0"/>
              <w:rPr>
                <w:sz w:val="20"/>
                <w:szCs w:val="20"/>
                <w:color w:val="auto"/>
              </w:rPr>
            </w:pPr>
          </w:p>
        </w:tc>
      </w:tr>
      <w:tr>
        <w:trPr>
          <w:trHeight w:val="323"/>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jc w:val="center"/>
              <w:ind w:right="55"/>
              <w:spacing w:after="0"/>
              <w:rPr>
                <w:sz w:val="20"/>
                <w:szCs w:val="20"/>
                <w:color w:val="auto"/>
              </w:rPr>
            </w:pPr>
            <w:r>
              <w:rPr>
                <w:rFonts w:ascii="Arial" w:cs="Arial" w:eastAsia="Arial" w:hAnsi="Arial"/>
                <w:sz w:val="18"/>
                <w:szCs w:val="18"/>
                <w:b w:val="1"/>
                <w:bCs w:val="1"/>
                <w:color w:val="auto"/>
                <w:w w:val="90"/>
              </w:rPr>
              <w:t>(713) 512-6200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7000" w:type="dxa"/>
            <w:vAlign w:val="bottom"/>
            <w:gridSpan w:val="6"/>
          </w:tcPr>
          <w:p>
            <w:pPr>
              <w:jc w:val="center"/>
              <w:ind w:left="3096"/>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3200" w:type="dxa"/>
            <w:vAlign w:val="bottom"/>
          </w:tcPr>
          <w:p>
            <w:pPr>
              <w:spacing w:after="0"/>
              <w:rPr>
                <w:sz w:val="20"/>
                <w:szCs w:val="20"/>
                <w:color w:val="auto"/>
              </w:rPr>
            </w:pPr>
          </w:p>
        </w:tc>
      </w:tr>
      <w:tr>
        <w:trPr>
          <w:trHeight w:val="338"/>
        </w:trPr>
        <w:tc>
          <w:tcPr>
            <w:tcW w:w="702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36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Title of Each Class</w:t>
            </w:r>
          </w:p>
        </w:tc>
        <w:tc>
          <w:tcPr>
            <w:tcW w:w="33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Trading Symbol</w:t>
            </w:r>
          </w:p>
        </w:tc>
        <w:tc>
          <w:tcPr>
            <w:tcW w:w="320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Name of Each Exchange on Which Registered</w:t>
            </w:r>
          </w:p>
        </w:tc>
      </w:tr>
      <w:tr>
        <w:trPr>
          <w:trHeight w:val="176"/>
        </w:trPr>
        <w:tc>
          <w:tcPr>
            <w:tcW w:w="20" w:type="dxa"/>
            <w:vAlign w:val="bottom"/>
          </w:tcPr>
          <w:p>
            <w:pPr>
              <w:spacing w:after="0"/>
              <w:rPr>
                <w:sz w:val="15"/>
                <w:szCs w:val="15"/>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jc w:val="center"/>
              <w:ind w:right="35"/>
              <w:spacing w:after="0"/>
              <w:rPr>
                <w:sz w:val="20"/>
                <w:szCs w:val="20"/>
                <w:color w:val="auto"/>
              </w:rPr>
            </w:pPr>
            <w:r>
              <w:rPr>
                <w:rFonts w:ascii="Arial" w:cs="Arial" w:eastAsia="Arial" w:hAnsi="Arial"/>
                <w:sz w:val="14"/>
                <w:szCs w:val="14"/>
                <w:color w:val="auto"/>
              </w:rPr>
              <w:t>WM</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117"/>
              <w:spacing w:after="0"/>
              <w:rPr>
                <w:sz w:val="20"/>
                <w:szCs w:val="20"/>
                <w:color w:val="auto"/>
              </w:rPr>
            </w:pPr>
            <w:r>
              <w:rPr>
                <w:rFonts w:ascii="Arial" w:cs="Arial" w:eastAsia="Arial" w:hAnsi="Arial"/>
                <w:sz w:val="14"/>
                <w:szCs w:val="14"/>
                <w:color w:val="auto"/>
                <w:w w:val="94"/>
              </w:rPr>
              <w:t>New York Stock Exchange</w:t>
            </w:r>
          </w:p>
        </w:tc>
      </w:tr>
    </w:tbl>
    <w:p>
      <w:pPr>
        <w:spacing w:after="0" w:line="10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900" w:right="839" w:bottom="1440" w:gutter="0" w:footer="0" w:header="0"/>
        </w:sectPr>
      </w:pP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2">
            <w:col w:w="7320" w:space="720"/>
            <w:col w:w="2180"/>
          </w:cols>
          <w:pgMar w:left="840" w:top="900" w:right="839" w:bottom="1440" w:gutter="0" w:footer="0" w:header="0"/>
          <w:type w:val="continuous"/>
        </w:sect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tabs>
          <w:tab w:leader="none" w:pos="75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as of April 21, 2022 was 415,207,025 (excluding treasury shares of 215,075,436).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443230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31750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66040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900" w:right="8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98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3000"/>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40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03"/>
        </w:trPr>
        <w:tc>
          <w:tcPr>
            <w:tcW w:w="6720" w:type="dxa"/>
            <w:vAlign w:val="bottom"/>
          </w:tcPr>
          <w:p>
            <w:pPr>
              <w:ind w:left="100"/>
              <w:spacing w:after="0"/>
              <w:rPr>
                <w:sz w:val="20"/>
                <w:szCs w:val="20"/>
                <w:color w:val="auto"/>
              </w:rPr>
            </w:pPr>
            <w:r>
              <w:rPr>
                <w:rFonts w:ascii="Arial" w:cs="Arial" w:eastAsia="Arial" w:hAnsi="Arial"/>
                <w:sz w:val="17"/>
                <w:szCs w:val="17"/>
                <w:color w:val="auto"/>
                <w:w w:val="99"/>
              </w:rPr>
              <w:t>Accounts receivable, net of allowance for doubtful accounts of $24 and $25, respectively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2,334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2,278</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receivables, net of allowance for doubtful accounts of $8 and $8, respectively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03"/>
        </w:trPr>
        <w:tc>
          <w:tcPr>
            <w:tcW w:w="6720" w:type="dxa"/>
            <w:vAlign w:val="bottom"/>
          </w:tcPr>
          <w:p>
            <w:pPr>
              <w:ind w:left="100"/>
              <w:spacing w:after="0"/>
              <w:rPr>
                <w:sz w:val="20"/>
                <w:szCs w:val="20"/>
                <w:color w:val="auto"/>
              </w:rPr>
            </w:pPr>
            <w:r>
              <w:rPr>
                <w:rFonts w:ascii="Arial" w:cs="Arial" w:eastAsia="Arial" w:hAnsi="Arial"/>
                <w:sz w:val="17"/>
                <w:szCs w:val="17"/>
                <w:color w:val="auto"/>
              </w:rPr>
              <w:t>Parts and supplies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196"/>
        </w:trPr>
        <w:tc>
          <w:tcPr>
            <w:tcW w:w="6720" w:type="dxa"/>
            <w:vAlign w:val="bottom"/>
          </w:tcPr>
          <w:p>
            <w:pPr>
              <w:ind w:left="220"/>
              <w:spacing w:after="0"/>
              <w:rPr>
                <w:sz w:val="20"/>
                <w:szCs w:val="20"/>
                <w:color w:val="auto"/>
              </w:rPr>
            </w:pPr>
            <w:r>
              <w:rPr>
                <w:rFonts w:ascii="Arial" w:cs="Arial" w:eastAsia="Arial" w:hAnsi="Arial"/>
                <w:sz w:val="17"/>
                <w:szCs w:val="17"/>
                <w:color w:val="auto"/>
              </w:rPr>
              <w:t>Total current 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3,059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3,069</w:t>
            </w: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8"/>
              </w:rPr>
              <w:t>Property and equipment, net of accumulated depreciation and amortization of $20,918 and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$20,537, respectively</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14,298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14,419</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7"/>
                <w:szCs w:val="17"/>
                <w:color w:val="auto"/>
              </w:rPr>
              <w:t>Goodwill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9,034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9,028</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7"/>
                <w:szCs w:val="17"/>
                <w:color w:val="auto"/>
              </w:rPr>
              <w:t>Restricted funds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442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unconsolidated entities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0" w:type="dxa"/>
            <w:vAlign w:val="bottom"/>
          </w:tcPr>
          <w:p>
            <w:pPr>
              <w:spacing w:after="0"/>
              <w:rPr>
                <w:sz w:val="1"/>
                <w:szCs w:val="1"/>
                <w:color w:val="auto"/>
              </w:rPr>
            </w:pPr>
          </w:p>
        </w:tc>
      </w:tr>
      <w:tr>
        <w:trPr>
          <w:trHeight w:val="203"/>
        </w:trPr>
        <w:tc>
          <w:tcPr>
            <w:tcW w:w="6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assets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903</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29,219</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29,097</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2220"/>
              <w:spacing w:after="0"/>
              <w:rPr>
                <w:sz w:val="20"/>
                <w:szCs w:val="20"/>
                <w:color w:val="auto"/>
              </w:rPr>
            </w:pPr>
            <w:r>
              <w:rPr>
                <w:rFonts w:ascii="Arial" w:cs="Arial" w:eastAsia="Arial" w:hAnsi="Arial"/>
                <w:sz w:val="17"/>
                <w:szCs w:val="17"/>
                <w:b w:val="1"/>
                <w:bCs w:val="1"/>
                <w:color w:val="auto"/>
              </w:rPr>
              <w:t>LIABILITIES AND EQUITY</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100"/>
              <w:spacing w:after="0"/>
              <w:rPr>
                <w:sz w:val="20"/>
                <w:szCs w:val="20"/>
                <w:color w:val="auto"/>
              </w:rPr>
            </w:pPr>
            <w:r>
              <w:rPr>
                <w:rFonts w:ascii="Arial" w:cs="Arial" w:eastAsia="Arial" w:hAnsi="Arial"/>
                <w:sz w:val="17"/>
                <w:szCs w:val="17"/>
                <w:color w:val="auto"/>
              </w:rPr>
              <w:t>Accounts payable</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1,384</w:t>
            </w:r>
          </w:p>
        </w:tc>
        <w:tc>
          <w:tcPr>
            <w:tcW w:w="40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1,375</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Accrued liabilities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w:t>
            </w:r>
          </w:p>
        </w:tc>
        <w:tc>
          <w:tcPr>
            <w:tcW w:w="0" w:type="dxa"/>
            <w:vAlign w:val="bottom"/>
          </w:tcPr>
          <w:p>
            <w:pPr>
              <w:spacing w:after="0"/>
              <w:rPr>
                <w:sz w:val="1"/>
                <w:szCs w:val="1"/>
                <w:color w:val="auto"/>
              </w:rPr>
            </w:pPr>
          </w:p>
        </w:tc>
      </w:tr>
      <w:tr>
        <w:trPr>
          <w:trHeight w:val="203"/>
        </w:trPr>
        <w:tc>
          <w:tcPr>
            <w:tcW w:w="6720" w:type="dxa"/>
            <w:vAlign w:val="bottom"/>
          </w:tcPr>
          <w:p>
            <w:pPr>
              <w:ind w:left="100"/>
              <w:spacing w:after="0"/>
              <w:rPr>
                <w:sz w:val="20"/>
                <w:szCs w:val="20"/>
                <w:color w:val="auto"/>
              </w:rPr>
            </w:pPr>
            <w:r>
              <w:rPr>
                <w:rFonts w:ascii="Arial" w:cs="Arial" w:eastAsia="Arial" w:hAnsi="Arial"/>
                <w:sz w:val="17"/>
                <w:szCs w:val="17"/>
                <w:color w:val="auto"/>
              </w:rPr>
              <w:t>Deferred revenues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571</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long-term debt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0" w:type="dxa"/>
            <w:vAlign w:val="bottom"/>
          </w:tcPr>
          <w:p>
            <w:pPr>
              <w:spacing w:after="0"/>
              <w:rPr>
                <w:sz w:val="1"/>
                <w:szCs w:val="1"/>
                <w:color w:val="auto"/>
              </w:rPr>
            </w:pPr>
          </w:p>
        </w:tc>
      </w:tr>
      <w:tr>
        <w:trPr>
          <w:trHeight w:val="196"/>
        </w:trPr>
        <w:tc>
          <w:tcPr>
            <w:tcW w:w="6720" w:type="dxa"/>
            <w:vAlign w:val="bottom"/>
          </w:tcPr>
          <w:p>
            <w:pPr>
              <w:ind w:left="220"/>
              <w:spacing w:after="0"/>
              <w:rPr>
                <w:sz w:val="20"/>
                <w:szCs w:val="20"/>
                <w:color w:val="auto"/>
              </w:rPr>
            </w:pPr>
            <w:r>
              <w:rPr>
                <w:rFonts w:ascii="Arial" w:cs="Arial" w:eastAsia="Arial" w:hAnsi="Arial"/>
                <w:sz w:val="17"/>
                <w:szCs w:val="17"/>
                <w:color w:val="auto"/>
              </w:rPr>
              <w:t>Total current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3,806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4,082</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Long-term debt, less current portion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12,697</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7"/>
                <w:szCs w:val="17"/>
                <w:color w:val="auto"/>
              </w:rPr>
              <w:t>Deferred income taxes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1,680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1,694</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Landfill and environmental remediation liabilities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2,373</w:t>
            </w:r>
          </w:p>
        </w:tc>
        <w:tc>
          <w:tcPr>
            <w:tcW w:w="0" w:type="dxa"/>
            <w:vAlign w:val="bottom"/>
          </w:tcPr>
          <w:p>
            <w:pPr>
              <w:spacing w:after="0"/>
              <w:rPr>
                <w:sz w:val="1"/>
                <w:szCs w:val="1"/>
                <w:color w:val="auto"/>
              </w:rPr>
            </w:pPr>
          </w:p>
        </w:tc>
      </w:tr>
      <w:tr>
        <w:trPr>
          <w:trHeight w:val="203"/>
        </w:trPr>
        <w:tc>
          <w:tcPr>
            <w:tcW w:w="6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liabilities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1,126</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1,125</w:t>
            </w: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22,073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21,971</w:t>
            </w:r>
          </w:p>
        </w:tc>
        <w:tc>
          <w:tcPr>
            <w:tcW w:w="0" w:type="dxa"/>
            <w:vAlign w:val="bottom"/>
          </w:tcPr>
          <w:p>
            <w:pPr>
              <w:spacing w:after="0"/>
              <w:rPr>
                <w:sz w:val="1"/>
                <w:szCs w:val="1"/>
                <w:color w:val="auto"/>
              </w:rPr>
            </w:pPr>
          </w:p>
        </w:tc>
      </w:tr>
      <w:tr>
        <w:trPr>
          <w:trHeight w:val="196"/>
        </w:trPr>
        <w:tc>
          <w:tcPr>
            <w:tcW w:w="6720" w:type="dxa"/>
            <w:vAlign w:val="bottom"/>
          </w:tcPr>
          <w:p>
            <w:pPr>
              <w:spacing w:after="0"/>
              <w:rPr>
                <w:sz w:val="20"/>
                <w:szCs w:val="20"/>
                <w:color w:val="auto"/>
              </w:rPr>
            </w:pPr>
            <w:r>
              <w:rPr>
                <w:rFonts w:ascii="Arial" w:cs="Arial" w:eastAsia="Arial" w:hAnsi="Arial"/>
                <w:sz w:val="17"/>
                <w:szCs w:val="17"/>
                <w:color w:val="auto"/>
              </w:rPr>
              <w:t>Commitments and contingencies (Note 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Equity: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20" w:type="dxa"/>
            <w:vAlign w:val="bottom"/>
          </w:tcPr>
          <w:p>
            <w:pPr>
              <w:ind w:left="100"/>
              <w:spacing w:after="0"/>
              <w:rPr>
                <w:sz w:val="20"/>
                <w:szCs w:val="20"/>
                <w:color w:val="auto"/>
              </w:rPr>
            </w:pPr>
            <w:r>
              <w:rPr>
                <w:rFonts w:ascii="Arial" w:cs="Arial" w:eastAsia="Arial" w:hAnsi="Arial"/>
                <w:sz w:val="17"/>
                <w:szCs w:val="17"/>
                <w:color w:val="auto"/>
              </w:rPr>
              <w:t>Waste Management, Inc. stockholders’ equity: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1"/>
              </w:rPr>
              <w:t>Common stock, $0.01 par value; 1,500,000,000 shares authorized; 630,282,461 shares issued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3"/>
        </w:trPr>
        <w:tc>
          <w:tcPr>
            <w:tcW w:w="672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5,178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5,169</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12,247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12,004</w:t>
            </w:r>
          </w:p>
        </w:tc>
        <w:tc>
          <w:tcPr>
            <w:tcW w:w="0" w:type="dxa"/>
            <w:vAlign w:val="bottom"/>
          </w:tcPr>
          <w:p>
            <w:pPr>
              <w:spacing w:after="0"/>
              <w:rPr>
                <w:sz w:val="1"/>
                <w:szCs w:val="1"/>
                <w:color w:val="auto"/>
              </w:rPr>
            </w:pPr>
          </w:p>
        </w:tc>
      </w:tr>
      <w:tr>
        <w:trPr>
          <w:trHeight w:val="203"/>
        </w:trPr>
        <w:tc>
          <w:tcPr>
            <w:tcW w:w="6720" w:type="dxa"/>
            <w:vAlign w:val="bottom"/>
          </w:tcPr>
          <w:p>
            <w:pPr>
              <w:ind w:left="220"/>
              <w:spacing w:after="0"/>
              <w:rPr>
                <w:sz w:val="20"/>
                <w:szCs w:val="20"/>
                <w:color w:val="auto"/>
              </w:rPr>
            </w:pPr>
            <w:r>
              <w:rPr>
                <w:rFonts w:ascii="Arial" w:cs="Arial" w:eastAsia="Arial" w:hAnsi="Arial"/>
                <w:sz w:val="17"/>
                <w:szCs w:val="17"/>
                <w:color w:val="auto"/>
              </w:rPr>
              <w:t>Accumulated other comprehensive income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Treasury stock at cost 215,102,120 and 214,158,636 shares, respectively</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(10,302)</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(10,072)</w:t>
            </w:r>
          </w:p>
        </w:tc>
        <w:tc>
          <w:tcPr>
            <w:tcW w:w="0" w:type="dxa"/>
            <w:vAlign w:val="bottom"/>
          </w:tcPr>
          <w:p>
            <w:pPr>
              <w:spacing w:after="0"/>
              <w:rPr>
                <w:sz w:val="1"/>
                <w:szCs w:val="1"/>
                <w:color w:val="auto"/>
              </w:rPr>
            </w:pPr>
          </w:p>
        </w:tc>
      </w:tr>
      <w:tr>
        <w:trPr>
          <w:trHeight w:val="196"/>
        </w:trPr>
        <w:tc>
          <w:tcPr>
            <w:tcW w:w="6720" w:type="dxa"/>
            <w:vAlign w:val="bottom"/>
          </w:tcPr>
          <w:p>
            <w:pPr>
              <w:ind w:left="320"/>
              <w:spacing w:after="0"/>
              <w:rPr>
                <w:sz w:val="20"/>
                <w:szCs w:val="20"/>
                <w:color w:val="auto"/>
              </w:rPr>
            </w:pPr>
            <w:r>
              <w:rPr>
                <w:rFonts w:ascii="Arial" w:cs="Arial" w:eastAsia="Arial" w:hAnsi="Arial"/>
                <w:sz w:val="17"/>
                <w:szCs w:val="17"/>
                <w:color w:val="auto"/>
              </w:rPr>
              <w:t>Total Waste Management, Inc. stockholders’ equity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7,144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7,124</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Noncontrolling interests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equity</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7,146</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7,126</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liabilities and equity</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29,219</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29,097</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CONDENSED CONSOLIDATED STATEMENTS OF OPERATIONS (In Millions, Except per Share Amounts) (Unaudited)</w:t>
      </w:r>
    </w:p>
    <w:p>
      <w:pPr>
        <w:spacing w:after="0" w:line="185"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Three Months Ended</w:t>
      </w:r>
    </w:p>
    <w:p>
      <w:pPr>
        <w:ind w:left="77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63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center"/>
              <w:ind w:right="92"/>
              <w:spacing w:after="0" w:line="142" w:lineRule="exact"/>
              <w:rPr>
                <w:sz w:val="20"/>
                <w:szCs w:val="20"/>
                <w:color w:val="auto"/>
              </w:rPr>
            </w:pPr>
            <w:r>
              <w:rPr>
                <w:rFonts w:ascii="Arial" w:cs="Arial" w:eastAsia="Arial" w:hAnsi="Arial"/>
                <w:sz w:val="14"/>
                <w:szCs w:val="14"/>
                <w:b w:val="1"/>
                <w:bCs w:val="1"/>
                <w:color w:val="auto"/>
                <w:w w:val="89"/>
              </w:rPr>
              <w:t>2022</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3"/>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4,112</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20"/>
                <w:szCs w:val="20"/>
                <w:color w:val="auto"/>
              </w:rPr>
            </w:pPr>
            <w:r>
              <w:rPr>
                <w:rFonts w:ascii="Arial" w:cs="Arial" w:eastAsia="Arial" w:hAnsi="Arial"/>
                <w:sz w:val="18"/>
                <w:szCs w:val="18"/>
                <w:color w:val="auto"/>
              </w:rPr>
              <w:t>Costs and expenses: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2,514</w:t>
            </w: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491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loss from divestitures, asset impairments and unusual items, net</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3,893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3,462</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768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Equity in net losses of unconsolidated entities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671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Net income (loss) attributable to noncontrolling interests</w:t>
            </w: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513</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Basic earnings per common share</w:t>
            </w:r>
          </w:p>
        </w:tc>
        <w:tc>
          <w:tcPr>
            <w:tcW w:w="7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2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1.24</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7"/>
        </w:trPr>
        <w:tc>
          <w:tcPr>
            <w:tcW w:w="63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common share</w:t>
            </w:r>
          </w:p>
        </w:tc>
        <w:tc>
          <w:tcPr>
            <w:tcW w:w="7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1.23</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
        </w:trPr>
        <w:tc>
          <w:tcPr>
            <w:tcW w:w="7040" w:type="dxa"/>
            <w:vAlign w:val="bottom"/>
            <w:gridSpan w:val="2"/>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8040" w:type="dxa"/>
            <w:vAlign w:val="bottom"/>
            <w:gridSpan w:val="7"/>
          </w:tcPr>
          <w:p>
            <w:pPr>
              <w:jc w:val="center"/>
              <w:ind w:left="77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20" w:type="dxa"/>
            <w:vAlign w:val="bottom"/>
          </w:tcPr>
          <w:p>
            <w:pPr>
              <w:jc w:val="center"/>
              <w:ind w:left="2470"/>
              <w:spacing w:after="0"/>
              <w:rPr>
                <w:sz w:val="20"/>
                <w:szCs w:val="20"/>
                <w:color w:val="auto"/>
              </w:rPr>
            </w:pPr>
            <w:r>
              <w:rPr>
                <w:rFonts w:ascii="Arial" w:cs="Arial" w:eastAsia="Arial" w:hAnsi="Arial"/>
                <w:sz w:val="18"/>
                <w:szCs w:val="18"/>
                <w:b w:val="1"/>
                <w:bCs w:val="1"/>
                <w:color w:val="auto"/>
                <w:w w:val="95"/>
              </w:rPr>
              <w:t>(In Millions)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2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(Unaudited)</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6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6"/>
          </w:tcPr>
          <w:p>
            <w:pPr>
              <w:jc w:val="right"/>
              <w:ind w:right="1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83"/>
              </w:rPr>
              <w:t>2021</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instruments, net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Available-for-sale securities, net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Post-retirement benefit obligations, net</w:t>
            </w: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Comprehensive income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511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Consolidated net income</w:t>
            </w:r>
          </w:p>
        </w:tc>
        <w:tc>
          <w:tcPr>
            <w:tcW w:w="28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514</w:t>
            </w:r>
          </w:p>
        </w:tc>
        <w:tc>
          <w:tcPr>
            <w:tcW w:w="460" w:type="dxa"/>
            <w:vAlign w:val="bottom"/>
            <w:gridSpan w:val="2"/>
          </w:tcPr>
          <w:p>
            <w:pPr>
              <w:jc w:val="right"/>
              <w:ind w:right="105"/>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w w:val="95"/>
              </w:rPr>
              <w:t>Adjustments to reconcile consolidated net income to net cash provided by operating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income tax expense (benefit)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Interest accretion on landfill and environmental remediation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Provision for bad debts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Equity-based compensation expense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gain on disposal of assets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(Gain) loss from divestitures, asset impairments and other, net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Equity in net losses of unconsolidated entities, net of dividends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w w:val="99"/>
              </w:rPr>
              <w:t>Change in operating assets and liabilities, net of effects of acquisitions and divestitures: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Receivables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400"/>
              <w:spacing w:after="0"/>
              <w:rPr>
                <w:sz w:val="20"/>
                <w:szCs w:val="20"/>
                <w:color w:val="auto"/>
              </w:rPr>
            </w:pPr>
            <w:r>
              <w:rPr>
                <w:rFonts w:ascii="Arial" w:cs="Arial" w:eastAsia="Arial" w:hAnsi="Arial"/>
                <w:sz w:val="17"/>
                <w:szCs w:val="17"/>
                <w:color w:val="auto"/>
              </w:rPr>
              <w:t>Other current assets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400"/>
              <w:spacing w:after="0"/>
              <w:rPr>
                <w:sz w:val="20"/>
                <w:szCs w:val="20"/>
                <w:color w:val="auto"/>
              </w:rPr>
            </w:pPr>
            <w:r>
              <w:rPr>
                <w:rFonts w:ascii="Arial" w:cs="Arial" w:eastAsia="Arial" w:hAnsi="Arial"/>
                <w:sz w:val="17"/>
                <w:szCs w:val="17"/>
                <w:color w:val="auto"/>
              </w:rPr>
              <w:t>Accounts payable and accrued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Deferred revenues and other liabilities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1,258</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Acquisitions of businesses, net of cash acquired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Capital expenditures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Proceeds from divestitures of businesses and other assets, net of cash divested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net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New borrowings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2,362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Debt repayments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Common stock repurchase program</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Cash dividends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Exercise of common stock options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Tax payments associated with equity-based compensation transactions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Other, net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760" w:type="dxa"/>
            <w:vAlign w:val="bottom"/>
          </w:tcPr>
          <w:p>
            <w:pPr>
              <w:spacing w:after="0" w:line="165" w:lineRule="exact"/>
              <w:rPr>
                <w:sz w:val="20"/>
                <w:szCs w:val="20"/>
                <w:color w:val="auto"/>
              </w:rPr>
            </w:pPr>
            <w:r>
              <w:rPr>
                <w:rFonts w:ascii="Arial" w:cs="Arial" w:eastAsia="Arial" w:hAnsi="Arial"/>
                <w:sz w:val="17"/>
                <w:szCs w:val="17"/>
                <w:color w:val="auto"/>
              </w:rPr>
              <w:t>Effect of exchange rate changes on cash, cash equivalents and restricted cash and cash</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equivalents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cash, cash equivalents and restricted cash and cash equivalents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Cash, cash equivalents and restricted cash and cash equivalents at beginning of period</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cash equivalents and restricted cash and cash equivalents at end of period</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w w:val="90"/>
              </w:rPr>
              <w:t>Reconciliation of cash, cash equivalents and restricted cash and cash equivalents at end of period: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8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155</w:t>
            </w:r>
          </w:p>
        </w:tc>
        <w:tc>
          <w:tcPr>
            <w:tcW w:w="460" w:type="dxa"/>
            <w:vAlign w:val="bottom"/>
            <w:gridSpan w:val="2"/>
          </w:tcPr>
          <w:p>
            <w:pPr>
              <w:jc w:val="right"/>
              <w:ind w:right="105"/>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 and cash equivalents included in other current assets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Restricted cash and cash equivalents included in restricted funds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cash equivalents and restricted cash and cash equivalents at end of period</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ind w:left="3260"/>
        <w:spacing w:after="0"/>
        <w:rPr>
          <w:sz w:val="20"/>
          <w:szCs w:val="20"/>
          <w:color w:val="auto"/>
        </w:rPr>
      </w:pPr>
      <w:r>
        <w:rPr>
          <w:rFonts w:ascii="Arial" w:cs="Arial" w:eastAsia="Arial" w:hAnsi="Arial"/>
          <w:sz w:val="18"/>
          <w:szCs w:val="18"/>
          <w:b w:val="1"/>
          <w:bCs w:val="1"/>
          <w:color w:val="auto"/>
        </w:rPr>
        <w:t>WASTE MANAGEMENT, INC.</w:t>
      </w:r>
    </w:p>
    <w:p>
      <w:pPr>
        <w:spacing w:after="0" w:line="158"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5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2"/>
          </w:tcPr>
          <w:p>
            <w:pPr>
              <w:jc w:val="right"/>
              <w:ind w:right="460"/>
              <w:spacing w:after="0"/>
              <w:rPr>
                <w:sz w:val="20"/>
                <w:szCs w:val="20"/>
                <w:color w:val="auto"/>
              </w:rPr>
            </w:pPr>
            <w:r>
              <w:rPr>
                <w:rFonts w:ascii="Arial" w:cs="Arial" w:eastAsia="Arial" w:hAnsi="Arial"/>
                <w:sz w:val="13"/>
                <w:szCs w:val="13"/>
                <w:b w:val="1"/>
                <w:bCs w:val="1"/>
                <w:color w:val="auto"/>
              </w:rPr>
              <w:t>Waste Management, Inc. Stockholders’ Equity</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3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93"/>
              </w:rPr>
              <w:t>Accumulated</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3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Other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1"/>
        </w:trPr>
        <w:tc>
          <w:tcPr>
            <w:tcW w:w="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5"/>
          </w:tcPr>
          <w:p>
            <w:pPr>
              <w:ind w:left="14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6"/>
              </w:rPr>
              <w:t>Paid-In</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4"/>
              </w:rPr>
              <w:t>Retained</w:t>
            </w: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w w:val="98"/>
              </w:rPr>
              <w:t>Comprehensive</w:t>
            </w:r>
          </w:p>
        </w:tc>
        <w:tc>
          <w:tcPr>
            <w:tcW w:w="1360" w:type="dxa"/>
            <w:vAlign w:val="bottom"/>
            <w:gridSpan w:val="5"/>
          </w:tcPr>
          <w:p>
            <w:pPr>
              <w:ind w:left="200"/>
              <w:spacing w:after="0"/>
              <w:rPr>
                <w:sz w:val="20"/>
                <w:szCs w:val="20"/>
                <w:color w:val="auto"/>
              </w:rPr>
            </w:pPr>
            <w:r>
              <w:rPr>
                <w:rFonts w:ascii="Arial" w:cs="Arial" w:eastAsia="Arial" w:hAnsi="Arial"/>
                <w:sz w:val="13"/>
                <w:szCs w:val="13"/>
                <w:b w:val="1"/>
                <w:bCs w:val="1"/>
                <w:color w:val="auto"/>
              </w:rPr>
              <w:t>Treasury Stock</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92"/>
              </w:rPr>
              <w:t>Noncontrolling</w:t>
            </w:r>
          </w:p>
        </w:tc>
      </w:tr>
      <w:tr>
        <w:trPr>
          <w:trHeight w:val="142"/>
        </w:trPr>
        <w:tc>
          <w:tcPr>
            <w:tcW w:w="3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80" w:type="dxa"/>
            <w:vAlign w:val="bottom"/>
            <w:gridSpan w:val="2"/>
          </w:tcPr>
          <w:p>
            <w:pPr>
              <w:jc w:val="right"/>
              <w:ind w:right="180"/>
              <w:spacing w:after="0" w:line="142" w:lineRule="exact"/>
              <w:rPr>
                <w:sz w:val="20"/>
                <w:szCs w:val="20"/>
                <w:color w:val="auto"/>
              </w:rPr>
            </w:pPr>
            <w:r>
              <w:rPr>
                <w:rFonts w:ascii="Arial" w:cs="Arial" w:eastAsia="Arial" w:hAnsi="Arial"/>
                <w:sz w:val="13"/>
                <w:szCs w:val="13"/>
                <w:b w:val="1"/>
                <w:bCs w:val="1"/>
                <w:color w:val="auto"/>
              </w:rPr>
              <w:t>Total</w:t>
            </w:r>
          </w:p>
        </w:tc>
        <w:tc>
          <w:tcPr>
            <w:tcW w:w="62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w w:val="88"/>
              </w:rPr>
              <w:t>Amounts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w w:val="96"/>
              </w:rPr>
              <w:t>Capital</w:t>
            </w:r>
          </w:p>
        </w:tc>
        <w:tc>
          <w:tcPr>
            <w:tcW w:w="640" w:type="dxa"/>
            <w:vAlign w:val="bottom"/>
            <w:gridSpan w:val="2"/>
          </w:tcPr>
          <w:p>
            <w:pPr>
              <w:jc w:val="right"/>
              <w:ind w:right="100"/>
              <w:spacing w:after="0" w:line="142" w:lineRule="exact"/>
              <w:rPr>
                <w:sz w:val="20"/>
                <w:szCs w:val="20"/>
                <w:color w:val="auto"/>
              </w:rPr>
            </w:pPr>
            <w:r>
              <w:rPr>
                <w:rFonts w:ascii="Arial" w:cs="Arial" w:eastAsia="Arial" w:hAnsi="Arial"/>
                <w:sz w:val="13"/>
                <w:szCs w:val="13"/>
                <w:b w:val="1"/>
                <w:bCs w:val="1"/>
                <w:color w:val="auto"/>
                <w:w w:val="93"/>
              </w:rPr>
              <w:t>Earnings</w:t>
            </w:r>
          </w:p>
        </w:tc>
        <w:tc>
          <w:tcPr>
            <w:tcW w:w="980" w:type="dxa"/>
            <w:vAlign w:val="bottom"/>
            <w:gridSpan w:val="3"/>
          </w:tcPr>
          <w:p>
            <w:pPr>
              <w:jc w:val="center"/>
              <w:ind w:right="80"/>
              <w:spacing w:after="0" w:line="142" w:lineRule="exact"/>
              <w:rPr>
                <w:sz w:val="20"/>
                <w:szCs w:val="20"/>
                <w:color w:val="auto"/>
              </w:rPr>
            </w:pPr>
            <w:r>
              <w:rPr>
                <w:rFonts w:ascii="Arial" w:cs="Arial" w:eastAsia="Arial" w:hAnsi="Arial"/>
                <w:sz w:val="13"/>
                <w:szCs w:val="13"/>
                <w:b w:val="1"/>
                <w:bCs w:val="1"/>
                <w:color w:val="auto"/>
                <w:w w:val="92"/>
              </w:rPr>
              <w:t>Income (Loss)</w:t>
            </w:r>
          </w:p>
        </w:tc>
        <w:tc>
          <w:tcPr>
            <w:tcW w:w="68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3"/>
                <w:szCs w:val="13"/>
                <w:b w:val="1"/>
                <w:bCs w:val="1"/>
                <w:color w:val="auto"/>
              </w:rPr>
              <w:t>Shares</w:t>
            </w: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5"/>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28"/>
              <w:spacing w:after="0" w:line="142" w:lineRule="exact"/>
              <w:rPr>
                <w:sz w:val="20"/>
                <w:szCs w:val="20"/>
                <w:color w:val="auto"/>
              </w:rPr>
            </w:pPr>
            <w:r>
              <w:rPr>
                <w:rFonts w:ascii="Arial" w:cs="Arial" w:eastAsia="Arial" w:hAnsi="Arial"/>
                <w:sz w:val="13"/>
                <w:szCs w:val="13"/>
                <w:b w:val="1"/>
                <w:bCs w:val="1"/>
                <w:color w:val="auto"/>
                <w:w w:val="99"/>
              </w:rPr>
              <w:t>Interests</w:t>
            </w:r>
          </w:p>
        </w:tc>
      </w:tr>
      <w:tr>
        <w:trPr>
          <w:trHeight w:val="128"/>
        </w:trPr>
        <w:tc>
          <w:tcPr>
            <w:tcW w:w="2540" w:type="dxa"/>
            <w:vAlign w:val="bottom"/>
            <w:tcBorders>
              <w:top w:val="single" w:sz="8" w:color="CCEEFF"/>
              <w:left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r>
      <w:tr>
        <w:trPr>
          <w:trHeight w:val="20"/>
        </w:trPr>
        <w:tc>
          <w:tcPr>
            <w:tcW w:w="300" w:type="dxa"/>
            <w:vAlign w:val="bottom"/>
            <w:tcBorders>
              <w:left w:val="single" w:sz="8" w:color="CCEEFF"/>
            </w:tcBorders>
            <w:shd w:val="clear" w:color="auto" w:fill="000000"/>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r>
        <w:trPr>
          <w:trHeight w:val="142"/>
        </w:trPr>
        <w:tc>
          <w:tcPr>
            <w:tcW w:w="254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Balance, December 31, 2021</w:t>
            </w: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w w:val="94"/>
              </w:rPr>
              <w:t>$ 7,126</w:t>
            </w: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60" w:type="dxa"/>
            <w:vAlign w:val="bottom"/>
          </w:tcPr>
          <w:p>
            <w:pPr>
              <w:spacing w:after="0"/>
              <w:rPr>
                <w:sz w:val="12"/>
                <w:szCs w:val="12"/>
                <w:color w:val="auto"/>
              </w:rPr>
            </w:pPr>
          </w:p>
        </w:tc>
        <w:tc>
          <w:tcPr>
            <w:tcW w:w="22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5,169</w:t>
            </w: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w w:val="91"/>
              </w:rPr>
              <w:t>$ 12,004</w:t>
            </w:r>
          </w:p>
        </w:tc>
        <w:tc>
          <w:tcPr>
            <w:tcW w:w="8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w w:val="96"/>
              </w:rPr>
              <w:t>(214,159)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w w:val="95"/>
              </w:rPr>
              <w:t>(10,072)</w:t>
            </w:r>
          </w:p>
        </w:tc>
        <w:tc>
          <w:tcPr>
            <w:tcW w:w="1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9"/>
        </w:trPr>
        <w:tc>
          <w:tcPr>
            <w:tcW w:w="254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r>
      <w:tr>
        <w:trPr>
          <w:trHeight w:val="130"/>
        </w:trPr>
        <w:tc>
          <w:tcPr>
            <w:tcW w:w="2540" w:type="dxa"/>
            <w:vAlign w:val="bottom"/>
            <w:gridSpan w:val="2"/>
          </w:tcPr>
          <w:p>
            <w:pPr>
              <w:ind w:left="20"/>
              <w:spacing w:after="0" w:line="130" w:lineRule="exact"/>
              <w:rPr>
                <w:sz w:val="20"/>
                <w:szCs w:val="20"/>
                <w:color w:val="auto"/>
              </w:rPr>
            </w:pPr>
            <w:r>
              <w:rPr>
                <w:rFonts w:ascii="Arial" w:cs="Arial" w:eastAsia="Arial" w:hAnsi="Arial"/>
                <w:sz w:val="14"/>
                <w:szCs w:val="14"/>
                <w:color w:val="auto"/>
                <w:w w:val="94"/>
              </w:rPr>
              <w:t>Other comprehensive income (loss), net of</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540" w:type="dxa"/>
            <w:vAlign w:val="bottom"/>
            <w:gridSpan w:val="2"/>
          </w:tcPr>
          <w:p>
            <w:pPr>
              <w:ind w:left="140"/>
              <w:spacing w:after="0"/>
              <w:rPr>
                <w:sz w:val="20"/>
                <w:szCs w:val="20"/>
                <w:color w:val="auto"/>
              </w:rPr>
            </w:pPr>
            <w:r>
              <w:rPr>
                <w:rFonts w:ascii="Arial" w:cs="Arial" w:eastAsia="Arial" w:hAnsi="Arial"/>
                <w:sz w:val="14"/>
                <w:szCs w:val="14"/>
                <w:color w:val="auto"/>
              </w:rPr>
              <w:t>tax</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540" w:type="dxa"/>
            <w:vAlign w:val="bottom"/>
            <w:tcBorders>
              <w:left w:val="single" w:sz="8" w:color="CCEEFF"/>
            </w:tcBorders>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Cash dividends declared of $0.65 per</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54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common share</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(275)</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(275)</w:t>
            </w: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540" w:type="dxa"/>
            <w:vAlign w:val="bottom"/>
            <w:gridSpan w:val="2"/>
          </w:tcPr>
          <w:p>
            <w:pPr>
              <w:ind w:left="20"/>
              <w:spacing w:after="0" w:line="130" w:lineRule="exact"/>
              <w:rPr>
                <w:sz w:val="20"/>
                <w:szCs w:val="20"/>
                <w:color w:val="auto"/>
              </w:rPr>
            </w:pPr>
            <w:r>
              <w:rPr>
                <w:rFonts w:ascii="Arial" w:cs="Arial" w:eastAsia="Arial" w:hAnsi="Arial"/>
                <w:sz w:val="14"/>
                <w:szCs w:val="14"/>
                <w:color w:val="auto"/>
                <w:w w:val="97"/>
              </w:rPr>
              <w:t>Equity-based compensation transactions,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540" w:type="dxa"/>
            <w:vAlign w:val="bottom"/>
            <w:gridSpan w:val="2"/>
          </w:tcPr>
          <w:p>
            <w:pPr>
              <w:ind w:left="140"/>
              <w:spacing w:after="0"/>
              <w:rPr>
                <w:sz w:val="20"/>
                <w:szCs w:val="20"/>
                <w:color w:val="auto"/>
              </w:rPr>
            </w:pPr>
            <w:r>
              <w:rPr>
                <w:rFonts w:ascii="Arial" w:cs="Arial" w:eastAsia="Arial" w:hAnsi="Arial"/>
                <w:sz w:val="14"/>
                <w:szCs w:val="14"/>
                <w:color w:val="auto"/>
              </w:rPr>
              <w:t>net</w:t>
            </w:r>
          </w:p>
        </w:tc>
        <w:tc>
          <w:tcPr>
            <w:tcW w:w="50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862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54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(250)</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(1,806)</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5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net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r>
      <w:tr>
        <w:trPr>
          <w:trHeight w:val="142"/>
        </w:trPr>
        <w:tc>
          <w:tcPr>
            <w:tcW w:w="2540" w:type="dxa"/>
            <w:vAlign w:val="bottom"/>
            <w:tcBorders>
              <w:top w:val="single" w:sz="8" w:color="CCEEFF"/>
              <w:left w:val="single" w:sz="8" w:color="CCEEFF"/>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March 31, 2022</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$ 7,146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5,178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$ 12,247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(215,102)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(10,302)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20"/>
        </w:trPr>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54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2021</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20"/>
        </w:trPr>
        <w:tc>
          <w:tcPr>
            <w:tcW w:w="300" w:type="dxa"/>
            <w:vAlign w:val="bottom"/>
            <w:tcBorders>
              <w:left w:val="single" w:sz="8" w:color="CCEEFF"/>
            </w:tcBorders>
            <w:shd w:val="clear" w:color="auto" w:fill="000000"/>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r>
        <w:trPr>
          <w:trHeight w:val="142"/>
        </w:trPr>
        <w:tc>
          <w:tcPr>
            <w:tcW w:w="254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Balance, December 31, 2020</w:t>
            </w: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w w:val="94"/>
              </w:rPr>
              <w:t>$ 7,454</w:t>
            </w: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60" w:type="dxa"/>
            <w:vAlign w:val="bottom"/>
          </w:tcPr>
          <w:p>
            <w:pPr>
              <w:spacing w:after="0"/>
              <w:rPr>
                <w:sz w:val="12"/>
                <w:szCs w:val="12"/>
                <w:color w:val="auto"/>
              </w:rPr>
            </w:pPr>
          </w:p>
        </w:tc>
        <w:tc>
          <w:tcPr>
            <w:tcW w:w="22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5,129</w:t>
            </w: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w w:val="91"/>
              </w:rPr>
              <w:t>$ 11,159</w:t>
            </w:r>
          </w:p>
        </w:tc>
        <w:tc>
          <w:tcPr>
            <w:tcW w:w="8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39</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w w:val="96"/>
              </w:rPr>
              <w:t>(207,481)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(8,881)</w:t>
            </w:r>
          </w:p>
        </w:tc>
        <w:tc>
          <w:tcPr>
            <w:tcW w:w="1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8"/>
        </w:trPr>
        <w:tc>
          <w:tcPr>
            <w:tcW w:w="254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540" w:type="dxa"/>
            <w:vAlign w:val="bottom"/>
            <w:gridSpan w:val="2"/>
          </w:tcPr>
          <w:p>
            <w:pPr>
              <w:ind w:left="20"/>
              <w:spacing w:after="0" w:line="130" w:lineRule="exact"/>
              <w:rPr>
                <w:sz w:val="20"/>
                <w:szCs w:val="20"/>
                <w:color w:val="auto"/>
              </w:rPr>
            </w:pPr>
            <w:r>
              <w:rPr>
                <w:rFonts w:ascii="Arial" w:cs="Arial" w:eastAsia="Arial" w:hAnsi="Arial"/>
                <w:sz w:val="14"/>
                <w:szCs w:val="14"/>
                <w:color w:val="auto"/>
                <w:w w:val="94"/>
              </w:rPr>
              <w:t>Other comprehensive income (loss), net of</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540" w:type="dxa"/>
            <w:vAlign w:val="bottom"/>
            <w:gridSpan w:val="2"/>
          </w:tcPr>
          <w:p>
            <w:pPr>
              <w:ind w:left="140"/>
              <w:spacing w:after="0"/>
              <w:rPr>
                <w:sz w:val="20"/>
                <w:szCs w:val="20"/>
                <w:color w:val="auto"/>
              </w:rPr>
            </w:pPr>
            <w:r>
              <w:rPr>
                <w:rFonts w:ascii="Arial" w:cs="Arial" w:eastAsia="Arial" w:hAnsi="Arial"/>
                <w:sz w:val="14"/>
                <w:szCs w:val="14"/>
                <w:color w:val="auto"/>
              </w:rPr>
              <w:t>tax</w:t>
            </w:r>
          </w:p>
        </w:tc>
        <w:tc>
          <w:tcPr>
            <w:tcW w:w="50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540" w:type="dxa"/>
            <w:vAlign w:val="bottom"/>
            <w:tcBorders>
              <w:left w:val="single" w:sz="8" w:color="CCEEFF"/>
            </w:tcBorders>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Cash dividends declared of $0.575 per</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54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common share</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(247)</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(247)</w:t>
            </w: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540" w:type="dxa"/>
            <w:vAlign w:val="bottom"/>
            <w:gridSpan w:val="2"/>
          </w:tcPr>
          <w:p>
            <w:pPr>
              <w:ind w:left="20"/>
              <w:spacing w:after="0" w:line="130" w:lineRule="exact"/>
              <w:rPr>
                <w:sz w:val="20"/>
                <w:szCs w:val="20"/>
                <w:color w:val="auto"/>
              </w:rPr>
            </w:pPr>
            <w:r>
              <w:rPr>
                <w:rFonts w:ascii="Arial" w:cs="Arial" w:eastAsia="Arial" w:hAnsi="Arial"/>
                <w:sz w:val="14"/>
                <w:szCs w:val="14"/>
                <w:color w:val="auto"/>
                <w:w w:val="97"/>
              </w:rPr>
              <w:t>Equity-based compensation transactions,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540" w:type="dxa"/>
            <w:vAlign w:val="bottom"/>
            <w:gridSpan w:val="2"/>
          </w:tcPr>
          <w:p>
            <w:pPr>
              <w:ind w:left="140"/>
              <w:spacing w:after="0"/>
              <w:rPr>
                <w:sz w:val="20"/>
                <w:szCs w:val="20"/>
                <w:color w:val="auto"/>
              </w:rPr>
            </w:pPr>
            <w:r>
              <w:rPr>
                <w:rFonts w:ascii="Arial" w:cs="Arial" w:eastAsia="Arial" w:hAnsi="Arial"/>
                <w:sz w:val="14"/>
                <w:szCs w:val="14"/>
                <w:color w:val="auto"/>
              </w:rPr>
              <w:t>net</w:t>
            </w:r>
          </w:p>
        </w:tc>
        <w:tc>
          <w:tcPr>
            <w:tcW w:w="50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(8)</w:t>
            </w: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54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(250)</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(1,809)</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5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net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540" w:type="dxa"/>
            <w:vAlign w:val="bottom"/>
            <w:tcBorders>
              <w:top w:val="single" w:sz="8" w:color="CCEEFF"/>
              <w:left w:val="single" w:sz="8" w:color="CCEEFF"/>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March 31, 2021</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$ 7,429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5,071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$ 11,337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(208,201)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(9,035)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20"/>
        </w:trPr>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12.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“WMI,” we are referring only to Waste Management, Inc., the parent holding company.</w:t>
      </w:r>
    </w:p>
    <w:p>
      <w:pPr>
        <w:spacing w:after="0" w:line="19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are North America’s leading provider of comprehensive waste management environmental services,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and our WM Renewable Energy business, we are also a leading developer, operator and owner of landfill gas-to-energy facilities in the U.S. that produce renewable natural gas, which is a significant source of fuel for our natural gas fleet.</w:t>
      </w:r>
    </w:p>
    <w:p>
      <w:pPr>
        <w:spacing w:after="0" w:line="17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 2021, our senior management began evaluating, overseeing and managing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 The Company finalized the assessment of our segments during the fourth quarter of 2021. The East and West Tiers are presented in this report and constitute our existing Solid Waste business. We also provide additional services that are not managed through our Solid Waste business, which are presented in this report as “Other.” Additional information related to our segments is included in Note 7.</w:t>
      </w:r>
    </w:p>
    <w:p>
      <w:pPr>
        <w:spacing w:after="0" w:line="18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Condensed Consolidated Financial Statements as of March 31, 2022 and for the three months ended March 31, 2022 and 2021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2021.</w:t>
      </w:r>
    </w:p>
    <w:p>
      <w:pPr>
        <w:spacing w:after="0" w:line="19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intangible asset impairments and the fair value of assets and liabilities acquired in business combinations. Actual results could differ materially from the estimates and assumptions that we use in the preparation of our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 billings are included in deferred revenues and recognized as revenue in the period service is provided. Substantially all our deferred revenues during the reported periods are realized as revenues within one to three months when the related services are performed.</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Sheets. As of March 31, 2022 and December 31, 2021, we had $176 million and $175 million, respectively, of deferred contract costs, of which $129 million and $126 million, respectively, was related to deferred sales incentives.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Amounts for our operating lease right-of-use assets are recorded in long-term other assets in our Condensed Consolidated Balance Sheets. The current and long-term portion of our operating lease liabilities are reflected in accrued liabilities and other long-term liabilities, respectively, in our Condensed Consolidated Balance Sheets. Amounts for our financing leases are recorded in property and equipment, net of accumulated depreciation, and current or long-term debt in our Condensed Consolidated Balance Sheets, as appropriate.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held within our restricted funds,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When necessary, reclassifications have been made to our prior period financial information to conform to the current year presentation and are not material to our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March 31, 2022</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6"/>
              </w:rPr>
              <w:t>Landfill</w:t>
            </w:r>
          </w:p>
        </w:tc>
        <w:tc>
          <w:tcPr>
            <w:tcW w:w="1160" w:type="dxa"/>
            <w:vAlign w:val="bottom"/>
            <w:gridSpan w:val="4"/>
          </w:tcPr>
          <w:p>
            <w:pPr>
              <w:ind w:left="140"/>
              <w:spacing w:after="0" w:line="119" w:lineRule="exact"/>
              <w:rPr>
                <w:sz w:val="20"/>
                <w:szCs w:val="20"/>
                <w:color w:val="auto"/>
              </w:rPr>
            </w:pPr>
            <w:r>
              <w:rPr>
                <w:rFonts w:ascii="Arial" w:cs="Arial" w:eastAsia="Arial" w:hAnsi="Arial"/>
                <w:sz w:val="13"/>
                <w:szCs w:val="13"/>
                <w:b w:val="1"/>
                <w:bCs w:val="1"/>
                <w:color w:val="auto"/>
              </w:rPr>
              <w:t>Environmental</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6"/>
              </w:rPr>
              <w:t>Landfill</w:t>
            </w:r>
          </w:p>
        </w:tc>
        <w:tc>
          <w:tcPr>
            <w:tcW w:w="140" w:type="dxa"/>
            <w:vAlign w:val="bottom"/>
          </w:tcPr>
          <w:p>
            <w:pPr>
              <w:spacing w:after="0"/>
              <w:rPr>
                <w:sz w:val="10"/>
                <w:szCs w:val="10"/>
                <w:color w:val="auto"/>
              </w:rPr>
            </w:pPr>
          </w:p>
        </w:tc>
        <w:tc>
          <w:tcPr>
            <w:tcW w:w="11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Environmental</w:t>
            </w:r>
          </w:p>
        </w:tc>
        <w:tc>
          <w:tcPr>
            <w:tcW w:w="140" w:type="dxa"/>
            <w:vAlign w:val="bottom"/>
          </w:tcPr>
          <w:p>
            <w:pPr>
              <w:spacing w:after="0"/>
              <w:rPr>
                <w:sz w:val="10"/>
                <w:szCs w:val="10"/>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Remediation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Remediation</w:t>
            </w: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three months ended March 31, 2022 are reflected in the table below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Landfill</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Environmental</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0" w:type="dxa"/>
            <w:vAlign w:val="bottom"/>
          </w:tcPr>
          <w:p>
            <w:pPr>
              <w:spacing w:after="0"/>
              <w:rPr>
                <w:sz w:val="1"/>
                <w:szCs w:val="1"/>
                <w:color w:val="auto"/>
              </w:rPr>
            </w:pPr>
          </w:p>
        </w:tc>
      </w:tr>
      <w:tr>
        <w:trPr>
          <w:trHeight w:val="209"/>
        </w:trPr>
        <w:tc>
          <w:tcPr>
            <w:tcW w:w="6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692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92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 (a) (b)</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9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Acquisitions, divestitures and other adjustments</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reported for our landfill liabilities includes decreases related to revisions in estimated costs and timing of capping, closure and post-closure liabilities.</w:t>
      </w:r>
    </w:p>
    <w:p>
      <w:pPr>
        <w:spacing w:after="0" w:line="62" w:lineRule="exact"/>
        <w:rPr>
          <w:rFonts w:ascii="Arial" w:cs="Arial" w:eastAsia="Arial" w:hAnsi="Arial"/>
          <w:sz w:val="18"/>
          <w:szCs w:val="18"/>
          <w:color w:val="auto"/>
        </w:rPr>
      </w:pPr>
    </w:p>
    <w:p>
      <w:pPr>
        <w:jc w:val="both"/>
        <w:ind w:left="380" w:right="79" w:hanging="330"/>
        <w:spacing w:after="0" w:line="25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reported for our environmental remediation liabilities includes a $17 million charge in our Corporate and Other segment to adjust an indirect wholly-owned subsidiary’s estimated potential share of the liability for a proposed environmental remediation plan at a closed site, as discussed in Note 6. Partially offsetting this charge was a decrease of $8 million due to an increase from 1.50% at December 31, 2021 to 2.50% at March 31, 2022 in the risk-free discount rate used to measure these liabilities.</w:t>
      </w:r>
    </w:p>
    <w:p>
      <w:pPr>
        <w:spacing w:after="0" w:line="18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accounts for purposes of settling final capping, closure, post-closure and environmental remediation obligations. Generally, these trust funds are established to comply with statutory requirements and operating agreements. See Note 12 for additional information related to these trusts.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summarizes the major components of debt as of each balance sheet date (in millions) and provides the maturities and interest rate ranges of each major category as of March 31, 2022:</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r>
      <w:tr>
        <w:trPr>
          <w:trHeight w:val="182"/>
        </w:trPr>
        <w:tc>
          <w:tcPr>
            <w:tcW w:w="20" w:type="dxa"/>
            <w:vAlign w:val="bottom"/>
          </w:tcPr>
          <w:p>
            <w:pPr>
              <w:spacing w:after="0"/>
              <w:rPr>
                <w:sz w:val="15"/>
                <w:szCs w:val="15"/>
                <w:color w:val="auto"/>
              </w:rPr>
            </w:pPr>
          </w:p>
        </w:tc>
        <w:tc>
          <w:tcPr>
            <w:tcW w:w="68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5"/>
              </w:rPr>
              <w:t>Commercial paper program (weighted average interest rate of 0.5% as of March 31, 2022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and 0.4% as of December 31, 2021)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r>
      <w:tr>
        <w:trPr>
          <w:trHeight w:val="202"/>
        </w:trPr>
        <w:tc>
          <w:tcPr>
            <w:tcW w:w="20" w:type="dxa"/>
            <w:vAlign w:val="bottom"/>
          </w:tcPr>
          <w:p>
            <w:pPr>
              <w:spacing w:after="0"/>
              <w:rPr>
                <w:sz w:val="17"/>
                <w:szCs w:val="17"/>
                <w:color w:val="auto"/>
              </w:rPr>
            </w:pPr>
          </w:p>
        </w:tc>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w w:val="93"/>
              </w:rPr>
              <w:t>Senior notes, maturing through 2050, interest rates ranging from 0.75% to 7.75% (weighted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Arial" w:cs="Arial" w:eastAsia="Arial" w:hAnsi="Arial"/>
                <w:sz w:val="18"/>
                <w:szCs w:val="18"/>
                <w:color w:val="auto"/>
              </w:rPr>
              <w:t>average interest rate of 3.1% as of March 31, 2022 and December 31, 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8,126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8,126</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Canadian senior notes, C$500 million maturing September 2026, interest rate of 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02"/>
        </w:trPr>
        <w:tc>
          <w:tcPr>
            <w:tcW w:w="20" w:type="dxa"/>
            <w:vAlign w:val="bottom"/>
          </w:tcPr>
          <w:p>
            <w:pPr>
              <w:spacing w:after="0"/>
              <w:rPr>
                <w:sz w:val="17"/>
                <w:szCs w:val="17"/>
                <w:color w:val="auto"/>
              </w:rPr>
            </w:pPr>
          </w:p>
        </w:tc>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w w:val="96"/>
              </w:rPr>
              <w:t>Tax-exempt bonds, maturing through 2048, fixed and variable interest rates ranging from</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Arial" w:cs="Arial" w:eastAsia="Arial" w:hAnsi="Arial"/>
                <w:sz w:val="18"/>
                <w:szCs w:val="18"/>
                <w:color w:val="auto"/>
                <w:w w:val="92"/>
              </w:rPr>
              <w:t>0.3% to 4.3% (weighted average interest rate of 1.5% as of March 31, 2022 and 1.4% as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Arial" w:cs="Arial" w:eastAsia="Arial" w:hAnsi="Arial"/>
                <w:sz w:val="18"/>
                <w:szCs w:val="18"/>
                <w:color w:val="auto"/>
              </w:rPr>
              <w:t>December 31, 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2,619</w:t>
            </w:r>
          </w:p>
        </w:tc>
      </w:tr>
      <w:tr>
        <w:trPr>
          <w:trHeight w:val="202"/>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Financing leases and other, maturing through 2085, weighted average interest rate of 4.8% as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of March 31, 2022 and 4.5% as of December 31, 2021 (a)</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16"/>
        </w:trPr>
        <w:tc>
          <w:tcPr>
            <w:tcW w:w="20" w:type="dxa"/>
            <w:vAlign w:val="bottom"/>
          </w:tcPr>
          <w:p>
            <w:pPr>
              <w:spacing w:after="0"/>
              <w:rPr>
                <w:sz w:val="18"/>
                <w:szCs w:val="18"/>
                <w:color w:val="auto"/>
              </w:rPr>
            </w:pPr>
          </w:p>
        </w:tc>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Debt issuance costs, discounts and other</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13,405</w:t>
            </w:r>
          </w:p>
        </w:tc>
      </w:tr>
      <w:tr>
        <w:trPr>
          <w:trHeight w:val="216"/>
        </w:trPr>
        <w:tc>
          <w:tcPr>
            <w:tcW w:w="20" w:type="dxa"/>
            <w:vAlign w:val="bottom"/>
          </w:tcPr>
          <w:p>
            <w:pPr>
              <w:spacing w:after="0"/>
              <w:rPr>
                <w:sz w:val="18"/>
                <w:szCs w:val="18"/>
                <w:color w:val="auto"/>
              </w:rPr>
            </w:pPr>
          </w:p>
        </w:tc>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4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12,697</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Excluding our landfill financing leases, the maturities of our financing leases and other debt obligations extend through 2059.</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March 31, 2022, we had approximately $3.0 billion of debt maturing within the next 12 months, including</w:t>
      </w:r>
    </w:p>
    <w:p>
      <w:pPr>
        <w:spacing w:after="0" w:line="35" w:lineRule="exact"/>
        <w:rPr>
          <w:sz w:val="20"/>
          <w:szCs w:val="20"/>
          <w:color w:val="auto"/>
        </w:rPr>
      </w:pPr>
    </w:p>
    <w:p>
      <w:pPr>
        <w:ind w:left="300" w:hanging="250"/>
        <w:spacing w:after="0"/>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$1.7 billion of short-term borrowings under our commercial paper program (net of related discount on issuance);</w:t>
      </w:r>
    </w:p>
    <w:p>
      <w:pPr>
        <w:spacing w:after="0" w:line="20" w:lineRule="exact"/>
        <w:rPr>
          <w:rFonts w:ascii="Arial" w:cs="Arial" w:eastAsia="Arial" w:hAnsi="Arial"/>
          <w:sz w:val="17"/>
          <w:szCs w:val="17"/>
          <w:color w:val="auto"/>
        </w:rPr>
      </w:pPr>
    </w:p>
    <w:p>
      <w:pPr>
        <w:jc w:val="both"/>
        <w:ind w:left="60" w:right="59" w:hanging="10"/>
        <w:spacing w:after="0" w:line="288" w:lineRule="auto"/>
        <w:tabs>
          <w:tab w:leader="none" w:pos="333" w:val="left"/>
        </w:tabs>
        <w:numPr>
          <w:ilvl w:val="0"/>
          <w:numId w:val="7"/>
        </w:numPr>
        <w:rPr>
          <w:rFonts w:ascii="Arial" w:cs="Arial" w:eastAsia="Arial" w:hAnsi="Arial"/>
          <w:sz w:val="16"/>
          <w:szCs w:val="16"/>
          <w:color w:val="auto"/>
        </w:rPr>
      </w:pPr>
      <w:r>
        <w:rPr>
          <w:rFonts w:ascii="Arial" w:cs="Arial" w:eastAsia="Arial" w:hAnsi="Arial"/>
          <w:sz w:val="16"/>
          <w:szCs w:val="16"/>
          <w:color w:val="auto"/>
        </w:rPr>
        <w:t>$645 million of tax-exempt bonds with term interest rate periods that expire within the next 12 months, which is prior to their scheduled maturities; (iii) $500 million of 2.9% senior notes that mature in September 2022 and (iv) $180 million of other debt with scheduled maturities within the next 12 months, including $71 million of tax-exempt bonds. As of March 31, 2022, we have classified $2.6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$435 million of debt maturing in the next 12 months is classified as current obligations.</w:t>
      </w:r>
    </w:p>
    <w:p>
      <w:pPr>
        <w:spacing w:after="0" w:line="168"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As of March 31, 2022, we also had $54 million of variable-rate tax-exempt bonds with long-term scheduled maturities supported by letters of credit under our $3.5 billion revolving credit facility. The interest rates on our variable-rate tax-exempt bonds reset on a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$3.5 billion revolving credit facility to fund these bonds until they are remarketed successfully. Accordingly, we have classified the $54 million of variable-rate tax-exempt bonds with maturities of more than one year as long-term in our Condensed Consolidated Balance Sheet as of March 31, 2022.</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Access to and Utilization of Credit Facilities and Commercial Paper Program</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i w:val="1"/>
          <w:iCs w:val="1"/>
          <w:color w:val="auto"/>
        </w:rPr>
        <w:t xml:space="preserve">$3.5 Billion Revolving Credit Facility — </w:t>
      </w:r>
      <w:r>
        <w:rPr>
          <w:rFonts w:ascii="Arial" w:cs="Arial" w:eastAsia="Arial" w:hAnsi="Arial"/>
          <w:sz w:val="16"/>
          <w:szCs w:val="16"/>
          <w:color w:val="auto"/>
        </w:rPr>
        <w:t>Our $3.5 billion revolving credit facility, maturing November 2024,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us with credit capacity to be used for cash borrowings, to support letters of credit and to support our commercial paper program. The rates we pay for outstanding U.S. or Canadian loans are generally based on LIBOR (or a LIBOR successor rate, if applicable, as provided for in the underlying credit agreement) or CDOR, respectively, plus a spread depending on the Company’s debt rating assigned by Moody’s Investors Service, Inc. and Standard and Poor’s Global Ratings. As of March 31, 2022, we had no outstanding borrowings under this facility. We had $166 million of letters of credit issued and $1.7 billion of outstanding borrowings (net of related discount on issuance) under our commercial paper program, both supported by the facility, leaving unused and available credit capacity of $1.6 billion as of March 31, 2022. WM Holdings, a wholly-owned subsidiary of WMI, guarantees all of the obligations under the $3.5 billion revolving credit facility.</w:t>
      </w:r>
    </w:p>
    <w:p>
      <w:pPr>
        <w:spacing w:after="0" w:line="16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Commercial Paper Program </w:t>
      </w:r>
      <w:r>
        <w:rPr>
          <w:rFonts w:ascii="Arial" w:cs="Arial" w:eastAsia="Arial" w:hAnsi="Arial"/>
          <w:sz w:val="16"/>
          <w:szCs w:val="16"/>
          <w:color w:val="auto"/>
        </w:rPr>
        <w:t>— We have a commercial paper program that enables us to borrow funds for up to 397</w:t>
      </w:r>
      <w:r>
        <w:rPr>
          <w:rFonts w:ascii="Arial" w:cs="Arial" w:eastAsia="Arial" w:hAnsi="Arial"/>
          <w:sz w:val="16"/>
          <w:szCs w:val="16"/>
          <w:i w:val="1"/>
          <w:iCs w:val="1"/>
          <w:color w:val="auto"/>
        </w:rPr>
        <w:t xml:space="preserve"> </w:t>
      </w:r>
      <w:r>
        <w:rPr>
          <w:rFonts w:ascii="Arial" w:cs="Arial" w:eastAsia="Arial" w:hAnsi="Arial"/>
          <w:sz w:val="16"/>
          <w:szCs w:val="16"/>
          <w:color w:val="auto"/>
        </w:rPr>
        <w:t>days at competitive interest rates. The rates we pay for outstanding borrowings are based on the term of the notes. The commercial paper program is fully supported by our $3.5 billion revolving credit facility. As of March 31, 2022, we had $1.7 billion of outstanding borrowings (net of related discount on issuance) under our commercial paper program.</w:t>
      </w:r>
    </w:p>
    <w:p>
      <w:pPr>
        <w:spacing w:after="0" w:line="15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Other Letter of Credit Lines — </w:t>
      </w:r>
      <w:r>
        <w:rPr>
          <w:rFonts w:ascii="Arial" w:cs="Arial" w:eastAsia="Arial" w:hAnsi="Arial"/>
          <w:sz w:val="18"/>
          <w:szCs w:val="18"/>
          <w:color w:val="auto"/>
        </w:rPr>
        <w:t>As of March 31, 2022, we had utilized $769 million of other uncommitted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lines, with terms maturing through April 2023.</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225"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i w:val="1"/>
          <w:iCs w:val="1"/>
          <w:color w:val="auto"/>
        </w:rPr>
        <w:t xml:space="preserve">Commercial Paper Program — </w:t>
      </w:r>
      <w:r>
        <w:rPr>
          <w:rFonts w:ascii="Arial" w:cs="Arial" w:eastAsia="Arial" w:hAnsi="Arial"/>
          <w:sz w:val="17"/>
          <w:szCs w:val="17"/>
          <w:color w:val="auto"/>
        </w:rPr>
        <w:t>During the three months ended March 31, 2022, we made cash repayments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$2.5 billion, which were partially offset by $2.4 billion of cash borrowings (net of related discount on issuance).</w:t>
      </w:r>
    </w:p>
    <w:p>
      <w:pPr>
        <w:spacing w:after="0" w:line="14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Financing Leases and Other </w:t>
      </w:r>
      <w:r>
        <w:rPr>
          <w:rFonts w:ascii="Arial" w:cs="Arial" w:eastAsia="Arial" w:hAnsi="Arial"/>
          <w:sz w:val="18"/>
          <w:szCs w:val="18"/>
          <w:color w:val="auto"/>
        </w:rPr>
        <w:t>— The increase in our financing leases and other debt obligations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2022 is primarily related to our new federal low-income housing investment discussed in Note 4, which increased our debt obligations by $183 million. The increase in our debt obligations was partially offset by $19 million of cash repayments of debt at maturity.</w:t>
      </w:r>
    </w:p>
    <w:p>
      <w:pPr>
        <w:spacing w:after="0" w:line="183" w:lineRule="exact"/>
        <w:rPr>
          <w:sz w:val="20"/>
          <w:szCs w:val="20"/>
          <w:color w:val="auto"/>
        </w:rPr>
      </w:pPr>
    </w:p>
    <w:p>
      <w:pPr>
        <w:ind w:left="360" w:hanging="310"/>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effective income tax rate was 23.5% and 22.7% for the three months ended March 31, 2022 and 2021, respectively. The increase in our effective income tax rate when comparing the three months ended March 31, 2022 and 2021 was primarily driven by (i) an increase in pre-tax income in 2022, which decreased the effective tax rate impact of our federal tax credits; and (ii) unfavorable adjustments to accruals and related deferred taxes, both of which were partially offset by a benefit from higher federal tax credits as a result of our incremental investment in low-income housing properties, which is discussed further below. We evaluate our effective income tax rate at each interim period and adjust it as facts and circumstances warrant.</w:t>
      </w:r>
    </w:p>
    <w:p>
      <w:pPr>
        <w:spacing w:after="0" w:line="19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Investments Qualifying for Federal Tax Credits </w:t>
      </w:r>
      <w:r>
        <w:rPr>
          <w:rFonts w:ascii="Arial" w:cs="Arial" w:eastAsia="Arial" w:hAnsi="Arial"/>
          <w:sz w:val="17"/>
          <w:szCs w:val="17"/>
          <w:color w:val="auto"/>
        </w:rPr>
        <w:t>— We have significant financial interests in entities established to</w:t>
      </w:r>
      <w:r>
        <w:rPr>
          <w:rFonts w:ascii="Arial" w:cs="Arial" w:eastAsia="Arial" w:hAnsi="Arial"/>
          <w:sz w:val="17"/>
          <w:szCs w:val="17"/>
          <w:i w:val="1"/>
          <w:iCs w:val="1"/>
          <w:color w:val="auto"/>
        </w:rPr>
        <w:t xml:space="preserve"> </w:t>
      </w:r>
      <w:r>
        <w:rPr>
          <w:rFonts w:ascii="Arial" w:cs="Arial" w:eastAsia="Arial" w:hAnsi="Arial"/>
          <w:sz w:val="17"/>
          <w:szCs w:val="17"/>
          <w:color w:val="auto"/>
        </w:rPr>
        <w:t>invest in and manage low-income housing properties. On February 8, 2022, we acquired an additional noncontrolling interest in a limited liability company established to invest in and manage low-income housing properties. Total consideration for this investment is expected to be $253 million, comprised of a $183 million note payable discussed in Note 3, an initial cash payment of $28 million and $42 million of interest payments expected to be paid over the life of the investment. At the time of the investment, we increased our investments in unconsolidated entities in our Condensed Consolidated Balance Sheet by $211 million, representing the principal balance of the note and the initial cash investment. We support the operations of these entities in exchange for a pro-rata share of the tax credits they generate. The low-income housing investments qualify for federal tax credits that we expect to realize through 2033 under Section 42 or Section 45D of the Internal Revenue Code.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account for our investments in these entities using the equity method of accounting, recognizing our share of each entity’s results of operations and other reductions in the value of our investments in equity in net losses of unconsolidated entities, within our Condensed Consolidated Statements of Operations. During the three months ended March 31, 2022 and 2021, we recognized $14 million and $9 million of net losses, respectively, and a reduction in our income tax expense of $23 million and $16 million, respectively, primarily due to federal tax credits realized from these investments as well as the tax benefits from the pre-tax losses realized. See Note 12 for additional information related to these unconsolidated variable interest entities.</w:t>
      </w:r>
    </w:p>
    <w:p>
      <w:pPr>
        <w:spacing w:after="0" w:line="195"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i w:val="1"/>
          <w:iCs w:val="1"/>
          <w:color w:val="auto"/>
        </w:rPr>
        <w:t xml:space="preserve">Adjustments to Accruals and Related Deferred Taxes — </w:t>
      </w:r>
      <w:r>
        <w:rPr>
          <w:rFonts w:ascii="Arial" w:cs="Arial" w:eastAsia="Arial" w:hAnsi="Arial"/>
          <w:sz w:val="16"/>
          <w:szCs w:val="16"/>
          <w:color w:val="auto"/>
        </w:rPr>
        <w:t>During the three months ended March 31, 2022, we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an increase in our income tax expense of $3 million for adjustments to accruals and related deferred taxes.</w:t>
      </w:r>
    </w:p>
    <w:p>
      <w:pPr>
        <w:spacing w:after="0" w:line="120" w:lineRule="exact"/>
        <w:rPr>
          <w:sz w:val="20"/>
          <w:szCs w:val="20"/>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Basic and diluted earnings per share for the three months ended March 31 were computed using the following common share data (shares in millions):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using weighted average common shares outstanding</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6"/>
              </w:rPr>
              <w:t>Dilutive effect of equity-based compensation awards and other contingently issuable shares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Potentially issuable shares</w:t>
            </w:r>
          </w:p>
        </w:tc>
        <w:tc>
          <w:tcPr>
            <w:tcW w:w="7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vMerge w:val="continue"/>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220" w:type="dxa"/>
            <w:vAlign w:val="bottom"/>
            <w:vMerge w:val="continue"/>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7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anti-dilutive potentially issuable shares excluded from diluted common shares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Refer to the Condensed Consolidated Statements of Operations for net income attributable to Waste Management, Inc.</w:t>
      </w:r>
    </w:p>
    <w:p>
      <w:pPr>
        <w:spacing w:after="0" w:line="271" w:lineRule="exact"/>
        <w:rPr>
          <w:sz w:val="20"/>
          <w:szCs w:val="20"/>
          <w:color w:val="auto"/>
        </w:rPr>
      </w:pPr>
    </w:p>
    <w:p>
      <w:pPr>
        <w:ind w:left="360" w:hanging="310"/>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surety bonds and insurance policies and have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letter of credit lines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66"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8"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Insurance — </w:t>
      </w:r>
      <w:r>
        <w:rPr>
          <w:rFonts w:ascii="Arial" w:cs="Arial" w:eastAsia="Arial" w:hAnsi="Arial"/>
          <w:sz w:val="16"/>
          <w:szCs w:val="16"/>
          <w:color w:val="auto"/>
        </w:rPr>
        <w:t>We carry insurance coverage for protection of our assets and operations from certain risks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liability, automobile liability, workers’ compensation, real and personal property, directors’ and officers’ liability, pollution legal liability, cyber incident liability and other coverages we believe are customary to the industry. Our exposure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to loss for insurance claims is generally limited to the per incident deductible under the related insurance policy. Our exposure could increase if our insurers are unable to meet their commitments on a timely basis.</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w:t>
      </w:r>
    </w:p>
    <w:p>
      <w:pPr>
        <w:spacing w:after="0" w:line="16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17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Guarantees — </w:t>
      </w:r>
      <w:r>
        <w:rPr>
          <w:rFonts w:ascii="Arial" w:cs="Arial" w:eastAsia="Arial" w:hAnsi="Arial"/>
          <w:sz w:val="17"/>
          <w:szCs w:val="17"/>
          <w:color w:val="auto"/>
        </w:rPr>
        <w:t>In the ordinary course of our business, WMI and WM Holdings enter into guarantee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their subsidiaries’ operations. Additionally, WMI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171"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As of March 31, 2022, we have guaranteed the obligations and certain performance requirements of third parties in connection with both consolidated and unconsolidated entities, including guarantees to cover the difference, if any, between the sale value and the guaranteed market or contractually-determined value of certain homeowner’s properties that are adjacent to or near 17 of our landfills. We have also agreed to indemnify certain third-party purchasers against liabilities associated with divested operations prior to such sale. We do not believe that these contingent obligations will have a material adverse effect on the Company’s financial condition, results of operations or cash flows.</w:t>
      </w:r>
    </w:p>
    <w:p>
      <w:pPr>
        <w:spacing w:after="0" w:line="16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Environmental Matters — </w:t>
      </w:r>
      <w:r>
        <w:rPr>
          <w:rFonts w:ascii="Arial" w:cs="Arial" w:eastAsia="Arial" w:hAnsi="Arial"/>
          <w:sz w:val="17"/>
          <w:szCs w:val="17"/>
          <w:color w:val="auto"/>
        </w:rPr>
        <w:t>A significant portion of our operating costs and capital expenditures could be characterized</w:t>
      </w:r>
      <w:r>
        <w:rPr>
          <w:rFonts w:ascii="Arial" w:cs="Arial" w:eastAsia="Arial" w:hAnsi="Arial"/>
          <w:sz w:val="17"/>
          <w:szCs w:val="17"/>
          <w:i w:val="1"/>
          <w:iCs w:val="1"/>
          <w:color w:val="auto"/>
        </w:rPr>
        <w:t xml:space="preserve"> </w:t>
      </w:r>
      <w:r>
        <w:rPr>
          <w:rFonts w:ascii="Arial" w:cs="Arial" w:eastAsia="Arial" w:hAnsi="Arial"/>
          <w:sz w:val="17"/>
          <w:szCs w:val="17"/>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7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$140 million higher than the $216 million recorded in the Condensed Consolidated Balance Sheet as of March 31, 2022.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As of March 31, 2022, we have been notified by the government that we are a PRP in connection with 73 locations listed on the Environmental Protection Agency’s (“EPA’s”) Superfund National Priorities List (“NPL”). Of the 73 sites at which claims have been made against us, 14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59 NPL sites, which we do not own, are at various procedural stages under the Comprehensive Environmental Response, Compensation and Liability Act of 1980, as amended, known as CERCLA or Superfund.</w:t>
      </w:r>
    </w:p>
    <w:p>
      <w:pPr>
        <w:spacing w:after="0" w:line="16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85"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On October 11, 2017, the EPA issued its Record of Decision (“ROD”) with respect to the previously proposed remediation plan for the San Jacinto River Waste Pits Site in Harris County, Texas. McGinnes Industrial Maintenance Corporation (“MIMC”), a subsidiary of Waste Management of Texas, Inc., operated some of the waste pits from 1965 to 1966 and has been named as a site PRP. In 1998, WMI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proposed remedy for the site, and we recorded a liability for MIMC’s estimated potential share of the EPA’s proposed remedy and related costs, although allocation of responsibility among the PRPs for the proposed remedy has not been established. MIMC and International Paper Company have continued to work on a remedial design to support the EPA’s proposed remedy; however, design investigations indicate that fundamental changes are required to the proposed remedy and MIMC maintains its prior position that the remedy set forth in the ROD is not the best solution to protect the environment and public health. Due to further increases in the estimated cost of the remedy set forth in the ROD, the recorded liability for MIMC’s estimated potential share of such costs increased by $17 million in 2022. As of March 31, 2022 and December 31, 2021, the recorded liability for MIMC’s estimated potential share of the EPA’s proposed remedy was $70 million and $53 million, respectively. MIMC’s ultimate liability could be materially different from current estimates and MIMC will continue to engage the EPA regarding its proposed remedy.</w:t>
      </w:r>
    </w:p>
    <w:p>
      <w:pPr>
        <w:spacing w:after="0" w:line="17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As of the date of this filing, we are not aware of any matters that are required to be disclosed pursuant to this standard.</w:t>
      </w:r>
    </w:p>
    <w:p>
      <w:pPr>
        <w:spacing w:after="0" w:line="17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92"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i w:val="1"/>
          <w:iCs w:val="1"/>
          <w:color w:val="auto"/>
        </w:rPr>
        <w:t xml:space="preserve">Litigation — </w:t>
      </w:r>
      <w:r>
        <w:rPr>
          <w:rFonts w:ascii="Arial" w:cs="Arial" w:eastAsia="Arial" w:hAnsi="Arial"/>
          <w:sz w:val="16"/>
          <w:szCs w:val="16"/>
          <w:color w:val="auto"/>
        </w:rPr>
        <w:t>As a large company with operations across the U.S. and Canada, we are subject to various proceedings,</w:t>
      </w:r>
      <w:r>
        <w:rPr>
          <w:rFonts w:ascii="Arial" w:cs="Arial" w:eastAsia="Arial" w:hAnsi="Arial"/>
          <w:sz w:val="16"/>
          <w:szCs w:val="16"/>
          <w:i w:val="1"/>
          <w:iCs w:val="1"/>
          <w:color w:val="auto"/>
        </w:rPr>
        <w:t xml:space="preserve"> </w:t>
      </w:r>
      <w:r>
        <w:rPr>
          <w:rFonts w:ascii="Arial" w:cs="Arial" w:eastAsia="Arial" w:hAnsi="Arial"/>
          <w:sz w:val="16"/>
          <w:szCs w:val="16"/>
          <w:color w:val="auto"/>
        </w:rPr>
        <w:t>lawsuits, disputes and claims arising in the ordinary course of 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6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1"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i w:val="1"/>
          <w:iCs w:val="1"/>
          <w:color w:val="auto"/>
        </w:rPr>
        <w:t xml:space="preserve">Multiemployer Defined Benefit Pension Plans — </w:t>
      </w:r>
      <w:r>
        <w:rPr>
          <w:rFonts w:ascii="Arial" w:cs="Arial" w:eastAsia="Arial" w:hAnsi="Arial"/>
          <w:sz w:val="16"/>
          <w:szCs w:val="16"/>
          <w:color w:val="auto"/>
        </w:rPr>
        <w:t>About 20% of our workforce is covered by collective bargaining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various local unions across the U.S. and Canada.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7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8"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i w:val="1"/>
          <w:iCs w:val="1"/>
          <w:color w:val="auto"/>
        </w:rPr>
        <w:t xml:space="preserve">Tax Matters — </w:t>
      </w:r>
      <w:r>
        <w:rPr>
          <w:rFonts w:ascii="Arial" w:cs="Arial" w:eastAsia="Arial" w:hAnsi="Arial"/>
          <w:sz w:val="16"/>
          <w:szCs w:val="16"/>
          <w:color w:val="auto"/>
        </w:rPr>
        <w:t>We participate in the IRS’s Compliance Assurance Process, which means we work with the IRS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throughout the year towards resolving any material issues prior to the filing of our annual tax return. Any unresolved issues as of the tax return filing date are subject to routine examination procedures. We are currently in the examination phase of</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IRS audits for the 2017, 2021 and 2022 tax years and expect these audits to be completed within the next 24 months. We are also currently undergoing audits by various state and local jurisdictions for tax years that date back to 2014. We maintain a liability for uncertain tax positions, the balance of which management believes is adequate. Results of audit assessments by taxing authorities are not currently expected to have a material adverse effect on our financial condition, results of operations or cash flows.</w:t>
      </w:r>
    </w:p>
    <w:p>
      <w:pPr>
        <w:spacing w:after="0" w:line="184" w:lineRule="exact"/>
        <w:rPr>
          <w:sz w:val="20"/>
          <w:szCs w:val="20"/>
          <w:color w:val="auto"/>
        </w:rPr>
      </w:pPr>
    </w:p>
    <w:p>
      <w:pPr>
        <w:ind w:left="360" w:hanging="310"/>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 2021, our senior management began evaluating, overseeing and managing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 The Company finalized the assessment of our segments during the fourth quarter of 2021. The East and West Tiers are presented in this report and constitute our existing Solid Waste business. This did not result in a change in our reporting units for purposes of evaluating our goodwill. Reclassifications have been made to our prior period consolidated financial information to conform to the current year presentation.</w:t>
      </w:r>
    </w:p>
    <w:p>
      <w:pPr>
        <w:spacing w:after="0" w:line="181"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operating segments not evaluated and overseen through our East and West Tiers are presented herein as “Other” as these operating segments do not meet the criteria to be aggregated with other operating segments and do not meet the quantitative criteria to be separately reported.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Summarized financial information concerning our reportable segments for the three months ended March 31 is shown in the following table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140" w:type="dxa"/>
            <w:vAlign w:val="bottom"/>
          </w:tcPr>
          <w:p>
            <w:pPr>
              <w:spacing w:after="0"/>
              <w:rPr>
                <w:sz w:val="14"/>
                <w:szCs w:val="14"/>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w w:val="97"/>
              </w:rPr>
              <w:t>Income</w:t>
            </w:r>
          </w:p>
        </w:tc>
      </w:tr>
      <w:tr>
        <w:trPr>
          <w:trHeight w:val="149"/>
        </w:trPr>
        <w:tc>
          <w:tcPr>
            <w:tcW w:w="22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Operating</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2"/>
                <w:szCs w:val="12"/>
                <w:color w:val="auto"/>
              </w:rPr>
            </w:pPr>
          </w:p>
        </w:tc>
        <w:tc>
          <w:tcPr>
            <w:tcW w:w="70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from</w:t>
            </w:r>
          </w:p>
        </w:tc>
      </w:tr>
      <w:tr>
        <w:trPr>
          <w:trHeight w:val="171"/>
        </w:trPr>
        <w:tc>
          <w:tcPr>
            <w:tcW w:w="22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10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Revenues(d)</w:t>
            </w:r>
          </w:p>
        </w:tc>
        <w:tc>
          <w:tcPr>
            <w:tcW w:w="7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Revenues</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Operations(e)</w:t>
            </w:r>
          </w:p>
        </w:tc>
      </w:tr>
      <w:tr>
        <w:trPr>
          <w:trHeight w:val="209"/>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3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Solid Waste:</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East Tier</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16"/>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West Tier</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2,406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(490)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1,916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09"/>
        </w:trPr>
        <w:tc>
          <w:tcPr>
            <w:tcW w:w="546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Solid Waste (a)</w:t>
            </w: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4,789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3,854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16"/>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Other (b)</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224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5,646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4,661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r>
      <w:tr>
        <w:trPr>
          <w:trHeight w:val="216"/>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Corporate and Other (c)</w:t>
            </w: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09"/>
        </w:trPr>
        <w:tc>
          <w:tcPr>
            <w:tcW w:w="54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0"/>
        </w:trPr>
        <w:tc>
          <w:tcPr>
            <w:tcW w:w="22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Solid Waste:</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East Tier</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16"/>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West Tier</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2,178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1,736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09"/>
        </w:trPr>
        <w:tc>
          <w:tcPr>
            <w:tcW w:w="546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Solid Waste (a)</w:t>
            </w: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4,306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3,470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r>
      <w:tr>
        <w:trPr>
          <w:trHeight w:val="216"/>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Other (b)</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224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4,971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4,112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r>
      <w:tr>
        <w:trPr>
          <w:trHeight w:val="216"/>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Corporate and Other (c)</w:t>
            </w: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10"/>
        </w:trPr>
        <w:tc>
          <w:tcPr>
            <w:tcW w:w="54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4,971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0"/>
        </w:trPr>
        <w:tc>
          <w:tcPr>
            <w:tcW w:w="22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59"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Income from operations provided by our Solid Waste business is generally indicative of the margins provided by our collection, landfill, transfer and recycling lines of business. From time to time, the operating results of our reportable segments are significantly affected by certain transactions or events that management believes are not indicative or representative of our results.</w:t>
      </w:r>
    </w:p>
    <w:p>
      <w:pPr>
        <w:spacing w:after="0" w:line="78" w:lineRule="exact"/>
        <w:rPr>
          <w:rFonts w:ascii="Arial" w:cs="Arial" w:eastAsia="Arial" w:hAnsi="Arial"/>
          <w:sz w:val="18"/>
          <w:szCs w:val="18"/>
          <w:color w:val="auto"/>
        </w:rPr>
      </w:pPr>
    </w:p>
    <w:p>
      <w:pPr>
        <w:jc w:val="both"/>
        <w:ind w:left="380" w:right="59"/>
        <w:spacing w:after="0" w:line="255" w:lineRule="auto"/>
        <w:rPr>
          <w:rFonts w:ascii="Arial" w:cs="Arial" w:eastAsia="Arial" w:hAnsi="Arial"/>
          <w:sz w:val="18"/>
          <w:szCs w:val="18"/>
          <w:color w:val="auto"/>
        </w:rPr>
      </w:pPr>
      <w:r>
        <w:rPr>
          <w:rFonts w:ascii="Arial" w:cs="Arial" w:eastAsia="Arial" w:hAnsi="Arial"/>
          <w:sz w:val="18"/>
          <w:szCs w:val="18"/>
          <w:color w:val="auto"/>
        </w:rPr>
        <w:t>Income from operations in our Solid Waste business increased primarily due to (i) revenue growth in our collection and disposal businesses driven by both yield and volume and (ii) improved profitability in our recycling business from higher market prices for recycling commodities and improved costs at facilities where we have made investments in enhanced technology and equipment. These increases were partially offset by inflationary cost pressures and labor cost pressure from frontline employee wage adjustments, increased hiring driving up training costs and higher overtime due to driver shortages and volume growth.</w:t>
      </w:r>
    </w:p>
    <w:p>
      <w:pPr>
        <w:spacing w:after="0" w:line="84" w:lineRule="exact"/>
        <w:rPr>
          <w:rFonts w:ascii="Arial" w:cs="Arial" w:eastAsia="Arial" w:hAnsi="Arial"/>
          <w:sz w:val="18"/>
          <w:szCs w:val="18"/>
          <w:color w:val="auto"/>
        </w:rPr>
      </w:pPr>
    </w:p>
    <w:p>
      <w:pPr>
        <w:jc w:val="both"/>
        <w:ind w:left="380" w:right="79" w:hanging="330"/>
        <w:spacing w:after="0" w:line="272"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includes (i) elements of our Strategic Business Solutions (“WMSBS”) business that are not included in the operations of our reportable segments; (ii) elements of our landfill gas-to-energy operations managed by our WM Renewable Energy business and not included in the operations of our reportable segments; (iii) elements of our third-party subcontract and administration revenues managed by our Energy and Environmental Services (“EES”) business and not included in the operations of our reportable segments; (iv) our recycling brokerage services; (v) certain other expanded service offerings and solutions and (vi) the results of non-operating entities that provide financial assurance and self-insurance support for our Solid Waste business, net of intercompany activity.</w:t>
      </w:r>
    </w:p>
    <w:p>
      <w:pPr>
        <w:spacing w:after="0" w:line="69" w:lineRule="exact"/>
        <w:rPr>
          <w:rFonts w:ascii="Arial" w:cs="Arial" w:eastAsia="Arial" w:hAnsi="Arial"/>
          <w:sz w:val="17"/>
          <w:szCs w:val="17"/>
          <w:color w:val="auto"/>
        </w:rPr>
      </w:pPr>
    </w:p>
    <w:p>
      <w:pPr>
        <w:ind w:left="380"/>
        <w:spacing w:after="0"/>
        <w:rPr>
          <w:rFonts w:ascii="Arial" w:cs="Arial" w:eastAsia="Arial" w:hAnsi="Arial"/>
          <w:sz w:val="17"/>
          <w:szCs w:val="17"/>
          <w:color w:val="auto"/>
        </w:rPr>
      </w:pPr>
      <w:r>
        <w:rPr>
          <w:rFonts w:ascii="Arial" w:cs="Arial" w:eastAsia="Arial" w:hAnsi="Arial"/>
          <w:sz w:val="18"/>
          <w:szCs w:val="18"/>
          <w:color w:val="auto"/>
        </w:rPr>
        <w:t>The decrease in income from operations was primarily driven by our self-insurance program.</w:t>
      </w:r>
    </w:p>
    <w:p>
      <w:pPr>
        <w:spacing w:after="0" w:line="117" w:lineRule="exact"/>
        <w:rPr>
          <w:rFonts w:ascii="Arial" w:cs="Arial" w:eastAsia="Arial" w:hAnsi="Arial"/>
          <w:sz w:val="17"/>
          <w:szCs w:val="17"/>
          <w:color w:val="auto"/>
        </w:rPr>
      </w:pPr>
    </w:p>
    <w:p>
      <w:pPr>
        <w:jc w:val="both"/>
        <w:ind w:left="380" w:right="79" w:hanging="330"/>
        <w:spacing w:after="0" w:line="257"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and Other”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 Income from operations for “Corporate and Other” also includes costs associated with our long-term incentive program.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380" w:right="59"/>
        <w:spacing w:after="0" w:line="301" w:lineRule="auto"/>
        <w:rPr>
          <w:sz w:val="20"/>
          <w:szCs w:val="20"/>
          <w:color w:val="auto"/>
        </w:rPr>
      </w:pPr>
      <w:r>
        <w:rPr>
          <w:rFonts w:ascii="Arial" w:cs="Arial" w:eastAsia="Arial" w:hAnsi="Arial"/>
          <w:sz w:val="16"/>
          <w:szCs w:val="16"/>
          <w:color w:val="auto"/>
        </w:rPr>
        <w:t>The decrease in income from operations was primarily driven by (i) increased costs as a result of strategic investments we are making in our digital platform, including investments in customer service digitalization, as well as investments in our sustainability initiatives and (ii) increased labor costs primarily due to merit increases. This decrease in income from operations was partially offset by lower integration costs related to our acquisition of Advanced Disposal.</w:t>
      </w:r>
    </w:p>
    <w:p>
      <w:pPr>
        <w:spacing w:after="0" w:line="49" w:lineRule="exact"/>
        <w:rPr>
          <w:sz w:val="20"/>
          <w:szCs w:val="20"/>
          <w:color w:val="auto"/>
        </w:rPr>
      </w:pPr>
    </w:p>
    <w:p>
      <w:pPr>
        <w:jc w:val="both"/>
        <w:ind w:left="380" w:right="79" w:hanging="330"/>
        <w:spacing w:after="0" w:line="263"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75"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fourth quarter of 2021, we discontinued certain allocations from our Corporate and Other segment to our Solid Waste operating segments and Other segment. Reclassifications have been made to our prior period information for comparability purposes.</w:t>
      </w:r>
    </w:p>
    <w:p>
      <w:pPr>
        <w:spacing w:after="0" w:line="76"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The mix of operating revenues from our major lines of business for the three months ended March 31 are as follows (in millions):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Borders>
              <w:bottom w:val="single" w:sz="8" w:color="CCEEFF"/>
            </w:tcBorders>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r>
      <w:tr>
        <w:trPr>
          <w:trHeight w:val="210"/>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r>
      <w:tr>
        <w:trPr>
          <w:trHeight w:val="216"/>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Industrial</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1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16"/>
        </w:trPr>
        <w:tc>
          <w:tcPr>
            <w:tcW w:w="7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collection</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09"/>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r>
      <w:tr>
        <w:trPr>
          <w:trHeight w:val="216"/>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Landfill</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915</w:t>
            </w:r>
          </w:p>
        </w:tc>
      </w:tr>
      <w:tr>
        <w:trPr>
          <w:trHeight w:val="21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16"/>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Recycling</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1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16"/>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Intercompany (b)</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(985)</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09"/>
        </w:trPr>
        <w:tc>
          <w:tcPr>
            <w:tcW w:w="70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r>
      <w:tr>
        <w:trPr>
          <w:trHeight w:val="20"/>
        </w:trPr>
        <w:tc>
          <w:tcPr>
            <w:tcW w:w="22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54"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“Other” line of business includes (i) certain services provided by our WMSBS business; (ii) our landfill gas to energy operations managed by our WM Renewable Energy business; (iii) certain services within our EES business,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83"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170"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changes in commodity prices and general economic conditions. Our revenues and income from operations typically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6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Service disruptions caused by severe storms, extended periods of inclement weather or climate events can significantly affect the operating results of the geographic areas affected. On the other hand,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waste volumes generated by these events. While weather-related and other event driven special projects can boost revenues through additional work for a limited time, due to significant start-up costs and other factors, such revenue can generate earnings at comparatively lower margins.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(Gain) Loss from Divestitures, Asset Impairments and Unusual Items, Net</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During the first quarter of 2022, we recognized a $17 million charge in our Corporate and Other segment to adjust an indirect wholly-owned subsidiary’s estimated potential share of the liability for a proposed environmental remediation plan at a closed site, as discussed in Note 6.</w:t>
      </w:r>
    </w:p>
    <w:p>
      <w:pPr>
        <w:spacing w:after="0" w:line="18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During the first quarter of 2021, we recognized net charges of $17 million consisting of (i) a $19 million charge pertaining to reserves for loss contingencies in our Corporate and Other segment and (ii) $6 million of asset impairment charges primarily related to our WM Renewable Energy business within our Other segment; which were partially offset by an $8 million gain from divestitures of certain ancillary operations in our Other segment.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Accumulated Other Comprehensive Income (Loss)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Balance,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3" w:lineRule="exact"/>
        <w:rPr>
          <w:sz w:val="20"/>
          <w:szCs w:val="20"/>
          <w:color w:val="auto"/>
        </w:rPr>
      </w:pPr>
    </w:p>
    <w:p>
      <w:pPr>
        <w:ind w:left="300" w:right="100" w:hanging="129"/>
        <w:spacing w:after="0" w:line="255" w:lineRule="auto"/>
        <w:rPr>
          <w:sz w:val="20"/>
          <w:szCs w:val="20"/>
          <w:color w:val="auto"/>
        </w:rPr>
      </w:pPr>
      <w:r>
        <w:rPr>
          <w:rFonts w:ascii="Arial" w:cs="Arial" w:eastAsia="Arial" w:hAnsi="Arial"/>
          <w:sz w:val="18"/>
          <w:szCs w:val="18"/>
          <w:color w:val="auto"/>
        </w:rPr>
        <w:t>Other comprehensive income (loss) before reclassifications, net of tax expense (benefit) of $0, $(5), $0 and $0,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wp:posOffset>
            </wp:positionV>
            <wp:extent cx="564896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411480"/>
                    </a:xfrm>
                    <a:prstGeom prst="rect">
                      <a:avLst/>
                    </a:prstGeom>
                    <a:noFill/>
                  </pic:spPr>
                </pic:pic>
              </a:graphicData>
            </a:graphic>
          </wp:anchor>
        </w:drawing>
      </w:r>
    </w:p>
    <w:p>
      <w:pPr>
        <w:jc w:val="both"/>
        <w:ind w:left="300" w:hanging="129"/>
        <w:spacing w:after="0" w:line="255" w:lineRule="auto"/>
        <w:rPr>
          <w:sz w:val="20"/>
          <w:szCs w:val="20"/>
          <w:color w:val="auto"/>
        </w:rPr>
      </w:pPr>
      <w:r>
        <w:rPr>
          <w:rFonts w:ascii="Arial" w:cs="Arial" w:eastAsia="Arial" w:hAnsi="Arial"/>
          <w:sz w:val="18"/>
          <w:szCs w:val="18"/>
          <w:color w:val="auto"/>
        </w:rPr>
        <w:t>Amounts reclassified from accumulated other comprehensive (income) loss, net of tax (expense) benefit of $0, $0, $0 and $0, respectively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Post-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Currency</w:t>
            </w:r>
          </w:p>
        </w:tc>
        <w:tc>
          <w:tcPr>
            <w:tcW w:w="8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Retirement</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gridSpan w:val="3"/>
            <w:vMerge w:val="continue"/>
          </w:tcPr>
          <w:p>
            <w:pPr>
              <w:spacing w:after="0"/>
              <w:rPr>
                <w:sz w:val="12"/>
                <w:szCs w:val="12"/>
                <w:color w:val="auto"/>
              </w:rPr>
            </w:pPr>
          </w:p>
        </w:tc>
        <w:tc>
          <w:tcPr>
            <w:tcW w:w="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for-Sale</w:t>
            </w: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Benefit</w:t>
            </w:r>
          </w:p>
        </w:tc>
        <w:tc>
          <w:tcPr>
            <w:tcW w:w="5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Securities</w:t>
            </w: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Adjustments</w:t>
            </w: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Obligations</w:t>
            </w: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17</w:t>
            </w:r>
          </w:p>
        </w:tc>
        <w:tc>
          <w:tcPr>
            <w:tcW w:w="0" w:type="dxa"/>
            <w:vAlign w:val="bottom"/>
          </w:tcPr>
          <w:p>
            <w:pPr>
              <w:spacing w:after="0"/>
              <w:rPr>
                <w:sz w:val="1"/>
                <w:szCs w:val="1"/>
                <w:color w:val="auto"/>
              </w:rPr>
            </w:pPr>
          </w:p>
        </w:tc>
      </w:tr>
      <w:tr>
        <w:trPr>
          <w:trHeight w:val="634"/>
        </w:trPr>
        <w:tc>
          <w:tcPr>
            <w:tcW w:w="30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648"/>
        </w:trPr>
        <w:tc>
          <w:tcPr>
            <w:tcW w:w="3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2">
            <w:col w:w="4600" w:space="280"/>
            <w:col w:w="4139"/>
          </w:cols>
          <w:pgMar w:left="1440" w:top="661" w:right="1440" w:bottom="1440" w:gutter="0" w:footer="0" w:header="0"/>
          <w:type w:val="continuous"/>
        </w:sectPr>
      </w:pPr>
    </w:p>
    <w:tbl>
      <w:tblPr>
        <w:tblLayout w:type="fixed"/>
        <w:tblInd w:w="40" w:type="dxa"/>
        <w:tblCellMar>
          <w:top w:w="0" w:type="dxa"/>
          <w:left w:w="0" w:type="dxa"/>
          <w:bottom w:w="0" w:type="dxa"/>
          <w:right w:w="0" w:type="dxa"/>
        </w:tblCellMar>
      </w:tblPr>
      <w:tr>
        <w:trPr>
          <w:trHeight w:val="198"/>
        </w:trPr>
        <w:tc>
          <w:tcPr>
            <w:tcW w:w="4840" w:type="dxa"/>
            <w:vAlign w:val="bottom"/>
            <w:tcBorders>
              <w:bottom w:val="single" w:sz="8" w:color="CCEEFF"/>
            </w:tcBorders>
          </w:tcPr>
          <w:p>
            <w:pPr>
              <w:ind w:left="20"/>
              <w:spacing w:after="0" w:line="198" w:lineRule="exact"/>
              <w:rPr>
                <w:sz w:val="20"/>
                <w:szCs w:val="20"/>
                <w:color w:val="auto"/>
              </w:rPr>
            </w:pPr>
            <w:r>
              <w:rPr>
                <w:rFonts w:ascii="Arial" w:cs="Arial" w:eastAsia="Arial" w:hAnsi="Arial"/>
                <w:sz w:val="18"/>
                <w:szCs w:val="18"/>
                <w:color w:val="auto"/>
              </w:rPr>
              <w:t>Net current period other comprehensive income (loss)</w:t>
            </w:r>
          </w:p>
        </w:tc>
        <w:tc>
          <w:tcPr>
            <w:tcW w:w="34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w:t>
            </w:r>
          </w:p>
        </w:tc>
      </w:tr>
      <w:tr>
        <w:trPr>
          <w:trHeight w:val="21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4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Common Stock Repurchase Program</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Company repurchases shares of its common stock as part of capital allocation programs authorized by our Board of Directors.</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December 2021, we executed an accelerated share repurchase (“ASR”) to repurchase $350 million of our common stock. At the beginning of the repurchase period, we delivered $350 million in cash and received 1.7 million shares based on a stock price of $160.67. The ASR agreement completed in January 2022, at which time we received 0.4 million additional shares based on a final weighted average price of $160.33.</w:t>
      </w:r>
    </w:p>
    <w:p>
      <w:pPr>
        <w:spacing w:after="0" w:line="18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February 2022, we entered into an ASR agreement to repurchase $250 million of our common stock. At the beginning of the repurchase period, we delivered $250 million cash and received 1.4 million shares based on a stock price of $146.43. The final number of shares to be repurchased and the final average price per share under the ASR agreement will depend on the volume-weighted average price of our stock, less a discount, during the term of the agreement. Purchases under the ASR agreement are expected to be completed in April 2022.</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As of March 31, 2022, the Company has authorization for $1.25 billion of future share repurchases.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assets and liabilities that are measured at fair value on a recurring basis include the following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r>
      <w:tr>
        <w:trPr>
          <w:trHeight w:val="196"/>
        </w:trPr>
        <w:tc>
          <w:tcPr>
            <w:tcW w:w="20" w:type="dxa"/>
            <w:vAlign w:val="bottom"/>
          </w:tcPr>
          <w:p>
            <w:pPr>
              <w:spacing w:after="0"/>
              <w:rPr>
                <w:sz w:val="17"/>
                <w:szCs w:val="17"/>
                <w:color w:val="auto"/>
              </w:rPr>
            </w:pPr>
          </w:p>
        </w:tc>
        <w:tc>
          <w:tcPr>
            <w:tcW w:w="5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Quoted prices in active markets (Level 1):</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Cash equivalents and money market funds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200" w:type="dxa"/>
            <w:vAlign w:val="bottom"/>
            <w:gridSpan w:val="2"/>
          </w:tcPr>
          <w:p>
            <w:pPr>
              <w:jc w:val="right"/>
              <w:ind w:right="59"/>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Equity securities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Significant other observable inputs (Level 2):</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Available-for-sale securities (a)</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Significant unobservable inputs (Level 3):</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Redeemable preferred stock (b)</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09"/>
        </w:trPr>
        <w:tc>
          <w:tcPr>
            <w:tcW w:w="20" w:type="dxa"/>
            <w:vAlign w:val="bottom"/>
          </w:tcPr>
          <w:p>
            <w:pPr>
              <w:spacing w:after="0"/>
              <w:rPr>
                <w:sz w:val="18"/>
                <w:szCs w:val="18"/>
                <w:color w:val="auto"/>
              </w:rPr>
            </w:pPr>
          </w:p>
        </w:tc>
        <w:tc>
          <w:tcPr>
            <w:tcW w:w="5020" w:type="dxa"/>
            <w:vAlign w:val="bottom"/>
            <w:gridSpan w:val="2"/>
          </w:tcPr>
          <w:p>
            <w:pPr>
              <w:ind w:left="220"/>
              <w:spacing w:after="0"/>
              <w:rPr>
                <w:sz w:val="20"/>
                <w:szCs w:val="20"/>
                <w:color w:val="auto"/>
              </w:rPr>
            </w:pPr>
            <w:r>
              <w:rPr>
                <w:rFonts w:ascii="Arial" w:cs="Arial" w:eastAsia="Arial" w:hAnsi="Arial"/>
                <w:sz w:val="18"/>
                <w:szCs w:val="18"/>
                <w:color w:val="auto"/>
              </w:rPr>
              <w:t>Total Assets</w:t>
            </w:r>
          </w:p>
        </w:tc>
        <w:tc>
          <w:tcPr>
            <w:tcW w:w="17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5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8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r>
    </w:tbl>
    <w:p>
      <w:pPr>
        <w:spacing w:after="0" w:line="80" w:lineRule="exact"/>
        <w:rPr>
          <w:sz w:val="20"/>
          <w:szCs w:val="20"/>
          <w:color w:val="auto"/>
        </w:rPr>
      </w:pPr>
    </w:p>
    <w:p>
      <w:pPr>
        <w:ind w:left="380" w:hanging="330"/>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available-for-sale securities primarily relate to debt securities with maturities over the next eight years.</w:t>
      </w:r>
    </w:p>
    <w:p>
      <w:pPr>
        <w:spacing w:after="0" w:line="117" w:lineRule="exact"/>
        <w:rPr>
          <w:rFonts w:ascii="Arial" w:cs="Arial" w:eastAsia="Arial" w:hAnsi="Arial"/>
          <w:sz w:val="18"/>
          <w:szCs w:val="18"/>
          <w:color w:val="auto"/>
        </w:rPr>
      </w:pPr>
    </w:p>
    <w:p>
      <w:pPr>
        <w:jc w:val="both"/>
        <w:ind w:left="380" w:right="79" w:hanging="330"/>
        <w:spacing w:after="0" w:line="257"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investment has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company comparable transactions.</w:t>
      </w:r>
    </w:p>
    <w:p>
      <w:pPr>
        <w:spacing w:after="0" w:line="187"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7"/>
          <w:szCs w:val="17"/>
          <w:color w:val="auto"/>
        </w:rPr>
        <w:t>See Note 8 for information related to our nonrecurring fair value measurements and the impact of impairments.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of March 31, 2022 and December 31, 2021, the carrying value of our debt was $13.5 billion and $13.4 billion. The estimated fair value of our debt was approximately $13.3 billion and $14.1 billion as of March 31, 2022 and December 31, 2021, respectively. The decrease in the fair value of debt is primarily related to increases in current market rates of our senior notes.</w:t>
      </w:r>
    </w:p>
    <w:p>
      <w:pPr>
        <w:spacing w:after="0" w:line="18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March 31, 2022 and December 31, 2021. These amounts have not been revalued since those dates, and current estimates of fair value could differ significantly from the amounts presented.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Variable Interest Entities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Following is a description of our financial interests in unconsolidated and consolidated variable interest entities that we consider significant: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Low-Income Housing Properties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do not consolidate our investments in entities established to manage low-income housing properties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$372 million and $178 million as of March 31, 2022 and December 31, 2021, respectively. The debt balance related to our investments in low-income housing properties was $331 million and $156 million as of March 31, 2022 and December 31, 2021, respectively. Additional information related to these investments is discussed in Note 4.</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Unconsolidated Variable Interest Entities — </w:t>
      </w:r>
      <w:r>
        <w:rPr>
          <w:rFonts w:ascii="Arial" w:cs="Arial" w:eastAsia="Arial" w:hAnsi="Arial"/>
          <w:sz w:val="17"/>
          <w:szCs w:val="17"/>
          <w:color w:val="auto"/>
        </w:rPr>
        <w:t>Trust funds that are established for both the benefit of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$103 million and $110 million as of March 31, 2022 and December 31, 2021, respectively.</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Consolidated Variable Interest Entities — </w:t>
      </w:r>
      <w:r>
        <w:rPr>
          <w:rFonts w:ascii="Arial" w:cs="Arial" w:eastAsia="Arial" w:hAnsi="Arial"/>
          <w:sz w:val="18"/>
          <w:szCs w:val="18"/>
          <w:color w:val="auto"/>
        </w:rPr>
        <w:t>Trust funds for which we are the sole beneficiary are consolidated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we are the primary beneficiary. These trust funds are recorded in restricted funds accounts in our Condensed Consolidated Balance Sheets. Unrealized gains and losses on available-for-sale securities held by these trusts are recorded as a component of accumulated other comprehensive income (loss). These trusts had a fair value of $118 million and $117 million as of March 31,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0" w:name="page21"/>
    <w:bookmarkEnd w:id="20"/>
    <w:p>
      <w:pPr>
        <w:ind w:left="60"/>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2021.</w:t>
      </w:r>
    </w:p>
    <w:p>
      <w:pPr>
        <w:spacing w:after="0" w:line="187" w:lineRule="exact"/>
        <w:rPr>
          <w:sz w:val="20"/>
          <w:szCs w:val="20"/>
          <w:color w:val="auto"/>
        </w:rPr>
      </w:pPr>
    </w:p>
    <w:p>
      <w:pPr>
        <w:jc w:val="both"/>
        <w:ind w:left="60" w:right="59" w:firstLine="324"/>
        <w:spacing w:after="0" w:line="283" w:lineRule="auto"/>
        <w:rPr>
          <w:sz w:val="20"/>
          <w:szCs w:val="20"/>
          <w:color w:val="auto"/>
        </w:rPr>
      </w:pPr>
      <w:r>
        <w:rPr>
          <w:rFonts w:ascii="Arial" w:cs="Arial" w:eastAsia="Arial" w:hAnsi="Arial"/>
          <w:sz w:val="16"/>
          <w:szCs w:val="16"/>
          <w:color w:val="auto"/>
        </w:rPr>
        <w:t>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 view or belief about current and future events, circumstances or performance. You should view these statements with caution. They are based on the facts and circumstances known to us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growth, and cost savings initiatives and overall business strategy; failure to identify acquisition targets, consummate and integrate acquisitions; failure to obtain the results anticipated from acquisitions, including continuing to realize the strategic benefits and cost synergies from our acquisition of Advanced Disposal Services, Inc. (“Advanced Disposal”); environmental and other regulations, including developments related to emerging contaminants, gas emissions and renewable fuel; significant environmental, safety or other incidents resulting in liabilities or brand damage; failure to obtain and maintain necessary permits; failure to attract, hire and retain key team members and a high quality workforce; changes in wage and labor related regulations; significant storms and destructive climate events; public health risk and other impacts of COVID-19 or similar pandemic conditions, including related regulations, resulting in increased costs and social, labor and commercial disruption; macroeconomic pressures and market disruption resulting in labor, supply chain and transportation constraints and inflationary cost pressure; increased competition; pricing actions; commodity price fluctuations; impacts from Russia’s recent invasion of Ukraine and the resulting geopolitical conflict and international response, including increased risk of cyber incidents and exacerbation of market disruption, inflationary cost pressure and changes in commodity prices, fuel and other energy costs; international trade restrictions; disposal alternatives and waste diversion; declining waste volumes; weakness in general economic conditions and capital markets; adoption of new tax legislation; fuel shortages; failure to develop and protect new technology; failure of technology to perform as expected, including implementation of a new enterprise resource planning and human capital management system; failure to prevent, detect and address cybersecurity incidents or comply with privacy regulations; negative outcomes of litigation or governmental proceedings; decisions or developments that result in impairment charges and other risks discussed in our filings with the SEC, including Part I, Item 1A of our Annual Report on Form 10-K for the year ended December 31, 2021. We assume no obligation to update any forward-looking statement, including financial estimates and forecasts, whether as a result of future events, circumstances or developments or otherwise.</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are North America’s leading provider of comprehensive waste management environmental services,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We are also a leading developer, operator and owner of landfill gas-to-energy facilities in the U.S. that produce renewable natural gas, which is a significant source of fuel for our natural gas fleet. Additionally, we are a leading recycler in the U.S. and Canada, handling materials that include paper, cardboard, glass, plastic, and metal. Our “Solid Waste” business is operated and managed locally by our subsidiaries that focus on distinct geographic areas and provide collection, transfer, disposal, and recycling and resource recovery services. Consistent with our Company’s long-standing commitment to sustainability and environmental stewardship, we published our 2021 Sustainability Report, which details our people-first commitment to help make the communities in which we live and work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1" w:name="page22"/>
    <w:bookmarkEnd w:id="21"/>
    <w:p>
      <w:pPr>
        <w:jc w:val="both"/>
        <w:ind w:left="60" w:right="79"/>
        <w:spacing w:after="0" w:line="277" w:lineRule="auto"/>
        <w:rPr>
          <w:sz w:val="20"/>
          <w:szCs w:val="20"/>
          <w:color w:val="auto"/>
        </w:rPr>
      </w:pPr>
      <w:r>
        <w:rPr>
          <w:rFonts w:ascii="Arial" w:cs="Arial" w:eastAsia="Arial" w:hAnsi="Arial"/>
          <w:sz w:val="18"/>
          <w:szCs w:val="18"/>
          <w:color w:val="auto"/>
        </w:rPr>
        <w:t>safe, resilient, and sustainable. The information in this report can be found at https://sustainability.wm.com but it does not constitute a part of, and is not incorporated by reference into, this Quarterly Report on Form 10 Q.</w:t>
      </w:r>
    </w:p>
    <w:p>
      <w:pPr>
        <w:spacing w:after="0" w:line="170"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2021, our senior management began evaluating, overseeing, and managing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w:t>
      </w:r>
    </w:p>
    <w:p>
      <w:pPr>
        <w:spacing w:after="0" w:line="16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considering our cost of loading, transporting, and disposing of the solid waste at a disposal site. Recycling revenues generally consist of tipping fees and the sale of recycling commodities to third parties. The fees we charge for our services generally include our environmental, fuel surcharge and regulatory recovery fees which are intended to pass through to customers direct and indirect costs incurred. We also provide additional services that are not managed through our Solid Waste business, described under </w:t>
      </w: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below.</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Strategy</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Our fundamental strategy has not changed; we remain dedicated to providing long-term value to our stockholders by successfully executing our core strategy of focused differentiation and continuous improvement. As North America’s leading provider of comprehensive waste management environmental services, sustainability and environmental stewardship is embedded in all that we do. We have enabled a people-first, technology-led focus to drive our mission to maximize resource value, while minimizing environmental impact, so that both our economy and our environment can thrive. Our strategy leverages and sustains the strongest asset network in the industry to drive best in 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the combination of cost control, enhancements to our digital platform, process improvement and operational efficiency will deliver on the Company’s strategy of continuous improvement and yield an attractive total cost structure and enhanced service quality. While we continue to improve existing diversion technologies, such as through investments in our recycling operations, we are also evaluating and pursuing emerging diversion technologies that may generate additional value.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and expanding our renewable energy projects to meet the evolving needs of our diverse customer base. As the leading waste management environmental services provider in North America, we are taking big, bold steps to catalyze positive change – change that will impact our Company as well as the communities we serve. Our sustainability agenda includes expanding recycling and focuses on meeting or exceeding specific 2025 and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2" w:name="page23"/>
    <w:bookmarkEnd w:id="22"/>
    <w:p>
      <w:pPr>
        <w:jc w:val="both"/>
        <w:ind w:left="60" w:right="79"/>
        <w:spacing w:after="0" w:line="277" w:lineRule="auto"/>
        <w:rPr>
          <w:sz w:val="20"/>
          <w:szCs w:val="20"/>
          <w:color w:val="auto"/>
        </w:rPr>
      </w:pPr>
      <w:r>
        <w:rPr>
          <w:rFonts w:ascii="Arial" w:cs="Arial" w:eastAsia="Arial" w:hAnsi="Arial"/>
          <w:sz w:val="18"/>
          <w:szCs w:val="18"/>
          <w:color w:val="auto"/>
        </w:rPr>
        <w:t>2038 sustainability goals around people, customers, the environment, and community, which align with eight of the United Nations Sustainable Development Goals.</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including the impact of COVID-19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a heightened pace of inflation. Volume changes can fluctuate dramatically by line of business and volume changes in higher margin businesses, such as what we saw with COVID-19, can impact key financial metrics. We must dynamically manage our cost structure in response to volume changes and cost inflation.</w:t>
      </w:r>
    </w:p>
    <w:p>
      <w:pPr>
        <w:spacing w:after="0" w:line="17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customer service digitalization initiative to change the way we interact with our customers. Enhancements made through this initiative are intended to seamlessly and digitally connect all the Company’s functions required to service our customers in order to provide the best experience and service. In late 2021, we began to execute on the next phase of this technology enablement strategy to automate and optimize certain elements of our service delivery model. This next phase will prioritize reduced labor dependency on certain high-turnover jobs, particularly in customer experience, recycling and residential collection. Additionally, in early 2022, we implemented our new enterprise resource planning system which will contribute to operational and service excellence by empowering our people through a modern, simplified and connected finance and accounting platform.</w:t>
      </w:r>
    </w:p>
    <w:p>
      <w:pPr>
        <w:spacing w:after="0" w:line="182"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Certain macroeconomic pressures and market disruption, driven in part by the COVID-19 pandemic and other external events and conditions, intensified during the second half of 2021 and have continued through the first quarter of 2022. The constrained labor market has resulted in increased costs for wage adjustments, overtime hours and training new hires to address frontline employee turnover, increased volume, and operational challenges. The COVID-19 pandemic and other external events and conditions have also contributed to significant global supply chain disruption and inflationary pressure for the goods and services we purchase, with a particular impact on our repair and maintenance costs. Supply chain constraints have also caused delayed delivery of fleet, steel containers and other purchases. Aspects of our business rely on third-party transportation providers, and such services have become more limited and expensive. Additionally, we are currently experiencing margin pressures from commodity-driven business impacts, particularly from recycling brokerage rebates and higher fuel prices. The extent and duration of the impact of these labor market, supply chain and transportation challenges are subject to numerous external factors beyond our control, including broader macroeconomic conditions; size, location, and qualifications of the labor pool; behavioral changes; wage and price structures; adoption of new or revised regulations; future resurgence in pandemic conditions and restrictions and geopolitical conflicts and responses. As costs increase, we focus on our strategic pricing efforts, as well as operating efficiencies and cost controls, to maintain and grow our earnings and cash flow. With increased pressure from the strong economic recovery, particularly on labor, we remain focused on putting our people first to ensure that they are well positioned to execute our daily operations diligently and safely. We are encouraged by our results in 2022 and remain focused on delivering outstanding customer service, managing our variable costs with changing volumes and investing in technology that will enhance our customers’ experience and reduce our cost to serve.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3" w:name="page24"/>
    <w:bookmarkEnd w:id="23"/>
    <w:p>
      <w:pPr>
        <w:ind w:left="180"/>
        <w:spacing w:after="0"/>
        <w:rPr>
          <w:sz w:val="20"/>
          <w:szCs w:val="20"/>
          <w:color w:val="auto"/>
        </w:rPr>
      </w:pPr>
      <w:r>
        <w:rPr>
          <w:rFonts w:ascii="Arial" w:cs="Arial" w:eastAsia="Arial" w:hAnsi="Arial"/>
          <w:sz w:val="18"/>
          <w:szCs w:val="18"/>
          <w:b w:val="1"/>
          <w:bCs w:val="1"/>
          <w:i w:val="1"/>
          <w:iCs w:val="1"/>
          <w:color w:val="auto"/>
        </w:rPr>
        <w:t>Current Quarter Financial Results</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During the first quarter of 2022, we delivered strong revenue and income from operations as we continued to experience higher yield and volume recovery at our landfills and in our commercial collection business. However, our first quarter of 2022 income from operations was impacted by constraints on labor availability and inflationary cost pressures. We continue to invest in our people through market wage adjustments, investments in our digital platform and training for new team members. In addition, we are focused on executing on our disciplined pricing programs in the face of these additional labor cost and inflationary pressures. We also made significant investments in recycling automation technology and customer service digitalization to further support our continued focus on optimizing operational efficiency as well as achieving improved labor productivity for all lines of business. During the first quarter of 2022, we allocated $418 million of available cash to capital expenditures and $525 million to our shareholders through dividends and common stock repurchases.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Key elements of our financial results for the first quarter include:</w:t>
      </w:r>
    </w:p>
    <w:p>
      <w:pPr>
        <w:spacing w:after="0" w:line="117" w:lineRule="exact"/>
        <w:rPr>
          <w:sz w:val="20"/>
          <w:szCs w:val="20"/>
          <w:color w:val="auto"/>
        </w:rPr>
      </w:pPr>
    </w:p>
    <w:p>
      <w:pPr>
        <w:jc w:val="both"/>
        <w:ind w:left="720" w:right="79" w:hanging="319"/>
        <w:spacing w:after="0" w:line="291"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Revenues of $4,661 million, compared with $4,112 million in the prior year period, an increase of $549 million, or 13.4%. The increase is primarily attributable to (i) higher yield in our collection and disposal lines of business;</w:t>
      </w:r>
    </w:p>
    <w:p>
      <w:pPr>
        <w:ind w:left="1000" w:hanging="275"/>
        <w:spacing w:after="0"/>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strong volume growth and (iii) increases in the market prices for recycling commodities we sell;</w:t>
      </w:r>
    </w:p>
    <w:p>
      <w:pPr>
        <w:spacing w:after="0" w:line="102" w:lineRule="exact"/>
        <w:rPr>
          <w:rFonts w:ascii="Arial" w:cs="Arial" w:eastAsia="Arial" w:hAnsi="Arial"/>
          <w:sz w:val="18"/>
          <w:szCs w:val="18"/>
          <w:color w:val="auto"/>
        </w:rPr>
      </w:pPr>
    </w:p>
    <w:p>
      <w:pPr>
        <w:jc w:val="both"/>
        <w:ind w:left="720" w:right="79" w:hanging="319"/>
        <w:spacing w:after="0" w:line="284"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Operating expenses of $2,903 million, or 62.3% of revenues, compared with $2,514 million, or 61.1% of revenues, in the prior year period. The $389 million increase is primarily attributable to (i) commodity-driven business impacts, particularly from recycling brokerage rebates and higher fuel prices, which also impacted our operating expense as a percentage of revenue; (ii) inflationary cost pressures; (iii) labor cost pressure from frontline employee wage adjustments, increased hiring driving up training costs and higher overtime due to driver shortages and volume growth; (iv) volume growth, particularly for our commercial collection business; and</w:t>
      </w:r>
    </w:p>
    <w:p>
      <w:pPr>
        <w:spacing w:after="0" w:line="4" w:lineRule="exact"/>
        <w:rPr>
          <w:rFonts w:ascii="Arial" w:cs="Arial" w:eastAsia="Arial" w:hAnsi="Arial"/>
          <w:sz w:val="16"/>
          <w:szCs w:val="16"/>
          <w:color w:val="auto"/>
        </w:rPr>
      </w:pPr>
    </w:p>
    <w:p>
      <w:pPr>
        <w:ind w:left="980" w:hanging="255"/>
        <w:spacing w:after="0"/>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higher risk management costs;</w:t>
      </w:r>
    </w:p>
    <w:p>
      <w:pPr>
        <w:spacing w:after="0" w:line="102"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Selling, general and administrative expenses were $491 million, or 10.5% of revenues, compared with $458 million, or 11.1% of revenues, in the prior year period. The $33 million increase is primarily attributable to strategic investments in our digital platform and sustainability initiatives and increased labor costs primarily due to merit increases;</w:t>
      </w:r>
    </w:p>
    <w:p>
      <w:pPr>
        <w:spacing w:after="0" w:line="78" w:lineRule="exact"/>
        <w:rPr>
          <w:rFonts w:ascii="Arial" w:cs="Arial" w:eastAsia="Arial" w:hAnsi="Arial"/>
          <w:sz w:val="18"/>
          <w:szCs w:val="18"/>
          <w:color w:val="auto"/>
        </w:rPr>
      </w:pPr>
    </w:p>
    <w:p>
      <w:pPr>
        <w:jc w:val="both"/>
        <w:ind w:left="720" w:right="79" w:hanging="319"/>
        <w:spacing w:after="0" w:line="293"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Income from operations was $768 million, or 16.5% of revenues, compared with $650 million, or 15.8% of revenues, in the prior year period. The improved earnings in the current quarter are driven by strong operating results in our collection and disposal business and improved profitability in our recycling business. The increase in income from operations was partially offset by (i) inflationary cost pressures; (ii) labor cost pressure from frontline employee wage adjustments, increased hiring driving up training costs and higher overtime due to driver shortages and volume growth and (iii) strategic investments in our digital platform and sustainability initiatives;</w:t>
      </w:r>
    </w:p>
    <w:p>
      <w:pPr>
        <w:spacing w:after="0" w:line="56" w:lineRule="exact"/>
        <w:rPr>
          <w:rFonts w:ascii="Arial" w:cs="Arial" w:eastAsia="Arial" w:hAnsi="Arial"/>
          <w:sz w:val="16"/>
          <w:szCs w:val="16"/>
          <w:color w:val="auto"/>
        </w:rPr>
      </w:pPr>
    </w:p>
    <w:p>
      <w:pPr>
        <w:jc w:val="both"/>
        <w:ind w:left="720" w:right="79" w:hanging="319"/>
        <w:spacing w:after="0" w:line="279"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Net income attributable to Waste Management, Inc. was $513 million, or $1.23 per diluted share, compared with $421 million, or $0.99 per diluted share, in the prior year period. The increase in income from operations discussed above, in addition to lower interest expense, drove an increase in net income. The year-over-year increase in net income was impacted by an increase in income tax expense;</w:t>
      </w:r>
    </w:p>
    <w:p>
      <w:pPr>
        <w:spacing w:after="0" w:line="63" w:lineRule="exact"/>
        <w:rPr>
          <w:rFonts w:ascii="Arial" w:cs="Arial" w:eastAsia="Arial" w:hAnsi="Arial"/>
          <w:sz w:val="17"/>
          <w:szCs w:val="17"/>
          <w:color w:val="auto"/>
        </w:rPr>
      </w:pPr>
    </w:p>
    <w:p>
      <w:pPr>
        <w:jc w:val="both"/>
        <w:ind w:left="720" w:right="79" w:hanging="319"/>
        <w:spacing w:after="0" w:line="259"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cash provided by operating activities was $1,258 million compared with $1,120 million in the prior year period, with the increase related to (i) the increase in earnings attributable to our collection and disposal and recycling lines of business and (ii) lower interest payments due to the timing of certain interest payments and refinancing activities in 2021 that reduced our overall interest rate; and</w:t>
      </w:r>
    </w:p>
    <w:p>
      <w:pPr>
        <w:spacing w:after="0" w:line="78" w:lineRule="exact"/>
        <w:rPr>
          <w:rFonts w:ascii="Arial" w:cs="Arial" w:eastAsia="Arial" w:hAnsi="Arial"/>
          <w:sz w:val="18"/>
          <w:szCs w:val="18"/>
          <w:color w:val="auto"/>
        </w:rPr>
      </w:pPr>
    </w:p>
    <w:p>
      <w:pPr>
        <w:jc w:val="both"/>
        <w:ind w:left="720" w:right="79" w:hanging="319"/>
        <w:spacing w:after="0" w:line="272"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Free cash flow was $845 million compared with $865 million in the prior year period. The decrease in free cash flow is primarily attributable to an increase in capital spending, primarily driven by timing differences in our fixed asset purchases, as well as our intentional investment in sustainability and growth in recycling and renewable energy projects, partially offset by an increase in net cash provided by operating activities, as discussed above. Free cash flow is a non-GAAP measure of liquidity. Refer to </w:t>
      </w:r>
      <w:r>
        <w:rPr>
          <w:rFonts w:ascii="Arial" w:cs="Arial" w:eastAsia="Arial" w:hAnsi="Arial"/>
          <w:sz w:val="17"/>
          <w:szCs w:val="17"/>
          <w:i w:val="1"/>
          <w:iCs w:val="1"/>
          <w:color w:val="auto"/>
        </w:rPr>
        <w:t>Free Cash Flow</w:t>
      </w:r>
      <w:r>
        <w:rPr>
          <w:rFonts w:ascii="Arial" w:cs="Arial" w:eastAsia="Arial" w:hAnsi="Arial"/>
          <w:sz w:val="17"/>
          <w:szCs w:val="17"/>
          <w:color w:val="auto"/>
        </w:rPr>
        <w:t xml:space="preserve"> below for our definition of free cash flow, additional information about our use of this measure, and a reconciliation to net cash provided by operating activities, which is the most comparable GAAP measure.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East and West Tiers. We also provide additional services that are not managed through our Solid Waste business, including both our Strategic Business Solutions (“WMSBS”) and Energy and Environmental Services (“EES”) businesses, recycling brokerage services, landfill gas-to-energy services and certain other expanded service offerings and solutions. The mix of operating revenues from our major lines of business for the three months ended March 31 are as follows (in millions):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Industrial</w:t>
            </w:r>
          </w:p>
        </w:tc>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collection</w:t>
            </w:r>
          </w:p>
        </w:tc>
        <w:tc>
          <w:tcPr>
            <w:tcW w:w="4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Landfill</w:t>
            </w:r>
          </w:p>
        </w:tc>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915</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Recycling</w:t>
            </w:r>
          </w:p>
        </w:tc>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Intercompany (b)</w:t>
            </w:r>
          </w:p>
        </w:tc>
        <w:tc>
          <w:tcPr>
            <w:tcW w:w="4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54"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“Other” line of business includes (i) certain services provided by our WMSBS business; (ii) our landfill gas-to-energy operations managed by our WM Renewable Energy business; (iii) certain services within our EES business,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83"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5" w:name="page26"/>
    <w:bookmarkEnd w:id="25"/>
    <w:p>
      <w:pPr>
        <w:ind w:left="60" w:right="59" w:firstLine="324"/>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 in revenues and average yield (dollars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20" w:type="dxa"/>
            <w:vAlign w:val="bottom"/>
            <w:gridSpan w:val="9"/>
          </w:tcPr>
          <w:p>
            <w:pPr>
              <w:jc w:val="center"/>
              <w:ind w:right="630"/>
              <w:spacing w:after="0"/>
              <w:rPr>
                <w:sz w:val="20"/>
                <w:szCs w:val="20"/>
                <w:color w:val="auto"/>
              </w:rPr>
            </w:pPr>
            <w:r>
              <w:rPr>
                <w:rFonts w:ascii="Arial" w:cs="Arial" w:eastAsia="Arial" w:hAnsi="Arial"/>
                <w:sz w:val="14"/>
                <w:szCs w:val="14"/>
                <w:b w:val="1"/>
                <w:bCs w:val="1"/>
                <w:color w:val="auto"/>
                <w:w w:val="94"/>
              </w:rPr>
              <w:t>Period-to-Period Change for the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tcPr>
          <w:p>
            <w:pPr>
              <w:jc w:val="center"/>
              <w:ind w:left="5"/>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center"/>
              <w:ind w:left="5"/>
              <w:spacing w:after="0"/>
              <w:rPr>
                <w:sz w:val="20"/>
                <w:szCs w:val="20"/>
                <w:color w:val="auto"/>
              </w:rPr>
            </w:pPr>
            <w:r>
              <w:rPr>
                <w:rFonts w:ascii="Arial" w:cs="Arial" w:eastAsia="Arial" w:hAnsi="Arial"/>
                <w:sz w:val="14"/>
                <w:szCs w:val="14"/>
                <w:b w:val="1"/>
                <w:bCs w:val="1"/>
                <w:color w:val="auto"/>
                <w:w w:val="93"/>
              </w:rPr>
              <w:t>March 31, 2022 vs. 2021</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150"/>
              <w:spacing w:after="0" w:line="119" w:lineRule="exact"/>
              <w:rPr>
                <w:sz w:val="20"/>
                <w:szCs w:val="20"/>
                <w:color w:val="auto"/>
              </w:rPr>
            </w:pPr>
            <w:r>
              <w:rPr>
                <w:rFonts w:ascii="Arial" w:cs="Arial" w:eastAsia="Arial" w:hAnsi="Arial"/>
                <w:sz w:val="13"/>
                <w:szCs w:val="13"/>
                <w:b w:val="1"/>
                <w:bCs w:val="1"/>
                <w:color w:val="auto"/>
              </w:rPr>
              <w:t>As a % of</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92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4"/>
              </w:rPr>
              <w:t>Related</w:t>
            </w:r>
          </w:p>
        </w:tc>
        <w:tc>
          <w:tcPr>
            <w:tcW w:w="80" w:type="dxa"/>
            <w:vAlign w:val="bottom"/>
          </w:tcPr>
          <w:p>
            <w:pPr>
              <w:spacing w:after="0"/>
              <w:rPr>
                <w:sz w:val="12"/>
                <w:szCs w:val="12"/>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80" w:type="dxa"/>
            <w:vAlign w:val="bottom"/>
            <w:gridSpan w:val="3"/>
          </w:tcPr>
          <w:p>
            <w:pPr>
              <w:jc w:val="center"/>
              <w:ind w:right="10"/>
              <w:spacing w:after="0"/>
              <w:rPr>
                <w:sz w:val="20"/>
                <w:szCs w:val="20"/>
                <w:color w:val="auto"/>
              </w:rPr>
            </w:pPr>
            <w:r>
              <w:rPr>
                <w:rFonts w:ascii="Arial" w:cs="Arial" w:eastAsia="Arial" w:hAnsi="Arial"/>
                <w:sz w:val="14"/>
                <w:szCs w:val="14"/>
                <w:b w:val="1"/>
                <w:bCs w:val="1"/>
                <w:color w:val="auto"/>
                <w:w w:val="88"/>
              </w:rPr>
              <w:t>Business(a)</w:t>
            </w:r>
          </w:p>
        </w:tc>
        <w:tc>
          <w:tcPr>
            <w:tcW w:w="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96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5"/>
              </w:rPr>
              <w:t>Company(b)</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1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Recycling (c)</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surcharges and other (d)</w:t>
            </w:r>
          </w:p>
        </w:tc>
        <w:tc>
          <w:tcPr>
            <w:tcW w:w="1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Total average yield (e)</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Volume (d)</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Internal revenue growth</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Divestitures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8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62"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62" w:lineRule="exact"/>
        <w:rPr>
          <w:rFonts w:ascii="Arial" w:cs="Arial" w:eastAsia="Arial" w:hAnsi="Arial"/>
          <w:sz w:val="18"/>
          <w:szCs w:val="18"/>
          <w:color w:val="auto"/>
        </w:rPr>
      </w:pPr>
    </w:p>
    <w:p>
      <w:pPr>
        <w:ind w:left="380" w:hanging="330"/>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combined impact of commodity price variability and changes in fees.</w:t>
      </w:r>
    </w:p>
    <w:p>
      <w:pPr>
        <w:spacing w:after="0" w:line="117"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Beginning in the fourth quarter of 2021, includes changes in our revenue attributable to our WM Renewable Energy business from yield, which is included in Fuel Surcharges and Other, and Volume. We have revised our prior year results to conform with the current year presentation.</w:t>
      </w:r>
    </w:p>
    <w:p>
      <w:pPr>
        <w:spacing w:after="0" w:line="75" w:lineRule="exact"/>
        <w:rPr>
          <w:rFonts w:ascii="Arial" w:cs="Arial" w:eastAsia="Arial" w:hAnsi="Arial"/>
          <w:sz w:val="18"/>
          <w:szCs w:val="18"/>
          <w:color w:val="auto"/>
        </w:rPr>
      </w:pPr>
    </w:p>
    <w:p>
      <w:pPr>
        <w:ind w:left="380" w:hanging="330"/>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amounts reported herein represent the changes in our revenue attributable to average yield for the total Company.</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provides further details about our period-to-period change in revenues: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Average Yield</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Collection and Disposal Average Yield </w:t>
      </w:r>
      <w:r>
        <w:rPr>
          <w:rFonts w:ascii="Arial" w:cs="Arial" w:eastAsia="Arial" w:hAnsi="Arial"/>
          <w:sz w:val="16"/>
          <w:szCs w:val="16"/>
          <w:color w:val="auto"/>
        </w:rPr>
        <w:t>— This measure reflects the effect on our revenue from the pricing activities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collection, transfer and landfill operations, exclusive of volume changes. Revenue growth from collection and disposal average yield includes not only base rate changes and environmental and service fee fluctuations, but also (i) certain average price changes related to the overall mix of services, which are due to the types of services provided; (ii) changes in average price from new and lost business and (iii) price decreases to retain customers.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6" w:name="page27"/>
    <w:bookmarkEnd w:id="26"/>
    <w:p>
      <w:pPr>
        <w:ind w:left="380"/>
        <w:spacing w:after="0"/>
        <w:rPr>
          <w:sz w:val="20"/>
          <w:szCs w:val="20"/>
          <w:color w:val="auto"/>
        </w:rPr>
      </w:pPr>
      <w:r>
        <w:rPr>
          <w:rFonts w:ascii="Arial" w:cs="Arial" w:eastAsia="Arial" w:hAnsi="Arial"/>
          <w:sz w:val="17"/>
          <w:szCs w:val="17"/>
          <w:color w:val="auto"/>
        </w:rPr>
        <w:t>The details of our revenue growth from collection and disposal average yield are as follows (dollars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260" w:type="dxa"/>
            <w:vAlign w:val="bottom"/>
            <w:gridSpan w:val="5"/>
          </w:tcPr>
          <w:p>
            <w:pPr>
              <w:jc w:val="center"/>
              <w:ind w:right="70"/>
              <w:spacing w:after="0"/>
              <w:rPr>
                <w:sz w:val="20"/>
                <w:szCs w:val="20"/>
                <w:color w:val="auto"/>
              </w:rPr>
            </w:pPr>
            <w:r>
              <w:rPr>
                <w:rFonts w:ascii="Arial" w:cs="Arial" w:eastAsia="Arial" w:hAnsi="Arial"/>
                <w:sz w:val="14"/>
                <w:szCs w:val="14"/>
                <w:b w:val="1"/>
                <w:bCs w:val="1"/>
                <w:color w:val="auto"/>
                <w:w w:val="93"/>
              </w:rPr>
              <w:t>Period-to-Period Change for the</w:t>
            </w:r>
          </w:p>
        </w:tc>
      </w:tr>
      <w:tr>
        <w:trPr>
          <w:trHeight w:val="148"/>
        </w:trPr>
        <w:tc>
          <w:tcPr>
            <w:tcW w:w="6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4"/>
          </w:tcPr>
          <w:p>
            <w:pPr>
              <w:jc w:val="center"/>
              <w:ind w:right="210"/>
              <w:spacing w:after="0" w:line="149" w:lineRule="exact"/>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4"/>
          </w:tcPr>
          <w:p>
            <w:pPr>
              <w:jc w:val="center"/>
              <w:ind w:right="190"/>
              <w:spacing w:after="0"/>
              <w:rPr>
                <w:sz w:val="20"/>
                <w:szCs w:val="20"/>
                <w:color w:val="auto"/>
              </w:rPr>
            </w:pPr>
            <w:r>
              <w:rPr>
                <w:rFonts w:ascii="Arial" w:cs="Arial" w:eastAsia="Arial" w:hAnsi="Arial"/>
                <w:sz w:val="14"/>
                <w:szCs w:val="14"/>
                <w:b w:val="1"/>
                <w:bCs w:val="1"/>
                <w:color w:val="auto"/>
                <w:w w:val="93"/>
              </w:rPr>
              <w:t>March 31, 2022 vs. 2021</w:t>
            </w:r>
          </w:p>
        </w:tc>
      </w:tr>
      <w:tr>
        <w:trPr>
          <w:trHeight w:val="119"/>
        </w:trPr>
        <w:tc>
          <w:tcPr>
            <w:tcW w:w="66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r>
      <w:tr>
        <w:trPr>
          <w:trHeight w:val="162"/>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4"/>
              </w:rPr>
              <w:t>Related</w:t>
            </w:r>
          </w:p>
        </w:tc>
      </w:t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104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3"/>
              </w:rPr>
              <w:t>Business</w:t>
            </w:r>
          </w:p>
        </w:tc>
      </w:tr>
      <w:tr>
        <w:trPr>
          <w:trHeight w:val="209"/>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7.9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r>
      <w:tr>
        <w:trPr>
          <w:trHeight w:val="210"/>
        </w:trPr>
        <w:tc>
          <w:tcPr>
            <w:tcW w:w="6640" w:type="dxa"/>
            <w:vAlign w:val="bottom"/>
          </w:tcPr>
          <w:p>
            <w:pPr>
              <w:ind w:left="220"/>
              <w:spacing w:after="0"/>
              <w:rPr>
                <w:sz w:val="20"/>
                <w:szCs w:val="20"/>
                <w:color w:val="auto"/>
              </w:rPr>
            </w:pPr>
            <w:r>
              <w:rPr>
                <w:rFonts w:ascii="Arial" w:cs="Arial" w:eastAsia="Arial" w:hAnsi="Arial"/>
                <w:sz w:val="18"/>
                <w:szCs w:val="18"/>
                <w:color w:val="auto"/>
              </w:rPr>
              <w:t>Total collection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Transfer</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0" w:type="dxa"/>
            <w:vAlign w:val="bottom"/>
            <w:tcBorders>
              <w:bottom w:val="single" w:sz="8" w:color="CCEEFF"/>
            </w:tcBorders>
            <w:gridSpan w:val="2"/>
          </w:tcPr>
          <w:p>
            <w:pPr>
              <w:ind w:left="920"/>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tcPr>
          <w:p>
            <w:pPr>
              <w:spacing w:after="0"/>
              <w:rPr>
                <w:sz w:val="18"/>
                <w:szCs w:val="18"/>
                <w:color w:val="auto"/>
              </w:rPr>
            </w:pPr>
          </w:p>
        </w:tc>
      </w:tr>
      <w:tr>
        <w:trPr>
          <w:trHeight w:val="209"/>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36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w w:val="91"/>
              </w:rPr>
              <w:t>5.5 %</w:t>
            </w:r>
          </w:p>
        </w:tc>
      </w:tr>
      <w:tr>
        <w:trPr>
          <w:trHeight w:val="20"/>
        </w:trPr>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overall strategic pricing efforts are focused on recovering inflationary cost increases we experience in our business by increasing our average unit rate. We experienced strong average yield growth in our collection line of business of 6.7% for the first quarter of 2022 showing our focus on our pricing efforts in this inflationary environment. We are also continuing to see growth in our landfill and transfer businesses with our municipal solid waste business experiencing 5.1% average yield growth for the first quarter of 2022.</w:t>
      </w:r>
    </w:p>
    <w:p>
      <w:pPr>
        <w:spacing w:after="0" w:line="18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Recycling </w:t>
      </w:r>
      <w:r>
        <w:rPr>
          <w:rFonts w:ascii="Arial" w:cs="Arial" w:eastAsia="Arial" w:hAnsi="Arial"/>
          <w:sz w:val="17"/>
          <w:szCs w:val="17"/>
          <w:color w:val="auto"/>
        </w:rPr>
        <w:t>— Increases in the market prices for recycling commodities resulted in revenue growth of $116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quarter of 2022, as compared with the prior year period. During the first quarter of 2022, average market prices for recycling commodities at the Company’s facilities were 60% higher compared to the prior year period. Strong demand for recycled materials strengthened through 2021, continuing into 2022, driven by the strength in e-commerce and manufacturers committing to use more recycled content in their packaging.</w:t>
      </w:r>
    </w:p>
    <w:p>
      <w:pPr>
        <w:spacing w:after="0" w:line="17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Fuel Surcharges and Other — </w:t>
      </w:r>
      <w:r>
        <w:rPr>
          <w:rFonts w:ascii="Arial" w:cs="Arial" w:eastAsia="Arial" w:hAnsi="Arial"/>
          <w:sz w:val="17"/>
          <w:szCs w:val="17"/>
          <w:color w:val="auto"/>
        </w:rPr>
        <w:t>These fees, which include (i) our fuel surcharge program; (ii) yield from our WM</w:t>
      </w:r>
      <w:r>
        <w:rPr>
          <w:rFonts w:ascii="Arial" w:cs="Arial" w:eastAsia="Arial" w:hAnsi="Arial"/>
          <w:sz w:val="17"/>
          <w:szCs w:val="17"/>
          <w:i w:val="1"/>
          <w:iCs w:val="1"/>
          <w:color w:val="auto"/>
        </w:rPr>
        <w:t xml:space="preserve"> </w:t>
      </w:r>
      <w:r>
        <w:rPr>
          <w:rFonts w:ascii="Arial" w:cs="Arial" w:eastAsia="Arial" w:hAnsi="Arial"/>
          <w:sz w:val="17"/>
          <w:szCs w:val="17"/>
          <w:color w:val="auto"/>
        </w:rPr>
        <w:t>Renewable Energy business and (iii) other mandated fees, increased $90 million for the first quarter of 2022, as compared with the prior year period. Fuel surcharge revenues are based on and fluctuate in response to changes in the national average prices for diesel fuel, and also vary with changes in our volume-based revenue activity. Market prices for diesel fuel were almost 50% higher for the first quarter of 2022, as compared with the prior year period, as diesel fuel prices have continued to meaningfully increase. Revenue from our WM Renewable Energy business increased for the first quarter of 2022, as compared with the prior year period, primarily driven by the 55% increase in value for renewable fuel standard credits. The other fees are primarily related to fees and taxes assessed by various state, county and municipal government agencies at our landfills and transfer stations. These amounts have not significantly impacted the change in revenue for the first quarter of 2022, as compared with the prior year period.</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Volume</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revenues from volume (excluding volumes from acquisitions and divestitures) increased $148 million, or 3.6%, for the first quarter of 2022, as compared with the prior year period. Our collection and disposal business volumes grew 4.2% in the first quarter of 2022, as compared with the prior year period, but were partially offset by lower volumes in our WM Renewable Energy and recycling businesses.</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pace of recovery in our volumes continued during the first quarter of 2022 following the growth we saw in 2021. Volume at our landfills and our commercial collection business were the most significant drivers of volume growth primarily due to the negative impact of COVID-19 in the prior year as well as the economic recovery in the current business environment. In addition, our WMSBS business volume grew as a result of our continued focus on a differentiated service model for national accounts customers.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7" w:name="page28"/>
    <w:bookmarkEnd w:id="27"/>
    <w:p>
      <w:pPr>
        <w:ind w:left="1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operating expenses for the three months ended March 31 (in millions of dollars and as a percentage of revenues):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36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0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Subcontractor costs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Fuel</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r>
      <w:tr>
        <w:trPr>
          <w:trHeight w:val="216"/>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tcPr>
          <w:p>
            <w:pPr>
              <w:spacing w:after="0"/>
              <w:rPr>
                <w:sz w:val="18"/>
                <w:szCs w:val="18"/>
                <w:color w:val="auto"/>
              </w:rPr>
            </w:pPr>
          </w:p>
        </w:tc>
      </w:tr>
      <w:tr>
        <w:trPr>
          <w:trHeight w:val="425"/>
        </w:trPr>
        <w:tc>
          <w:tcPr>
            <w:tcW w:w="436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2,903</w:t>
            </w: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62.3 %</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2,514</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61.1 %</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operating expenses for the first quarter of 2022 increased primarily due to (i) commodity-driven business impacts, particularly from recycling brokerage rebates and higher fuel prices; (ii) inflationary cost pressures, primarily in maintenance and repairs and subcontractor costs; (iii) labor cost pressure from frontline employee wage adjustments, increased hiring driving up training costs and higher overtime due to driver shortages and volume growth; (iv) volume growth, particularly for our commercial collection business; and (v) higher risk management costs. These impacts were partially offset by our continued focus on operating efficiency and efforts to control costs as volumes grow.</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Significant items affecting the comparison of operating expenses for the reported periods include:</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increase in labor and related benefits costs was largely driven by (i) merit and</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 market wage adjustments to hire and retain talent; (ii) planned headcount growth as volume increases, particularly in our commercial and industrial collection businesses, which when combined with continued driver shortages and turnover in certain markets, increased overtime and training hours and (iii) increases in health and welfare costs attributable to higher benefit costs and increases in medical care activity.</w:t>
      </w:r>
    </w:p>
    <w:p>
      <w:pPr>
        <w:spacing w:after="0" w:line="188"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i w:val="1"/>
          <w:iCs w:val="1"/>
          <w:color w:val="auto"/>
        </w:rPr>
        <w:t xml:space="preserve">Transfer and Disposal Costs </w:t>
      </w:r>
      <w:r>
        <w:rPr>
          <w:rFonts w:ascii="Arial" w:cs="Arial" w:eastAsia="Arial" w:hAnsi="Arial"/>
          <w:sz w:val="17"/>
          <w:szCs w:val="17"/>
          <w:color w:val="auto"/>
        </w:rPr>
        <w:t>— The increase in transfer and disposal costs was largely driven by inflationary cost</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from our third-party haulers and increased commercial and industrial collection volumes.</w:t>
      </w:r>
    </w:p>
    <w:p>
      <w:pPr>
        <w:spacing w:after="0" w:line="14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Maintenance and Repairs </w:t>
      </w:r>
      <w:r>
        <w:rPr>
          <w:rFonts w:ascii="Arial" w:cs="Arial" w:eastAsia="Arial" w:hAnsi="Arial"/>
          <w:sz w:val="18"/>
          <w:szCs w:val="18"/>
          <w:color w:val="auto"/>
        </w:rPr>
        <w:t>— The increase in maintenance and repairs costs was largely driven by (i) inflationary cost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for parts, supplies and third-party services; (ii) additional fleet maintenance driven by supply chain constraints with delays in receiving new trucks; (iii) commercial and industrial collection volume increases; (iv) labor cost pressure from our technicians, including higher overtime from labor shortages and (v) an increase in container repairs driven by volume increases and delays in normal course capital expenditures for steel containers due to both steel costs and supply chain constraints.</w:t>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Subcontractor Costs — </w:t>
      </w:r>
      <w:r>
        <w:rPr>
          <w:rFonts w:ascii="Arial" w:cs="Arial" w:eastAsia="Arial" w:hAnsi="Arial"/>
          <w:sz w:val="18"/>
          <w:szCs w:val="18"/>
          <w:color w:val="auto"/>
        </w:rPr>
        <w:t>The increase in subcontractor costs was largely driven by (i) inflationary cost increases,</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particularly related to labor costs, demand implications and fuel costs, from third-party haulers; (ii) higher disposal volumes at our transfer stations and (iii) an increase in volumes in our WMSBS business, which relies more extensively on subcontracted hauling than our collection and disposal business.</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 The increase in cost of goods sold was primarily driven by an almost 60% increase in recycling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prices compared to the prior year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8" w:name="page29"/>
    <w:bookmarkEnd w:id="28"/>
    <w:p>
      <w:pPr>
        <w:jc w:val="both"/>
        <w:ind w:left="60" w:right="79" w:firstLine="324"/>
        <w:spacing w:after="0" w:line="311" w:lineRule="auto"/>
        <w:rPr>
          <w:sz w:val="20"/>
          <w:szCs w:val="20"/>
          <w:color w:val="auto"/>
        </w:rPr>
      </w:pPr>
      <w:r>
        <w:rPr>
          <w:rFonts w:ascii="Arial" w:cs="Arial" w:eastAsia="Arial" w:hAnsi="Arial"/>
          <w:sz w:val="16"/>
          <w:szCs w:val="16"/>
          <w:i w:val="1"/>
          <w:iCs w:val="1"/>
          <w:color w:val="auto"/>
        </w:rPr>
        <w:t xml:space="preserve">Fuel </w:t>
      </w:r>
      <w:r>
        <w:rPr>
          <w:rFonts w:ascii="Arial" w:cs="Arial" w:eastAsia="Arial" w:hAnsi="Arial"/>
          <w:sz w:val="16"/>
          <w:szCs w:val="16"/>
          <w:color w:val="auto"/>
        </w:rPr>
        <w:t>— The increase in fuel was primarily due to increases of almost 50% in market prices for diesel fuel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cessation of federal natural gas fuel tax credits received in 2021 that have yet to be extended into 2022. These increases were offset, in part, by a decrease attributable to lower diesel consumption as we expand our compressed natural gas fleet.</w:t>
      </w:r>
    </w:p>
    <w:p>
      <w:pPr>
        <w:spacing w:after="0" w:line="14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Disposal and Franchise Fees and Taxes </w:t>
      </w:r>
      <w:r>
        <w:rPr>
          <w:rFonts w:ascii="Arial" w:cs="Arial" w:eastAsia="Arial" w:hAnsi="Arial"/>
          <w:sz w:val="18"/>
          <w:szCs w:val="18"/>
          <w:color w:val="auto"/>
        </w:rPr>
        <w:t>— The increase in disposal and franchise fees and taxes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(i) landfill volume increases and (ii) disposal rate increases at third-party disposal sites.</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 Risk management costs increased primarily due to an increase in claims costs due to unfavorable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cost development on a limited population of severe cases and inflation in premiums.</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Other operating cost increases were primarily due to (i) inflationary cost pressures; (ii) higher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rental costs attributable, in part, to increased volumes and supply chain constraints slowing normal course fleet and equipment orders and (iii) an increase in business travel in 2022. Additionally, net gains on sales of certain assets in the prior year unfavorably impacted the comparability of the reported periods.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for the three months ended March 31 (in millions of dollars and as a percentage of revenues):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8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2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$ 305</w:t>
            </w: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$ 297</w:t>
            </w: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Professional fees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r>
      <w:tr>
        <w:trPr>
          <w:trHeight w:val="216"/>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2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tcPr>
          <w:p>
            <w:pPr>
              <w:spacing w:after="0"/>
              <w:rPr>
                <w:sz w:val="18"/>
                <w:szCs w:val="18"/>
                <w:color w:val="auto"/>
              </w:rPr>
            </w:pPr>
          </w:p>
        </w:tc>
      </w:tr>
      <w:tr>
        <w:trPr>
          <w:trHeight w:val="426"/>
        </w:trPr>
        <w:tc>
          <w:tcPr>
            <w:tcW w:w="4080" w:type="dxa"/>
            <w:vAlign w:val="bottom"/>
            <w:shd w:val="clear" w:color="auto" w:fill="CCEEFF"/>
          </w:tcPr>
          <w:p>
            <w:pPr>
              <w:spacing w:after="0"/>
              <w:rPr>
                <w:sz w:val="24"/>
                <w:szCs w:val="24"/>
                <w:color w:val="auto"/>
              </w:rPr>
            </w:pP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$ 491</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10.5 %</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$ 458</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11.1 %</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Selling, general and administrative expenses have increased primarily due to strategic investments in our digital platform including investments in customer service digitalization, as well as investments in our sustainability initiatives and increased labor costs primarily due to merit increases. Although our costs increased, the significant revenue increase positioned us to reduce our overall selling, general and administrative expenses as a percentage of revenues when compared with the prior year period.</w:t>
      </w:r>
    </w:p>
    <w:p>
      <w:pPr>
        <w:spacing w:after="0" w:line="18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Significant items affecting the comparison of our selling, general and administrative expenses for the reported periods include:</w:t>
      </w:r>
    </w:p>
    <w:p>
      <w:pPr>
        <w:spacing w:after="0" w:line="170"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i w:val="1"/>
          <w:iCs w:val="1"/>
          <w:color w:val="auto"/>
        </w:rPr>
        <w:t xml:space="preserve">Labor and Related Benefits — </w:t>
      </w:r>
      <w:r>
        <w:rPr>
          <w:rFonts w:ascii="Arial" w:cs="Arial" w:eastAsia="Arial" w:hAnsi="Arial"/>
          <w:sz w:val="16"/>
          <w:szCs w:val="16"/>
          <w:color w:val="auto"/>
        </w:rPr>
        <w:t>The increase in labor and related benefits was primarily due to annual merit increases</w:t>
      </w:r>
      <w:r>
        <w:rPr>
          <w:rFonts w:ascii="Arial" w:cs="Arial" w:eastAsia="Arial" w:hAnsi="Arial"/>
          <w:sz w:val="16"/>
          <w:szCs w:val="16"/>
          <w:i w:val="1"/>
          <w:iCs w:val="1"/>
          <w:color w:val="auto"/>
        </w:rPr>
        <w:t xml:space="preserve"> </w:t>
      </w:r>
      <w:r>
        <w:rPr>
          <w:rFonts w:ascii="Arial" w:cs="Arial" w:eastAsia="Arial" w:hAnsi="Arial"/>
          <w:sz w:val="16"/>
          <w:szCs w:val="16"/>
          <w:color w:val="auto"/>
        </w:rPr>
        <w:t>for our employees and health and welfare costs attributable to higher benefit costs and increased medical activity.</w:t>
      </w:r>
    </w:p>
    <w:p>
      <w:pPr>
        <w:spacing w:after="0" w:line="12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The increase in professional fees was primarily driven by increased support for the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our digital platform and our sustainability initiatives. Partially offsetting these increases were lower integration costs related to our acquisition of Advanced Disposal.</w:t>
      </w:r>
    </w:p>
    <w:p>
      <w:pPr>
        <w:spacing w:after="0" w:line="184"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i w:val="1"/>
          <w:iCs w:val="1"/>
          <w:color w:val="auto"/>
        </w:rPr>
        <w:t xml:space="preserve">Other — </w:t>
      </w:r>
      <w:r>
        <w:rPr>
          <w:rFonts w:ascii="Arial" w:cs="Arial" w:eastAsia="Arial" w:hAnsi="Arial"/>
          <w:sz w:val="16"/>
          <w:szCs w:val="16"/>
          <w:color w:val="auto"/>
        </w:rPr>
        <w:t>The increase in other expenses was primarily driven by costs associated with increased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costs to support our strategic investments in our digital platform and an increase in business travel in 2022.</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9" w:name="page30"/>
    <w:bookmarkEnd w:id="29"/>
    <w:p>
      <w:pPr>
        <w:ind w:left="18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summarizes the components of our depreciation and amortization expenses for the three months ended March 31 (in millions of dollars and as a percentage of revenues):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2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425"/>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$ 283</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6.1 %</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$ 279</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6.8 %</w:t>
            </w:r>
          </w:p>
        </w:tc>
      </w:tr>
      <w:tr>
        <w:trPr>
          <w:trHeight w:val="432"/>
        </w:trPr>
        <w:tc>
          <w:tcPr>
            <w:tcW w:w="482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4"/>
                <w:szCs w:val="24"/>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r>
      <w:tr>
        <w:trPr>
          <w:trHeight w:val="425"/>
        </w:trPr>
        <w:tc>
          <w:tcPr>
            <w:tcW w:w="482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$ 482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10.3 %</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$ 472</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11.5 %</w:t>
            </w:r>
          </w:p>
        </w:tc>
      </w:tr>
      <w:tr>
        <w:trPr>
          <w:trHeight w:val="20"/>
        </w:trPr>
        <w:tc>
          <w:tcPr>
            <w:tcW w:w="4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increase in depreciation of tangible property and equipment during the first quarter of 2022, as compared with the prior year period, was primarily driven by additional depreciation due to investments in capital assets to service our customers, such as containers and heavy equipment for our landfills. The increase in amortization of landfill airspace during the first quarter of 2022 was driven by landfill volume increases from the economic recovery and changes in amortization rates driven by revisions in landfill estimates, which includes changes in the anticipated timing of capping, closure and post-closure activities. The decrease in amortization of intangible assets during the during the first quarter of 2022 was primarily driven by the reduction in amortization of acquired intangible assets from the acquisition of Advanced Disposal.</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During the first quarter of 2022, we recognized a $17 million charge in our Corporate and Other segment to adjust an indirect wholly-owned subsidiary’s estimated potential share of the liability for a proposed environmental remediation plan at a closed site, as discussed in Note 6 to the Condensed Consolidating Financial Statements.</w:t>
      </w:r>
    </w:p>
    <w:p>
      <w:pPr>
        <w:spacing w:after="0" w:line="16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During the first quarter of 2021, we recognized net charges of $17 million consisting of (i) a $19 million charge pertaining to reserves for loss contingencies in our Corporate and Other segment and (ii) $6 million of asset impairment charges primarily related to our WM Renewable Energy business within our Other segment; which were partially offset by an $8 million gain from divestitures of certain ancillary operations in our Other segment.</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income from operations for our reportable segments for the three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(dollars in millions):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vMerge w:val="restart"/>
          </w:tcPr>
          <w:p>
            <w:pPr>
              <w:jc w:val="right"/>
              <w:ind w:right="110"/>
              <w:spacing w:after="0"/>
              <w:rPr>
                <w:sz w:val="20"/>
                <w:szCs w:val="20"/>
                <w:color w:val="auto"/>
              </w:rPr>
            </w:pPr>
            <w:r>
              <w:rPr>
                <w:rFonts w:ascii="Arial" w:cs="Arial" w:eastAsia="Arial" w:hAnsi="Arial"/>
                <w:sz w:val="14"/>
                <w:szCs w:val="14"/>
                <w:b w:val="1"/>
                <w:bCs w:val="1"/>
                <w:color w:val="auto"/>
                <w:w w:val="95"/>
              </w:rPr>
              <w:t>2021(c)</w:t>
            </w:r>
          </w:p>
        </w:tc>
        <w:tc>
          <w:tcPr>
            <w:tcW w:w="13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6"/>
              </w:rPr>
              <w:t>Period-to-Period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3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220"/>
              <w:spacing w:after="0"/>
              <w:rPr>
                <w:sz w:val="20"/>
                <w:szCs w:val="20"/>
                <w:color w:val="auto"/>
              </w:rPr>
            </w:pPr>
            <w:r>
              <w:rPr>
                <w:rFonts w:ascii="Arial" w:cs="Arial" w:eastAsia="Arial" w:hAnsi="Arial"/>
                <w:sz w:val="18"/>
                <w:szCs w:val="18"/>
                <w:color w:val="auto"/>
              </w:rPr>
              <w:t>East Tier</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453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78</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West Tier</w:t>
            </w:r>
          </w:p>
        </w:tc>
        <w:tc>
          <w:tcPr>
            <w:tcW w:w="3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220" w:type="dxa"/>
            <w:vAlign w:val="bottom"/>
          </w:tcPr>
          <w:p>
            <w:pPr>
              <w:ind w:left="420"/>
              <w:spacing w:after="0"/>
              <w:rPr>
                <w:sz w:val="20"/>
                <w:szCs w:val="20"/>
                <w:color w:val="auto"/>
              </w:rPr>
            </w:pPr>
            <w:r>
              <w:rPr>
                <w:rFonts w:ascii="Arial" w:cs="Arial" w:eastAsia="Arial" w:hAnsi="Arial"/>
                <w:sz w:val="18"/>
                <w:szCs w:val="18"/>
                <w:color w:val="auto"/>
              </w:rPr>
              <w:t>Solid Waste</w:t>
            </w: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1,080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152</w:t>
            </w:r>
          </w:p>
        </w:tc>
        <w:tc>
          <w:tcPr>
            <w:tcW w:w="660" w:type="dxa"/>
            <w:vAlign w:val="bottom"/>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Corporate and Other (b)</w:t>
            </w: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(298)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(15)</w:t>
            </w: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9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118</w:t>
            </w:r>
          </w:p>
        </w:tc>
        <w:tc>
          <w:tcPr>
            <w:tcW w:w="8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ind w:left="20"/>
              <w:spacing w:after="0"/>
              <w:rPr>
                <w:sz w:val="20"/>
                <w:szCs w:val="20"/>
                <w:color w:val="auto"/>
              </w:rPr>
            </w:pPr>
            <w:r>
              <w:rPr>
                <w:rFonts w:ascii="Arial" w:cs="Arial" w:eastAsia="Arial" w:hAnsi="Arial"/>
                <w:sz w:val="18"/>
                <w:szCs w:val="18"/>
                <w:color w:val="auto"/>
              </w:rPr>
              <w:t>Percentage of revenues</w:t>
            </w:r>
          </w:p>
        </w:tc>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40" w:type="dxa"/>
            <w:vAlign w:val="bottom"/>
            <w:gridSpan w:val="2"/>
            <w:vMerge w:val="continue"/>
          </w:tcPr>
          <w:p>
            <w:pPr>
              <w:spacing w:after="0"/>
              <w:rPr>
                <w:sz w:val="17"/>
                <w:szCs w:val="17"/>
                <w:color w:val="auto"/>
              </w:rPr>
            </w:pPr>
          </w:p>
        </w:tc>
        <w:tc>
          <w:tcPr>
            <w:tcW w:w="39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w:t>
            </w:r>
          </w:p>
        </w:tc>
        <w:tc>
          <w:tcPr>
            <w:tcW w:w="1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6"/>
              </w:rPr>
              <w:t>15.8</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Percentage change does not provide a meaningful comparison.</w:t>
      </w:r>
    </w:p>
    <w:p>
      <w:pPr>
        <w:spacing w:after="0" w:line="117" w:lineRule="exact"/>
        <w:rPr>
          <w:sz w:val="20"/>
          <w:szCs w:val="20"/>
          <w:color w:val="auto"/>
        </w:rPr>
      </w:pPr>
    </w:p>
    <w:p>
      <w:pPr>
        <w:jc w:val="both"/>
        <w:ind w:left="380" w:right="79" w:hanging="330"/>
        <w:spacing w:after="0" w:line="296" w:lineRule="auto"/>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includes (i) elements of our WMSBS business that are not included in the operations of our reportable segments; (ii) elements of our landfill gas-to-energy operations managed by our WM Renewable Energy business and not included in the operations of our reportable segments; (iii) elements of our third-party subcontract and administration revenues managed by our EES business and not included in the operations of our reportable segments; (iv) our recycling brokerage services; (v) certain other expanded service offerings and solutions and (vi) the results of</w:t>
      </w:r>
    </w:p>
    <w:p>
      <w:pPr>
        <w:sectPr>
          <w:pgSz w:w="11900" w:h="16838" w:orient="portrait"/>
          <w:cols w:equalWidth="0" w:num="1">
            <w:col w:w="9019"/>
          </w:cols>
          <w:pgMar w:left="1440" w:top="881"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type w:val="continuous"/>
        </w:sectPr>
      </w:pPr>
    </w:p>
    <w:bookmarkStart w:id="30" w:name="page31"/>
    <w:bookmarkEnd w:id="30"/>
    <w:p>
      <w:pPr>
        <w:ind w:left="380" w:right="79"/>
        <w:spacing w:after="0" w:line="277" w:lineRule="auto"/>
        <w:rPr>
          <w:sz w:val="20"/>
          <w:szCs w:val="20"/>
          <w:color w:val="auto"/>
        </w:rPr>
      </w:pPr>
      <w:r>
        <w:rPr>
          <w:rFonts w:ascii="Arial" w:cs="Arial" w:eastAsia="Arial" w:hAnsi="Arial"/>
          <w:sz w:val="18"/>
          <w:szCs w:val="18"/>
          <w:color w:val="auto"/>
        </w:rPr>
        <w:t>non-operating entities that provide financial assurance and self-insurance support for our Solid Waste business, net of intercompany activity.</w:t>
      </w:r>
    </w:p>
    <w:p>
      <w:pPr>
        <w:spacing w:after="0" w:line="62" w:lineRule="exact"/>
        <w:rPr>
          <w:sz w:val="20"/>
          <w:szCs w:val="20"/>
          <w:color w:val="auto"/>
        </w:rPr>
      </w:pPr>
    </w:p>
    <w:p>
      <w:pPr>
        <w:jc w:val="both"/>
        <w:ind w:left="380" w:right="79" w:hanging="330"/>
        <w:spacing w:after="0" w:line="25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“Corporate and Other”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 Income from operations for “Corporate and Other” also includes costs associated with our long-term incentive program.</w:t>
      </w:r>
    </w:p>
    <w:p>
      <w:pPr>
        <w:spacing w:after="0" w:line="79"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fourth quarter of 2021, we discontinued certain allocations from our Corporate and Other segment to our Solid Waste operating segments and Other segment. Reclassifications have been made to our prior period information for comparability purposes.</w:t>
      </w:r>
    </w:p>
    <w:p>
      <w:pPr>
        <w:spacing w:after="0" w:line="76"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significant items affecting income from operations for our segments during the first quarter of 2022, as compared with the prior year period, are summarized below:</w:t>
      </w:r>
    </w:p>
    <w:p>
      <w:pPr>
        <w:spacing w:after="0" w:line="170" w:lineRule="exact"/>
        <w:rPr>
          <w:sz w:val="20"/>
          <w:szCs w:val="20"/>
          <w:color w:val="auto"/>
        </w:rPr>
      </w:pPr>
    </w:p>
    <w:p>
      <w:pPr>
        <w:jc w:val="both"/>
        <w:ind w:left="720" w:right="79" w:hanging="319"/>
        <w:spacing w:after="0" w:line="293"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Solid Waste </w:t>
      </w:r>
      <w:r>
        <w:rPr>
          <w:rFonts w:ascii="Arial" w:cs="Arial" w:eastAsia="Arial" w:hAnsi="Arial"/>
          <w:sz w:val="16"/>
          <w:szCs w:val="16"/>
          <w:color w:val="auto"/>
        </w:rPr>
        <w:t>— Income from operations in our Solid Waste business increased primarily due to (i) revenue growth</w:t>
      </w:r>
      <w:r>
        <w:rPr>
          <w:rFonts w:ascii="Arial" w:cs="Arial" w:eastAsia="Arial" w:hAnsi="Arial"/>
          <w:sz w:val="16"/>
          <w:szCs w:val="16"/>
          <w:i w:val="1"/>
          <w:iCs w:val="1"/>
          <w:color w:val="auto"/>
        </w:rPr>
        <w:t xml:space="preserve"> </w:t>
      </w:r>
      <w:r>
        <w:rPr>
          <w:rFonts w:ascii="Arial" w:cs="Arial" w:eastAsia="Arial" w:hAnsi="Arial"/>
          <w:sz w:val="16"/>
          <w:szCs w:val="16"/>
          <w:color w:val="auto"/>
        </w:rPr>
        <w:t>in our collection and disposal businesses driven by both yield and volume and (ii) improved profitability in our recycling business from higher market prices for recycling commodities and improved costs at facilities where we have made investments in enhanced technology and equipment. These increases were partially offset by inflationary cost pressures and labor cost pressure from frontline employee wage adjustments, increased hiring driving up training costs and higher overtime due to driver shortages and volume growth.</w:t>
      </w:r>
    </w:p>
    <w:p>
      <w:pPr>
        <w:spacing w:after="0" w:line="164" w:lineRule="exact"/>
        <w:rPr>
          <w:rFonts w:ascii="Arial" w:cs="Arial" w:eastAsia="Arial" w:hAnsi="Arial"/>
          <w:sz w:val="16"/>
          <w:szCs w:val="16"/>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The decrease in income from operations was primarily driven by our self-insurance program.</w:t>
      </w:r>
    </w:p>
    <w:p>
      <w:pPr>
        <w:spacing w:after="0" w:line="225" w:lineRule="exact"/>
        <w:rPr>
          <w:rFonts w:ascii="Arial" w:cs="Arial" w:eastAsia="Arial" w:hAnsi="Arial"/>
          <w:sz w:val="18"/>
          <w:szCs w:val="18"/>
          <w:color w:val="auto"/>
        </w:rPr>
      </w:pPr>
    </w:p>
    <w:p>
      <w:pPr>
        <w:jc w:val="both"/>
        <w:ind w:left="720" w:right="79" w:hanging="319"/>
        <w:spacing w:after="0" w:line="25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 The decrease in income from operations was primarily driven by (i) increased costs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strategic investments we are making in our digital platform including investments in customer service digitalization, as well as investments in our sustainability initiatives and (ii) increased labor costs primarily due to merit increases. This decrease in income from operations was partially offset by lower integration costs related to our acquisition of Advanced Disposal.</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left="60" w:right="59" w:firstLine="259"/>
        <w:spacing w:after="0" w:line="243" w:lineRule="auto"/>
        <w:rPr>
          <w:sz w:val="20"/>
          <w:szCs w:val="20"/>
          <w:color w:val="auto"/>
        </w:rPr>
      </w:pPr>
      <w:r>
        <w:rPr>
          <w:rFonts w:ascii="Arial" w:cs="Arial" w:eastAsia="Arial" w:hAnsi="Arial"/>
          <w:sz w:val="18"/>
          <w:szCs w:val="18"/>
          <w:color w:val="auto"/>
        </w:rPr>
        <w:t>Our interest expense, net was $85 million and $97 million during the three months ended March 31, 2022 and 2021, respectively. The decrease is primarily due to the retirement of $1.3 billion of certain high-coupon senior notes and concurrent issuance of $950 million of lower coupon senior notes in May 2021 and, to a lesser extent, the impacts that lower interest rates have had on the cost of certain of our tax-exempt debt.</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recognized equity in net losses of unconsolidated entities of $15 million and $9 million during the three months ended March 31, 2022 and 2021, respectively. The losses for each period were primarily related to our noncontrolling interests in entities established to invest in and manage low-income housing properties. We generate tax benefits, including tax credits, from the losses incurred from these investments which are discussed further in Note 4 to the Condensed Consolidated Financial Statements.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Our income tax expense and effective income tax rates were $157 million, or 23.5%, and $124 million, or 22.7%, for the three months ended March 31, 2022 and 2021, respectively. The increase in our income tax expense and effective income tax rate when comparing the three months ended March 31, 2022 with the prior year period are primarily driven by</w:t>
      </w:r>
    </w:p>
    <w:p>
      <w:pPr>
        <w:spacing w:after="0" w:line="2" w:lineRule="exact"/>
        <w:rPr>
          <w:sz w:val="20"/>
          <w:szCs w:val="20"/>
          <w:color w:val="auto"/>
        </w:rPr>
      </w:pPr>
    </w:p>
    <w:p>
      <w:pPr>
        <w:ind w:left="280" w:hanging="230"/>
        <w:spacing w:after="0"/>
        <w:tabs>
          <w:tab w:leader="none" w:pos="2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increase in pre-tax income in 2022, which decreased the effective tax rate impact of our federal tax credits; and</w:t>
      </w:r>
    </w:p>
    <w:p>
      <w:pPr>
        <w:spacing w:after="0" w:line="20" w:lineRule="exact"/>
        <w:rPr>
          <w:rFonts w:ascii="Arial" w:cs="Arial" w:eastAsia="Arial" w:hAnsi="Arial"/>
          <w:sz w:val="17"/>
          <w:szCs w:val="17"/>
          <w:color w:val="auto"/>
        </w:rPr>
      </w:pPr>
    </w:p>
    <w:p>
      <w:pPr>
        <w:ind w:left="320" w:hanging="270"/>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unfavorable adjustments to accruals and related deferred taxes, both of which were partially offset by a benefit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1" w:name="page32"/>
    <w:bookmarkEnd w:id="31"/>
    <w:p>
      <w:pPr>
        <w:jc w:val="both"/>
        <w:ind w:left="60" w:right="79"/>
        <w:spacing w:after="0" w:line="277" w:lineRule="auto"/>
        <w:rPr>
          <w:sz w:val="20"/>
          <w:szCs w:val="20"/>
          <w:color w:val="auto"/>
        </w:rPr>
      </w:pPr>
      <w:r>
        <w:rPr>
          <w:rFonts w:ascii="Arial" w:cs="Arial" w:eastAsia="Arial" w:hAnsi="Arial"/>
          <w:sz w:val="18"/>
          <w:szCs w:val="18"/>
          <w:color w:val="auto"/>
        </w:rPr>
        <w:t>from higher federal tax credits as a result of our incremental investment in low-income housing properties. See Note 4 to the Condensed Consolidated Financial Statements for more information related to income taxes.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consistently generates cash flow from operations that meets and exceeds our working capital needs, payment of our dividends, investment in the business through capital expenditures and tuck-in acquisitions, and funding of strategic growth and sustainability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large value of unencumbered assets and modest leverage enable it to obtain adequate financing to meet its ongoing capital, operating, strategic and other liquidity requirements.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Cash and Cash Equivalents, Restricted Funds and Debt Obligations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is a summary of our cash and cash equivalents, restricted funds and debt balances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ind w:left="20"/>
              <w:spacing w:after="0"/>
              <w:rPr>
                <w:sz w:val="20"/>
                <w:szCs w:val="20"/>
                <w:color w:val="auto"/>
              </w:rPr>
            </w:pPr>
            <w:r>
              <w:rPr>
                <w:rFonts w:ascii="Arial" w:cs="Arial" w:eastAsia="Arial" w:hAnsi="Arial"/>
                <w:sz w:val="18"/>
                <w:szCs w:val="18"/>
                <w:color w:val="auto"/>
              </w:rPr>
              <w:t>Restricted funds:</w:t>
            </w: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Insurance reserves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2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restricted funds (a)</w:t>
            </w: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20"/>
              <w:spacing w:after="0"/>
              <w:rPr>
                <w:sz w:val="20"/>
                <w:szCs w:val="20"/>
                <w:color w:val="auto"/>
              </w:rPr>
            </w:pPr>
            <w:r>
              <w:rPr>
                <w:rFonts w:ascii="Arial" w:cs="Arial" w:eastAsia="Arial" w:hAnsi="Arial"/>
                <w:sz w:val="18"/>
                <w:szCs w:val="18"/>
                <w:color w:val="auto"/>
              </w:rPr>
              <w:t>Current portion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tcPr>
          <w:p>
            <w:pPr>
              <w:ind w:left="320"/>
              <w:spacing w:after="0"/>
              <w:rPr>
                <w:sz w:val="20"/>
                <w:szCs w:val="20"/>
                <w:color w:val="auto"/>
              </w:rPr>
            </w:pPr>
            <w:r>
              <w:rPr>
                <w:rFonts w:ascii="Arial" w:cs="Arial" w:eastAsia="Arial" w:hAnsi="Arial"/>
                <w:sz w:val="18"/>
                <w:szCs w:val="18"/>
                <w:color w:val="auto"/>
              </w:rPr>
              <w:t>Total debt</w:t>
            </w:r>
          </w:p>
        </w:tc>
        <w:tc>
          <w:tcPr>
            <w:tcW w:w="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March 31, 2022 and December 31, 2021, $80 million of these account balances was included in other current assets in our Condensed Consolidated Balance Sheets.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March 31, 2022, we had approximately $3.0 billion of debt maturing within the next 12 months, including</w:t>
      </w:r>
    </w:p>
    <w:p>
      <w:pPr>
        <w:spacing w:after="0" w:line="35" w:lineRule="exact"/>
        <w:rPr>
          <w:sz w:val="20"/>
          <w:szCs w:val="20"/>
          <w:color w:val="auto"/>
        </w:rPr>
      </w:pPr>
    </w:p>
    <w:p>
      <w:pPr>
        <w:ind w:left="300" w:hanging="250"/>
        <w:spacing w:after="0"/>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$1.7 billion of short-term borrowings under our commercial paper program (net of related discount on issuance);</w:t>
      </w:r>
    </w:p>
    <w:p>
      <w:pPr>
        <w:spacing w:after="0" w:line="20" w:lineRule="exact"/>
        <w:rPr>
          <w:rFonts w:ascii="Arial" w:cs="Arial" w:eastAsia="Arial" w:hAnsi="Arial"/>
          <w:sz w:val="17"/>
          <w:szCs w:val="17"/>
          <w:color w:val="auto"/>
        </w:rPr>
      </w:pPr>
    </w:p>
    <w:p>
      <w:pPr>
        <w:jc w:val="both"/>
        <w:ind w:left="60" w:right="59" w:hanging="10"/>
        <w:spacing w:after="0" w:line="269" w:lineRule="auto"/>
        <w:tabs>
          <w:tab w:leader="none" w:pos="333" w:val="left"/>
        </w:tabs>
        <w:numPr>
          <w:ilvl w:val="0"/>
          <w:numId w:val="25"/>
        </w:numPr>
        <w:rPr>
          <w:rFonts w:ascii="Arial" w:cs="Arial" w:eastAsia="Arial" w:hAnsi="Arial"/>
          <w:sz w:val="17"/>
          <w:szCs w:val="17"/>
          <w:color w:val="auto"/>
        </w:rPr>
      </w:pPr>
      <w:r>
        <w:rPr>
          <w:rFonts w:ascii="Arial" w:cs="Arial" w:eastAsia="Arial" w:hAnsi="Arial"/>
          <w:sz w:val="17"/>
          <w:szCs w:val="17"/>
          <w:color w:val="auto"/>
        </w:rPr>
        <w:t>$645 million of tax-exempt bonds with term interest rate periods that expire within the next 12 months, which is prior to their scheduled maturities; (iii) $500 million of 2.9% senior notes that mature in September 2022 and (iv) $180 million of other debt with scheduled maturities within the next 12 months, including $71 million of tax-exempt bonds. As of March 31, 2022, we have classified $2.6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The remaining $435 million of debt maturing in the next 12 months is classified as current obligations.</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As of March 31, 2022, we also had $54 million of variable-rate tax-exempt bonds with long-term scheduled maturities supported by letters of credit under our $3.5 billion revolving credit facility. The interest rates on our variable-rate tax-exempt bonds reset on a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$3.5 billion revolving credit facility to fund these bonds until they are remarketed successfully. Accordingly, we have classified the $54 million of variable-rate tax-exempt bonds with maturities of more than one year as long-term in our Condensed Consolidated Balance Sheet as of March 31, 2022.</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2" w:name="page33"/>
    <w:bookmarkEnd w:id="32"/>
    <w:p>
      <w:pPr>
        <w:ind w:left="180"/>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WM Holdings has fully and unconditionally guaranteed all of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200" w:lineRule="exact"/>
        <w:rPr>
          <w:sz w:val="20"/>
          <w:szCs w:val="20"/>
          <w:color w:val="auto"/>
        </w:rPr>
      </w:pPr>
    </w:p>
    <w:p>
      <w:pPr>
        <w:ind w:left="6660"/>
        <w:spacing w:after="0"/>
        <w:tabs>
          <w:tab w:leader="none" w:pos="7760" w:val="left"/>
        </w:tabs>
        <w:rPr>
          <w:sz w:val="20"/>
          <w:szCs w:val="20"/>
          <w:color w:val="auto"/>
        </w:rPr>
      </w:pPr>
      <w:r>
        <w:rPr>
          <w:rFonts w:ascii="Arial" w:cs="Arial" w:eastAsia="Arial" w:hAnsi="Arial"/>
          <w:sz w:val="14"/>
          <w:szCs w:val="14"/>
          <w:b w:val="1"/>
          <w:bCs w:val="1"/>
          <w:color w:val="auto"/>
        </w:rPr>
        <w:t>March 31, 2022</w:t>
      </w:r>
      <w:r>
        <w:rPr>
          <w:sz w:val="20"/>
          <w:szCs w:val="20"/>
          <w:color w:val="auto"/>
        </w:rPr>
        <w:tab/>
      </w:r>
      <w:r>
        <w:rPr>
          <w:rFonts w:ascii="Arial" w:cs="Arial" w:eastAsia="Arial" w:hAnsi="Arial"/>
          <w:sz w:val="12"/>
          <w:szCs w:val="12"/>
          <w:b w:val="1"/>
          <w:bCs w:val="1"/>
          <w:color w:val="auto"/>
        </w:rPr>
        <w:t>December 31, 2021</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Information:</w:t>
            </w: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16"/>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620" w:type="dxa"/>
            <w:vAlign w:val="bottom"/>
            <w:gridSpan w:val="2"/>
          </w:tcPr>
          <w:p>
            <w:pPr>
              <w:ind w:left="120"/>
              <w:spacing w:after="0"/>
              <w:rPr>
                <w:sz w:val="20"/>
                <w:szCs w:val="20"/>
                <w:color w:val="auto"/>
              </w:rPr>
            </w:pPr>
            <w:r>
              <w:rPr>
                <w:rFonts w:ascii="Arial" w:cs="Arial" w:eastAsia="Arial" w:hAnsi="Arial"/>
                <w:sz w:val="18"/>
                <w:szCs w:val="18"/>
                <w:color w:val="auto"/>
              </w:rPr>
              <w:t>Advances due to affiliates (a)</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19,174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18,599</w:t>
            </w:r>
          </w:p>
        </w:tc>
      </w:tr>
      <w:tr>
        <w:trPr>
          <w:trHeight w:val="216"/>
        </w:trPr>
        <w:tc>
          <w:tcPr>
            <w:tcW w:w="6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10,778</w:t>
            </w:r>
          </w:p>
        </w:tc>
      </w:tr>
      <w:tr>
        <w:trPr>
          <w:trHeight w:val="108"/>
        </w:trPr>
        <w:tc>
          <w:tcPr>
            <w:tcW w:w="224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previously reported balance of Advances due to affiliates as of December 31, 2021 was understated and has been corrected in our current year presentation above.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7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March 31, 2022</w:t>
            </w:r>
          </w:p>
        </w:tc>
      </w:tr>
      <w:tr>
        <w:trPr>
          <w:trHeight w:val="21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Statement Information:</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p>
        </w:tc>
        <w:tc>
          <w:tcPr>
            <w:tcW w:w="1260" w:type="dxa"/>
            <w:vAlign w:val="bottom"/>
          </w:tcPr>
          <w:p>
            <w:pPr>
              <w:ind w:left="1040"/>
              <w:spacing w:after="0"/>
              <w:rPr>
                <w:sz w:val="20"/>
                <w:szCs w:val="20"/>
                <w:color w:val="auto"/>
              </w:rPr>
            </w:pPr>
            <w:r>
              <w:rPr>
                <w:rFonts w:ascii="Arial" w:cs="Arial" w:eastAsia="Arial" w:hAnsi="Arial"/>
                <w:sz w:val="18"/>
                <w:szCs w:val="18"/>
                <w:color w:val="auto"/>
                <w:w w:val="99"/>
              </w:rPr>
              <w:t>20</w:t>
            </w:r>
          </w:p>
        </w:tc>
      </w:tr>
    </w:tbl>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our cash flows for the three months ended March 31 (in millions):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9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(572)</w:t>
            </w:r>
          </w:p>
        </w:tc>
        <w:tc>
          <w:tcPr>
            <w:tcW w:w="2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197"/>
        </w:trPr>
        <w:tc>
          <w:tcPr>
            <w:tcW w:w="69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(635)</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Net Cash Provided by Operating Activities — </w:t>
      </w:r>
      <w:r>
        <w:rPr>
          <w:rFonts w:ascii="Arial" w:cs="Arial" w:eastAsia="Arial" w:hAnsi="Arial"/>
          <w:sz w:val="18"/>
          <w:szCs w:val="18"/>
          <w:color w:val="auto"/>
        </w:rPr>
        <w:t>Our operating cash flows increased by $138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2022, as compared with the prior year period, as a result of an increase in earnings attributable to our collection and disposal and recycling lines of business, as well as lower interest payments due to the timing of certain interest payments and refinancing activities in 2021 that reduced our overall interest rate, partially offset by higher annual incentive compensation payments in the current year.</w:t>
      </w:r>
    </w:p>
    <w:p>
      <w:pPr>
        <w:spacing w:after="0" w:line="8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The most significant items included in our investing cash flows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2022 and 2021 are summarized below:</w:t>
      </w:r>
    </w:p>
    <w:p>
      <w:pPr>
        <w:spacing w:after="0" w:line="170" w:lineRule="exact"/>
        <w:rPr>
          <w:sz w:val="20"/>
          <w:szCs w:val="20"/>
          <w:color w:val="auto"/>
        </w:rPr>
      </w:pPr>
    </w:p>
    <w:p>
      <w:pPr>
        <w:jc w:val="both"/>
        <w:ind w:left="720" w:right="79" w:hanging="319"/>
        <w:spacing w:after="0" w:line="255"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used $418 million and $270 million for capital expenditures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2022 and 2021, respectively. The increase in capital spending is primarily driven by timing differences in our fixed asset purchases, as well as our intentional investment in sustainability and growth in recycling and renewable energy projects. The Company continues to maintain a disciplined focus on capital management to prioritize investments in the long-term growth of our business and for the replacement of aging assets.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3" w:name="page34"/>
    <w:bookmarkEnd w:id="33"/>
    <w:p>
      <w:pPr>
        <w:jc w:val="both"/>
        <w:ind w:left="720" w:right="79" w:hanging="319"/>
        <w:spacing w:after="0" w:line="25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Other, Net — </w:t>
      </w:r>
      <w:r>
        <w:rPr>
          <w:rFonts w:ascii="Arial" w:cs="Arial" w:eastAsia="Arial" w:hAnsi="Arial"/>
          <w:sz w:val="18"/>
          <w:szCs w:val="18"/>
          <w:color w:val="auto"/>
        </w:rPr>
        <w:t>The year-over-year changes in other investing activities were primarily driven by changes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portfolio associated with a wholly-owned insurance captive. During the three months ended March 31, 2022 and 2021, we used $97 million and $73 million, respectively, of cash from restricted cash and cash equivalents to invest in available-for-sale securities. Additionally, we used $28 million in 2022 to make an initial cash payment associated with a new low-income housing investment.</w:t>
      </w:r>
    </w:p>
    <w:p>
      <w:pPr>
        <w:spacing w:after="0" w:line="188"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Financing Activities — </w:t>
      </w:r>
      <w:r>
        <w:rPr>
          <w:rFonts w:ascii="Arial" w:cs="Arial" w:eastAsia="Arial" w:hAnsi="Arial"/>
          <w:sz w:val="18"/>
          <w:szCs w:val="18"/>
          <w:color w:val="auto"/>
        </w:rPr>
        <w:t>The most significant items affecting the comparison of our financing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for the three months ended March 31, 2022 and 2021 are summarized below:</w:t>
      </w:r>
    </w:p>
    <w:p>
      <w:pPr>
        <w:spacing w:after="0" w:line="62" w:lineRule="exact"/>
        <w:rPr>
          <w:sz w:val="20"/>
          <w:szCs w:val="20"/>
          <w:color w:val="auto"/>
        </w:rPr>
      </w:pPr>
    </w:p>
    <w:p>
      <w:pPr>
        <w:ind w:left="720" w:right="79" w:hanging="31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Debt Repayments and Borrowings — </w:t>
      </w:r>
      <w:r>
        <w:rPr>
          <w:rFonts w:ascii="Arial" w:cs="Arial" w:eastAsia="Arial" w:hAnsi="Arial"/>
          <w:sz w:val="18"/>
          <w:szCs w:val="18"/>
          <w:color w:val="auto"/>
        </w:rPr>
        <w:t>The following summarizes our cash borrowings and repayments of debt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(in millions):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r>
      <w:tr>
        <w:trPr>
          <w:trHeight w:val="209"/>
        </w:trPr>
        <w:tc>
          <w:tcPr>
            <w:tcW w:w="66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6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Commercial paper (a)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6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6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Commercial paper (a)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(2,452)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660" w:type="dxa"/>
            <w:vAlign w:val="bottom"/>
          </w:tcPr>
          <w:p>
            <w:pPr>
              <w:spacing w:after="0"/>
              <w:rPr>
                <w:sz w:val="18"/>
                <w:szCs w:val="18"/>
                <w:color w:val="auto"/>
              </w:rPr>
            </w:pPr>
          </w:p>
        </w:tc>
        <w:tc>
          <w:tcPr>
            <w:tcW w:w="5660" w:type="dxa"/>
            <w:vAlign w:val="bottom"/>
            <w:gridSpan w:val="2"/>
          </w:tcPr>
          <w:p>
            <w:pPr>
              <w:ind w:left="220"/>
              <w:spacing w:after="0"/>
              <w:rPr>
                <w:sz w:val="20"/>
                <w:szCs w:val="20"/>
                <w:color w:val="auto"/>
              </w:rPr>
            </w:pPr>
            <w:r>
              <w:rPr>
                <w:rFonts w:ascii="Arial" w:cs="Arial" w:eastAsia="Arial" w:hAnsi="Arial"/>
                <w:sz w:val="18"/>
                <w:szCs w:val="18"/>
                <w:color w:val="auto"/>
              </w:rPr>
              <w:t>Tax-exempt bonds</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60" w:type="dxa"/>
            <w:vAlign w:val="bottom"/>
          </w:tcPr>
          <w:p>
            <w:pPr>
              <w:spacing w:after="0"/>
              <w:rPr>
                <w:sz w:val="18"/>
                <w:szCs w:val="18"/>
                <w:color w:val="auto"/>
              </w:rPr>
            </w:pPr>
          </w:p>
        </w:tc>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debt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660" w:type="dxa"/>
            <w:vAlign w:val="bottom"/>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40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(2,471)</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r>
      <w:tr>
        <w:trPr>
          <w:trHeight w:val="209"/>
        </w:trPr>
        <w:tc>
          <w:tcPr>
            <w:tcW w:w="660" w:type="dxa"/>
            <w:vAlign w:val="bottom"/>
          </w:tcPr>
          <w:p>
            <w:pPr>
              <w:spacing w:after="0"/>
              <w:rPr>
                <w:sz w:val="18"/>
                <w:szCs w:val="18"/>
                <w:color w:val="auto"/>
              </w:rPr>
            </w:pPr>
          </w:p>
        </w:tc>
        <w:tc>
          <w:tcPr>
            <w:tcW w:w="56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Net cash repayments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0"/>
        </w:trPr>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88"/>
        </w:trPr>
        <w:tc>
          <w:tcPr>
            <w:tcW w:w="6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r>
    </w:tbl>
    <w:p>
      <w:pPr>
        <w:spacing w:after="0" w:line="80" w:lineRule="exact"/>
        <w:rPr>
          <w:sz w:val="20"/>
          <w:szCs w:val="20"/>
          <w:color w:val="auto"/>
        </w:rPr>
      </w:pPr>
    </w:p>
    <w:p>
      <w:pPr>
        <w:ind w:left="1020" w:right="79" w:hanging="322"/>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Beginning in the second quarter of 2021, we elected to report these cash flows on a gross basis. Reclassifications have been made to our prior period information for comparability purposes.</w:t>
      </w:r>
    </w:p>
    <w:p>
      <w:pPr>
        <w:spacing w:after="0" w:line="62"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Refer to Note 3 to the Condensed Consolidated Financial Statements for additional information related to our debt borrowings and repayments.</w:t>
      </w:r>
    </w:p>
    <w:p>
      <w:pPr>
        <w:spacing w:after="0" w:line="62" w:lineRule="exact"/>
        <w:rPr>
          <w:sz w:val="20"/>
          <w:szCs w:val="20"/>
          <w:color w:val="auto"/>
        </w:rPr>
      </w:pPr>
    </w:p>
    <w:p>
      <w:pPr>
        <w:jc w:val="both"/>
        <w:ind w:left="720" w:right="79" w:hanging="319"/>
        <w:spacing w:after="0" w:line="286"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Common Stock Repurchase Program — </w:t>
      </w:r>
      <w:r>
        <w:rPr>
          <w:rFonts w:ascii="Arial" w:cs="Arial" w:eastAsia="Arial" w:hAnsi="Arial"/>
          <w:sz w:val="17"/>
          <w:szCs w:val="17"/>
          <w:color w:val="auto"/>
        </w:rPr>
        <w:t>During each of the three months ended March 31, 2022 and 2021, we</w:t>
      </w:r>
      <w:r>
        <w:rPr>
          <w:rFonts w:ascii="Arial" w:cs="Arial" w:eastAsia="Arial" w:hAnsi="Arial"/>
          <w:sz w:val="17"/>
          <w:szCs w:val="17"/>
          <w:i w:val="1"/>
          <w:iCs w:val="1"/>
          <w:color w:val="auto"/>
        </w:rPr>
        <w:t xml:space="preserve"> </w:t>
      </w:r>
      <w:r>
        <w:rPr>
          <w:rFonts w:ascii="Arial" w:cs="Arial" w:eastAsia="Arial" w:hAnsi="Arial"/>
          <w:sz w:val="17"/>
          <w:szCs w:val="17"/>
          <w:color w:val="auto"/>
        </w:rPr>
        <w:t>used $250 million to repurchase shares of our common stock under accelerated share repurchase agreements. See Note 10 to the Condensed Consolidated Financial Statements for additional information.</w:t>
      </w:r>
    </w:p>
    <w:p>
      <w:pPr>
        <w:spacing w:after="0" w:line="57" w:lineRule="exact"/>
        <w:rPr>
          <w:rFonts w:ascii="Arial" w:cs="Arial" w:eastAsia="Arial" w:hAnsi="Arial"/>
          <w:sz w:val="17"/>
          <w:szCs w:val="17"/>
          <w:color w:val="auto"/>
        </w:rPr>
      </w:pPr>
    </w:p>
    <w:p>
      <w:pPr>
        <w:jc w:val="both"/>
        <w:ind w:left="720" w:right="79" w:hanging="319"/>
        <w:spacing w:after="0" w:line="259"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Cash Dividends — </w:t>
      </w:r>
      <w:r>
        <w:rPr>
          <w:rFonts w:ascii="Arial" w:cs="Arial" w:eastAsia="Arial" w:hAnsi="Arial"/>
          <w:sz w:val="18"/>
          <w:szCs w:val="18"/>
          <w:color w:val="auto"/>
        </w:rPr>
        <w:t>For the periods presented, all dividends have been declared by our Board of Directors. We</w:t>
      </w:r>
      <w:r>
        <w:rPr>
          <w:rFonts w:ascii="Arial" w:cs="Arial" w:eastAsia="Arial" w:hAnsi="Arial"/>
          <w:sz w:val="18"/>
          <w:szCs w:val="18"/>
          <w:i w:val="1"/>
          <w:iCs w:val="1"/>
          <w:color w:val="auto"/>
        </w:rPr>
        <w:t xml:space="preserve"> </w:t>
      </w:r>
      <w:r>
        <w:rPr>
          <w:rFonts w:ascii="Arial" w:cs="Arial" w:eastAsia="Arial" w:hAnsi="Arial"/>
          <w:sz w:val="18"/>
          <w:szCs w:val="18"/>
          <w:color w:val="auto"/>
        </w:rPr>
        <w:t>paid cash dividends of $275 million and $247 million during the three months ended March 31, 2022 and 2021, respectively. The increase in dividend payments is primarily due to our quarterly per share dividend increasing from $0.575 in 2021 to $0.65 in 2022.</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4" w:name="page35"/>
    <w:bookmarkEnd w:id="34"/>
    <w:p>
      <w:pPr>
        <w:jc w:val="both"/>
        <w:ind w:left="60" w:right="79" w:firstLine="324"/>
        <w:spacing w:after="0" w:line="263" w:lineRule="auto"/>
        <w:rPr>
          <w:sz w:val="20"/>
          <w:szCs w:val="20"/>
          <w:color w:val="auto"/>
        </w:rPr>
      </w:pPr>
      <w:r>
        <w:rPr>
          <w:rFonts w:ascii="Arial" w:cs="Arial" w:eastAsia="Arial" w:hAnsi="Arial"/>
          <w:sz w:val="18"/>
          <w:szCs w:val="18"/>
          <w:color w:val="auto"/>
        </w:rPr>
        <w:t>Our calculation of free cash flow and reconciliation to net cash provided by operating activities for the three months ended March 31 is shown in the table below (in millions), and may not be calculated the same as similarly-titled measures presented by other companies: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r>
      <w:tr>
        <w:trPr>
          <w:trHeight w:val="216"/>
        </w:trPr>
        <w:tc>
          <w:tcPr>
            <w:tcW w:w="20" w:type="dxa"/>
            <w:vAlign w:val="bottom"/>
          </w:tcPr>
          <w:p>
            <w:pPr>
              <w:spacing w:after="0"/>
              <w:rPr>
                <w:sz w:val="18"/>
                <w:szCs w:val="18"/>
                <w:color w:val="auto"/>
              </w:rPr>
            </w:pPr>
          </w:p>
        </w:tc>
        <w:tc>
          <w:tcPr>
            <w:tcW w:w="6240" w:type="dxa"/>
            <w:vAlign w:val="bottom"/>
            <w:gridSpan w:val="2"/>
          </w:tcPr>
          <w:p>
            <w:pPr>
              <w:ind w:left="100"/>
              <w:spacing w:after="0"/>
              <w:rPr>
                <w:sz w:val="20"/>
                <w:szCs w:val="20"/>
                <w:color w:val="auto"/>
              </w:rPr>
            </w:pPr>
            <w:r>
              <w:rPr>
                <w:rFonts w:ascii="Arial" w:cs="Arial" w:eastAsia="Arial" w:hAnsi="Arial"/>
                <w:sz w:val="18"/>
                <w:szCs w:val="18"/>
                <w:color w:val="auto"/>
              </w:rPr>
              <w:t>Capital expenditures to support the business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Capital expenditures - sustainability growth investments (a)</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9"/>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Total capital expenditures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Proceeds from divestitures of businesses and other assets, net of cash divested</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20" w:type="dxa"/>
            <w:vAlign w:val="bottom"/>
          </w:tcPr>
          <w:p>
            <w:pPr>
              <w:spacing w:after="0"/>
              <w:rPr>
                <w:sz w:val="18"/>
                <w:szCs w:val="18"/>
                <w:color w:val="auto"/>
              </w:rPr>
            </w:pPr>
          </w:p>
        </w:tc>
        <w:tc>
          <w:tcPr>
            <w:tcW w:w="6240" w:type="dxa"/>
            <w:vAlign w:val="bottom"/>
            <w:gridSpan w:val="2"/>
          </w:tcPr>
          <w:p>
            <w:pPr>
              <w:ind w:left="260"/>
              <w:spacing w:after="0"/>
              <w:rPr>
                <w:sz w:val="20"/>
                <w:szCs w:val="20"/>
                <w:color w:val="auto"/>
              </w:rPr>
            </w:pPr>
            <w:r>
              <w:rPr>
                <w:rFonts w:ascii="Arial" w:cs="Arial" w:eastAsia="Arial" w:hAnsi="Arial"/>
                <w:sz w:val="18"/>
                <w:szCs w:val="18"/>
                <w:color w:val="auto"/>
              </w:rPr>
              <w:t>Free cash flow</w:t>
            </w:r>
          </w:p>
        </w:tc>
        <w:tc>
          <w:tcPr>
            <w:tcW w:w="64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r>
    </w:tbl>
    <w:p>
      <w:pPr>
        <w:spacing w:after="0" w:line="80" w:lineRule="exact"/>
        <w:rPr>
          <w:sz w:val="20"/>
          <w:szCs w:val="20"/>
          <w:color w:val="auto"/>
        </w:rPr>
      </w:pPr>
    </w:p>
    <w:p>
      <w:pPr>
        <w:jc w:val="both"/>
        <w:ind w:left="380" w:right="79" w:hanging="330"/>
        <w:spacing w:after="0" w:line="263"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growth investments are intended to further our sustainability leadership position by increasing recycling volumes and growing renewable natural gas generation and we expect they will deliver circular solutions for our customers and drive environmental value to the communities we serve.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assets and intangible asset impairments and the fair value of assets and liabilities acquired in business combinations, as described in Item 7 of our Annual Report on Form 10-K for the year ended December 31, 2021. Actual results could differ materially from the estimates and assumptions that we use in the preparation of our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 Trends</w:t>
      </w:r>
    </w:p>
    <w:p>
      <w:pPr>
        <w:spacing w:after="0" w:line="229"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Service disruptions caused by severe storms, extended periods of inclement weather or climate events can significantly affect the operating results of the geographic areas affected. On the other hand,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Accelerated and pronounced economic pressures, particularly related to inflationary cost pressures on labor and the goods and services we rely upon to deliver service to our customers, have continued to have a significant impact on our cost structure and capital expenditures in the first quarter of 2022. We are taking proactive steps to recover and/or mitigate inflationary cost pressures through our overall strategic pricing efforts and by managing our costs through efficiency, labor productivity and investments in technology to automate certain aspects of our business. A significant portion of our revenue is tied to a price escalation index with a lookback provision, which has resulted in a timing lag in our ability to recover increased costs under these contracts during this period of rapid inflation. Separately, for many of our customers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5" w:name="page36"/>
    <w:bookmarkEnd w:id="35"/>
    <w:p>
      <w:pPr>
        <w:jc w:val="both"/>
        <w:ind w:left="60" w:right="59"/>
        <w:spacing w:after="0" w:line="301" w:lineRule="auto"/>
        <w:rPr>
          <w:sz w:val="20"/>
          <w:szCs w:val="20"/>
          <w:color w:val="auto"/>
        </w:rPr>
      </w:pPr>
      <w:r>
        <w:rPr>
          <w:rFonts w:ascii="Arial" w:cs="Arial" w:eastAsia="Arial" w:hAnsi="Arial"/>
          <w:sz w:val="16"/>
          <w:szCs w:val="16"/>
          <w:color w:val="auto"/>
        </w:rPr>
        <w:t>we provide services under multi-year contracts that can restrict our ability to increase prices and the timing of such increases. As we entered 2022, many of these contract lookback provisions began to capture the inflationary cost increases experienced in the second half of 2021 in the price escalation calculation; however, due to the continued rapid pace of inflation as well as the relatively low inflationary cost environment of the first half of 2021, such timing lag persists.</w:t>
      </w:r>
    </w:p>
    <w:p>
      <w:pPr>
        <w:spacing w:after="0" w:line="153"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Information about market risks as of March 31, 2022 does not materially differ from the following information discussed under Item 7A in our Annual Report on Form 10-K for the year ended December 31, 2021:</w:t>
      </w:r>
    </w:p>
    <w:p>
      <w:pPr>
        <w:spacing w:after="0" w:line="146"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In the normal course of business, we are exposed to market risks, including changes in interest rates, certain commodity prices and Canadian currency rates. From time to time, we use derivatives to manage some portion of these risks. The Company had no derivatives outstanding as of December 31, 2021.</w:t>
      </w:r>
    </w:p>
    <w:p>
      <w:pPr>
        <w:spacing w:after="0" w:line="184"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 xml:space="preserve">Interest Rate Exposure </w:t>
      </w:r>
      <w:r>
        <w:rPr>
          <w:rFonts w:ascii="Arial" w:cs="Arial" w:eastAsia="Arial" w:hAnsi="Arial"/>
          <w:sz w:val="16"/>
          <w:szCs w:val="16"/>
          <w:color w:val="auto"/>
        </w:rPr>
        <w:t>— Our exposure to market risk for changes in interest rates relates primarily to our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As of December 31, 2021, we had $13.5 billion of long-term debt, excluding the impacts of accounting for debt issuance costs, discounts and fair value adjustments attributable to terminated interest rate derivatives. We had $2.5 billion of debt that is exposed to changes in market interest rates within the next 12 months comprised of (i) $1.8 billion of short-term borrowings under our commercial paper program; (ii) $645 million of tax-exempt bonds with term interest rate periods that expire within the next 12 months and (iii) $54 million of variable-rate tax-exempt bonds that are subject to repricing on a weekly basis. We currently estimate that a 100-basis point increase in the interest rates of our outstanding variable-rate debt obligations would increase our 2022 interest expense by $7 million.</w:t>
      </w:r>
    </w:p>
    <w:p>
      <w:pPr>
        <w:spacing w:after="0" w:line="16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Our remaining outstanding debt obligations have fixed interest rates through either the scheduled maturity of the debt or, for certain of our fixed-rate tax-exempt bonds, through the end of a term interest rate period that exceeds 12 months. The fair value of our fixed-rate debt obligations can increase or decrease significantly if market interest rates change.</w:t>
      </w:r>
    </w:p>
    <w:p>
      <w:pPr>
        <w:spacing w:after="0" w:line="14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performed a sensitivity analysis to determine how market rate changes might affect the fair value of our market risk-sensitive debt instruments. This analysis is inherently limited because it reflects a singular, hypothetical set of assumptions. Actual market movements may vary significantly from our assumptions. An instantaneous, 100-basis point increase in interest rates across all maturities attributable to these instruments would have decreased the fair value of our debt by approximately $900 million as of December 31, 2021.</w:t>
      </w:r>
    </w:p>
    <w:p>
      <w:pPr>
        <w:spacing w:after="0" w:line="18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are also exposed to interest rate market risk from our cash and cash equivalent balances, as well as assets held in restricted trust funds and escrow accounts. These assets are generally invested in high-quality, liquid instruments including money market funds that invest in U.S. government obligations with original maturities of three months or less. We believe that our exposure to changes in fair value of these assets due to interest rate fluctuations is insignificant as the fair value generally approximates our cost basis. We also invest a portion of our restricted trust and escrow account balances in available-for-sale securities, including U.S. Treasury securities, U.S. agency securities, municipal securities, mortgage- and asset-backed securities, which generally mature over the next nine years, as well as equity securities.</w:t>
      </w:r>
    </w:p>
    <w:p>
      <w:pPr>
        <w:spacing w:after="0" w:line="16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Commodity Price Exposure </w:t>
      </w:r>
      <w:r>
        <w:rPr>
          <w:rFonts w:ascii="Arial" w:cs="Arial" w:eastAsia="Arial" w:hAnsi="Arial"/>
          <w:sz w:val="17"/>
          <w:szCs w:val="17"/>
          <w:color w:val="auto"/>
        </w:rPr>
        <w:t>— In the normal course of our business, we are subject to operating agreements that</w:t>
      </w:r>
      <w:r>
        <w:rPr>
          <w:rFonts w:ascii="Arial" w:cs="Arial" w:eastAsia="Arial" w:hAnsi="Arial"/>
          <w:sz w:val="17"/>
          <w:szCs w:val="17"/>
          <w:i w:val="1"/>
          <w:iCs w:val="1"/>
          <w:color w:val="auto"/>
        </w:rPr>
        <w:t xml:space="preserve"> </w:t>
      </w:r>
      <w:r>
        <w:rPr>
          <w:rFonts w:ascii="Arial" w:cs="Arial" w:eastAsia="Arial" w:hAnsi="Arial"/>
          <w:sz w:val="17"/>
          <w:szCs w:val="17"/>
          <w:color w:val="auto"/>
        </w:rPr>
        <w:t>expose us to market risks arising from changes in the prices for commodities such as diesel fuel, electricity and recycled materials, including old corrugated cardboard and plastics. We work to manage these risks through operational strategies that focus on capturing our costs in the prices we charge our customers for the services provided. Accordingly, as the market prices for these commodities increase or decrease, our revenues, operating costs and margins may also increase or decrease. We saw significant increases in commodity prices and demand for recycled materials in 2021, resulting in increased annual revenue for our recycling business of $537 million. Variability in commodity prices can also impact the margins of our business as certain components of our revenue are structured as a pass through of costs, including recycling brokerage and fuel surcharges.</w:t>
      </w:r>
    </w:p>
    <w:p>
      <w:pPr>
        <w:spacing w:after="0" w:line="181"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i w:val="1"/>
          <w:iCs w:val="1"/>
          <w:color w:val="auto"/>
        </w:rPr>
        <w:t xml:space="preserve">Currency Rate Exposure </w:t>
      </w:r>
      <w:r>
        <w:rPr>
          <w:rFonts w:ascii="Arial" w:cs="Arial" w:eastAsia="Arial" w:hAnsi="Arial"/>
          <w:sz w:val="17"/>
          <w:szCs w:val="17"/>
          <w:color w:val="auto"/>
        </w:rPr>
        <w:t>— We have operations in Canada as well as certain support functions in India. Where</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we have quantified and described the impact of foreign currency translation on components of income,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6" w:name="page37"/>
    <w:bookmarkEnd w:id="36"/>
    <w:p>
      <w:pPr>
        <w:jc w:val="both"/>
        <w:ind w:left="60" w:right="59"/>
        <w:spacing w:after="0" w:line="277" w:lineRule="auto"/>
        <w:rPr>
          <w:sz w:val="20"/>
          <w:szCs w:val="20"/>
          <w:color w:val="auto"/>
        </w:rPr>
      </w:pPr>
      <w:r>
        <w:rPr>
          <w:rFonts w:ascii="Arial" w:cs="Arial" w:eastAsia="Arial" w:hAnsi="Arial"/>
          <w:sz w:val="18"/>
          <w:szCs w:val="18"/>
          <w:color w:val="auto"/>
        </w:rPr>
        <w:t>including operating revenue and operating expenses. However, the impact of foreign currency has not materially affected our results of operations.</w:t>
      </w:r>
    </w:p>
    <w:p>
      <w:pPr>
        <w:spacing w:after="0" w:line="166"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Our management, with the participation of our principal executive and financial officers, has evaluated the effectiveness of our disclosure controls and procedures (as defined in Rules 13a-15(e) and 15d-15(e) of the Securities Exchange Act of 1934, as amended)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March 31, 2022 (the end of the period covered by this Quarterly Report on Form 10-Q) at a reasonable assurance level.</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the first quarter of 2022, we implemented a new general ledger accounting system and complementary finance enterprise resource planning system. These new system implementations were achieved after a multi-year review of existing accounting and reporting processes and the design and configuration of system-enabled enhancements to such processes. With the implementation, we have realized certain process efficiencies and we expect this new system to enhance our financial reporting and analysis capabilities in the future. The change in our general ledger and finance enterprise resource planning systems was subject to thorough testing and review by internal and external parties both before and after the implementation. While these systems implementations are intended to enhance our framework for internal control over financial reporting, management, together with our CEO and CFO, has determined that the changes in our internal controls over financial reporting during the quarter ended March 31, 2022 have not been material and are not reasonably likely to materially affect our internal controls over financial reporting.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6 to the Condensed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r>
        <w:rPr>
          <w:rFonts w:ascii="Arial" w:cs="Arial" w:eastAsia="Arial" w:hAnsi="Arial"/>
          <w:sz w:val="18"/>
          <w:szCs w:val="18"/>
          <w:i w:val="1"/>
          <w:iCs w:val="1"/>
          <w:color w:val="auto"/>
        </w:rPr>
        <w:t>.</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Part I, Item 1A of our Annual Report on Form 10-K for the year ended December 31,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The following table summarizes common stock repurchases made during the first quarter of 2022 (shares in millions):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Approximate Maximum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Average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2"/>
          </w:tcPr>
          <w:p>
            <w:pPr>
              <w:jc w:val="center"/>
              <w:ind w:left="39"/>
              <w:spacing w:after="0" w:line="149" w:lineRule="exact"/>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6"/>
                <w:szCs w:val="16"/>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Price Paid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Announced Plans or</w:t>
            </w:r>
          </w:p>
        </w:tc>
        <w:tc>
          <w:tcPr>
            <w:tcW w:w="300" w:type="dxa"/>
            <w:vAlign w:val="bottom"/>
          </w:tcPr>
          <w:p>
            <w:pPr>
              <w:spacing w:after="0"/>
              <w:rPr>
                <w:sz w:val="16"/>
                <w:szCs w:val="16"/>
                <w:color w:val="auto"/>
              </w:rPr>
            </w:pPr>
          </w:p>
        </w:tc>
        <w:tc>
          <w:tcPr>
            <w:tcW w:w="2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282"/>
        </w:trPr>
        <w:tc>
          <w:tcPr>
            <w:tcW w:w="3200" w:type="dxa"/>
            <w:vAlign w:val="bottom"/>
            <w:gridSpan w:val="3"/>
          </w:tcPr>
          <w:p>
            <w:pPr>
              <w:ind w:left="20"/>
              <w:spacing w:after="0"/>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24"/>
                <w:szCs w:val="2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per Share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the Plans or Programs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January 1 — 31 (a)</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158.98</w:t>
            </w:r>
          </w:p>
        </w:tc>
        <w:tc>
          <w:tcPr>
            <w:tcW w:w="2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1.50 billion</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February 1 — 28 (b)</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146.43</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880"/>
              <w:spacing w:after="0"/>
              <w:rPr>
                <w:sz w:val="20"/>
                <w:szCs w:val="20"/>
                <w:color w:val="auto"/>
              </w:rPr>
            </w:pPr>
            <w:r>
              <w:rPr>
                <w:rFonts w:ascii="Arial" w:cs="Arial" w:eastAsia="Arial" w:hAnsi="Arial"/>
                <w:sz w:val="18"/>
                <w:szCs w:val="18"/>
                <w:color w:val="auto"/>
              </w:rPr>
              <w:t>1.25 billion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 31</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6"/>
              </w:rPr>
              <w:t>1.25 billion (c)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149.49</w:t>
            </w:r>
          </w:p>
        </w:tc>
        <w:tc>
          <w:tcPr>
            <w:tcW w:w="2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80" w:right="79" w:hanging="330"/>
        <w:spacing w:after="0" w:line="279" w:lineRule="auto"/>
        <w:tabs>
          <w:tab w:leader="none" w:pos="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December 2021, we executed an accelerated share repurchase (“ASR”) to repurchase $350 million of our common stock. At the beginning of the repurchase period, we delivered $350 million in cash and received 1.7 million shares based on a stock price of $160.67. The ASR agreement completed in January 2022, at which time we received 0.4 million additional shares based on a final weighted average price of $160.33.</w:t>
      </w:r>
    </w:p>
    <w:p>
      <w:pPr>
        <w:spacing w:after="0" w:line="171" w:lineRule="exact"/>
        <w:rPr>
          <w:rFonts w:ascii="Arial" w:cs="Arial" w:eastAsia="Arial" w:hAnsi="Arial"/>
          <w:sz w:val="17"/>
          <w:szCs w:val="17"/>
          <w:color w:val="auto"/>
        </w:rPr>
      </w:pPr>
    </w:p>
    <w:p>
      <w:pPr>
        <w:jc w:val="both"/>
        <w:ind w:left="380" w:right="79" w:hanging="330"/>
        <w:spacing w:after="0" w:line="275" w:lineRule="auto"/>
        <w:tabs>
          <w:tab w:leader="none" w:pos="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February 2022, we executed an ASR agreement to repurchase $250 million of our common stock. At the beginning of the repurchase period, we delivered $250 million cash and received 1.4 million shares based on a stock price of $146.43. The final number of shares to be repurchased and the final average price per share under the ASR agreement will depend on the volume-weighted average price of our stock, less a discount, during the term of the agreement. Purchases under the ASR agreement are expected to be completed in April 2022.</w:t>
      </w:r>
    </w:p>
    <w:p>
      <w:pPr>
        <w:spacing w:after="0" w:line="176" w:lineRule="exact"/>
        <w:rPr>
          <w:rFonts w:ascii="Arial" w:cs="Arial" w:eastAsia="Arial" w:hAnsi="Arial"/>
          <w:sz w:val="17"/>
          <w:szCs w:val="17"/>
          <w:color w:val="auto"/>
        </w:rPr>
      </w:pPr>
    </w:p>
    <w:p>
      <w:pPr>
        <w:jc w:val="both"/>
        <w:ind w:left="380" w:right="79" w:hanging="330"/>
        <w:spacing w:after="0" w:line="301" w:lineRule="auto"/>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of March 31, 2022, the Company has authorization for $1.25 billion of future share repurchases.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b w:val="1"/>
          <w:bCs w:val="1"/>
          <w:i w:val="1"/>
          <w:iCs w:val="1"/>
          <w:color w:val="auto"/>
        </w:rPr>
        <w:t>Exhibits.</w:t>
      </w:r>
    </w:p>
    <w:p>
      <w:pPr>
        <w:spacing w:after="0" w:line="26" w:lineRule="exact"/>
        <w:rPr>
          <w:sz w:val="20"/>
          <w:szCs w:val="20"/>
          <w:color w:val="auto"/>
        </w:rPr>
      </w:pPr>
    </w:p>
    <w:p>
      <w:pPr>
        <w:ind w:left="60"/>
        <w:spacing w:after="0"/>
        <w:tabs>
          <w:tab w:leader="none" w:pos="46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1270</wp:posOffset>
            </wp:positionV>
            <wp:extent cx="49206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20615" cy="8890"/>
                    </a:xfrm>
                    <a:prstGeom prst="rect">
                      <a:avLst/>
                    </a:prstGeom>
                    <a:noFill/>
                  </pic:spPr>
                </pic:pic>
              </a:graphicData>
            </a:graphic>
          </wp:anchor>
        </w:drawing>
      </w:r>
    </w:p>
    <w:p>
      <w:pPr>
        <w:spacing w:after="0" w:line="8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7740" w:type="dxa"/>
            <w:vAlign w:val="bottom"/>
            <w:tcBorders>
              <w:bottom w:val="single" w:sz="8" w:color="0000EE"/>
            </w:tcBorders>
            <w:gridSpan w:val="9"/>
          </w:tcPr>
          <w:p>
            <w:pPr>
              <w:spacing w:after="0"/>
              <w:rPr>
                <w:rFonts w:ascii="Arial" w:cs="Arial" w:eastAsia="Arial" w:hAnsi="Arial"/>
                <w:sz w:val="18"/>
                <w:szCs w:val="18"/>
                <w:color w:val="0000EE"/>
                <w:w w:val="99"/>
              </w:rPr>
            </w:pPr>
            <w:hyperlink r:id="rId53">
              <w:r>
                <w:rPr>
                  <w:rFonts w:ascii="Arial" w:cs="Arial" w:eastAsia="Arial" w:hAnsi="Arial"/>
                  <w:sz w:val="18"/>
                  <w:szCs w:val="18"/>
                  <w:color w:val="0000EE"/>
                  <w:w w:val="99"/>
                </w:rPr>
                <w:t>Form of 2022 Long Term Incentive Compensation Award Agreement for Senior Leadership Team</w:t>
              </w:r>
            </w:hyperlink>
          </w:p>
        </w:tc>
      </w:tr>
      <w:tr>
        <w:trPr>
          <w:trHeight w:val="196"/>
        </w:trPr>
        <w:tc>
          <w:tcPr>
            <w:tcW w:w="1140" w:type="dxa"/>
            <w:vAlign w:val="bottom"/>
          </w:tcPr>
          <w:p>
            <w:pPr>
              <w:spacing w:after="0"/>
              <w:rPr>
                <w:sz w:val="17"/>
                <w:szCs w:val="17"/>
                <w:color w:val="auto"/>
              </w:rPr>
            </w:pPr>
          </w:p>
        </w:tc>
        <w:tc>
          <w:tcPr>
            <w:tcW w:w="7740" w:type="dxa"/>
            <w:vAlign w:val="bottom"/>
            <w:gridSpan w:val="9"/>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[Incorporated by reference to Exhibit 10.1 to Form 8-K filed March 7, 2022].</w:t>
              </w:r>
            </w:hyperlink>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w:t>
            </w:r>
          </w:p>
        </w:tc>
        <w:tc>
          <w:tcPr>
            <w:tcW w:w="7740" w:type="dxa"/>
            <w:vAlign w:val="bottom"/>
            <w:tcBorders>
              <w:bottom w:val="single" w:sz="8" w:color="0000EE"/>
            </w:tcBorders>
            <w:gridSpan w:val="9"/>
          </w:tcPr>
          <w:p>
            <w:pPr>
              <w:spacing w:after="0"/>
              <w:rPr>
                <w:rFonts w:ascii="Arial" w:cs="Arial" w:eastAsia="Arial" w:hAnsi="Arial"/>
                <w:sz w:val="18"/>
                <w:szCs w:val="18"/>
                <w:color w:val="0000EE"/>
                <w:w w:val="95"/>
              </w:rPr>
            </w:pPr>
            <w:hyperlink r:id="rId54">
              <w:r>
                <w:rPr>
                  <w:rFonts w:ascii="Arial" w:cs="Arial" w:eastAsia="Arial" w:hAnsi="Arial"/>
                  <w:sz w:val="18"/>
                  <w:szCs w:val="18"/>
                  <w:color w:val="0000EE"/>
                  <w:w w:val="95"/>
                </w:rPr>
                <w:t>Form of 2022 Long Term Incentive Compensation Award Agreement for RSU Award [Incorporated by</w:t>
              </w:r>
            </w:hyperlink>
          </w:p>
        </w:tc>
      </w:tr>
      <w:tr>
        <w:trPr>
          <w:trHeight w:val="196"/>
        </w:trPr>
        <w:tc>
          <w:tcPr>
            <w:tcW w:w="1140" w:type="dxa"/>
            <w:vAlign w:val="bottom"/>
          </w:tcPr>
          <w:p>
            <w:pPr>
              <w:spacing w:after="0"/>
              <w:rPr>
                <w:sz w:val="17"/>
                <w:szCs w:val="17"/>
                <w:color w:val="auto"/>
              </w:rPr>
            </w:pPr>
          </w:p>
        </w:tc>
        <w:tc>
          <w:tcPr>
            <w:tcW w:w="43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54">
              <w:r>
                <w:rPr>
                  <w:rFonts w:ascii="Arial" w:cs="Arial" w:eastAsia="Arial" w:hAnsi="Arial"/>
                  <w:sz w:val="18"/>
                  <w:szCs w:val="18"/>
                  <w:color w:val="0000EE"/>
                  <w:w w:val="92"/>
                </w:rPr>
                <w:t>reference to Exhibit 10.2 to Form 8-K filed March 7, 2022].</w:t>
              </w:r>
            </w:hyperlink>
          </w:p>
        </w:tc>
        <w:tc>
          <w:tcPr>
            <w:tcW w:w="3420" w:type="dxa"/>
            <w:vAlign w:val="bottom"/>
            <w:gridSpan w:val="4"/>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22.1*</w:t>
            </w:r>
          </w:p>
        </w:tc>
        <w:tc>
          <w:tcPr>
            <w:tcW w:w="7740" w:type="dxa"/>
            <w:vAlign w:val="bottom"/>
            <w:gridSpan w:val="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Guarantor Subsidiary.</w:t>
              </w:r>
            </w:hyperlink>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77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42">
              <w:r>
                <w:rPr>
                  <w:rFonts w:ascii="Arial" w:cs="Arial" w:eastAsia="Arial" w:hAnsi="Arial"/>
                  <w:sz w:val="18"/>
                  <w:szCs w:val="18"/>
                  <w:color w:val="0000EE"/>
                  <w:w w:val="95"/>
                </w:rPr>
                <w:t>Certification Pursuant to Rules 13a-14(a) and 15d-14(a) under the Securities Exchange Act of 1934 of</w:t>
              </w:r>
            </w:hyperlink>
          </w:p>
        </w:tc>
      </w:tr>
      <w:tr>
        <w:trPr>
          <w:trHeight w:val="196"/>
        </w:trPr>
        <w:tc>
          <w:tcPr>
            <w:tcW w:w="1140" w:type="dxa"/>
            <w:vAlign w:val="bottom"/>
          </w:tcPr>
          <w:p>
            <w:pPr>
              <w:spacing w:after="0"/>
              <w:rPr>
                <w:sz w:val="17"/>
                <w:szCs w:val="17"/>
                <w:color w:val="auto"/>
              </w:rPr>
            </w:pPr>
          </w:p>
        </w:tc>
        <w:tc>
          <w:tcPr>
            <w:tcW w:w="41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James C. Fish, Jr., President and Chief Executive Officer.</w:t>
              </w:r>
            </w:hyperlink>
          </w:p>
        </w:tc>
        <w:tc>
          <w:tcPr>
            <w:tcW w:w="3600" w:type="dxa"/>
            <w:vAlign w:val="bottom"/>
            <w:gridSpan w:val="5"/>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77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43">
              <w:r>
                <w:rPr>
                  <w:rFonts w:ascii="Arial" w:cs="Arial" w:eastAsia="Arial" w:hAnsi="Arial"/>
                  <w:sz w:val="18"/>
                  <w:szCs w:val="18"/>
                  <w:color w:val="0000EE"/>
                  <w:w w:val="95"/>
                </w:rPr>
                <w:t>Certification Pursuant to Rules 13a-14(a) and 15d-14(a) under the Securities Exchange Act of 1934 of</w:t>
              </w:r>
            </w:hyperlink>
          </w:p>
        </w:tc>
      </w:tr>
      <w:tr>
        <w:trPr>
          <w:trHeight w:val="196"/>
        </w:trPr>
        <w:tc>
          <w:tcPr>
            <w:tcW w:w="1140" w:type="dxa"/>
            <w:vAlign w:val="bottom"/>
          </w:tcPr>
          <w:p>
            <w:pPr>
              <w:spacing w:after="0"/>
              <w:rPr>
                <w:sz w:val="17"/>
                <w:szCs w:val="17"/>
                <w:color w:val="auto"/>
              </w:rPr>
            </w:pPr>
          </w:p>
        </w:tc>
        <w:tc>
          <w:tcPr>
            <w:tcW w:w="7740" w:type="dxa"/>
            <w:vAlign w:val="bottom"/>
            <w:gridSpan w:val="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Devina A. Rankin, Executive Vice President and Chief Financial Officer.</w:t>
              </w:r>
            </w:hyperlink>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74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Certification Pursuant to 18 U.S.C. §1350 of James C. Fish, Jr., President and Chief Executive Officer.</w:t>
              </w:r>
            </w:hyperlink>
          </w:p>
        </w:tc>
        <w:tc>
          <w:tcPr>
            <w:tcW w:w="340" w:type="dxa"/>
            <w:vAlign w:val="bottom"/>
          </w:tcPr>
          <w:p>
            <w:pPr>
              <w:spacing w:after="0"/>
              <w:rPr>
                <w:sz w:val="24"/>
                <w:szCs w:val="24"/>
                <w:color w:val="auto"/>
              </w:rPr>
            </w:pPr>
          </w:p>
        </w:tc>
      </w:tr>
      <w:tr>
        <w:trPr>
          <w:trHeight w:val="317"/>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7740" w:type="dxa"/>
            <w:vAlign w:val="bottom"/>
            <w:tcBorders>
              <w:bottom w:val="single" w:sz="8" w:color="0000EE"/>
            </w:tcBorders>
            <w:gridSpan w:val="9"/>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Certification Pursuant to 18 U.S.C. §1350 of Devina A. Rankin, Executive Vice President and Chief</w:t>
              </w:r>
            </w:hyperlink>
          </w:p>
        </w:tc>
      </w:tr>
      <w:tr>
        <w:trPr>
          <w:trHeight w:val="196"/>
        </w:trPr>
        <w:tc>
          <w:tcPr>
            <w:tcW w:w="1140" w:type="dxa"/>
            <w:vAlign w:val="bottom"/>
          </w:tcPr>
          <w:p>
            <w:pPr>
              <w:spacing w:after="0"/>
              <w:rPr>
                <w:sz w:val="17"/>
                <w:szCs w:val="17"/>
                <w:color w:val="auto"/>
              </w:rPr>
            </w:pPr>
          </w:p>
        </w:tc>
        <w:tc>
          <w:tcPr>
            <w:tcW w:w="7740" w:type="dxa"/>
            <w:vAlign w:val="bottom"/>
            <w:gridSpan w:val="9"/>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Financial Officer.</w:t>
              </w:r>
            </w:hyperlink>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95*</w:t>
            </w:r>
          </w:p>
        </w:tc>
        <w:tc>
          <w:tcPr>
            <w:tcW w:w="18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Mine Safety Disclosures.</w:t>
              </w:r>
            </w:hyperlink>
          </w:p>
        </w:tc>
        <w:tc>
          <w:tcPr>
            <w:tcW w:w="5920" w:type="dxa"/>
            <w:vAlign w:val="bottom"/>
            <w:gridSpan w:val="6"/>
          </w:tcPr>
          <w:p>
            <w:pPr>
              <w:spacing w:after="0"/>
              <w:rPr>
                <w:sz w:val="24"/>
                <w:szCs w:val="24"/>
                <w:color w:val="auto"/>
              </w:rPr>
            </w:pPr>
          </w:p>
        </w:tc>
      </w:tr>
      <w:tr>
        <w:trPr>
          <w:trHeight w:val="358"/>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7740" w:type="dxa"/>
            <w:vAlign w:val="bottom"/>
            <w:gridSpan w:val="9"/>
          </w:tcPr>
          <w:p>
            <w:pPr>
              <w:spacing w:after="0"/>
              <w:rPr>
                <w:sz w:val="20"/>
                <w:szCs w:val="20"/>
                <w:color w:val="auto"/>
              </w:rPr>
            </w:pPr>
            <w:r>
              <w:rPr>
                <w:rFonts w:ascii="Arial" w:cs="Arial" w:eastAsia="Arial" w:hAnsi="Arial"/>
                <w:sz w:val="18"/>
                <w:szCs w:val="18"/>
                <w:color w:val="auto"/>
              </w:rPr>
              <w:t>Inline XBRL Instance.</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774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774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7740" w:type="dxa"/>
            <w:vAlign w:val="bottom"/>
            <w:gridSpan w:val="9"/>
          </w:tcPr>
          <w:p>
            <w:pPr>
              <w:spacing w:after="0"/>
              <w:rPr>
                <w:sz w:val="20"/>
                <w:szCs w:val="20"/>
                <w:color w:val="auto"/>
              </w:rPr>
            </w:pPr>
            <w:r>
              <w:rPr>
                <w:rFonts w:ascii="Arial" w:cs="Arial" w:eastAsia="Arial" w:hAnsi="Arial"/>
                <w:sz w:val="18"/>
                <w:szCs w:val="18"/>
                <w:color w:val="auto"/>
              </w:rPr>
              <w:t>Inline XBRL Taxonomy Extension Labels.</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774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774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w:t>
            </w:r>
          </w:p>
        </w:tc>
      </w:tr>
      <w:tr>
        <w:trPr>
          <w:trHeight w:val="337"/>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774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77470</wp:posOffset>
            </wp:positionV>
            <wp:extent cx="14141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1" w:lineRule="exact"/>
        <w:rPr>
          <w:sz w:val="20"/>
          <w:szCs w:val="20"/>
          <w:color w:val="auto"/>
        </w:rPr>
      </w:pPr>
    </w:p>
    <w:p>
      <w:pPr>
        <w:ind w:left="280" w:hanging="230"/>
        <w:spacing w:after="0"/>
        <w:tabs>
          <w:tab w:leader="none" w:pos="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Filed herewith.</w:t>
      </w:r>
    </w:p>
    <w:p>
      <w:pPr>
        <w:ind w:left="60"/>
        <w:spacing w:after="0"/>
        <w:rPr>
          <w:sz w:val="20"/>
          <w:szCs w:val="20"/>
          <w:color w:val="auto"/>
        </w:rPr>
      </w:pPr>
      <w:r>
        <w:rPr>
          <w:rFonts w:ascii="Arial" w:cs="Arial" w:eastAsia="Arial" w:hAnsi="Arial"/>
          <w:sz w:val="13"/>
          <w:szCs w:val="13"/>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34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WASTE MANAGEMENT, INC.</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LESLIE K. NAGY</w:t>
            </w:r>
          </w:p>
        </w:tc>
      </w:tr>
      <w:tr>
        <w:trPr>
          <w:trHeight w:val="211"/>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4"/>
              </w:rPr>
              <w:t>Leslie K. Nagy</w:t>
            </w:r>
          </w:p>
        </w:tc>
      </w:tr>
    </w:tbl>
    <w:p>
      <w:pPr>
        <w:jc w:val="center"/>
        <w:ind w:left="4840"/>
        <w:spacing w:after="0"/>
        <w:rPr>
          <w:sz w:val="20"/>
          <w:szCs w:val="20"/>
          <w:color w:val="auto"/>
        </w:rPr>
      </w:pPr>
      <w:r>
        <w:rPr>
          <w:rFonts w:ascii="Arial" w:cs="Arial" w:eastAsia="Arial" w:hAnsi="Arial"/>
          <w:sz w:val="18"/>
          <w:szCs w:val="18"/>
          <w:i w:val="1"/>
          <w:iCs w:val="1"/>
          <w:color w:val="auto"/>
        </w:rPr>
        <w:t>Vice President and</w:t>
      </w:r>
    </w:p>
    <w:p>
      <w:pPr>
        <w:spacing w:after="0" w:line="7" w:lineRule="exact"/>
        <w:rPr>
          <w:sz w:val="20"/>
          <w:szCs w:val="20"/>
          <w:color w:val="auto"/>
        </w:rPr>
      </w:pPr>
    </w:p>
    <w:p>
      <w:pPr>
        <w:jc w:val="center"/>
        <w:ind w:left="48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484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26,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GUARANTOR SUBSIDIARY</w:t>
      </w:r>
    </w:p>
    <w:p>
      <w:pPr>
        <w:spacing w:after="0" w:line="20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March 31, 2022,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8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7"/>
              </w:rPr>
              <w:t>Principal</w:t>
            </w:r>
          </w:p>
        </w:tc>
        <w:tc>
          <w:tcPr>
            <w:tcW w:w="26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Interest Rate</w:t>
            </w:r>
          </w:p>
        </w:tc>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38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94"/>
              </w:rPr>
              <w:t>Amount</w:t>
            </w:r>
          </w:p>
        </w:tc>
        <w:tc>
          <w:tcPr>
            <w:tcW w:w="2680" w:type="dxa"/>
            <w:vAlign w:val="bottom"/>
            <w:gridSpan w:val="2"/>
            <w:vMerge w:val="continue"/>
          </w:tcPr>
          <w:p>
            <w:pPr>
              <w:spacing w:after="0"/>
              <w:rPr>
                <w:sz w:val="12"/>
                <w:szCs w:val="12"/>
                <w:color w:val="auto"/>
              </w:rPr>
            </w:pPr>
          </w:p>
        </w:tc>
        <w:tc>
          <w:tcPr>
            <w:tcW w:w="18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Issue Date</w:t>
            </w:r>
          </w:p>
        </w:tc>
        <w:tc>
          <w:tcPr>
            <w:tcW w:w="860" w:type="dxa"/>
            <w:vAlign w:val="bottom"/>
            <w:vMerge w:val="restart"/>
          </w:tcPr>
          <w:p>
            <w:pPr>
              <w:spacing w:after="0"/>
              <w:rPr>
                <w:sz w:val="12"/>
                <w:szCs w:val="12"/>
                <w:color w:val="auto"/>
              </w:rPr>
            </w:pPr>
          </w:p>
        </w:tc>
        <w:tc>
          <w:tcPr>
            <w:tcW w:w="18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5"/>
              </w:rPr>
              <w:t>Issued</w:t>
            </w:r>
          </w:p>
        </w:tc>
        <w:tc>
          <w:tcPr>
            <w:tcW w:w="8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(per annum)</w:t>
            </w:r>
          </w:p>
        </w:tc>
        <w:tc>
          <w:tcPr>
            <w:tcW w:w="8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CCEEFF"/>
            </w:tcBorders>
            <w:vMerge w:val="continue"/>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million</w:t>
            </w:r>
          </w:p>
        </w:tc>
        <w:tc>
          <w:tcPr>
            <w:tcW w:w="8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7/17/1998</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250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7.375%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1/21/2000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7.75%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1/3/2003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600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6.125%</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11/17/2009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9/12/2012</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9/15/2022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350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3.50%</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5/8/2014</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5/15/2024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3.125%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450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3.90%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3/1/2035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4.10%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3/1/2045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2.40%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5/16/2016</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5/15/2023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11/8/2017</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11/15/2027</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1 billion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4.15%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7/15/2049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0.75%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11/15/2025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1.15%</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3/15/2028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3/15/2031</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2.50%</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11/15/2050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475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5/12/2021</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6/1/2029</w:t>
            </w:r>
          </w:p>
        </w:tc>
        <w:tc>
          <w:tcPr>
            <w:tcW w:w="0" w:type="dxa"/>
            <w:vAlign w:val="bottom"/>
          </w:tcPr>
          <w:p>
            <w:pPr>
              <w:spacing w:after="0"/>
              <w:rPr>
                <w:sz w:val="1"/>
                <w:szCs w:val="1"/>
                <w:color w:val="auto"/>
              </w:rPr>
            </w:pPr>
          </w:p>
        </w:tc>
      </w:tr>
      <w:tr>
        <w:trPr>
          <w:trHeight w:val="23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475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2.95%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5/12/2021</w:t>
            </w:r>
          </w:p>
        </w:tc>
        <w:tc>
          <w:tcPr>
            <w:tcW w:w="8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6/1/2041</w:t>
            </w:r>
          </w:p>
        </w:tc>
        <w:tc>
          <w:tcPr>
            <w:tcW w:w="0" w:type="dxa"/>
            <w:vAlign w:val="bottom"/>
          </w:tcPr>
          <w:p>
            <w:pPr>
              <w:spacing w:after="0"/>
              <w:rPr>
                <w:sz w:val="1"/>
                <w:szCs w:val="1"/>
                <w:color w:val="auto"/>
              </w:rPr>
            </w:pPr>
          </w:p>
        </w:tc>
      </w:tr>
      <w:tr>
        <w:trPr>
          <w:trHeight w:val="749"/>
        </w:trPr>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41" w:name="page42"/>
    <w:bookmarkEnd w:id="41"/>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James C. Fish, Jr., certify that:</w:t>
      </w:r>
    </w:p>
    <w:p>
      <w:pPr>
        <w:spacing w:after="0" w:line="185" w:lineRule="exact"/>
        <w:rPr>
          <w:sz w:val="20"/>
          <w:szCs w:val="20"/>
          <w:color w:val="auto"/>
        </w:rPr>
      </w:pPr>
    </w:p>
    <w:p>
      <w:pPr>
        <w:ind w:left="760" w:hanging="269"/>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84" w:lineRule="exact"/>
        <w:rPr>
          <w:rFonts w:ascii="Arial" w:cs="Arial" w:eastAsia="Arial" w:hAnsi="Arial"/>
          <w:sz w:val="18"/>
          <w:szCs w:val="18"/>
          <w:color w:val="auto"/>
        </w:rPr>
      </w:pPr>
    </w:p>
    <w:p>
      <w:pPr>
        <w:jc w:val="both"/>
        <w:ind w:left="60" w:right="59" w:firstLine="431"/>
        <w:spacing w:after="0" w:line="263" w:lineRule="auto"/>
        <w:tabs>
          <w:tab w:leader="none" w:pos="75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jc w:val="both"/>
        <w:ind w:left="60" w:right="59" w:firstLine="431"/>
        <w:spacing w:after="0" w:line="263" w:lineRule="auto"/>
        <w:tabs>
          <w:tab w:leader="none" w:pos="6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60" w:right="59" w:firstLine="431"/>
        <w:spacing w:after="0" w:line="286" w:lineRule="auto"/>
        <w:tabs>
          <w:tab w:leader="none" w:pos="721"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4" w:lineRule="exact"/>
        <w:rPr>
          <w:rFonts w:ascii="Arial" w:cs="Arial" w:eastAsia="Arial" w:hAnsi="Arial"/>
          <w:sz w:val="17"/>
          <w:szCs w:val="17"/>
          <w:color w:val="auto"/>
        </w:rPr>
      </w:pPr>
    </w:p>
    <w:p>
      <w:pPr>
        <w:jc w:val="both"/>
        <w:ind w:left="500" w:right="59" w:firstLine="431"/>
        <w:spacing w:after="0" w:line="259" w:lineRule="auto"/>
        <w:tabs>
          <w:tab w:leader="none" w:pos="123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500" w:right="59" w:firstLine="431"/>
        <w:spacing w:after="0" w:line="259" w:lineRule="auto"/>
        <w:tabs>
          <w:tab w:leader="none" w:pos="129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500" w:right="79" w:firstLine="431"/>
        <w:spacing w:after="0" w:line="263" w:lineRule="auto"/>
        <w:tabs>
          <w:tab w:leader="none" w:pos="1283"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left="500" w:right="59" w:firstLine="431"/>
        <w:spacing w:after="0" w:line="259" w:lineRule="auto"/>
        <w:tabs>
          <w:tab w:leader="none" w:pos="1242"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60" w:right="79" w:firstLine="431"/>
        <w:spacing w:after="0" w:line="263" w:lineRule="auto"/>
        <w:tabs>
          <w:tab w:leader="none" w:pos="75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rFonts w:ascii="Arial" w:cs="Arial" w:eastAsia="Arial" w:hAnsi="Arial"/>
          <w:sz w:val="18"/>
          <w:szCs w:val="18"/>
          <w:color w:val="auto"/>
        </w:rPr>
      </w:pPr>
    </w:p>
    <w:p>
      <w:pPr>
        <w:jc w:val="both"/>
        <w:ind w:left="500" w:right="59" w:firstLine="431"/>
        <w:spacing w:after="0" w:line="263" w:lineRule="auto"/>
        <w:tabs>
          <w:tab w:leader="none" w:pos="125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500" w:right="79" w:firstLine="431"/>
        <w:spacing w:after="0" w:line="277" w:lineRule="auto"/>
        <w:tabs>
          <w:tab w:leader="none" w:pos="12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JAMES C. FISH, JR.</w:t>
            </w:r>
          </w:p>
        </w:tc>
      </w:tr>
      <w:tr>
        <w:trPr>
          <w:trHeight w:val="195"/>
        </w:trPr>
        <w:tc>
          <w:tcPr>
            <w:tcW w:w="360" w:type="dxa"/>
            <w:vAlign w:val="bottom"/>
          </w:tcPr>
          <w:p>
            <w:pPr>
              <w:spacing w:after="0"/>
              <w:rPr>
                <w:sz w:val="16"/>
                <w:szCs w:val="16"/>
                <w:color w:val="auto"/>
              </w:rPr>
            </w:pPr>
          </w:p>
        </w:tc>
        <w:tc>
          <w:tcPr>
            <w:tcW w:w="406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6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42" w:name="page43"/>
    <w:bookmarkEnd w:id="42"/>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Devina A. Rankin, certify that:</w:t>
      </w:r>
    </w:p>
    <w:p>
      <w:pPr>
        <w:spacing w:after="0" w:line="185" w:lineRule="exact"/>
        <w:rPr>
          <w:sz w:val="20"/>
          <w:szCs w:val="20"/>
          <w:color w:val="auto"/>
        </w:rPr>
      </w:pPr>
    </w:p>
    <w:p>
      <w:pPr>
        <w:ind w:left="760" w:hanging="269"/>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84" w:lineRule="exact"/>
        <w:rPr>
          <w:rFonts w:ascii="Arial" w:cs="Arial" w:eastAsia="Arial" w:hAnsi="Arial"/>
          <w:sz w:val="18"/>
          <w:szCs w:val="18"/>
          <w:color w:val="auto"/>
        </w:rPr>
      </w:pPr>
    </w:p>
    <w:p>
      <w:pPr>
        <w:jc w:val="both"/>
        <w:ind w:left="60" w:right="59" w:firstLine="431"/>
        <w:spacing w:after="0" w:line="263" w:lineRule="auto"/>
        <w:tabs>
          <w:tab w:leader="none" w:pos="7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jc w:val="both"/>
        <w:ind w:left="60" w:right="59" w:firstLine="431"/>
        <w:spacing w:after="0" w:line="263" w:lineRule="auto"/>
        <w:tabs>
          <w:tab w:leader="none" w:pos="6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60" w:right="59" w:firstLine="431"/>
        <w:spacing w:after="0" w:line="286" w:lineRule="auto"/>
        <w:tabs>
          <w:tab w:leader="none" w:pos="72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4" w:lineRule="exact"/>
        <w:rPr>
          <w:rFonts w:ascii="Arial" w:cs="Arial" w:eastAsia="Arial" w:hAnsi="Arial"/>
          <w:sz w:val="17"/>
          <w:szCs w:val="17"/>
          <w:color w:val="auto"/>
        </w:rPr>
      </w:pPr>
    </w:p>
    <w:p>
      <w:pPr>
        <w:jc w:val="both"/>
        <w:ind w:left="500" w:right="59" w:firstLine="431"/>
        <w:spacing w:after="0" w:line="259" w:lineRule="auto"/>
        <w:tabs>
          <w:tab w:leader="none" w:pos="123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500" w:right="59" w:firstLine="431"/>
        <w:spacing w:after="0" w:line="259" w:lineRule="auto"/>
        <w:tabs>
          <w:tab w:leader="none" w:pos="129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500" w:right="79" w:firstLine="431"/>
        <w:spacing w:after="0" w:line="263" w:lineRule="auto"/>
        <w:tabs>
          <w:tab w:leader="none" w:pos="1283"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left="500" w:right="59" w:firstLine="431"/>
        <w:spacing w:after="0" w:line="259" w:lineRule="auto"/>
        <w:tabs>
          <w:tab w:leader="none" w:pos="1242"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60" w:right="79" w:firstLine="431"/>
        <w:spacing w:after="0" w:line="263" w:lineRule="auto"/>
        <w:tabs>
          <w:tab w:leader="none" w:pos="75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rFonts w:ascii="Arial" w:cs="Arial" w:eastAsia="Arial" w:hAnsi="Arial"/>
          <w:sz w:val="18"/>
          <w:szCs w:val="18"/>
          <w:color w:val="auto"/>
        </w:rPr>
      </w:pPr>
    </w:p>
    <w:p>
      <w:pPr>
        <w:jc w:val="both"/>
        <w:ind w:left="500" w:right="59" w:firstLine="431"/>
        <w:spacing w:after="0" w:line="263" w:lineRule="auto"/>
        <w:tabs>
          <w:tab w:leader="none" w:pos="1259"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500" w:right="79" w:firstLine="431"/>
        <w:spacing w:after="0" w:line="277" w:lineRule="auto"/>
        <w:tabs>
          <w:tab w:leader="none" w:pos="12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80" w:type="dxa"/>
            <w:vAlign w:val="bottom"/>
          </w:tcPr>
          <w:p>
            <w:pPr>
              <w:spacing w:after="0"/>
              <w:rPr>
                <w:sz w:val="16"/>
                <w:szCs w:val="16"/>
                <w:color w:val="auto"/>
              </w:rPr>
            </w:pPr>
          </w:p>
        </w:tc>
        <w:tc>
          <w:tcPr>
            <w:tcW w:w="406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16"/>
        </w:trPr>
        <w:tc>
          <w:tcPr>
            <w:tcW w:w="38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30"/>
        </w:trPr>
        <w:tc>
          <w:tcPr>
            <w:tcW w:w="38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 w:name="page44"/>
    <w:bookmarkEnd w:id="43"/>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2022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7" w:lineRule="exact"/>
        <w:rPr>
          <w:sz w:val="20"/>
          <w:szCs w:val="20"/>
          <w:color w:val="auto"/>
        </w:rPr>
      </w:pPr>
    </w:p>
    <w:p>
      <w:pPr>
        <w:ind w:left="500" w:right="59" w:firstLine="431"/>
        <w:spacing w:after="0" w:line="277" w:lineRule="auto"/>
        <w:tabs>
          <w:tab w:leader="none" w:pos="12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500" w:right="79" w:firstLine="431"/>
        <w:spacing w:after="0" w:line="277" w:lineRule="auto"/>
        <w:tabs>
          <w:tab w:leader="none" w:pos="119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JAMES C. FISH, JR.</w:t>
            </w:r>
          </w:p>
        </w:tc>
      </w:tr>
      <w:tr>
        <w:trPr>
          <w:trHeight w:val="195"/>
        </w:trPr>
        <w:tc>
          <w:tcPr>
            <w:tcW w:w="3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April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44" w:name="page45"/>
    <w:bookmarkEnd w:id="44"/>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2022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7" w:lineRule="exact"/>
        <w:rPr>
          <w:sz w:val="20"/>
          <w:szCs w:val="20"/>
          <w:color w:val="auto"/>
        </w:rPr>
      </w:pPr>
    </w:p>
    <w:p>
      <w:pPr>
        <w:ind w:left="500" w:right="59" w:firstLine="431"/>
        <w:spacing w:after="0" w:line="277" w:lineRule="auto"/>
        <w:tabs>
          <w:tab w:leader="none" w:pos="12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500" w:right="79" w:firstLine="431"/>
        <w:spacing w:after="0" w:line="277" w:lineRule="auto"/>
        <w:tabs>
          <w:tab w:leader="none" w:pos="119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00" w:type="dxa"/>
            <w:vAlign w:val="bottom"/>
          </w:tcPr>
          <w:p>
            <w:pPr>
              <w:spacing w:after="0"/>
              <w:rPr>
                <w:sz w:val="16"/>
                <w:szCs w:val="16"/>
                <w:color w:val="auto"/>
              </w:rPr>
            </w:pPr>
          </w:p>
        </w:tc>
        <w:tc>
          <w:tcPr>
            <w:tcW w:w="4140" w:type="dxa"/>
            <w:vAlign w:val="bottom"/>
          </w:tcPr>
          <w:p>
            <w:pPr>
              <w:ind w:left="1480"/>
              <w:spacing w:after="0" w:line="195" w:lineRule="exact"/>
              <w:rPr>
                <w:sz w:val="20"/>
                <w:szCs w:val="20"/>
                <w:color w:val="auto"/>
              </w:rPr>
            </w:pPr>
            <w:r>
              <w:rPr>
                <w:rFonts w:ascii="Arial" w:cs="Arial" w:eastAsia="Arial" w:hAnsi="Arial"/>
                <w:sz w:val="18"/>
                <w:szCs w:val="18"/>
                <w:color w:val="auto"/>
              </w:rPr>
              <w:t>Devina A. Rankin</w:t>
            </w:r>
          </w:p>
        </w:tc>
      </w:tr>
      <w:tr>
        <w:trPr>
          <w:trHeight w:val="216"/>
        </w:trPr>
        <w:tc>
          <w:tcPr>
            <w:tcW w:w="30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30"/>
        </w:trPr>
        <w:tc>
          <w:tcPr>
            <w:tcW w:w="30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April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 w:name="page46"/>
    <w:bookmarkEnd w:id="45"/>
    <w:p>
      <w:pPr>
        <w:jc w:val="right"/>
        <w:ind w:right="59"/>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65"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During the quarter ended March 31, 2022,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92"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In addition, during the quarter ended March 31, 2022,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2"/>
    </w:lvl>
  </w:abstractNum>
  <w:abstractNum w:abstractNumId="3">
    <w:nsid w:val="628C895D"/>
    <w:multiLevelType w:val="hybridMultilevel"/>
    <w:lvl w:ilvl="0">
      <w:lvlJc w:val="left"/>
      <w:lvlText w:val="(%1)"/>
      <w:numFmt w:val="lowerLetter"/>
      <w:start w:val="1"/>
    </w:lvl>
  </w:abstractNum>
  <w:abstractNum w:abstractNumId="4">
    <w:nsid w:val="333AB105"/>
    <w:multiLevelType w:val="hybridMultilevel"/>
    <w:lvl w:ilvl="0">
      <w:lvlJc w:val="left"/>
      <w:lvlText w:val="%1."/>
      <w:numFmt w:val="decimal"/>
      <w:start w:val="3"/>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lowerRoman"/>
      <w:start w:val="1"/>
    </w:lvl>
  </w:abstractNum>
  <w:abstractNum w:abstractNumId="7">
    <w:nsid w:val="2D1D5AE9"/>
    <w:multiLevelType w:val="hybridMultilevel"/>
    <w:lvl w:ilvl="0">
      <w:lvlJc w:val="left"/>
      <w:lvlText w:val="%1."/>
      <w:numFmt w:val="decimal"/>
      <w:start w:val="4"/>
    </w:lvl>
  </w:abstractNum>
  <w:abstractNum w:abstractNumId="8">
    <w:nsid w:val="6763845E"/>
    <w:multiLevelType w:val="hybridMultilevel"/>
    <w:lvl w:ilvl="0">
      <w:lvlJc w:val="left"/>
      <w:lvlText w:val="%1."/>
      <w:numFmt w:val="decimal"/>
      <w:start w:val="5"/>
    </w:lvl>
  </w:abstractNum>
  <w:abstractNum w:abstractNumId="9">
    <w:nsid w:val="75A2A8D4"/>
    <w:multiLevelType w:val="hybridMultilevel"/>
    <w:lvl w:ilvl="0">
      <w:lvlJc w:val="left"/>
      <w:lvlText w:val="%1."/>
      <w:numFmt w:val="decimal"/>
      <w:start w:val="6"/>
    </w:lvl>
  </w:abstractNum>
  <w:abstractNum w:abstractNumId="10">
    <w:nsid w:val="8EDBDAB"/>
    <w:multiLevelType w:val="hybridMultilevel"/>
    <w:lvl w:ilvl="0">
      <w:lvlJc w:val="left"/>
      <w:lvlText w:val="%1."/>
      <w:numFmt w:val="decimal"/>
      <w:start w:val="7"/>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1)"/>
      <w:numFmt w:val="lowerLetter"/>
      <w:start w:val="4"/>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
      <w:numFmt w:val="bullet"/>
      <w:start w:val="1"/>
    </w:lvl>
    <w:lvl w:ilvl="1">
      <w:lvlJc w:val="left"/>
      <w:lvlText w:val="(%2)"/>
      <w:numFmt w:val="lowerRoman"/>
      <w:start w:val="2"/>
    </w:lvl>
  </w:abstractNum>
  <w:abstractNum w:abstractNumId="16">
    <w:nsid w:val="71F32454"/>
    <w:multiLevelType w:val="hybridMultilevel"/>
    <w:lvl w:ilvl="0">
      <w:lvlJc w:val="left"/>
      <w:lvlText w:val="●"/>
      <w:numFmt w:val="bullet"/>
      <w:start w:val="1"/>
    </w:lvl>
    <w:lvl w:ilvl="1">
      <w:lvlJc w:val="left"/>
      <w:lvlText w:val="(%2)"/>
      <w:numFmt w:val="lowerRoman"/>
      <w:start w:val="5"/>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lowerLetter"/>
      <w:start w:val="2"/>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lowerRoman"/>
      <w:start w:val="1"/>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Roman"/>
      <w:start w:val="1"/>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53" Type="http://schemas.openxmlformats.org/officeDocument/2006/relationships/hyperlink" Target="https://www.sec.gov/Archives/edgar/data/0000823768/000110465922030973/tm228341d1_ex10-1.htm" TargetMode="External"/><Relationship Id="rId54" Type="http://schemas.openxmlformats.org/officeDocument/2006/relationships/hyperlink" Target="https://www.sec.gov/Archives/edgar/data/0000823768/000110465922030973/tm228341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2022-04-26T15:31:23Z</dcterms:created>
  <dcterms:modified xsi:type="dcterms:W3CDTF">2022-04-26T15:31:23Z</dcterms:modified>
</cp:coreProperties>
</file>