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26,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third quarter of 2021,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6835518. A replay of the call will be available on the Company’s website and by telephone until November 9, 2021. To access a replay telephonically, please dial (855) 859-2056 and use the replay conference ID number 6835518.</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391"/>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160" w:type="dxa"/>
            <w:vAlign w:val="bottom"/>
            <w:gridSpan w:val="3"/>
          </w:tcPr>
          <w:p>
            <w:pPr>
              <w:ind w:left="102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88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October 26,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 October 26, 2021</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4"/>
              </w:rPr>
              <w:t>Executive Vice President, Corporate Development and Chief Legal</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27" w:lineRule="exact"/>
        <w:rPr>
          <w:sz w:val="20"/>
          <w:szCs w:val="20"/>
          <w:color w:val="auto"/>
        </w:rPr>
      </w:pPr>
    </w:p>
    <w:p>
      <w:pPr>
        <w:ind w:left="1040"/>
        <w:spacing w:after="0"/>
        <w:rPr>
          <w:sz w:val="20"/>
          <w:szCs w:val="20"/>
          <w:color w:val="auto"/>
        </w:rPr>
      </w:pPr>
      <w:r>
        <w:rPr>
          <w:rFonts w:ascii="Arial" w:cs="Arial" w:eastAsia="Arial" w:hAnsi="Arial"/>
          <w:sz w:val="40"/>
          <w:szCs w:val="40"/>
          <w:color w:val="7AB800"/>
        </w:rPr>
        <w:t>WM Announces Third Quarter Earnings</w:t>
      </w:r>
    </w:p>
    <w:p>
      <w:pPr>
        <w:spacing w:after="0" w:line="337" w:lineRule="exact"/>
        <w:rPr>
          <w:sz w:val="20"/>
          <w:szCs w:val="20"/>
          <w:color w:val="auto"/>
        </w:rPr>
      </w:pPr>
    </w:p>
    <w:p>
      <w:pPr>
        <w:jc w:val="center"/>
        <w:ind w:left="20" w:right="80"/>
        <w:spacing w:after="0" w:line="238" w:lineRule="auto"/>
        <w:rPr>
          <w:sz w:val="20"/>
          <w:szCs w:val="20"/>
          <w:color w:val="auto"/>
        </w:rPr>
      </w:pPr>
      <w:r>
        <w:rPr>
          <w:rFonts w:ascii="Arial" w:cs="Arial" w:eastAsia="Arial" w:hAnsi="Arial"/>
          <w:sz w:val="22"/>
          <w:szCs w:val="22"/>
          <w:color w:val="auto"/>
        </w:rPr>
        <w:t>Strong Revenue Growth Leads to Double Digit Growth in Income from Operations, Net Cash Provided by Operating Activities, and Diluted EPS</w:t>
      </w:r>
    </w:p>
    <w:p>
      <w:pPr>
        <w:spacing w:after="0" w:line="200" w:lineRule="exact"/>
        <w:rPr>
          <w:sz w:val="20"/>
          <w:szCs w:val="20"/>
          <w:color w:val="auto"/>
        </w:rPr>
      </w:pP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HOUSTON — October 26, 2021 </w:t>
      </w:r>
      <w:r>
        <w:rPr>
          <w:rFonts w:ascii="Arial" w:cs="Arial" w:eastAsia="Arial" w:hAnsi="Arial"/>
          <w:sz w:val="18"/>
          <w:szCs w:val="18"/>
          <w:color w:val="auto"/>
        </w:rPr>
        <w:t>— Waste Management, Inc. (NYSE: WM) today announced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60" w:type="dxa"/>
            <w:vAlign w:val="bottom"/>
            <w:gridSpan w:val="5"/>
          </w:tcPr>
          <w:p>
            <w:pPr>
              <w:jc w:val="center"/>
              <w:ind w:right="640"/>
              <w:spacing w:after="0"/>
              <w:rPr>
                <w:sz w:val="20"/>
                <w:szCs w:val="20"/>
                <w:color w:val="auto"/>
              </w:rPr>
            </w:pPr>
            <w:r>
              <w:rPr>
                <w:rFonts w:ascii="Arial" w:cs="Arial" w:eastAsia="Arial" w:hAnsi="Arial"/>
                <w:sz w:val="16"/>
                <w:szCs w:val="16"/>
                <w:color w:val="auto"/>
              </w:rPr>
              <w:t>Three Months Ended</w:t>
            </w:r>
          </w:p>
        </w:tc>
        <w:tc>
          <w:tcPr>
            <w:tcW w:w="600" w:type="dxa"/>
            <w:vAlign w:val="bottom"/>
          </w:tcPr>
          <w:p>
            <w:pPr>
              <w:spacing w:after="0"/>
              <w:rPr>
                <w:sz w:val="16"/>
                <w:szCs w:val="16"/>
                <w:color w:val="auto"/>
              </w:rPr>
            </w:pPr>
          </w:p>
        </w:tc>
        <w:tc>
          <w:tcPr>
            <w:tcW w:w="2780" w:type="dxa"/>
            <w:vAlign w:val="bottom"/>
            <w:gridSpan w:val="6"/>
          </w:tcPr>
          <w:p>
            <w:pPr>
              <w:jc w:val="center"/>
              <w:spacing w:after="0"/>
              <w:rPr>
                <w:sz w:val="20"/>
                <w:szCs w:val="20"/>
                <w:color w:val="auto"/>
              </w:rPr>
            </w:pPr>
            <w:r>
              <w:rPr>
                <w:rFonts w:ascii="Arial" w:cs="Arial" w:eastAsia="Arial" w:hAnsi="Arial"/>
                <w:sz w:val="16"/>
                <w:szCs w:val="16"/>
                <w:color w:val="auto"/>
              </w:rPr>
              <w:t>Three Months Ended</w:t>
            </w:r>
          </w:p>
        </w:tc>
      </w:tr>
      <w:tr>
        <w:trPr>
          <w:trHeight w:val="169"/>
        </w:trPr>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6"/>
                <w:szCs w:val="16"/>
                <w:color w:val="auto"/>
              </w:rPr>
              <w:t>September 30, 2021</w:t>
            </w:r>
          </w:p>
        </w:tc>
        <w:tc>
          <w:tcPr>
            <w:tcW w:w="20" w:type="dxa"/>
            <w:vAlign w:val="bottom"/>
            <w:tcBorders>
              <w:top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Borders>
              <w:top w:val="single" w:sz="8" w:color="auto"/>
            </w:tcBorders>
            <w:gridSpan w:val="4"/>
          </w:tcPr>
          <w:p>
            <w:pPr>
              <w:jc w:val="center"/>
              <w:spacing w:after="0" w:line="169" w:lineRule="exact"/>
              <w:rPr>
                <w:sz w:val="20"/>
                <w:szCs w:val="20"/>
                <w:color w:val="auto"/>
              </w:rPr>
            </w:pPr>
            <w:r>
              <w:rPr>
                <w:rFonts w:ascii="Arial" w:cs="Arial" w:eastAsia="Arial" w:hAnsi="Arial"/>
                <w:sz w:val="16"/>
                <w:szCs w:val="16"/>
                <w:color w:val="auto"/>
              </w:rPr>
              <w:t>September 30, 2020</w:t>
            </w:r>
          </w:p>
        </w:tc>
        <w:tc>
          <w:tcPr>
            <w:tcW w:w="640" w:type="dxa"/>
            <w:vAlign w:val="bottom"/>
          </w:tcPr>
          <w:p>
            <w:pPr>
              <w:spacing w:after="0"/>
              <w:rPr>
                <w:sz w:val="14"/>
                <w:szCs w:val="14"/>
                <w:color w:val="auto"/>
              </w:rPr>
            </w:pPr>
          </w:p>
        </w:tc>
      </w:tr>
      <w:tr>
        <w:trPr>
          <w:trHeight w:val="20"/>
        </w:trPr>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r>
      <w:tr>
        <w:trPr>
          <w:trHeight w:val="169"/>
        </w:trPr>
        <w:tc>
          <w:tcPr>
            <w:tcW w:w="2200" w:type="dxa"/>
            <w:vAlign w:val="bottom"/>
          </w:tcPr>
          <w:p>
            <w:pPr>
              <w:spacing w:after="0"/>
              <w:rPr>
                <w:sz w:val="14"/>
                <w:szCs w:val="14"/>
                <w:color w:val="auto"/>
              </w:rPr>
            </w:pPr>
          </w:p>
        </w:tc>
        <w:tc>
          <w:tcPr>
            <w:tcW w:w="3100" w:type="dxa"/>
            <w:vAlign w:val="bottom"/>
            <w:gridSpan w:val="7"/>
          </w:tcPr>
          <w:p>
            <w:pPr>
              <w:jc w:val="center"/>
              <w:ind w:left="239"/>
              <w:spacing w:after="0" w:line="169" w:lineRule="exact"/>
              <w:rPr>
                <w:sz w:val="20"/>
                <w:szCs w:val="20"/>
                <w:color w:val="auto"/>
              </w:rPr>
            </w:pPr>
            <w:r>
              <w:rPr>
                <w:rFonts w:ascii="Arial" w:cs="Arial" w:eastAsia="Arial" w:hAnsi="Arial"/>
                <w:sz w:val="16"/>
                <w:szCs w:val="16"/>
                <w:color w:val="auto"/>
              </w:rPr>
              <w:t>(in millions, except per share amounts)</w:t>
            </w:r>
          </w:p>
        </w:tc>
        <w:tc>
          <w:tcPr>
            <w:tcW w:w="600" w:type="dxa"/>
            <w:vAlign w:val="bottom"/>
          </w:tcPr>
          <w:p>
            <w:pPr>
              <w:spacing w:after="0"/>
              <w:rPr>
                <w:sz w:val="14"/>
                <w:szCs w:val="14"/>
                <w:color w:val="auto"/>
              </w:rPr>
            </w:pPr>
          </w:p>
        </w:tc>
        <w:tc>
          <w:tcPr>
            <w:tcW w:w="2780" w:type="dxa"/>
            <w:vAlign w:val="bottom"/>
            <w:gridSpan w:val="6"/>
          </w:tcPr>
          <w:p>
            <w:pPr>
              <w:jc w:val="center"/>
              <w:spacing w:after="0" w:line="169" w:lineRule="exact"/>
              <w:rPr>
                <w:sz w:val="20"/>
                <w:szCs w:val="20"/>
                <w:color w:val="auto"/>
              </w:rPr>
            </w:pPr>
            <w:r>
              <w:rPr>
                <w:rFonts w:ascii="Arial" w:cs="Arial" w:eastAsia="Arial" w:hAnsi="Arial"/>
                <w:sz w:val="16"/>
                <w:szCs w:val="16"/>
                <w:color w:val="auto"/>
              </w:rPr>
              <w:t>(in millions, except per share amounts)</w:t>
            </w:r>
          </w:p>
        </w:tc>
      </w:tr>
      <w:tr>
        <w:trPr>
          <w:trHeight w:val="365"/>
        </w:trPr>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c>
          <w:tcPr>
            <w:tcW w:w="600" w:type="dxa"/>
            <w:vAlign w:val="bottom"/>
          </w:tcPr>
          <w:p>
            <w:pPr>
              <w:spacing w:after="0"/>
              <w:rPr>
                <w:sz w:val="24"/>
                <w:szCs w:val="24"/>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color w:val="auto"/>
              </w:rPr>
              <w:t>As Reported</w:t>
            </w:r>
          </w:p>
        </w:tc>
        <w:tc>
          <w:tcPr>
            <w:tcW w:w="142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color w:val="auto"/>
              </w:rPr>
              <w:t>As Adjusted</w:t>
            </w:r>
            <w:r>
              <w:rPr>
                <w:rFonts w:ascii="Arial" w:cs="Arial" w:eastAsia="Arial" w:hAnsi="Arial"/>
                <w:sz w:val="26"/>
                <w:szCs w:val="26"/>
                <w:color w:val="auto"/>
                <w:vertAlign w:val="superscript"/>
              </w:rPr>
              <w:t>(a)</w:t>
            </w:r>
          </w:p>
        </w:tc>
      </w:tr>
      <w:tr>
        <w:trPr>
          <w:trHeight w:val="270"/>
        </w:trPr>
        <w:tc>
          <w:tcPr>
            <w:tcW w:w="2200" w:type="dxa"/>
            <w:vAlign w:val="bottom"/>
          </w:tcPr>
          <w:p>
            <w:pPr>
              <w:spacing w:after="0"/>
              <w:rPr>
                <w:sz w:val="20"/>
                <w:szCs w:val="20"/>
                <w:color w:val="auto"/>
              </w:rPr>
            </w:pPr>
            <w:r>
              <w:rPr>
                <w:rFonts w:ascii="Arial" w:cs="Arial" w:eastAsia="Arial" w:hAnsi="Arial"/>
                <w:sz w:val="16"/>
                <w:szCs w:val="16"/>
                <w:color w:val="auto"/>
              </w:rPr>
              <w:t>Revenue</w:t>
            </w:r>
          </w:p>
        </w:tc>
        <w:tc>
          <w:tcPr>
            <w:tcW w:w="1680" w:type="dxa"/>
            <w:vAlign w:val="bottom"/>
            <w:gridSpan w:val="4"/>
          </w:tcPr>
          <w:p>
            <w:pPr>
              <w:jc w:val="center"/>
              <w:ind w:left="79"/>
              <w:spacing w:after="0"/>
              <w:rPr>
                <w:sz w:val="20"/>
                <w:szCs w:val="20"/>
                <w:color w:val="auto"/>
              </w:rPr>
            </w:pPr>
            <w:r>
              <w:rPr>
                <w:rFonts w:ascii="Arial" w:cs="Arial" w:eastAsia="Arial" w:hAnsi="Arial"/>
                <w:sz w:val="16"/>
                <w:szCs w:val="16"/>
                <w:color w:val="auto"/>
                <w:w w:val="98"/>
              </w:rPr>
              <w:t>$4,665</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rPr>
              <w:t>$4,665</w:t>
            </w:r>
          </w:p>
        </w:tc>
        <w:tc>
          <w:tcPr>
            <w:tcW w:w="1960" w:type="dxa"/>
            <w:vAlign w:val="bottom"/>
            <w:gridSpan w:val="4"/>
          </w:tcPr>
          <w:p>
            <w:pPr>
              <w:jc w:val="center"/>
              <w:ind w:left="379"/>
              <w:spacing w:after="0"/>
              <w:rPr>
                <w:sz w:val="20"/>
                <w:szCs w:val="20"/>
                <w:color w:val="auto"/>
              </w:rPr>
            </w:pPr>
            <w:r>
              <w:rPr>
                <w:rFonts w:ascii="Arial" w:cs="Arial" w:eastAsia="Arial" w:hAnsi="Arial"/>
                <w:sz w:val="16"/>
                <w:szCs w:val="16"/>
                <w:color w:val="auto"/>
              </w:rPr>
              <w:t>$3,861</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rPr>
              <w:t>$3,861</w:t>
            </w:r>
          </w:p>
        </w:tc>
      </w:tr>
      <w:tr>
        <w:trPr>
          <w:trHeight w:val="311"/>
        </w:trPr>
        <w:tc>
          <w:tcPr>
            <w:tcW w:w="22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680" w:type="dxa"/>
            <w:vAlign w:val="bottom"/>
            <w:gridSpan w:val="4"/>
          </w:tcPr>
          <w:p>
            <w:pPr>
              <w:jc w:val="center"/>
              <w:ind w:left="79"/>
              <w:spacing w:after="0"/>
              <w:rPr>
                <w:sz w:val="20"/>
                <w:szCs w:val="20"/>
                <w:color w:val="auto"/>
              </w:rPr>
            </w:pPr>
            <w:r>
              <w:rPr>
                <w:rFonts w:ascii="Arial" w:cs="Arial" w:eastAsia="Arial" w:hAnsi="Arial"/>
                <w:sz w:val="16"/>
                <w:szCs w:val="16"/>
                <w:color w:val="auto"/>
              </w:rPr>
              <w:t>$806</w:t>
            </w:r>
          </w:p>
        </w:tc>
        <w:tc>
          <w:tcPr>
            <w:tcW w:w="1420" w:type="dxa"/>
            <w:vAlign w:val="bottom"/>
            <w:gridSpan w:val="3"/>
          </w:tcPr>
          <w:p>
            <w:pPr>
              <w:jc w:val="center"/>
              <w:ind w:left="99"/>
              <w:spacing w:after="0"/>
              <w:rPr>
                <w:sz w:val="20"/>
                <w:szCs w:val="20"/>
                <w:color w:val="auto"/>
              </w:rPr>
            </w:pPr>
            <w:r>
              <w:rPr>
                <w:rFonts w:ascii="Arial" w:cs="Arial" w:eastAsia="Arial" w:hAnsi="Arial"/>
                <w:sz w:val="16"/>
                <w:szCs w:val="16"/>
                <w:color w:val="auto"/>
              </w:rPr>
              <w:t>$792</w:t>
            </w:r>
          </w:p>
        </w:tc>
        <w:tc>
          <w:tcPr>
            <w:tcW w:w="1960" w:type="dxa"/>
            <w:vAlign w:val="bottom"/>
            <w:gridSpan w:val="4"/>
          </w:tcPr>
          <w:p>
            <w:pPr>
              <w:jc w:val="center"/>
              <w:ind w:left="359"/>
              <w:spacing w:after="0"/>
              <w:rPr>
                <w:sz w:val="20"/>
                <w:szCs w:val="20"/>
                <w:color w:val="auto"/>
              </w:rPr>
            </w:pPr>
            <w:r>
              <w:rPr>
                <w:rFonts w:ascii="Arial" w:cs="Arial" w:eastAsia="Arial" w:hAnsi="Arial"/>
                <w:sz w:val="16"/>
                <w:szCs w:val="16"/>
                <w:color w:val="auto"/>
              </w:rPr>
              <w:t>$680</w:t>
            </w:r>
          </w:p>
        </w:tc>
        <w:tc>
          <w:tcPr>
            <w:tcW w:w="1420" w:type="dxa"/>
            <w:vAlign w:val="bottom"/>
            <w:gridSpan w:val="3"/>
          </w:tcPr>
          <w:p>
            <w:pPr>
              <w:jc w:val="center"/>
              <w:ind w:left="139"/>
              <w:spacing w:after="0"/>
              <w:rPr>
                <w:sz w:val="20"/>
                <w:szCs w:val="20"/>
                <w:color w:val="auto"/>
              </w:rPr>
            </w:pPr>
            <w:r>
              <w:rPr>
                <w:rFonts w:ascii="Arial" w:cs="Arial" w:eastAsia="Arial" w:hAnsi="Arial"/>
                <w:sz w:val="16"/>
                <w:szCs w:val="16"/>
                <w:color w:val="auto"/>
              </w:rPr>
              <w:t>$721</w:t>
            </w:r>
          </w:p>
        </w:tc>
      </w:tr>
      <w:tr>
        <w:trPr>
          <w:trHeight w:val="413"/>
        </w:trPr>
        <w:tc>
          <w:tcPr>
            <w:tcW w:w="2200" w:type="dxa"/>
            <w:vAlign w:val="bottom"/>
          </w:tcPr>
          <w:p>
            <w:pPr>
              <w:spacing w:after="0"/>
              <w:rPr>
                <w:sz w:val="20"/>
                <w:szCs w:val="20"/>
                <w:color w:val="auto"/>
              </w:rPr>
            </w:pPr>
            <w:r>
              <w:rPr>
                <w:rFonts w:ascii="Arial" w:cs="Arial" w:eastAsia="Arial" w:hAnsi="Arial"/>
                <w:sz w:val="16"/>
                <w:szCs w:val="16"/>
                <w:color w:val="auto"/>
              </w:rPr>
              <w:t>Operating EBITDA</w:t>
            </w:r>
            <w:r>
              <w:rPr>
                <w:rFonts w:ascii="Arial" w:cs="Arial" w:eastAsia="Arial" w:hAnsi="Arial"/>
                <w:sz w:val="26"/>
                <w:szCs w:val="26"/>
                <w:color w:val="auto"/>
                <w:vertAlign w:val="superscript"/>
              </w:rPr>
              <w:t>(b)</w:t>
            </w:r>
          </w:p>
        </w:tc>
        <w:tc>
          <w:tcPr>
            <w:tcW w:w="1680" w:type="dxa"/>
            <w:vAlign w:val="bottom"/>
            <w:gridSpan w:val="4"/>
          </w:tcPr>
          <w:p>
            <w:pPr>
              <w:jc w:val="center"/>
              <w:ind w:left="79"/>
              <w:spacing w:after="0"/>
              <w:rPr>
                <w:sz w:val="20"/>
                <w:szCs w:val="20"/>
                <w:color w:val="auto"/>
              </w:rPr>
            </w:pPr>
            <w:r>
              <w:rPr>
                <w:rFonts w:ascii="Arial" w:cs="Arial" w:eastAsia="Arial" w:hAnsi="Arial"/>
                <w:sz w:val="16"/>
                <w:szCs w:val="16"/>
                <w:color w:val="auto"/>
                <w:w w:val="98"/>
              </w:rPr>
              <w:t>$1,323</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rPr>
              <w:t>$1,309</w:t>
            </w:r>
          </w:p>
        </w:tc>
        <w:tc>
          <w:tcPr>
            <w:tcW w:w="1960" w:type="dxa"/>
            <w:vAlign w:val="bottom"/>
            <w:gridSpan w:val="4"/>
          </w:tcPr>
          <w:p>
            <w:pPr>
              <w:jc w:val="center"/>
              <w:ind w:left="379"/>
              <w:spacing w:after="0"/>
              <w:rPr>
                <w:sz w:val="20"/>
                <w:szCs w:val="20"/>
                <w:color w:val="auto"/>
              </w:rPr>
            </w:pPr>
            <w:r>
              <w:rPr>
                <w:rFonts w:ascii="Arial" w:cs="Arial" w:eastAsia="Arial" w:hAnsi="Arial"/>
                <w:sz w:val="16"/>
                <w:szCs w:val="16"/>
                <w:color w:val="auto"/>
              </w:rPr>
              <w:t>$1,099</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rPr>
              <w:t>$1,140</w:t>
            </w: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Operating EBITDA Margin</w:t>
            </w:r>
          </w:p>
        </w:tc>
        <w:tc>
          <w:tcPr>
            <w:tcW w:w="1680" w:type="dxa"/>
            <w:vAlign w:val="bottom"/>
            <w:gridSpan w:val="4"/>
          </w:tcPr>
          <w:p>
            <w:pPr>
              <w:jc w:val="center"/>
              <w:ind w:left="99"/>
              <w:spacing w:after="0"/>
              <w:rPr>
                <w:sz w:val="20"/>
                <w:szCs w:val="20"/>
                <w:color w:val="auto"/>
              </w:rPr>
            </w:pPr>
            <w:r>
              <w:rPr>
                <w:rFonts w:ascii="Arial" w:cs="Arial" w:eastAsia="Arial" w:hAnsi="Arial"/>
                <w:sz w:val="16"/>
                <w:szCs w:val="16"/>
                <w:color w:val="auto"/>
              </w:rPr>
              <w:t>28.4%</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rPr>
              <w:t>28.1%</w:t>
            </w:r>
          </w:p>
        </w:tc>
        <w:tc>
          <w:tcPr>
            <w:tcW w:w="1960" w:type="dxa"/>
            <w:vAlign w:val="bottom"/>
            <w:gridSpan w:val="4"/>
          </w:tcPr>
          <w:p>
            <w:pPr>
              <w:jc w:val="center"/>
              <w:ind w:left="379"/>
              <w:spacing w:after="0"/>
              <w:rPr>
                <w:sz w:val="20"/>
                <w:szCs w:val="20"/>
                <w:color w:val="auto"/>
              </w:rPr>
            </w:pPr>
            <w:r>
              <w:rPr>
                <w:rFonts w:ascii="Arial" w:cs="Arial" w:eastAsia="Arial" w:hAnsi="Arial"/>
                <w:sz w:val="16"/>
                <w:szCs w:val="16"/>
                <w:color w:val="auto"/>
              </w:rPr>
              <w:t>28.5%</w:t>
            </w:r>
          </w:p>
        </w:tc>
        <w:tc>
          <w:tcPr>
            <w:tcW w:w="1420" w:type="dxa"/>
            <w:vAlign w:val="bottom"/>
            <w:gridSpan w:val="3"/>
          </w:tcPr>
          <w:p>
            <w:pPr>
              <w:jc w:val="center"/>
              <w:ind w:left="119"/>
              <w:spacing w:after="0"/>
              <w:rPr>
                <w:sz w:val="20"/>
                <w:szCs w:val="20"/>
                <w:color w:val="auto"/>
              </w:rPr>
            </w:pPr>
            <w:r>
              <w:rPr>
                <w:rFonts w:ascii="Arial" w:cs="Arial" w:eastAsia="Arial" w:hAnsi="Arial"/>
                <w:sz w:val="16"/>
                <w:szCs w:val="16"/>
                <w:color w:val="auto"/>
              </w:rPr>
              <w:t>29.5%</w:t>
            </w:r>
          </w:p>
        </w:tc>
      </w:tr>
      <w:tr>
        <w:trPr>
          <w:trHeight w:val="413"/>
        </w:trPr>
        <w:tc>
          <w:tcPr>
            <w:tcW w:w="220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680" w:type="dxa"/>
            <w:vAlign w:val="bottom"/>
            <w:gridSpan w:val="4"/>
          </w:tcPr>
          <w:p>
            <w:pPr>
              <w:jc w:val="center"/>
              <w:ind w:left="79"/>
              <w:spacing w:after="0"/>
              <w:rPr>
                <w:sz w:val="20"/>
                <w:szCs w:val="20"/>
                <w:color w:val="auto"/>
              </w:rPr>
            </w:pPr>
            <w:r>
              <w:rPr>
                <w:rFonts w:ascii="Arial" w:cs="Arial" w:eastAsia="Arial" w:hAnsi="Arial"/>
                <w:sz w:val="16"/>
                <w:szCs w:val="16"/>
                <w:color w:val="auto"/>
              </w:rPr>
              <w:t>$538</w:t>
            </w:r>
          </w:p>
        </w:tc>
        <w:tc>
          <w:tcPr>
            <w:tcW w:w="1420" w:type="dxa"/>
            <w:vAlign w:val="bottom"/>
            <w:gridSpan w:val="3"/>
          </w:tcPr>
          <w:p>
            <w:pPr>
              <w:jc w:val="center"/>
              <w:ind w:left="99"/>
              <w:spacing w:after="0"/>
              <w:rPr>
                <w:sz w:val="20"/>
                <w:szCs w:val="20"/>
                <w:color w:val="auto"/>
              </w:rPr>
            </w:pPr>
            <w:r>
              <w:rPr>
                <w:rFonts w:ascii="Arial" w:cs="Arial" w:eastAsia="Arial" w:hAnsi="Arial"/>
                <w:sz w:val="16"/>
                <w:szCs w:val="16"/>
                <w:color w:val="auto"/>
              </w:rPr>
              <w:t>$530</w:t>
            </w:r>
          </w:p>
        </w:tc>
        <w:tc>
          <w:tcPr>
            <w:tcW w:w="1960" w:type="dxa"/>
            <w:vAlign w:val="bottom"/>
            <w:gridSpan w:val="4"/>
          </w:tcPr>
          <w:p>
            <w:pPr>
              <w:jc w:val="center"/>
              <w:ind w:left="359"/>
              <w:spacing w:after="0"/>
              <w:rPr>
                <w:sz w:val="20"/>
                <w:szCs w:val="20"/>
                <w:color w:val="auto"/>
              </w:rPr>
            </w:pPr>
            <w:r>
              <w:rPr>
                <w:rFonts w:ascii="Arial" w:cs="Arial" w:eastAsia="Arial" w:hAnsi="Arial"/>
                <w:sz w:val="16"/>
                <w:szCs w:val="16"/>
                <w:color w:val="auto"/>
              </w:rPr>
              <w:t>$390</w:t>
            </w:r>
          </w:p>
        </w:tc>
        <w:tc>
          <w:tcPr>
            <w:tcW w:w="1420" w:type="dxa"/>
            <w:vAlign w:val="bottom"/>
            <w:gridSpan w:val="3"/>
          </w:tcPr>
          <w:p>
            <w:pPr>
              <w:jc w:val="center"/>
              <w:ind w:left="139"/>
              <w:spacing w:after="0"/>
              <w:rPr>
                <w:sz w:val="20"/>
                <w:szCs w:val="20"/>
                <w:color w:val="auto"/>
              </w:rPr>
            </w:pPr>
            <w:r>
              <w:rPr>
                <w:rFonts w:ascii="Arial" w:cs="Arial" w:eastAsia="Arial" w:hAnsi="Arial"/>
                <w:sz w:val="16"/>
                <w:szCs w:val="16"/>
                <w:color w:val="auto"/>
              </w:rPr>
              <w:t>$465</w:t>
            </w:r>
          </w:p>
        </w:tc>
      </w:tr>
      <w:tr>
        <w:trPr>
          <w:trHeight w:val="208"/>
        </w:trPr>
        <w:tc>
          <w:tcPr>
            <w:tcW w:w="2200" w:type="dxa"/>
            <w:vAlign w:val="bottom"/>
          </w:tcPr>
          <w:p>
            <w:pPr>
              <w:spacing w:after="0"/>
              <w:rPr>
                <w:sz w:val="20"/>
                <w:szCs w:val="20"/>
                <w:color w:val="auto"/>
              </w:rPr>
            </w:pPr>
            <w:r>
              <w:rPr>
                <w:rFonts w:ascii="Arial" w:cs="Arial" w:eastAsia="Arial" w:hAnsi="Arial"/>
                <w:sz w:val="16"/>
                <w:szCs w:val="16"/>
                <w:color w:val="auto"/>
              </w:rPr>
              <w:t>Diluted EPS</w:t>
            </w:r>
          </w:p>
        </w:tc>
        <w:tc>
          <w:tcPr>
            <w:tcW w:w="1680" w:type="dxa"/>
            <w:vAlign w:val="bottom"/>
            <w:gridSpan w:val="4"/>
          </w:tcPr>
          <w:p>
            <w:pPr>
              <w:jc w:val="center"/>
              <w:ind w:left="79"/>
              <w:spacing w:after="0"/>
              <w:rPr>
                <w:sz w:val="20"/>
                <w:szCs w:val="20"/>
                <w:color w:val="auto"/>
              </w:rPr>
            </w:pPr>
            <w:r>
              <w:rPr>
                <w:rFonts w:ascii="Arial" w:cs="Arial" w:eastAsia="Arial" w:hAnsi="Arial"/>
                <w:sz w:val="16"/>
                <w:szCs w:val="16"/>
                <w:color w:val="auto"/>
                <w:w w:val="99"/>
              </w:rPr>
              <w:t>$1.28</w:t>
            </w:r>
          </w:p>
        </w:tc>
        <w:tc>
          <w:tcPr>
            <w:tcW w:w="1420" w:type="dxa"/>
            <w:vAlign w:val="bottom"/>
            <w:gridSpan w:val="3"/>
          </w:tcPr>
          <w:p>
            <w:pPr>
              <w:jc w:val="center"/>
              <w:ind w:left="99"/>
              <w:spacing w:after="0"/>
              <w:rPr>
                <w:sz w:val="20"/>
                <w:szCs w:val="20"/>
                <w:color w:val="auto"/>
              </w:rPr>
            </w:pPr>
            <w:r>
              <w:rPr>
                <w:rFonts w:ascii="Arial" w:cs="Arial" w:eastAsia="Arial" w:hAnsi="Arial"/>
                <w:sz w:val="16"/>
                <w:szCs w:val="16"/>
                <w:color w:val="auto"/>
                <w:w w:val="99"/>
              </w:rPr>
              <w:t>$1.26</w:t>
            </w:r>
          </w:p>
        </w:tc>
        <w:tc>
          <w:tcPr>
            <w:tcW w:w="1960" w:type="dxa"/>
            <w:vAlign w:val="bottom"/>
            <w:gridSpan w:val="4"/>
          </w:tcPr>
          <w:p>
            <w:pPr>
              <w:jc w:val="center"/>
              <w:ind w:left="379"/>
              <w:spacing w:after="0"/>
              <w:rPr>
                <w:sz w:val="20"/>
                <w:szCs w:val="20"/>
                <w:color w:val="auto"/>
              </w:rPr>
            </w:pPr>
            <w:r>
              <w:rPr>
                <w:rFonts w:ascii="Arial" w:cs="Arial" w:eastAsia="Arial" w:hAnsi="Arial"/>
                <w:sz w:val="16"/>
                <w:szCs w:val="16"/>
                <w:color w:val="auto"/>
              </w:rPr>
              <w:t>$0.92</w:t>
            </w:r>
          </w:p>
        </w:tc>
        <w:tc>
          <w:tcPr>
            <w:tcW w:w="1420" w:type="dxa"/>
            <w:vAlign w:val="bottom"/>
            <w:gridSpan w:val="3"/>
          </w:tcPr>
          <w:p>
            <w:pPr>
              <w:jc w:val="center"/>
              <w:ind w:left="139"/>
              <w:spacing w:after="0"/>
              <w:rPr>
                <w:sz w:val="20"/>
                <w:szCs w:val="20"/>
                <w:color w:val="auto"/>
              </w:rPr>
            </w:pPr>
            <w:r>
              <w:rPr>
                <w:rFonts w:ascii="Arial" w:cs="Arial" w:eastAsia="Arial" w:hAnsi="Arial"/>
                <w:sz w:val="16"/>
                <w:szCs w:val="16"/>
                <w:color w:val="auto"/>
                <w:w w:val="99"/>
              </w:rPr>
              <w:t>$1.09</w:t>
            </w:r>
          </w:p>
        </w:tc>
      </w:tr>
    </w:tbl>
    <w:p>
      <w:pPr>
        <w:spacing w:after="0" w:line="19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“Strong organic growth and continued progress on the integration of the Advanced Disposal business powered our robust revenue growth in the third quarter and led to a more than 14% increase in adjusted operating EBITDA and a more than 15% increase in net cash provided by operating activities,” said Jim Fish, WM’s</w:t>
      </w:r>
    </w:p>
    <w:p>
      <w:pPr>
        <w:spacing w:after="0" w:line="2"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President and Chief Executive Officer.</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“Our solid results put us on track to meet our full-year financial targets despite accelerating cost inflation.”</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Fish continued, “Like many other companies, we are seeing constraints on labor availability. At WM, we continue to demonstrate our commitment to putting our people first and being an employer of choice. During the quarter, we continued to invest in our people through frontline market wage adjustments and training for new team members. We remain focused on improving operational efficiency and executing on our disciplined pricing programs to drive margin growth in the face of these additional labor costs and other inflationary cost pressures.”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OF 2021</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8"/>
          <w:szCs w:val="18"/>
          <w:b w:val="1"/>
          <w:bCs w:val="1"/>
          <w:u w:val="single" w:color="auto"/>
          <w:color w:val="auto"/>
        </w:rPr>
        <w:t>Revenue</w:t>
      </w:r>
    </w:p>
    <w:p>
      <w:pPr>
        <w:spacing w:after="0" w:line="220" w:lineRule="exact"/>
        <w:rPr>
          <w:sz w:val="20"/>
          <w:szCs w:val="20"/>
          <w:color w:val="auto"/>
        </w:rPr>
      </w:pPr>
    </w:p>
    <w:p>
      <w:pPr>
        <w:jc w:val="both"/>
        <w:ind w:left="680" w:hanging="265"/>
        <w:spacing w:after="0" w:line="180" w:lineRule="auto"/>
        <w:tabs>
          <w:tab w:leader="none" w:pos="680" w:val="left"/>
        </w:tabs>
        <w:numPr>
          <w:ilvl w:val="0"/>
          <w:numId w:val="2"/>
        </w:numPr>
        <w:rPr>
          <w:rFonts w:ascii="Arial" w:cs="Arial" w:eastAsia="Arial" w:hAnsi="Arial"/>
          <w:sz w:val="40"/>
          <w:szCs w:val="40"/>
          <w:color w:val="auto"/>
          <w:vertAlign w:val="subscript"/>
        </w:rPr>
      </w:pPr>
      <w:r>
        <w:rPr>
          <w:rFonts w:ascii="Arial" w:cs="Arial" w:eastAsia="Arial" w:hAnsi="Arial"/>
          <w:sz w:val="16"/>
          <w:szCs w:val="16"/>
          <w:color w:val="auto"/>
        </w:rPr>
        <w:t>In the third quarter of 2021, revenue increased $260 million in the Company’s collection and disposal business, excluding the impact of acquisitions and divestitures, compared to the third quarter of 2020. The increase was driven by $137 million in volume increases and $123 million of growth from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right="720"/>
        <w:spacing w:after="0" w:line="286" w:lineRule="auto"/>
        <w:rPr>
          <w:sz w:val="20"/>
          <w:szCs w:val="20"/>
          <w:color w:val="auto"/>
        </w:rPr>
      </w:pPr>
      <w:r>
        <w:rPr>
          <w:rFonts w:ascii="Arial" w:cs="Arial" w:eastAsia="Arial" w:hAnsi="Arial"/>
          <w:sz w:val="16"/>
          <w:szCs w:val="16"/>
          <w:b w:val="1"/>
          <w:bCs w:val="1"/>
          <w:color w:val="00693A"/>
        </w:rPr>
        <w:t>FOR MORE INFORMATION</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Website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www.wm.com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57584F"/>
        </w:rPr>
        <w:t>Ed Egl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57584F"/>
        </w:rPr>
        <w:t>713.265.1656</w:t>
      </w:r>
    </w:p>
    <w:p>
      <w:pPr>
        <w:spacing w:after="0"/>
        <w:rPr>
          <w:sz w:val="20"/>
          <w:szCs w:val="20"/>
          <w:color w:val="auto"/>
        </w:rPr>
      </w:pPr>
      <w:r>
        <w:rPr>
          <w:rFonts w:ascii="Arial" w:cs="Arial" w:eastAsia="Arial" w:hAnsi="Arial"/>
          <w:sz w:val="16"/>
          <w:szCs w:val="16"/>
          <w:b w:val="1"/>
          <w:bCs w:val="1"/>
          <w:u w:val="single" w:color="auto"/>
          <w:color w:val="auto"/>
        </w:rPr>
        <w:t>eegl@wm.com</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Toni Werner</w:t>
      </w:r>
    </w:p>
    <w:p>
      <w:pPr>
        <w:spacing w:after="0"/>
        <w:rPr>
          <w:sz w:val="20"/>
          <w:szCs w:val="20"/>
          <w:color w:val="auto"/>
        </w:rPr>
      </w:pPr>
      <w:r>
        <w:rPr>
          <w:rFonts w:ascii="Arial" w:cs="Arial" w:eastAsia="Arial" w:hAnsi="Arial"/>
          <w:sz w:val="18"/>
          <w:szCs w:val="18"/>
          <w:u w:val="single" w:color="auto"/>
          <w:color w:val="auto"/>
        </w:rPr>
        <w:t>corp_comm@wm.com</w:t>
      </w:r>
    </w:p>
    <w:p>
      <w:pPr>
        <w:sectPr>
          <w:pgSz w:w="11900" w:h="16838" w:orient="portrait"/>
          <w:cols w:equalWidth="0" w:num="2">
            <w:col w:w="9000" w:space="340"/>
            <w:col w:w="1900"/>
          </w:cols>
          <w:pgMar w:left="320" w:top="118" w:right="339" w:bottom="1440" w:gutter="0" w:footer="0" w:header="0"/>
        </w:sectPr>
      </w:pPr>
    </w:p>
    <w:bookmarkStart w:id="4" w:name="page5"/>
    <w:bookmarkEnd w:id="4"/>
    <w:p>
      <w:pPr>
        <w:ind w:left="335" w:right="1159" w:hanging="188"/>
        <w:spacing w:after="0" w:line="24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third quarter of 2021, acquisitions, net of divestitures, added $295 million of revenue primarily from the acquisition of Advanced Disposal.</w:t>
      </w:r>
    </w:p>
    <w:p>
      <w:pPr>
        <w:ind w:left="335" w:hanging="188"/>
        <w:spacing w:after="0" w:line="183" w:lineRule="auto"/>
        <w:tabs>
          <w:tab w:leader="none" w:pos="335" w:val="left"/>
        </w:tabs>
        <w:numPr>
          <w:ilvl w:val="0"/>
          <w:numId w:val="3"/>
        </w:numPr>
        <w:rPr>
          <w:rFonts w:ascii="Arial" w:cs="Arial" w:eastAsia="Arial" w:hAnsi="Arial"/>
          <w:sz w:val="26"/>
          <w:szCs w:val="26"/>
          <w:color w:val="auto"/>
          <w:vertAlign w:val="superscript"/>
        </w:rPr>
      </w:pPr>
      <w:r>
        <w:rPr>
          <w:rFonts w:ascii="Arial" w:cs="Arial" w:eastAsia="Arial" w:hAnsi="Arial"/>
          <w:sz w:val="15"/>
          <w:szCs w:val="15"/>
          <w:color w:val="auto"/>
        </w:rPr>
        <w:t>Core price for the third quarter of 2021 was 4.6% compared to 3.2% in the third quarter of 2020.</w:t>
      </w:r>
      <w:r>
        <w:rPr>
          <w:rFonts w:ascii="Arial" w:cs="Arial" w:eastAsia="Arial" w:hAnsi="Arial"/>
          <w:sz w:val="22"/>
          <w:szCs w:val="22"/>
          <w:color w:val="auto"/>
          <w:vertAlign w:val="superscript"/>
        </w:rPr>
        <w:t>(d)</w:t>
      </w:r>
    </w:p>
    <w:p>
      <w:pPr>
        <w:ind w:left="335" w:right="1139" w:hanging="188"/>
        <w:spacing w:after="0" w:line="234"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Collection and disposal yield was 3.5% in the third quarter of 2021 compared to 2.6% in the third quarter of 2020.</w:t>
      </w:r>
    </w:p>
    <w:p>
      <w:pPr>
        <w:spacing w:after="0" w:line="1" w:lineRule="exact"/>
        <w:rPr>
          <w:rFonts w:ascii="Arial" w:cs="Arial" w:eastAsia="Arial" w:hAnsi="Arial"/>
          <w:sz w:val="18"/>
          <w:szCs w:val="18"/>
          <w:color w:val="auto"/>
        </w:rPr>
      </w:pPr>
    </w:p>
    <w:p>
      <w:pPr>
        <w:ind w:left="335" w:right="1159" w:hanging="188"/>
        <w:spacing w:after="0" w:line="246"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Company volumes improved 3.8% in the third quarter of 2021, or 3.6% on a workday adjusted basis, compared to a decline of 5.0% in the third quarter of 2020, or 5.1% on a workday adjusted basis.</w:t>
      </w:r>
    </w:p>
    <w:p>
      <w:pPr>
        <w:spacing w:after="0" w:line="161" w:lineRule="exact"/>
        <w:rPr>
          <w:sz w:val="20"/>
          <w:szCs w:val="20"/>
          <w:color w:val="auto"/>
        </w:rPr>
      </w:pPr>
    </w:p>
    <w:p>
      <w:pPr>
        <w:ind w:left="355"/>
        <w:spacing w:after="0"/>
        <w:rPr>
          <w:sz w:val="20"/>
          <w:szCs w:val="20"/>
          <w:color w:val="auto"/>
        </w:rPr>
      </w:pPr>
      <w:r>
        <w:rPr>
          <w:rFonts w:ascii="Arial" w:cs="Arial" w:eastAsia="Arial" w:hAnsi="Arial"/>
          <w:sz w:val="18"/>
          <w:szCs w:val="18"/>
          <w:b w:val="1"/>
          <w:bCs w:val="1"/>
          <w:u w:val="single" w:color="auto"/>
          <w:color w:val="auto"/>
        </w:rPr>
        <w:t>Cost Management</w:t>
      </w:r>
    </w:p>
    <w:p>
      <w:pPr>
        <w:spacing w:after="0" w:line="220" w:lineRule="exact"/>
        <w:rPr>
          <w:sz w:val="20"/>
          <w:szCs w:val="20"/>
          <w:color w:val="auto"/>
        </w:rPr>
      </w:pPr>
    </w:p>
    <w:p>
      <w:pPr>
        <w:jc w:val="both"/>
        <w:ind w:left="335" w:right="1139" w:hanging="335"/>
        <w:spacing w:after="0" w:line="21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as a percentage of revenue were 62.3% in the third quarter of 2021 compared to 60.4% in the third quarter of 2020. On an adjusted basis, operating expenses were 62.2% of revenue in the third quarter of 2021 compared to 60.4% in the third quarter of 2020.</w:t>
      </w:r>
      <w:r>
        <w:rPr>
          <w:rFonts w:ascii="Arial" w:cs="Arial" w:eastAsia="Arial" w:hAnsi="Arial"/>
          <w:sz w:val="29"/>
          <w:szCs w:val="29"/>
          <w:color w:val="auto"/>
          <w:vertAlign w:val="superscript"/>
        </w:rPr>
        <w:t>(a)</w:t>
      </w:r>
      <w:r>
        <w:rPr>
          <w:rFonts w:ascii="Arial" w:cs="Arial" w:eastAsia="Arial" w:hAnsi="Arial"/>
          <w:sz w:val="18"/>
          <w:szCs w:val="18"/>
          <w:color w:val="auto"/>
        </w:rPr>
        <w:t xml:space="preserve"> The increase in operating expense margin in the current quarter is primarily due to an acceleration of labor and other inflationary cost pressures, as well as the impact of higher commodity prices for recyclables.</w:t>
      </w:r>
    </w:p>
    <w:p>
      <w:pPr>
        <w:spacing w:after="0" w:line="2" w:lineRule="exact"/>
        <w:rPr>
          <w:rFonts w:ascii="Arial" w:cs="Arial" w:eastAsia="Arial" w:hAnsi="Arial"/>
          <w:sz w:val="18"/>
          <w:szCs w:val="18"/>
          <w:color w:val="auto"/>
        </w:rPr>
      </w:pPr>
    </w:p>
    <w:p>
      <w:pPr>
        <w:jc w:val="both"/>
        <w:ind w:left="335" w:right="1139" w:hanging="335"/>
        <w:spacing w:after="0" w:line="25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were 10.1% of revenue in the third quarter of 2021 compared to 10.8% in the third quarter of 2020. On an adjusted basis, SG&amp;A expenses were 9.7% of revenue in the third quarter of 2021 compared to 10.1% in the third quarter of 2020, demonstrating the Company’s success at managing controllable costs.</w:t>
      </w:r>
      <w:r>
        <w:rPr>
          <w:rFonts w:ascii="Arial" w:cs="Arial" w:eastAsia="Arial" w:hAnsi="Arial"/>
          <w:sz w:val="29"/>
          <w:szCs w:val="29"/>
          <w:color w:val="auto"/>
          <w:vertAlign w:val="superscript"/>
        </w:rPr>
        <w:t>(a)</w:t>
      </w:r>
    </w:p>
    <w:p>
      <w:pPr>
        <w:spacing w:after="0" w:line="33" w:lineRule="exact"/>
        <w:rPr>
          <w:sz w:val="20"/>
          <w:szCs w:val="20"/>
          <w:color w:val="auto"/>
        </w:rPr>
      </w:pPr>
    </w:p>
    <w:p>
      <w:pPr>
        <w:ind w:left="355"/>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220" w:lineRule="exact"/>
        <w:rPr>
          <w:sz w:val="20"/>
          <w:szCs w:val="20"/>
          <w:color w:val="auto"/>
        </w:rPr>
      </w:pPr>
    </w:p>
    <w:p>
      <w:pPr>
        <w:jc w:val="both"/>
        <w:ind w:left="335" w:right="1139" w:hanging="335"/>
        <w:spacing w:after="0" w:line="20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was $1.40 billion, or 31.1% of revenue, for the third quarter of 2021, compared to $1.27 billion, or 33.1% of revenue, for the third quarter of 2020.</w:t>
      </w:r>
      <w:r>
        <w:rPr>
          <w:rFonts w:ascii="Arial" w:cs="Arial" w:eastAsia="Arial" w:hAnsi="Arial"/>
          <w:sz w:val="29"/>
          <w:szCs w:val="29"/>
          <w:color w:val="auto"/>
          <w:vertAlign w:val="superscript"/>
        </w:rPr>
        <w:t>(e)</w:t>
      </w:r>
    </w:p>
    <w:p>
      <w:pPr>
        <w:jc w:val="both"/>
        <w:ind w:left="335" w:right="1139" w:hanging="335"/>
        <w:spacing w:after="0" w:line="23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EBITDA in the Company’s recycling line of business improved by $53 million compared to the third quarter of 2020. The improvement was driven by an increase in market prices for recycled commodities and investments the Company is making in improved technology and equipment at its materials recovery facilities that are delivering a less labor-intensive operating cost model.</w:t>
      </w:r>
    </w:p>
    <w:p>
      <w:pPr>
        <w:spacing w:after="0" w:line="2" w:lineRule="exact"/>
        <w:rPr>
          <w:rFonts w:ascii="Arial" w:cs="Arial" w:eastAsia="Arial" w:hAnsi="Arial"/>
          <w:sz w:val="18"/>
          <w:szCs w:val="18"/>
          <w:color w:val="auto"/>
        </w:rPr>
      </w:pPr>
    </w:p>
    <w:p>
      <w:pPr>
        <w:ind w:left="335" w:right="1139" w:hanging="335"/>
        <w:spacing w:after="0" w:line="23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EBITDA in the Company’s renewable energy line of business improved by $22 million compared to the third quarter of 2020, primarily driven by increases in price.</w:t>
      </w:r>
    </w:p>
    <w:p>
      <w:pPr>
        <w:spacing w:after="0" w:line="1" w:lineRule="exact"/>
        <w:rPr>
          <w:rFonts w:ascii="Arial" w:cs="Arial" w:eastAsia="Arial" w:hAnsi="Arial"/>
          <w:sz w:val="18"/>
          <w:szCs w:val="18"/>
          <w:color w:val="auto"/>
        </w:rPr>
      </w:pPr>
    </w:p>
    <w:p>
      <w:pPr>
        <w:ind w:left="335" w:right="1139" w:hanging="335"/>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of 2021, the Company realized almost $26 million of operating and SG&amp;A cost synergies from the acquisition of Advanced Disposal.</w:t>
      </w:r>
    </w:p>
    <w:p>
      <w:pPr>
        <w:spacing w:after="0" w:line="161" w:lineRule="exact"/>
        <w:rPr>
          <w:sz w:val="20"/>
          <w:szCs w:val="20"/>
          <w:color w:val="auto"/>
        </w:rPr>
      </w:pPr>
    </w:p>
    <w:p>
      <w:pPr>
        <w:ind w:left="355"/>
        <w:spacing w:after="0"/>
        <w:rPr>
          <w:sz w:val="20"/>
          <w:szCs w:val="20"/>
          <w:color w:val="auto"/>
        </w:rPr>
      </w:pPr>
      <w:r>
        <w:rPr>
          <w:rFonts w:ascii="Arial" w:cs="Arial" w:eastAsia="Arial" w:hAnsi="Arial"/>
          <w:sz w:val="18"/>
          <w:szCs w:val="18"/>
          <w:b w:val="1"/>
          <w:bCs w:val="1"/>
          <w:u w:val="single" w:color="auto"/>
          <w:color w:val="auto"/>
        </w:rPr>
        <w:t>Free Cash Flow &amp; Capital Allocation</w:t>
      </w:r>
    </w:p>
    <w:p>
      <w:pPr>
        <w:spacing w:after="0" w:line="220" w:lineRule="exact"/>
        <w:rPr>
          <w:sz w:val="20"/>
          <w:szCs w:val="20"/>
          <w:color w:val="auto"/>
        </w:rPr>
      </w:pPr>
    </w:p>
    <w:p>
      <w:pPr>
        <w:jc w:val="both"/>
        <w:ind w:left="335" w:right="1139" w:hanging="335"/>
        <w:spacing w:after="0" w:line="234"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third quarter of 2021, net cash provided by operating activities was $1.18 billion compared to $1.03 billion in the third quarter of 2020. The improvement in net cash provided by operating activities was primarily driven by the increase in operating EBITDA.</w:t>
      </w:r>
    </w:p>
    <w:p>
      <w:pPr>
        <w:spacing w:after="0" w:line="2" w:lineRule="exact"/>
        <w:rPr>
          <w:rFonts w:ascii="Arial" w:cs="Arial" w:eastAsia="Arial" w:hAnsi="Arial"/>
          <w:sz w:val="18"/>
          <w:szCs w:val="18"/>
          <w:color w:val="auto"/>
        </w:rPr>
      </w:pPr>
    </w:p>
    <w:p>
      <w:pPr>
        <w:ind w:left="335" w:right="1139" w:hanging="335"/>
        <w:spacing w:after="0" w:line="234"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third quarter of 2021, capital expenditures were $464 million compared to $343 million in the third quarter of 2020.</w:t>
      </w:r>
    </w:p>
    <w:p>
      <w:pPr>
        <w:spacing w:after="0" w:line="1" w:lineRule="exact"/>
        <w:rPr>
          <w:rFonts w:ascii="Arial" w:cs="Arial" w:eastAsia="Arial" w:hAnsi="Arial"/>
          <w:sz w:val="18"/>
          <w:szCs w:val="18"/>
          <w:color w:val="auto"/>
        </w:rPr>
      </w:pPr>
    </w:p>
    <w:p>
      <w:pPr>
        <w:ind w:left="335" w:right="1139" w:hanging="335"/>
        <w:spacing w:after="0" w:line="19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third quarter of 2021, free cash flow was $773 million compared to $691 million in the third quarter of 2020.</w:t>
      </w:r>
      <w:r>
        <w:rPr>
          <w:rFonts w:ascii="Arial" w:cs="Arial" w:eastAsia="Arial" w:hAnsi="Arial"/>
          <w:sz w:val="29"/>
          <w:szCs w:val="29"/>
          <w:color w:val="auto"/>
          <w:vertAlign w:val="superscript"/>
        </w:rPr>
        <w:t>(a)</w:t>
      </w:r>
    </w:p>
    <w:p>
      <w:pPr>
        <w:spacing w:after="0" w:line="1" w:lineRule="exact"/>
        <w:rPr>
          <w:rFonts w:ascii="Arial" w:cs="Arial" w:eastAsia="Arial" w:hAnsi="Arial"/>
          <w:sz w:val="18"/>
          <w:szCs w:val="18"/>
          <w:color w:val="auto"/>
        </w:rPr>
      </w:pPr>
    </w:p>
    <w:p>
      <w:pPr>
        <w:ind w:left="335" w:right="1139" w:hanging="335"/>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third quarter of 2021, $741 million was returned to shareholders, including $500 million of share repurchases and $241 million of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94"/>
          </w:cols>
          <w:pgMar w:left="665" w:top="111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2021 OUTLOOK</w:t>
      </w:r>
    </w:p>
    <w:p>
      <w:pPr>
        <w:spacing w:after="0" w:line="220" w:lineRule="exact"/>
        <w:rPr>
          <w:sz w:val="20"/>
          <w:szCs w:val="20"/>
          <w:color w:val="auto"/>
        </w:rPr>
      </w:pPr>
    </w:p>
    <w:p>
      <w:pPr>
        <w:jc w:val="both"/>
        <w:ind w:left="680" w:right="1139" w:hanging="188"/>
        <w:spacing w:after="0" w:line="238"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Company revenue growth in 2021 is expected to be between 17% and 17.5%. Combined internal revenue growth from yield and volume in the collection and disposal business is expected to be about 6.5%, driven by the Company’s disciplined pricing programs and strong outlook for continued volume recovery.</w:t>
      </w:r>
    </w:p>
    <w:p>
      <w:pPr>
        <w:spacing w:after="0" w:line="3" w:lineRule="exact"/>
        <w:rPr>
          <w:rFonts w:ascii="Arial" w:cs="Arial" w:eastAsia="Arial" w:hAnsi="Arial"/>
          <w:sz w:val="18"/>
          <w:szCs w:val="18"/>
          <w:color w:val="auto"/>
        </w:rPr>
      </w:pPr>
    </w:p>
    <w:p>
      <w:pPr>
        <w:ind w:left="680" w:hanging="188"/>
        <w:spacing w:after="0" w:line="181" w:lineRule="auto"/>
        <w:tabs>
          <w:tab w:leader="none" w:pos="680" w:val="left"/>
        </w:tabs>
        <w:numPr>
          <w:ilvl w:val="0"/>
          <w:numId w:val="7"/>
        </w:numPr>
        <w:rPr>
          <w:rFonts w:ascii="Arial" w:cs="Arial" w:eastAsia="Arial" w:hAnsi="Arial"/>
          <w:sz w:val="31"/>
          <w:szCs w:val="31"/>
          <w:color w:val="auto"/>
          <w:vertAlign w:val="superscript"/>
        </w:rPr>
      </w:pPr>
      <w:r>
        <w:rPr>
          <w:rFonts w:ascii="Arial" w:cs="Arial" w:eastAsia="Arial" w:hAnsi="Arial"/>
          <w:sz w:val="16"/>
          <w:szCs w:val="16"/>
          <w:color w:val="auto"/>
        </w:rPr>
        <w:t>Adjusted operating EBITDA is expected to be between $5.0 billion and $5.1 billion in 2021.</w:t>
      </w:r>
      <w:r>
        <w:rPr>
          <w:rFonts w:ascii="Arial" w:cs="Arial" w:eastAsia="Arial" w:hAnsi="Arial"/>
          <w:sz w:val="25"/>
          <w:szCs w:val="25"/>
          <w:color w:val="auto"/>
          <w:vertAlign w:val="superscript"/>
        </w:rPr>
        <w:t>(a)</w:t>
      </w:r>
    </w:p>
    <w:p>
      <w:pPr>
        <w:ind w:left="680" w:hanging="188"/>
        <w:spacing w:after="0" w:line="183" w:lineRule="auto"/>
        <w:tabs>
          <w:tab w:leader="none" w:pos="680"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Free cash flow is projected to be between $2.5 billion and $2.6 billion in 2021.</w:t>
      </w:r>
      <w:r>
        <w:rPr>
          <w:rFonts w:ascii="Arial" w:cs="Arial" w:eastAsia="Arial" w:hAnsi="Arial"/>
          <w:sz w:val="19"/>
          <w:szCs w:val="19"/>
          <w:color w:val="auto"/>
          <w:vertAlign w:val="superscript"/>
        </w:rPr>
        <w:t>(a)</w:t>
      </w:r>
    </w:p>
    <w:p>
      <w:pPr>
        <w:jc w:val="both"/>
        <w:ind w:left="680" w:right="1139" w:hanging="18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on target to capture between $80 million and $85 million in cost synergies in 2021 from the acquisition of Advanced Disposal, which is on track to achieve $150 million in total annual run-rate synergies from cost and capital savings.</w:t>
      </w:r>
    </w:p>
    <w:p>
      <w:pPr>
        <w:spacing w:after="0" w:line="2" w:lineRule="exact"/>
        <w:rPr>
          <w:rFonts w:ascii="Arial" w:cs="Arial" w:eastAsia="Arial" w:hAnsi="Arial"/>
          <w:sz w:val="18"/>
          <w:szCs w:val="18"/>
          <w:color w:val="auto"/>
        </w:rPr>
      </w:pPr>
    </w:p>
    <w:p>
      <w:pPr>
        <w:ind w:left="680" w:right="1139" w:hanging="188"/>
        <w:spacing w:after="0" w:line="24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expects to repurchase an additional $350 million of its common stock in 2021, exhausting the full $1.35 billion of share repurchases previously authorized.</w:t>
      </w:r>
    </w:p>
    <w:p>
      <w:pPr>
        <w:spacing w:after="0" w:line="183" w:lineRule="exact"/>
        <w:rPr>
          <w:sz w:val="20"/>
          <w:szCs w:val="20"/>
          <w:color w:val="auto"/>
        </w:rPr>
      </w:pPr>
    </w:p>
    <w:p>
      <w:pPr>
        <w:jc w:val="both"/>
        <w:ind w:right="1139"/>
        <w:spacing w:after="0" w:line="238" w:lineRule="auto"/>
        <w:rPr>
          <w:sz w:val="20"/>
          <w:szCs w:val="20"/>
          <w:color w:val="auto"/>
        </w:rPr>
      </w:pPr>
      <w:r>
        <w:rPr>
          <w:rFonts w:ascii="Arial" w:cs="Arial" w:eastAsia="Arial" w:hAnsi="Arial"/>
          <w:sz w:val="18"/>
          <w:szCs w:val="18"/>
          <w:color w:val="auto"/>
        </w:rPr>
        <w:t xml:space="preserve">“Our people are doing an outstanding job providing essential services to our customers and communities. We’re proud to highlight many of the efforts that have helped us move the needle on our sustainability goals in our </w:t>
      </w:r>
      <w:r>
        <w:rPr>
          <w:rFonts w:ascii="Arial" w:cs="Arial" w:eastAsia="Arial" w:hAnsi="Arial"/>
          <w:sz w:val="18"/>
          <w:szCs w:val="18"/>
          <w:u w:val="single" w:color="auto"/>
          <w:color w:val="auto"/>
        </w:rPr>
        <w:t>2021</w:t>
      </w:r>
      <w:r>
        <w:rPr>
          <w:rFonts w:ascii="Arial" w:cs="Arial" w:eastAsia="Arial" w:hAnsi="Arial"/>
          <w:sz w:val="18"/>
          <w:szCs w:val="18"/>
          <w:color w:val="auto"/>
        </w:rPr>
        <w:t xml:space="preserve"> </w:t>
      </w:r>
      <w:r>
        <w:rPr>
          <w:rFonts w:ascii="Arial" w:cs="Arial" w:eastAsia="Arial" w:hAnsi="Arial"/>
          <w:sz w:val="18"/>
          <w:szCs w:val="18"/>
          <w:u w:val="single" w:color="auto"/>
          <w:color w:val="auto"/>
        </w:rPr>
        <w:t>Sustainability Report</w:t>
      </w:r>
      <w:r>
        <w:rPr>
          <w:rFonts w:ascii="Arial" w:cs="Arial" w:eastAsia="Arial" w:hAnsi="Arial"/>
          <w:sz w:val="18"/>
          <w:szCs w:val="18"/>
          <w:color w:val="auto"/>
        </w:rPr>
        <w:t xml:space="preserve"> released earlier this month. This year’s report focuses on the people behind the progress we have made in the past year, and how they are doing their part to take care of our customers, neighbors and the environment in communities across North America,” Fish concluded.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7" w:lineRule="exact"/>
        <w:rPr>
          <w:sz w:val="20"/>
          <w:szCs w:val="20"/>
          <w:color w:val="auto"/>
        </w:rPr>
      </w:pPr>
    </w:p>
    <w:p>
      <w:pPr>
        <w:ind w:left="680" w:right="1139" w:hanging="335"/>
        <w:spacing w:after="0" w:line="258"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39" w:lineRule="exact"/>
        <w:rPr>
          <w:rFonts w:ascii="Arial" w:cs="Arial" w:eastAsia="Arial" w:hAnsi="Arial"/>
          <w:sz w:val="14"/>
          <w:szCs w:val="14"/>
          <w:color w:val="auto"/>
        </w:rPr>
      </w:pPr>
    </w:p>
    <w:p>
      <w:pPr>
        <w:ind w:left="680" w:right="1139" w:hanging="335"/>
        <w:spacing w:after="0" w:line="258"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39" w:lineRule="exact"/>
        <w:rPr>
          <w:rFonts w:ascii="Arial" w:cs="Arial" w:eastAsia="Arial" w:hAnsi="Arial"/>
          <w:sz w:val="14"/>
          <w:szCs w:val="14"/>
          <w:color w:val="auto"/>
        </w:rPr>
      </w:pPr>
    </w:p>
    <w:p>
      <w:pPr>
        <w:ind w:left="680" w:right="1139" w:hanging="335"/>
        <w:spacing w:after="0" w:line="258"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39" w:lineRule="exact"/>
        <w:rPr>
          <w:rFonts w:ascii="Arial" w:cs="Arial" w:eastAsia="Arial" w:hAnsi="Arial"/>
          <w:sz w:val="14"/>
          <w:szCs w:val="14"/>
          <w:color w:val="auto"/>
        </w:rPr>
      </w:pPr>
    </w:p>
    <w:p>
      <w:pPr>
        <w:jc w:val="both"/>
        <w:ind w:left="680" w:right="1139" w:hanging="335"/>
        <w:spacing w:after="0" w:line="247"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47" w:lineRule="exact"/>
        <w:rPr>
          <w:rFonts w:ascii="Arial" w:cs="Arial" w:eastAsia="Arial" w:hAnsi="Arial"/>
          <w:sz w:val="14"/>
          <w:szCs w:val="14"/>
          <w:color w:val="auto"/>
        </w:rPr>
      </w:pPr>
    </w:p>
    <w:p>
      <w:pPr>
        <w:jc w:val="both"/>
        <w:ind w:left="680" w:right="1139" w:hanging="335"/>
        <w:spacing w:after="0" w:line="247"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2021, the Company updated its collection and disposal operating EBITDA calculation with a more accurate allocation of costs to this line of business that were previously consolidated at the corporate level. This revised calculation methodology increased collection and disposal operating EBITDA for the third quarter of 2020 from 31.2% of revenue, as previously reported, to 33.1% of revenue, as reported above.</w:t>
      </w:r>
    </w:p>
    <w:p>
      <w:pPr>
        <w:spacing w:after="0" w:line="200" w:lineRule="exact"/>
        <w:rPr>
          <w:sz w:val="20"/>
          <w:szCs w:val="20"/>
          <w:color w:val="auto"/>
        </w:rPr>
      </w:pPr>
    </w:p>
    <w:p>
      <w:pPr>
        <w:spacing w:after="0" w:line="306" w:lineRule="exact"/>
        <w:rPr>
          <w:sz w:val="20"/>
          <w:szCs w:val="20"/>
          <w:color w:val="auto"/>
        </w:rPr>
      </w:pPr>
    </w:p>
    <w:p>
      <w:pPr>
        <w:jc w:val="both"/>
        <w:ind w:right="1159"/>
        <w:spacing w:after="0" w:line="246" w:lineRule="auto"/>
        <w:rPr>
          <w:sz w:val="20"/>
          <w:szCs w:val="20"/>
          <w:color w:val="auto"/>
        </w:rPr>
      </w:pPr>
      <w:r>
        <w:rPr>
          <w:rFonts w:ascii="Arial" w:cs="Arial" w:eastAsia="Arial" w:hAnsi="Arial"/>
          <w:sz w:val="18"/>
          <w:szCs w:val="18"/>
          <w:color w:val="auto"/>
        </w:rPr>
        <w:t>The Company will host a conference call at 10 a.m. ET today to discuss the third quarter results. Information contained within this press release will be referenced and should be considered in conjunction with the call.</w:t>
      </w:r>
    </w:p>
    <w:p>
      <w:pPr>
        <w:spacing w:after="0" w:line="197" w:lineRule="exact"/>
        <w:rPr>
          <w:sz w:val="20"/>
          <w:szCs w:val="20"/>
          <w:color w:val="auto"/>
        </w:rPr>
      </w:pPr>
    </w:p>
    <w:p>
      <w:pPr>
        <w:jc w:val="both"/>
        <w:ind w:right="1139"/>
        <w:spacing w:after="0" w:line="257" w:lineRule="auto"/>
        <w:rPr>
          <w:sz w:val="20"/>
          <w:szCs w:val="20"/>
          <w:color w:val="auto"/>
        </w:rPr>
      </w:pPr>
      <w:r>
        <w:rPr>
          <w:rFonts w:ascii="Arial" w:cs="Arial" w:eastAsia="Arial" w:hAnsi="Arial"/>
          <w:sz w:val="17"/>
          <w:szCs w:val="17"/>
          <w:color w:val="auto"/>
        </w:rPr>
        <w:t xml:space="preserve">The conference call will be webcast live from the Investors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6835518 when prompted by the conference call operator.</w:t>
      </w:r>
    </w:p>
    <w:p>
      <w:pPr>
        <w:spacing w:after="0" w:line="189" w:lineRule="exact"/>
        <w:rPr>
          <w:sz w:val="20"/>
          <w:szCs w:val="20"/>
          <w:color w:val="auto"/>
        </w:rPr>
      </w:pPr>
    </w:p>
    <w:p>
      <w:pPr>
        <w:jc w:val="both"/>
        <w:ind w:right="1139"/>
        <w:spacing w:after="0" w:line="238"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 p.m. ET today through 5 p.m. ET on Tuesday, November 9, 2021. To access the replay telephonically, please dial (855) 859-2056, or from outside of the United States or Canada dial (404) 537-3406 and use the replay conference ID number 6835518.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ABOUT WM</w:t>
      </w:r>
    </w:p>
    <w:p>
      <w:pPr>
        <w:spacing w:after="0" w:line="22" w:lineRule="exact"/>
        <w:rPr>
          <w:sz w:val="20"/>
          <w:szCs w:val="20"/>
          <w:color w:val="auto"/>
        </w:rPr>
      </w:pPr>
    </w:p>
    <w:p>
      <w:pPr>
        <w:jc w:val="both"/>
        <w:ind w:right="129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providing services throughout the United States and Canada.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299"/>
        <w:spacing w:after="0" w:line="235"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“2021 Outlook” and all statements regarding 2021 financial guidance, future targets or financial results of our business; future revenue and revenue growth; integration of, and synergies from, the acquisition of Advanced Disposal Services, Inc. (“Advanced Disposal”); future share repurchases; and future operations, efficiencies, cost structure, cost management, pricing, volumes and margin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growth, and cost savings initiatives and overall business strategy; failure to identify acquisition targets and negotiate attractive terms; failure to consummate or integrate acquisitions; failure to obtain the results anticipated from acquisitions; failure to successfully integrate the acquisition of Advanced Disposal, realize anticipated synergies or obtain the results anticipated from such acquisition; environmental and other regulations, including developments related to emerging contaminants, gas emissions and renewable fuel; significant environmental, safety or other incidents resulting in liabilities or brand damage; failure to obtain and maintain necessary permits; failure to attract, hire and retain key team members and a high quality workforce; labor disruptions and workforce-related regulations; significant storms and destructive climate events; public health risk and other impacts of COVID-19 or similar pandemic conditions, including increased costs, social and commercial disruption and service reductions; macroeconomic pressures and market disruption resulting in labor, supply chain and transportation constraints and inflationary cost pressure; increased competition; pricing actions; commodity price fluctuations; international trade restrictions; disposal alternatives and waste diversion; declining waste volumes; weakness in general economic conditions and capital markets; adoption of new tax legislation; fuel shortages; failure to develop and protect new technology; failure of technology to perform as expected, including implementation of a new enterprise resource planning system;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Form 10-Qs, for additional information regarding these and other risks and uncertainties applicable to its business. The Company continues to be optimistic about volume recovery and overall economic recovery from the impacts of the COVID-19 pandemic, and the Company’s 2021 financial targets incorporate these views. However, uncertainty remains with respect to various factors that influence the pace of economic recovery, including workforce regulation and the potential for future resurgence in transmission of COVID-19 and related business closures due to virus variants or otherwise. Such conditions could have an unanticipated adverse impact on our business. The Company assumes no obligation to update any forward-looking statement, including financial estimates, forecasts, and guidance,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129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income from operations, adjusted operating expenses, adjusted SG&amp;A expenses, adjusted operating EBITDA, adjusted operating EBITDA margin, and free cash flow, as well as projections of adjusted operating EBITDA and free cash flow for 2021.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92" w:lineRule="exact"/>
        <w:rPr>
          <w:sz w:val="20"/>
          <w:szCs w:val="20"/>
          <w:color w:val="auto"/>
        </w:rPr>
      </w:pPr>
    </w:p>
    <w:p>
      <w:pPr>
        <w:jc w:val="both"/>
        <w:ind w:right="1299"/>
        <w:spacing w:after="0" w:line="237" w:lineRule="auto"/>
        <w:rPr>
          <w:sz w:val="20"/>
          <w:szCs w:val="20"/>
          <w:color w:val="auto"/>
        </w:rPr>
      </w:pPr>
      <w:r>
        <w:rPr>
          <w:rFonts w:ascii="Arial" w:cs="Arial" w:eastAsia="Arial" w:hAnsi="Arial"/>
          <w:sz w:val="18"/>
          <w:szCs w:val="18"/>
          <w:color w:val="auto"/>
        </w:rPr>
        <w:t>In addition, the Company’s projected full year 2021 adjusted operating EBITDA is anticipated to exclude the effects of other events or circumstances in 2021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9" w:lineRule="exact"/>
        <w:rPr>
          <w:sz w:val="20"/>
          <w:szCs w:val="20"/>
          <w:color w:val="auto"/>
        </w:rPr>
      </w:pPr>
    </w:p>
    <w:p>
      <w:pPr>
        <w:jc w:val="both"/>
        <w:ind w:right="1299"/>
        <w:spacing w:after="0" w:line="251" w:lineRule="auto"/>
        <w:rPr>
          <w:sz w:val="20"/>
          <w:szCs w:val="20"/>
          <w:color w:val="auto"/>
        </w:rPr>
      </w:pPr>
      <w:r>
        <w:rPr>
          <w:rFonts w:ascii="Arial" w:cs="Arial" w:eastAsia="Arial" w:hAnsi="Arial"/>
          <w:sz w:val="17"/>
          <w:szCs w:val="17"/>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3" w:lineRule="exact"/>
        <w:rPr>
          <w:sz w:val="20"/>
          <w:szCs w:val="20"/>
          <w:color w:val="auto"/>
        </w:rPr>
      </w:pPr>
    </w:p>
    <w:p>
      <w:pPr>
        <w:jc w:val="both"/>
        <w:ind w:right="1299"/>
        <w:spacing w:after="0"/>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spacing w:after="0" w:line="1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jc w:val="right"/>
              <w:ind w:right="47"/>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307"/>
              <w:spacing w:after="0"/>
              <w:rPr>
                <w:sz w:val="20"/>
                <w:szCs w:val="20"/>
                <w:color w:val="auto"/>
              </w:rPr>
            </w:pPr>
            <w:r>
              <w:rPr>
                <w:rFonts w:ascii="Arial" w:cs="Arial" w:eastAsia="Arial" w:hAnsi="Arial"/>
                <w:sz w:val="18"/>
                <w:szCs w:val="18"/>
                <w:b w:val="1"/>
                <w:bCs w:val="1"/>
                <w:color w:val="auto"/>
                <w:w w:val="87"/>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3,861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3"/>
              </w:rPr>
              <w:t>2,906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2,332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8,156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1,372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(Gain) loss from divestitures, asset impairments and unusual items, net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3,859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3,181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gridSpan w:val="2"/>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0.92</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basic common shares outstanding</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419.5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422.7</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422.0</w:t>
            </w:r>
          </w:p>
        </w:tc>
        <w:tc>
          <w:tcPr>
            <w:tcW w:w="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424.6</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423.6</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right="240"/>
        <w:spacing w:after="0" w:line="255" w:lineRule="auto"/>
        <w:rPr>
          <w:sz w:val="20"/>
          <w:szCs w:val="20"/>
          <w:color w:val="auto"/>
        </w:rPr>
      </w:pPr>
      <w:r>
        <w:rPr>
          <w:rFonts w:ascii="Arial" w:cs="Arial" w:eastAsia="Arial" w:hAnsi="Arial"/>
          <w:sz w:val="18"/>
          <w:szCs w:val="18"/>
          <w:color w:val="auto"/>
        </w:rPr>
        <w:t>Cash and cash equivalents Receivables, net Other</w:t>
      </w:r>
    </w:p>
    <w:p>
      <w:pPr>
        <w:spacing w:after="0" w:line="1"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Total current assets Property and equipment, net Goodwill</w:t>
      </w:r>
    </w:p>
    <w:p>
      <w:pPr>
        <w:spacing w:after="0" w:line="3"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rPr>
              <w:t>WASTE MANAGEMENT, INC.</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5"/>
              </w:rPr>
              <w:t>(In Millions)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2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-1560195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-1276985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-1002665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-711200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-436880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-154305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-127635</wp:posOffset>
            </wp:positionV>
            <wp:extent cx="170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2300" w:space="720"/>
            <w:col w:w="8220"/>
          </w:cols>
          <w:pgMar w:left="320" w:top="90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440" w:type="dxa"/>
            <w:vAlign w:val="bottom"/>
          </w:tcPr>
          <w:p>
            <w:pPr>
              <w:ind w:left="180"/>
              <w:spacing w:after="0"/>
              <w:rPr>
                <w:sz w:val="20"/>
                <w:szCs w:val="20"/>
                <w:color w:val="auto"/>
              </w:rPr>
            </w:pPr>
            <w:r>
              <w:rPr>
                <w:rFonts w:ascii="Arial" w:cs="Arial" w:eastAsia="Arial" w:hAnsi="Arial"/>
                <w:sz w:val="18"/>
                <w:szCs w:val="18"/>
                <w:color w:val="auto"/>
              </w:rPr>
              <w:t>Accounts payable, accrued liabilities and deferred revenues</w:t>
            </w:r>
          </w:p>
        </w:tc>
        <w:tc>
          <w:tcPr>
            <w:tcW w:w="24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3,501</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3,002</w:t>
            </w:r>
          </w:p>
        </w:tc>
        <w:tc>
          <w:tcPr>
            <w:tcW w:w="80" w:type="dxa"/>
            <w:vAlign w:val="bottom"/>
          </w:tcPr>
          <w:p>
            <w:pPr>
              <w:spacing w:after="0"/>
              <w:rPr>
                <w:sz w:val="18"/>
                <w:szCs w:val="18"/>
                <w:color w:val="auto"/>
              </w:rPr>
            </w:pPr>
          </w:p>
        </w:tc>
      </w:tr>
      <w:tr>
        <w:trPr>
          <w:trHeight w:val="229"/>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9"/>
                <w:szCs w:val="19"/>
                <w:color w:val="auto"/>
              </w:rPr>
            </w:pPr>
          </w:p>
        </w:tc>
      </w:tr>
      <w:tr>
        <w:trPr>
          <w:trHeight w:val="210"/>
        </w:trPr>
        <w:tc>
          <w:tcPr>
            <w:tcW w:w="64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13,259</w:t>
            </w:r>
          </w:p>
        </w:tc>
        <w:tc>
          <w:tcPr>
            <w:tcW w:w="80" w:type="dxa"/>
            <w:vAlign w:val="bottom"/>
            <w:shd w:val="clear" w:color="auto" w:fill="CCEEFF"/>
          </w:tcPr>
          <w:p>
            <w:pPr>
              <w:spacing w:after="0"/>
              <w:rPr>
                <w:sz w:val="18"/>
                <w:szCs w:val="18"/>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5,119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5,079</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6440" w:type="dxa"/>
            <w:vAlign w:val="bottom"/>
          </w:tcPr>
          <w:p>
            <w:pPr>
              <w:spacing w:after="0"/>
              <w:rPr>
                <w:sz w:val="20"/>
                <w:szCs w:val="20"/>
                <w:color w:val="auto"/>
              </w:rPr>
            </w:pPr>
            <w:r>
              <w:rPr>
                <w:rFonts w:ascii="Arial" w:cs="Arial" w:eastAsia="Arial" w:hAnsi="Arial"/>
                <w:sz w:val="18"/>
                <w:szCs w:val="18"/>
                <w:color w:val="auto"/>
              </w:rPr>
              <w:t>Equity:</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Waste Management, Inc. stockholders’ 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7,452</w:t>
            </w:r>
          </w:p>
        </w:tc>
        <w:tc>
          <w:tcPr>
            <w:tcW w:w="80" w:type="dxa"/>
            <w:vAlign w:val="bottom"/>
            <w:shd w:val="clear" w:color="auto" w:fill="CCEEFF"/>
          </w:tcPr>
          <w:p>
            <w:pPr>
              <w:spacing w:after="0"/>
              <w:rPr>
                <w:sz w:val="18"/>
                <w:szCs w:val="18"/>
                <w:color w:val="auto"/>
              </w:rPr>
            </w:pPr>
          </w:p>
        </w:tc>
      </w:tr>
      <w:tr>
        <w:trPr>
          <w:trHeight w:val="229"/>
        </w:trPr>
        <w:tc>
          <w:tcPr>
            <w:tcW w:w="64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10"/>
        </w:trPr>
        <w:tc>
          <w:tcPr>
            <w:tcW w:w="6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4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 w:name="page11"/>
    <w:bookmarkEnd w:id="10"/>
    <w:p>
      <w:pPr>
        <w:jc w:val="center"/>
        <w:ind w:right="8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1,311</w:t>
            </w:r>
          </w:p>
        </w:tc>
        <w:tc>
          <w:tcPr>
            <w:tcW w:w="440" w:type="dxa"/>
            <w:vAlign w:val="bottom"/>
            <w:gridSpan w:val="2"/>
          </w:tcPr>
          <w:p>
            <w:pPr>
              <w:jc w:val="right"/>
              <w:ind w:right="267"/>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1,235</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r>
      <w:tr>
        <w:trPr>
          <w:trHeight w:val="229"/>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(1,238)</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09"/>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New borrowings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6,428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2,650</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repayments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(5,764)</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Premiums and other paid on early extinguishment of debt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(696)</w:t>
            </w:r>
          </w:p>
        </w:tc>
      </w:tr>
      <w:tr>
        <w:trPr>
          <w:trHeight w:val="21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0"/>
        </w:trPr>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(2,834)</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rPr>
              <w:t>WASTE MANAGEMENT, INC.</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99"/>
              </w:rPr>
              <w:t>SUMMARY DATA SHEET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8"/>
          </w:tcPr>
          <w:p>
            <w:pPr>
              <w:jc w:val="center"/>
              <w:ind w:right="40"/>
              <w:spacing w:after="0"/>
              <w:rPr>
                <w:sz w:val="20"/>
                <w:szCs w:val="20"/>
                <w:color w:val="auto"/>
              </w:rPr>
            </w:pPr>
            <w:r>
              <w:rPr>
                <w:rFonts w:ascii="Arial" w:cs="Arial" w:eastAsia="Arial" w:hAnsi="Arial"/>
                <w:sz w:val="18"/>
                <w:szCs w:val="18"/>
                <w:b w:val="1"/>
                <w:bCs w:val="1"/>
                <w:color w:val="auto"/>
                <w:w w:val="95"/>
              </w:rPr>
              <w:t>(In Millions)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b w:val="1"/>
                <w:bCs w:val="1"/>
                <w:color w:val="auto"/>
                <w:w w:val="90"/>
              </w:rPr>
              <w:t>Operating Revenues by Line of Business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10"/>
          </w:tcPr>
          <w:p>
            <w:pPr>
              <w:jc w:val="right"/>
              <w:ind w:right="34"/>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12"/>
          </w:tcPr>
          <w:p>
            <w:pPr>
              <w:jc w:val="right"/>
              <w:ind w:right="635"/>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7"/>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10"/>
          </w:tcPr>
          <w:p>
            <w:pPr>
              <w:jc w:val="right"/>
              <w:ind w:right="855"/>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4"/>
              </w:rPr>
              <w:t>2020</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47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2,371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 collection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collection</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2,516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3,090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Recycling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70"/>
        </w:trPr>
        <w:tc>
          <w:tcPr>
            <w:tcW w:w="3200" w:type="dxa"/>
            <w:vAlign w:val="bottom"/>
          </w:tcPr>
          <w:p>
            <w:pPr>
              <w:spacing w:after="0" w:line="270" w:lineRule="exact"/>
              <w:rPr>
                <w:sz w:val="20"/>
                <w:szCs w:val="20"/>
                <w:color w:val="auto"/>
              </w:rPr>
            </w:pPr>
            <w:r>
              <w:rPr>
                <w:rFonts w:ascii="Arial" w:cs="Arial" w:eastAsia="Arial" w:hAnsi="Arial"/>
                <w:sz w:val="18"/>
                <w:szCs w:val="18"/>
                <w:color w:val="auto"/>
              </w:rPr>
              <w:t xml:space="preserve">Intercompany </w:t>
            </w:r>
            <w:r>
              <w:rPr>
                <w:rFonts w:ascii="Arial" w:cs="Arial" w:eastAsia="Arial" w:hAnsi="Arial"/>
                <w:sz w:val="29"/>
                <w:szCs w:val="29"/>
                <w:color w:val="auto"/>
                <w:vertAlign w:val="superscript"/>
              </w:rPr>
              <w:t>(a)</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(978)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w w:val="91"/>
              </w:rPr>
              <w:t>(2,796)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3,861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right w:val="single" w:sz="8" w:color="CCEEFF"/>
            </w:tcBorders>
            <w:shd w:val="clear" w:color="auto" w:fill="CCEEFF"/>
          </w:tcPr>
          <w:p>
            <w:pPr>
              <w:jc w:val="right"/>
              <w:ind w:right="47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13,253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gridSpan w:val="19"/>
          </w:tcPr>
          <w:p>
            <w:pPr>
              <w:ind w:left="40"/>
              <w:spacing w:after="0"/>
              <w:rPr>
                <w:sz w:val="20"/>
                <w:szCs w:val="20"/>
                <w:color w:val="auto"/>
              </w:rPr>
            </w:pPr>
            <w:r>
              <w:rPr>
                <w:rFonts w:ascii="Arial" w:cs="Arial" w:eastAsia="Arial" w:hAnsi="Arial"/>
                <w:sz w:val="18"/>
                <w:szCs w:val="18"/>
                <w:b w:val="1"/>
                <w:bCs w:val="1"/>
                <w:color w:val="auto"/>
                <w:w w:val="98"/>
              </w:rPr>
              <w:t>Period-to-Period Change for the Three Months</w:t>
            </w:r>
          </w:p>
        </w:tc>
        <w:tc>
          <w:tcPr>
            <w:tcW w:w="3760" w:type="dxa"/>
            <w:vAlign w:val="bottom"/>
            <w:gridSpan w:val="17"/>
          </w:tcPr>
          <w:p>
            <w:pPr>
              <w:ind w:left="40"/>
              <w:spacing w:after="0"/>
              <w:rPr>
                <w:sz w:val="20"/>
                <w:szCs w:val="20"/>
                <w:color w:val="auto"/>
              </w:rPr>
            </w:pPr>
            <w:r>
              <w:rPr>
                <w:rFonts w:ascii="Arial" w:cs="Arial" w:eastAsia="Arial" w:hAnsi="Arial"/>
                <w:sz w:val="18"/>
                <w:szCs w:val="18"/>
                <w:b w:val="1"/>
                <w:bCs w:val="1"/>
                <w:color w:val="auto"/>
                <w:w w:val="95"/>
              </w:rPr>
              <w:t>Period-to-Period Change for the Nine Months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13"/>
          </w:tcPr>
          <w:p>
            <w:pPr>
              <w:jc w:val="right"/>
              <w:ind w:right="260"/>
              <w:spacing w:after="0"/>
              <w:rPr>
                <w:sz w:val="20"/>
                <w:szCs w:val="20"/>
                <w:color w:val="auto"/>
              </w:rPr>
            </w:pPr>
            <w:r>
              <w:rPr>
                <w:rFonts w:ascii="Arial" w:cs="Arial" w:eastAsia="Arial" w:hAnsi="Arial"/>
                <w:sz w:val="18"/>
                <w:szCs w:val="18"/>
                <w:b w:val="1"/>
                <w:bCs w:val="1"/>
                <w:color w:val="auto"/>
                <w:w w:val="99"/>
              </w:rPr>
              <w:t>Ended September 30, 2021 vs. 2020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16"/>
          </w:tcPr>
          <w:p>
            <w:pPr>
              <w:jc w:val="right"/>
              <w:ind w:right="575"/>
              <w:spacing w:after="0"/>
              <w:rPr>
                <w:sz w:val="20"/>
                <w:szCs w:val="20"/>
                <w:color w:val="auto"/>
              </w:rPr>
            </w:pPr>
            <w:r>
              <w:rPr>
                <w:rFonts w:ascii="Arial" w:cs="Arial" w:eastAsia="Arial" w:hAnsi="Arial"/>
                <w:sz w:val="18"/>
                <w:szCs w:val="18"/>
                <w:b w:val="1"/>
                <w:bCs w:val="1"/>
                <w:color w:val="auto"/>
                <w:w w:val="91"/>
              </w:rPr>
              <w:t>Ended September 30, 2021 vs. 2020</w:t>
            </w: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ind w:left="40"/>
              <w:spacing w:after="0" w:line="191" w:lineRule="exact"/>
              <w:rPr>
                <w:sz w:val="20"/>
                <w:szCs w:val="20"/>
                <w:color w:val="auto"/>
              </w:rPr>
            </w:pPr>
            <w:r>
              <w:rPr>
                <w:rFonts w:ascii="Arial" w:cs="Arial" w:eastAsia="Arial" w:hAnsi="Arial"/>
                <w:sz w:val="18"/>
                <w:szCs w:val="18"/>
                <w:b w:val="1"/>
                <w:bCs w:val="1"/>
                <w:color w:val="auto"/>
                <w:w w:val="98"/>
              </w:rPr>
              <w:t>As a %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5"/>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right"/>
              <w:ind w:right="140"/>
              <w:spacing w:after="0" w:line="191" w:lineRule="exact"/>
              <w:rPr>
                <w:sz w:val="20"/>
                <w:szCs w:val="20"/>
                <w:color w:val="auto"/>
              </w:rPr>
            </w:pPr>
            <w:r>
              <w:rPr>
                <w:rFonts w:ascii="Arial" w:cs="Arial" w:eastAsia="Arial" w:hAnsi="Arial"/>
                <w:sz w:val="18"/>
                <w:szCs w:val="18"/>
                <w:b w:val="1"/>
                <w:bCs w:val="1"/>
                <w:color w:val="auto"/>
                <w:w w:val="96"/>
              </w:rPr>
              <w:t>As a % of</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As a %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b w:val="1"/>
                <w:bCs w:val="1"/>
                <w:color w:val="auto"/>
              </w:rPr>
              <w:t>Related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2"/>
              </w:rPr>
              <w:t>Total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Related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15"/>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1"/>
        </w:trPr>
        <w:tc>
          <w:tcPr>
            <w:tcW w:w="3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gridSpan w:val="6"/>
          </w:tcPr>
          <w:p>
            <w:pPr>
              <w:ind w:left="20"/>
              <w:spacing w:after="0" w:line="271" w:lineRule="exact"/>
              <w:rPr>
                <w:sz w:val="20"/>
                <w:szCs w:val="20"/>
                <w:color w:val="auto"/>
              </w:rPr>
            </w:pPr>
            <w:r>
              <w:rPr>
                <w:rFonts w:ascii="Arial" w:cs="Arial" w:eastAsia="Arial" w:hAnsi="Arial"/>
                <w:sz w:val="18"/>
                <w:szCs w:val="18"/>
                <w:b w:val="1"/>
                <w:bCs w:val="1"/>
                <w:color w:val="auto"/>
                <w:w w:val="87"/>
              </w:rPr>
              <w:t>Amount  Business</w:t>
            </w:r>
            <w:r>
              <w:rPr>
                <w:rFonts w:ascii="Arial" w:cs="Arial" w:eastAsia="Arial" w:hAnsi="Arial"/>
                <w:sz w:val="29"/>
                <w:szCs w:val="29"/>
                <w:b w:val="1"/>
                <w:bCs w:val="1"/>
                <w:color w:val="auto"/>
                <w:w w:val="87"/>
                <w:vertAlign w:val="superscript"/>
              </w:rPr>
              <w:t>(b)</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4"/>
          </w:tcPr>
          <w:p>
            <w:pPr>
              <w:ind w:left="80"/>
              <w:spacing w:after="0"/>
              <w:rPr>
                <w:sz w:val="20"/>
                <w:szCs w:val="20"/>
                <w:color w:val="auto"/>
              </w:rPr>
            </w:pPr>
            <w:r>
              <w:rPr>
                <w:rFonts w:ascii="Arial" w:cs="Arial" w:eastAsia="Arial" w:hAnsi="Arial"/>
                <w:sz w:val="18"/>
                <w:szCs w:val="18"/>
                <w:b w:val="1"/>
                <w:bCs w:val="1"/>
                <w:color w:val="auto"/>
              </w:rPr>
              <w:t>Amount</w:t>
            </w:r>
          </w:p>
        </w:tc>
        <w:tc>
          <w:tcPr>
            <w:tcW w:w="1200" w:type="dxa"/>
            <w:vAlign w:val="bottom"/>
            <w:gridSpan w:val="7"/>
          </w:tcPr>
          <w:p>
            <w:pPr>
              <w:jc w:val="center"/>
              <w:ind w:right="190"/>
              <w:spacing w:after="0" w:line="271" w:lineRule="exact"/>
              <w:rPr>
                <w:sz w:val="20"/>
                <w:szCs w:val="20"/>
                <w:color w:val="auto"/>
              </w:rPr>
            </w:pPr>
            <w:r>
              <w:rPr>
                <w:rFonts w:ascii="Arial" w:cs="Arial" w:eastAsia="Arial" w:hAnsi="Arial"/>
                <w:sz w:val="18"/>
                <w:szCs w:val="18"/>
                <w:b w:val="1"/>
                <w:bCs w:val="1"/>
                <w:color w:val="auto"/>
                <w:w w:val="87"/>
              </w:rPr>
              <w:t>Company</w:t>
            </w:r>
            <w:r>
              <w:rPr>
                <w:rFonts w:ascii="Arial" w:cs="Arial" w:eastAsia="Arial" w:hAnsi="Arial"/>
                <w:sz w:val="29"/>
                <w:szCs w:val="29"/>
                <w:b w:val="1"/>
                <w:bCs w:val="1"/>
                <w:color w:val="auto"/>
                <w:w w:val="87"/>
                <w:vertAlign w:val="superscript"/>
              </w:rPr>
              <w:t>(c)</w:t>
            </w:r>
          </w:p>
        </w:tc>
        <w:tc>
          <w:tcPr>
            <w:tcW w:w="1720" w:type="dxa"/>
            <w:vAlign w:val="bottom"/>
            <w:gridSpan w:val="7"/>
          </w:tcPr>
          <w:p>
            <w:pPr>
              <w:ind w:left="20"/>
              <w:spacing w:after="0" w:line="271" w:lineRule="exact"/>
              <w:rPr>
                <w:sz w:val="20"/>
                <w:szCs w:val="20"/>
                <w:color w:val="auto"/>
              </w:rPr>
            </w:pPr>
            <w:r>
              <w:rPr>
                <w:rFonts w:ascii="Arial" w:cs="Arial" w:eastAsia="Arial" w:hAnsi="Arial"/>
                <w:sz w:val="18"/>
                <w:szCs w:val="18"/>
                <w:b w:val="1"/>
                <w:bCs w:val="1"/>
                <w:color w:val="auto"/>
                <w:w w:val="91"/>
              </w:rPr>
              <w:t>Amount  Business</w:t>
            </w:r>
            <w:r>
              <w:rPr>
                <w:rFonts w:ascii="Arial" w:cs="Arial" w:eastAsia="Arial" w:hAnsi="Arial"/>
                <w:sz w:val="29"/>
                <w:szCs w:val="29"/>
                <w:b w:val="1"/>
                <w:bCs w:val="1"/>
                <w:color w:val="auto"/>
                <w:w w:val="91"/>
                <w:vertAlign w:val="superscript"/>
              </w:rPr>
              <w:t>(b)</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6"/>
          </w:tcPr>
          <w:p>
            <w:pPr>
              <w:ind w:left="2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115"/>
              <w:spacing w:after="0" w:line="271" w:lineRule="exact"/>
              <w:rPr>
                <w:sz w:val="20"/>
                <w:szCs w:val="20"/>
                <w:color w:val="auto"/>
              </w:rPr>
            </w:pPr>
            <w:r>
              <w:rPr>
                <w:rFonts w:ascii="Arial" w:cs="Arial" w:eastAsia="Arial" w:hAnsi="Arial"/>
                <w:sz w:val="18"/>
                <w:szCs w:val="18"/>
                <w:b w:val="1"/>
                <w:bCs w:val="1"/>
                <w:color w:val="auto"/>
                <w:w w:val="87"/>
              </w:rPr>
              <w:t>Company</w:t>
            </w:r>
            <w:r>
              <w:rPr>
                <w:rFonts w:ascii="Arial" w:cs="Arial" w:eastAsia="Arial" w:hAnsi="Arial"/>
                <w:sz w:val="29"/>
                <w:szCs w:val="29"/>
                <w:b w:val="1"/>
                <w:bCs w:val="1"/>
                <w:color w:val="auto"/>
                <w:w w:val="87"/>
                <w:vertAlign w:val="superscript"/>
              </w:rPr>
              <w:t>(c)</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vMerge w:val="continue"/>
            <w:shd w:val="clear" w:color="auto" w:fill="CCEEFF"/>
          </w:tcPr>
          <w:p>
            <w:pPr>
              <w:spacing w:after="0"/>
              <w:rPr>
                <w:sz w:val="18"/>
                <w:szCs w:val="18"/>
                <w:color w:val="auto"/>
              </w:rPr>
            </w:pPr>
          </w:p>
        </w:tc>
        <w:tc>
          <w:tcPr>
            <w:tcW w:w="1120" w:type="dxa"/>
            <w:vAlign w:val="bottom"/>
            <w:tcBorders>
              <w:lef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7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334</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0" w:type="dxa"/>
            <w:vAlign w:val="bottom"/>
          </w:tcPr>
          <w:p>
            <w:pPr>
              <w:spacing w:after="0" w:line="256" w:lineRule="exact"/>
              <w:rPr>
                <w:sz w:val="20"/>
                <w:szCs w:val="20"/>
                <w:color w:val="auto"/>
              </w:rPr>
            </w:pPr>
            <w:r>
              <w:rPr>
                <w:rFonts w:ascii="Arial" w:cs="Arial" w:eastAsia="Arial" w:hAnsi="Arial"/>
                <w:sz w:val="18"/>
                <w:szCs w:val="18"/>
                <w:color w:val="auto"/>
              </w:rPr>
              <w:t xml:space="preserve">Recycling </w:t>
            </w:r>
            <w:r>
              <w:rPr>
                <w:rFonts w:ascii="Arial" w:cs="Arial" w:eastAsia="Arial" w:hAnsi="Arial"/>
                <w:sz w:val="29"/>
                <w:szCs w:val="29"/>
                <w:color w:val="auto"/>
                <w:vertAlign w:val="superscript"/>
              </w:rPr>
              <w:t>(d)</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361</w:t>
            </w:r>
          </w:p>
        </w:tc>
        <w:tc>
          <w:tcPr>
            <w:tcW w:w="120" w:type="dxa"/>
            <w:vAlign w:val="bottom"/>
          </w:tcPr>
          <w:p>
            <w:pPr>
              <w:spacing w:after="0"/>
              <w:rPr>
                <w:sz w:val="22"/>
                <w:szCs w:val="22"/>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860" w:type="dxa"/>
            <w:vAlign w:val="bottom"/>
            <w:tcBorders>
              <w:lef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tcPr>
          <w:p>
            <w:pPr>
              <w:ind w:left="180"/>
              <w:spacing w:after="0" w:line="236" w:lineRule="exact"/>
              <w:rPr>
                <w:sz w:val="20"/>
                <w:szCs w:val="20"/>
                <w:color w:val="auto"/>
              </w:rPr>
            </w:pPr>
            <w:r>
              <w:rPr>
                <w:rFonts w:ascii="Arial" w:cs="Arial" w:eastAsia="Arial" w:hAnsi="Arial"/>
                <w:sz w:val="17"/>
                <w:szCs w:val="17"/>
                <w:color w:val="auto"/>
              </w:rPr>
              <w:t xml:space="preserve">Total average yield </w:t>
            </w:r>
            <w:r>
              <w:rPr>
                <w:rFonts w:ascii="Arial" w:cs="Arial" w:eastAsia="Arial" w:hAnsi="Arial"/>
                <w:sz w:val="27"/>
                <w:szCs w:val="27"/>
                <w:color w:val="auto"/>
                <w:vertAlign w:val="superscript"/>
              </w:rPr>
              <w:t>(e)</w:t>
            </w: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5"/>
          </w:tcPr>
          <w:p>
            <w:pPr>
              <w:jc w:val="right"/>
              <w:ind w:right="30"/>
              <w:spacing w:after="0"/>
              <w:rPr>
                <w:sz w:val="20"/>
                <w:szCs w:val="20"/>
                <w:color w:val="auto"/>
              </w:rPr>
            </w:pPr>
            <w:r>
              <w:rPr>
                <w:rFonts w:ascii="Arial" w:cs="Arial" w:eastAsia="Arial" w:hAnsi="Arial"/>
                <w:sz w:val="18"/>
                <w:szCs w:val="18"/>
                <w:color w:val="auto"/>
                <w:w w:val="92"/>
              </w:rPr>
              <w:t>9.1%</w:t>
            </w: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783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3.8</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384</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color w:val="auto"/>
              </w:rPr>
              <w:t>Internal revenue growth</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9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8.0</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929</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(37)</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0.3</w:t>
            </w: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20.8</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200" w:type="dxa"/>
            <w:vAlign w:val="bottom"/>
          </w:tcPr>
          <w:p>
            <w:pPr>
              <w:spacing w:after="0"/>
              <w:rPr>
                <w:sz w:val="24"/>
                <w:szCs w:val="24"/>
                <w:color w:val="auto"/>
              </w:rPr>
            </w:pPr>
          </w:p>
        </w:tc>
        <w:tc>
          <w:tcPr>
            <w:tcW w:w="376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1"/>
              </w:rPr>
              <w:t>Period-to-Period Change for the Three Months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60" w:type="dxa"/>
            <w:vAlign w:val="bottom"/>
            <w:gridSpan w:val="18"/>
          </w:tcPr>
          <w:p>
            <w:pPr>
              <w:jc w:val="center"/>
              <w:ind w:right="115"/>
              <w:spacing w:after="0"/>
              <w:rPr>
                <w:sz w:val="20"/>
                <w:szCs w:val="20"/>
                <w:color w:val="auto"/>
              </w:rPr>
            </w:pPr>
            <w:r>
              <w:rPr>
                <w:rFonts w:ascii="Arial" w:cs="Arial" w:eastAsia="Arial" w:hAnsi="Arial"/>
                <w:sz w:val="18"/>
                <w:szCs w:val="18"/>
                <w:b w:val="1"/>
                <w:bCs w:val="1"/>
                <w:color w:val="auto"/>
                <w:w w:val="91"/>
              </w:rPr>
              <w:t>Period-to-Period Change for the Nine Months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13"/>
          </w:tcPr>
          <w:p>
            <w:pPr>
              <w:jc w:val="center"/>
              <w:ind w:right="440"/>
              <w:spacing w:after="0"/>
              <w:rPr>
                <w:sz w:val="20"/>
                <w:szCs w:val="20"/>
                <w:color w:val="auto"/>
              </w:rPr>
            </w:pPr>
            <w:r>
              <w:rPr>
                <w:rFonts w:ascii="Arial" w:cs="Arial" w:eastAsia="Arial" w:hAnsi="Arial"/>
                <w:sz w:val="18"/>
                <w:szCs w:val="18"/>
                <w:b w:val="1"/>
                <w:bCs w:val="1"/>
                <w:color w:val="auto"/>
                <w:w w:val="89"/>
              </w:rPr>
              <w:t>Ended September 30, 2021 vs. 2020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16"/>
          </w:tcPr>
          <w:p>
            <w:pPr>
              <w:jc w:val="center"/>
              <w:ind w:right="675"/>
              <w:spacing w:after="0"/>
              <w:rPr>
                <w:sz w:val="20"/>
                <w:szCs w:val="20"/>
                <w:color w:val="auto"/>
              </w:rPr>
            </w:pPr>
            <w:r>
              <w:rPr>
                <w:rFonts w:ascii="Arial" w:cs="Arial" w:eastAsia="Arial" w:hAnsi="Arial"/>
                <w:sz w:val="18"/>
                <w:szCs w:val="18"/>
                <w:b w:val="1"/>
                <w:bCs w:val="1"/>
                <w:color w:val="auto"/>
                <w:w w:val="89"/>
              </w:rPr>
              <w:t>Ended September 30, 2021 vs. 2020</w:t>
            </w: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20" w:type="dxa"/>
            <w:vAlign w:val="bottom"/>
            <w:tcBorders>
              <w:top w:val="single" w:sz="8" w:color="auto"/>
              <w:bottom w:val="single" w:sz="8" w:color="auto"/>
            </w:tcBorders>
            <w:gridSpan w:val="11"/>
          </w:tcPr>
          <w:p>
            <w:pPr>
              <w:jc w:val="center"/>
              <w:ind w:left="170"/>
              <w:spacing w:after="0" w:line="250" w:lineRule="exact"/>
              <w:rPr>
                <w:sz w:val="20"/>
                <w:szCs w:val="20"/>
                <w:color w:val="auto"/>
              </w:rPr>
            </w:pPr>
            <w:r>
              <w:rPr>
                <w:rFonts w:ascii="Arial" w:cs="Arial" w:eastAsia="Arial" w:hAnsi="Arial"/>
                <w:sz w:val="17"/>
                <w:szCs w:val="17"/>
                <w:b w:val="1"/>
                <w:bCs w:val="1"/>
                <w:color w:val="auto"/>
                <w:w w:val="92"/>
              </w:rPr>
              <w:t>As a % of Related Business</w:t>
            </w:r>
            <w:r>
              <w:rPr>
                <w:rFonts w:ascii="Arial" w:cs="Arial" w:eastAsia="Arial" w:hAnsi="Arial"/>
                <w:sz w:val="28"/>
                <w:szCs w:val="28"/>
                <w:b w:val="1"/>
                <w:bCs w:val="1"/>
                <w:color w:val="auto"/>
                <w:w w:val="92"/>
                <w:vertAlign w:val="superscript"/>
              </w:rPr>
              <w:t>(b)</w:t>
            </w:r>
          </w:p>
        </w:tc>
        <w:tc>
          <w:tcPr>
            <w:tcW w:w="5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3320" w:type="dxa"/>
            <w:vAlign w:val="bottom"/>
            <w:tcBorders>
              <w:top w:val="single" w:sz="8" w:color="auto"/>
              <w:bottom w:val="single" w:sz="8" w:color="auto"/>
            </w:tcBorders>
            <w:gridSpan w:val="15"/>
          </w:tcPr>
          <w:p>
            <w:pPr>
              <w:jc w:val="center"/>
              <w:ind w:right="510"/>
              <w:spacing w:after="0" w:line="250" w:lineRule="exact"/>
              <w:rPr>
                <w:sz w:val="20"/>
                <w:szCs w:val="20"/>
                <w:color w:val="auto"/>
              </w:rPr>
            </w:pPr>
            <w:r>
              <w:rPr>
                <w:rFonts w:ascii="Arial" w:cs="Arial" w:eastAsia="Arial" w:hAnsi="Arial"/>
                <w:sz w:val="17"/>
                <w:szCs w:val="17"/>
                <w:b w:val="1"/>
                <w:bCs w:val="1"/>
                <w:color w:val="auto"/>
                <w:w w:val="92"/>
              </w:rPr>
              <w:t>As a % of Related Business</w:t>
            </w:r>
            <w:r>
              <w:rPr>
                <w:rFonts w:ascii="Arial" w:cs="Arial" w:eastAsia="Arial" w:hAnsi="Arial"/>
                <w:sz w:val="28"/>
                <w:szCs w:val="28"/>
                <w:b w:val="1"/>
                <w:bCs w:val="1"/>
                <w:color w:val="auto"/>
                <w:w w:val="92"/>
                <w:vertAlign w:val="superscript"/>
              </w:rPr>
              <w:t>(b)</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Yield</w:t>
            </w:r>
          </w:p>
        </w:tc>
        <w:tc>
          <w:tcPr>
            <w:tcW w:w="68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480"/>
              <w:spacing w:after="0" w:line="250" w:lineRule="exact"/>
              <w:rPr>
                <w:sz w:val="20"/>
                <w:szCs w:val="20"/>
                <w:color w:val="auto"/>
              </w:rPr>
            </w:pPr>
            <w:r>
              <w:rPr>
                <w:rFonts w:ascii="Arial" w:cs="Arial" w:eastAsia="Arial" w:hAnsi="Arial"/>
                <w:sz w:val="17"/>
                <w:szCs w:val="17"/>
                <w:b w:val="1"/>
                <w:bCs w:val="1"/>
                <w:color w:val="auto"/>
              </w:rPr>
              <w:t>Volume</w:t>
            </w:r>
            <w:r>
              <w:rPr>
                <w:rFonts w:ascii="Arial" w:cs="Arial" w:eastAsia="Arial" w:hAnsi="Arial"/>
                <w:sz w:val="28"/>
                <w:szCs w:val="28"/>
                <w:b w:val="1"/>
                <w:bCs w:val="1"/>
                <w:color w:val="auto"/>
                <w:vertAlign w:val="superscript"/>
              </w:rPr>
              <w:t>(f)</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Yield</w:t>
            </w: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ind w:right="490"/>
              <w:spacing w:after="0" w:line="250" w:lineRule="exact"/>
              <w:rPr>
                <w:sz w:val="20"/>
                <w:szCs w:val="20"/>
                <w:color w:val="auto"/>
              </w:rPr>
            </w:pPr>
            <w:r>
              <w:rPr>
                <w:rFonts w:ascii="Arial" w:cs="Arial" w:eastAsia="Arial" w:hAnsi="Arial"/>
                <w:sz w:val="17"/>
                <w:szCs w:val="17"/>
                <w:b w:val="1"/>
                <w:bCs w:val="1"/>
                <w:color w:val="auto"/>
                <w:w w:val="99"/>
              </w:rPr>
              <w:t>Volume</w:t>
            </w:r>
            <w:r>
              <w:rPr>
                <w:rFonts w:ascii="Arial" w:cs="Arial" w:eastAsia="Arial" w:hAnsi="Arial"/>
                <w:sz w:val="28"/>
                <w:szCs w:val="28"/>
                <w:b w:val="1"/>
                <w:bCs w:val="1"/>
                <w:color w:val="auto"/>
                <w:w w:val="99"/>
                <w:vertAlign w:val="superscript"/>
              </w:rPr>
              <w:t>(f)</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87"/>
              </w:rPr>
              <w:t>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87"/>
              </w:rPr>
              <w:t>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67"/>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w w:val="95"/>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Total collection</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MSW</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w w:val="95"/>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Transfer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95"/>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collection and disposal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lef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w w:val="87"/>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87"/>
              </w:rPr>
              <w:t>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herein.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combined impact of commodity price variability and changes in fees.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reported herein represent the changes in our revenue attributable to average yield for the total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060" w:type="dxa"/>
            <w:vAlign w:val="bottom"/>
            <w:gridSpan w:val="9"/>
          </w:tcPr>
          <w:p>
            <w:pPr>
              <w:jc w:val="center"/>
              <w:ind w:left="4090"/>
              <w:spacing w:after="0"/>
              <w:rPr>
                <w:sz w:val="20"/>
                <w:szCs w:val="20"/>
                <w:color w:val="auto"/>
              </w:rPr>
            </w:pPr>
            <w:r>
              <w:rPr>
                <w:rFonts w:ascii="Arial" w:cs="Arial" w:eastAsia="Arial" w:hAnsi="Arial"/>
                <w:sz w:val="18"/>
                <w:szCs w:val="18"/>
                <w:b w:val="1"/>
                <w:bCs w:val="1"/>
                <w:color w:val="auto"/>
              </w:rPr>
              <w:t>WASTE MANAGEMENT, INC.</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740" w:type="dxa"/>
            <w:vAlign w:val="bottom"/>
            <w:gridSpan w:val="7"/>
          </w:tcPr>
          <w:p>
            <w:pPr>
              <w:jc w:val="center"/>
              <w:ind w:left="4410"/>
              <w:spacing w:after="0"/>
              <w:rPr>
                <w:sz w:val="20"/>
                <w:szCs w:val="20"/>
                <w:color w:val="auto"/>
              </w:rPr>
            </w:pPr>
            <w:r>
              <w:rPr>
                <w:rFonts w:ascii="Arial" w:cs="Arial" w:eastAsia="Arial" w:hAnsi="Arial"/>
                <w:sz w:val="18"/>
                <w:szCs w:val="18"/>
                <w:b w:val="1"/>
                <w:bCs w:val="1"/>
                <w:color w:val="auto"/>
                <w:w w:val="99"/>
              </w:rPr>
              <w:t>SUMMARY DATA SHEET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6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5"/>
              </w:rPr>
              <w:t>(In Millions)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6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080" w:type="dxa"/>
            <w:vAlign w:val="bottom"/>
          </w:tcPr>
          <w:p>
            <w:pPr>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9"/>
                <w:szCs w:val="29"/>
                <w:b w:val="1"/>
                <w:bCs w:val="1"/>
                <w:color w:val="auto"/>
                <w:vertAlign w:val="superscript"/>
              </w:rPr>
              <w: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68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68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Proceeds from divestitures of businesses and other assets,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divested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20"/>
              <w:spacing w:after="0"/>
              <w:rPr>
                <w:sz w:val="20"/>
                <w:szCs w:val="20"/>
                <w:color w:val="auto"/>
              </w:rPr>
            </w:pPr>
            <w:r>
              <w:rPr>
                <w:rFonts w:ascii="Arial" w:cs="Arial" w:eastAsia="Arial" w:hAnsi="Arial"/>
                <w:sz w:val="18"/>
                <w:szCs w:val="18"/>
                <w:color w:val="auto"/>
              </w:rPr>
              <w:t>Free cash flow</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2,287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10"/>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680" w:type="dxa"/>
            <w:vAlign w:val="bottom"/>
            <w:gridSpan w:val="10"/>
          </w:tcPr>
          <w:p>
            <w:pPr>
              <w:jc w:val="right"/>
              <w:ind w:right="8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2020</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Acquisition Summary</w:t>
            </w:r>
            <w:r>
              <w:rPr>
                <w:rFonts w:ascii="Arial" w:cs="Arial" w:eastAsia="Arial" w:hAnsi="Arial"/>
                <w:sz w:val="29"/>
                <w:szCs w:val="29"/>
                <w:b w:val="1"/>
                <w:bCs w:val="1"/>
                <w:color w:val="auto"/>
                <w:vertAlign w:val="superscript"/>
              </w:rPr>
              <w:t>(b)</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paid for acquisitions consummated during the period,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paid for acquisitions including contingent consideration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items from prior periods, net of 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Landfill Amortization and Accretion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3"/>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24"/>
                <w:szCs w:val="24"/>
                <w:color w:val="auto"/>
              </w:rPr>
            </w:pPr>
          </w:p>
        </w:tc>
        <w:tc>
          <w:tcPr>
            <w:tcW w:w="268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10"/>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68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Cost basis of landfill assets</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413</w:t>
            </w:r>
          </w:p>
        </w:tc>
        <w:tc>
          <w:tcPr>
            <w:tcW w:w="400" w:type="dxa"/>
            <w:vAlign w:val="bottom"/>
            <w:gridSpan w:val="3"/>
          </w:tcPr>
          <w:p>
            <w:pPr>
              <w:jc w:val="right"/>
              <w:ind w:right="167"/>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20"/>
              <w:spacing w:after="0" w:line="256" w:lineRule="exact"/>
              <w:rPr>
                <w:sz w:val="20"/>
                <w:szCs w:val="20"/>
                <w:color w:val="auto"/>
              </w:rPr>
            </w:pPr>
            <w:r>
              <w:rPr>
                <w:rFonts w:ascii="Arial" w:cs="Arial" w:eastAsia="Arial" w:hAnsi="Arial"/>
                <w:sz w:val="18"/>
                <w:szCs w:val="18"/>
                <w:color w:val="auto"/>
              </w:rPr>
              <w:t>Total landfill amortization expense</w:t>
            </w:r>
            <w:r>
              <w:rPr>
                <w:rFonts w:ascii="Arial" w:cs="Arial" w:eastAsia="Arial" w:hAnsi="Arial"/>
                <w:sz w:val="29"/>
                <w:szCs w:val="29"/>
                <w:color w:val="auto"/>
                <w:vertAlign w:val="superscript"/>
              </w:rPr>
              <w:t>(c)</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541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20"/>
              <w:spacing w:after="0"/>
              <w:rPr>
                <w:sz w:val="20"/>
                <w:szCs w:val="20"/>
                <w:color w:val="auto"/>
              </w:rPr>
            </w:pPr>
            <w:r>
              <w:rPr>
                <w:rFonts w:ascii="Arial" w:cs="Arial" w:eastAsia="Arial" w:hAnsi="Arial"/>
                <w:sz w:val="18"/>
                <w:szCs w:val="18"/>
                <w:color w:val="auto"/>
              </w:rPr>
              <w:t>Landfill amortization and accretion expense</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applicable period except where noted.</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landfill amortization was driven by landfill volume increases from the continued economic recovery from the pandemic and our acquisition of Advanced Disposal and changes in landfill estimates. Additionally, includes a $15 million amortization charge due to management’s decision to close a landfill sooner than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9"/>
          </w:tcPr>
          <w:p>
            <w:pPr>
              <w:jc w:val="right"/>
              <w:ind w:right="321"/>
              <w:spacing w:after="0"/>
              <w:rPr>
                <w:sz w:val="20"/>
                <w:szCs w:val="20"/>
                <w:color w:val="auto"/>
              </w:rPr>
            </w:pPr>
            <w:r>
              <w:rPr>
                <w:rFonts w:ascii="Arial" w:cs="Arial" w:eastAsia="Arial" w:hAnsi="Arial"/>
                <w:sz w:val="18"/>
                <w:szCs w:val="18"/>
                <w:b w:val="1"/>
                <w:bCs w:val="1"/>
                <w:color w:val="auto"/>
                <w:w w:val="95"/>
              </w:rPr>
              <w:t>Three Months Ended September 30, 2021</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340" w:type="dxa"/>
            <w:vAlign w:val="bottom"/>
            <w:gridSpan w:val="4"/>
          </w:tcPr>
          <w:p>
            <w:pPr>
              <w:jc w:val="center"/>
              <w:ind w:right="220"/>
              <w:spacing w:after="0" w:line="195" w:lineRule="exact"/>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6"/>
                <w:szCs w:val="16"/>
                <w:color w:val="auto"/>
              </w:rPr>
            </w:pPr>
          </w:p>
        </w:tc>
        <w:tc>
          <w:tcPr>
            <w:tcW w:w="1140" w:type="dxa"/>
            <w:vAlign w:val="bottom"/>
            <w:gridSpan w:val="2"/>
          </w:tcPr>
          <w:p>
            <w:pPr>
              <w:jc w:val="right"/>
              <w:ind w:right="401"/>
              <w:spacing w:after="0" w:line="195" w:lineRule="exact"/>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6"/>
                <w:szCs w:val="16"/>
                <w:color w:val="auto"/>
              </w:rPr>
            </w:pPr>
          </w:p>
        </w:tc>
        <w:tc>
          <w:tcPr>
            <w:tcW w:w="1160" w:type="dxa"/>
            <w:vAlign w:val="bottom"/>
            <w:gridSpan w:val="2"/>
          </w:tcPr>
          <w:p>
            <w:pPr>
              <w:jc w:val="center"/>
              <w:ind w:right="320"/>
              <w:spacing w:after="0" w:line="195" w:lineRule="exact"/>
              <w:rPr>
                <w:sz w:val="20"/>
                <w:szCs w:val="20"/>
                <w:color w:val="auto"/>
              </w:rPr>
            </w:pPr>
            <w:r>
              <w:rPr>
                <w:rFonts w:ascii="Arial" w:cs="Arial" w:eastAsia="Arial" w:hAnsi="Arial"/>
                <w:sz w:val="18"/>
                <w:szCs w:val="18"/>
                <w:b w:val="1"/>
                <w:bCs w:val="1"/>
                <w:color w:val="auto"/>
                <w:w w:val="90"/>
              </w:rPr>
              <w:t>Tax</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01"/>
              <w:spacing w:after="0" w:line="195"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3"/>
                <w:szCs w:val="23"/>
                <w:color w:val="auto"/>
              </w:rPr>
            </w:pPr>
          </w:p>
        </w:tc>
        <w:tc>
          <w:tcPr>
            <w:tcW w:w="114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Expense</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01"/>
              <w:spacing w:after="0" w:line="271"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(a)</w:t>
            </w:r>
          </w:p>
        </w:tc>
        <w:tc>
          <w:tcPr>
            <w:tcW w:w="8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Disposal integration-related costs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Enterprise resource planning system related costs</w:t>
            </w: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Gain from divestitures and other, net</w:t>
            </w:r>
            <w:r>
              <w:rPr>
                <w:rFonts w:ascii="Arial" w:cs="Arial" w:eastAsia="Arial" w:hAnsi="Arial"/>
                <w:sz w:val="29"/>
                <w:szCs w:val="29"/>
                <w:color w:val="auto"/>
                <w:vertAlign w:val="superscript"/>
              </w:rPr>
              <w:t>(b)</w:t>
            </w:r>
          </w:p>
        </w:tc>
        <w:tc>
          <w:tcPr>
            <w:tcW w:w="12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(c)</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line="20" w:lineRule="exact"/>
              <w:rPr>
                <w:sz w:val="1"/>
                <w:szCs w:val="1"/>
                <w:color w:val="auto"/>
              </w:rPr>
            </w:pPr>
          </w:p>
        </w:tc>
        <w:tc>
          <w:tcPr>
            <w:tcW w:w="12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517</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80" w:type="dxa"/>
            <w:vAlign w:val="bottom"/>
            <w:gridSpan w:val="9"/>
            <w:vMerge w:val="restart"/>
          </w:tcPr>
          <w:p>
            <w:pPr>
              <w:jc w:val="right"/>
              <w:ind w:right="321"/>
              <w:spacing w:after="0"/>
              <w:rPr>
                <w:sz w:val="20"/>
                <w:szCs w:val="20"/>
                <w:color w:val="auto"/>
              </w:rPr>
            </w:pPr>
            <w:r>
              <w:rPr>
                <w:rFonts w:ascii="Arial" w:cs="Arial" w:eastAsia="Arial" w:hAnsi="Arial"/>
                <w:sz w:val="18"/>
                <w:szCs w:val="18"/>
                <w:b w:val="1"/>
                <w:bCs w:val="1"/>
                <w:color w:val="auto"/>
                <w:w w:val="95"/>
              </w:rPr>
              <w:t>Three Months Ended September 30, 2020</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340" w:type="dxa"/>
            <w:vAlign w:val="bottom"/>
            <w:gridSpan w:val="4"/>
          </w:tcPr>
          <w:p>
            <w:pPr>
              <w:jc w:val="center"/>
              <w:ind w:right="220"/>
              <w:spacing w:after="0" w:line="195" w:lineRule="exact"/>
              <w:rPr>
                <w:sz w:val="20"/>
                <w:szCs w:val="20"/>
                <w:color w:val="auto"/>
              </w:rPr>
            </w:pPr>
            <w:r>
              <w:rPr>
                <w:rFonts w:ascii="Arial" w:cs="Arial" w:eastAsia="Arial" w:hAnsi="Arial"/>
                <w:sz w:val="18"/>
                <w:szCs w:val="18"/>
                <w:b w:val="1"/>
                <w:bCs w:val="1"/>
                <w:color w:val="auto"/>
                <w:w w:val="92"/>
              </w:rPr>
              <w:t>Income from</w:t>
            </w:r>
          </w:p>
        </w:tc>
        <w:tc>
          <w:tcPr>
            <w:tcW w:w="180" w:type="dxa"/>
            <w:vAlign w:val="bottom"/>
          </w:tcPr>
          <w:p>
            <w:pPr>
              <w:spacing w:after="0"/>
              <w:rPr>
                <w:sz w:val="16"/>
                <w:szCs w:val="16"/>
                <w:color w:val="auto"/>
              </w:rPr>
            </w:pPr>
          </w:p>
        </w:tc>
        <w:tc>
          <w:tcPr>
            <w:tcW w:w="1140" w:type="dxa"/>
            <w:vAlign w:val="bottom"/>
            <w:gridSpan w:val="2"/>
          </w:tcPr>
          <w:p>
            <w:pPr>
              <w:jc w:val="right"/>
              <w:ind w:right="401"/>
              <w:spacing w:after="0" w:line="195" w:lineRule="exact"/>
              <w:rPr>
                <w:sz w:val="20"/>
                <w:szCs w:val="20"/>
                <w:color w:val="auto"/>
              </w:rPr>
            </w:pPr>
            <w:r>
              <w:rPr>
                <w:rFonts w:ascii="Arial" w:cs="Arial" w:eastAsia="Arial" w:hAnsi="Arial"/>
                <w:sz w:val="18"/>
                <w:szCs w:val="18"/>
                <w:b w:val="1"/>
                <w:bCs w:val="1"/>
                <w:color w:val="auto"/>
              </w:rPr>
              <w:t>Pre-tax</w:t>
            </w:r>
          </w:p>
        </w:tc>
        <w:tc>
          <w:tcPr>
            <w:tcW w:w="180" w:type="dxa"/>
            <w:vAlign w:val="bottom"/>
          </w:tcPr>
          <w:p>
            <w:pPr>
              <w:spacing w:after="0"/>
              <w:rPr>
                <w:sz w:val="16"/>
                <w:szCs w:val="16"/>
                <w:color w:val="auto"/>
              </w:rPr>
            </w:pPr>
          </w:p>
        </w:tc>
        <w:tc>
          <w:tcPr>
            <w:tcW w:w="1160" w:type="dxa"/>
            <w:vAlign w:val="bottom"/>
            <w:gridSpan w:val="2"/>
          </w:tcPr>
          <w:p>
            <w:pPr>
              <w:jc w:val="center"/>
              <w:ind w:right="320"/>
              <w:spacing w:after="0" w:line="195" w:lineRule="exact"/>
              <w:rPr>
                <w:sz w:val="20"/>
                <w:szCs w:val="20"/>
                <w:color w:val="auto"/>
              </w:rPr>
            </w:pPr>
            <w:r>
              <w:rPr>
                <w:rFonts w:ascii="Arial" w:cs="Arial" w:eastAsia="Arial" w:hAnsi="Arial"/>
                <w:sz w:val="18"/>
                <w:szCs w:val="18"/>
                <w:b w:val="1"/>
                <w:bCs w:val="1"/>
                <w:color w:val="auto"/>
                <w:w w:val="90"/>
              </w:rPr>
              <w:t>Tax</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01"/>
              <w:spacing w:after="0" w:line="195" w:lineRule="exact"/>
              <w:rPr>
                <w:sz w:val="20"/>
                <w:szCs w:val="20"/>
                <w:color w:val="auto"/>
              </w:rPr>
            </w:pPr>
            <w:r>
              <w:rPr>
                <w:rFonts w:ascii="Arial" w:cs="Arial" w:eastAsia="Arial" w:hAnsi="Arial"/>
                <w:sz w:val="18"/>
                <w:szCs w:val="18"/>
                <w:b w:val="1"/>
                <w:bCs w:val="1"/>
                <w:color w:val="auto"/>
                <w:w w:val="89"/>
              </w:rPr>
              <w:t>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0"/>
              <w:spacing w:after="0" w:line="195" w:lineRule="exact"/>
              <w:rPr>
                <w:sz w:val="20"/>
                <w:szCs w:val="20"/>
                <w:color w:val="auto"/>
              </w:rPr>
            </w:pPr>
            <w:r>
              <w:rPr>
                <w:rFonts w:ascii="Arial" w:cs="Arial" w:eastAsia="Arial" w:hAnsi="Arial"/>
                <w:sz w:val="18"/>
                <w:szCs w:val="18"/>
                <w:b w:val="1"/>
                <w:bCs w:val="1"/>
                <w:color w:val="auto"/>
                <w:w w:val="92"/>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3"/>
                <w:szCs w:val="23"/>
                <w:color w:val="auto"/>
              </w:rPr>
            </w:pPr>
          </w:p>
        </w:tc>
        <w:tc>
          <w:tcPr>
            <w:tcW w:w="114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Income</w:t>
            </w:r>
          </w:p>
        </w:tc>
        <w:tc>
          <w:tcPr>
            <w:tcW w:w="18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Expense</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01"/>
              <w:spacing w:after="0" w:line="271" w:lineRule="exact"/>
              <w:rPr>
                <w:sz w:val="20"/>
                <w:szCs w:val="20"/>
                <w:color w:val="auto"/>
              </w:rPr>
            </w:pPr>
            <w:r>
              <w:rPr>
                <w:rFonts w:ascii="Arial" w:cs="Arial" w:eastAsia="Arial" w:hAnsi="Arial"/>
                <w:sz w:val="18"/>
                <w:szCs w:val="18"/>
                <w:b w:val="1"/>
                <w:bCs w:val="1"/>
                <w:color w:val="auto"/>
                <w:w w:val="85"/>
              </w:rPr>
              <w:t>Income</w:t>
            </w:r>
            <w:r>
              <w:rPr>
                <w:rFonts w:ascii="Arial" w:cs="Arial" w:eastAsia="Arial" w:hAnsi="Arial"/>
                <w:sz w:val="29"/>
                <w:szCs w:val="29"/>
                <w:b w:val="1"/>
                <w:bCs w:val="1"/>
                <w:color w:val="auto"/>
                <w:w w:val="85"/>
                <w:vertAlign w:val="superscript"/>
              </w:rPr>
              <w:t>(a)</w:t>
            </w:r>
          </w:p>
        </w:tc>
        <w:tc>
          <w:tcPr>
            <w:tcW w:w="8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Share Amount</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Advanced Disposal transaction and advisory costs</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impairments of assets and other</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Enterprise resource planning system related costs</w:t>
            </w:r>
          </w:p>
        </w:tc>
        <w:tc>
          <w:tcPr>
            <w:tcW w:w="12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adjusted amounts</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8"/>
                <w:szCs w:val="18"/>
                <w:b w:val="1"/>
                <w:bCs w:val="1"/>
                <w:color w:val="auto"/>
              </w:rPr>
              <w:t>721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5"/>
                <w:szCs w:val="15"/>
                <w:b w:val="1"/>
                <w:bCs w:val="1"/>
                <w:color w:val="auto"/>
              </w:rPr>
              <w:t>(c)</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Adjusted operating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34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driven by (i) a pre-tax gain from the recognition of cumulative translation adjustments on the divestiture of certain non-strategic Canadian operations in 2021 which was not taxable and (ii) a change from our initial expectations of the tax effects of the Advanced Disposal acquisition and related divestitures.</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third quarter of 2021 and 2020 adjusted effective tax rates were 23.3% and 23.7%,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9"/>
                <w:szCs w:val="19"/>
                <w:color w:val="auto"/>
              </w:rPr>
            </w:pPr>
          </w:p>
        </w:tc>
        <w:tc>
          <w:tcPr>
            <w:tcW w:w="2480" w:type="dxa"/>
            <w:vAlign w:val="bottom"/>
            <w:gridSpan w:val="3"/>
          </w:tcPr>
          <w:p>
            <w:pPr>
              <w:ind w:left="38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19"/>
                <w:szCs w:val="19"/>
                <w:color w:val="auto"/>
              </w:rPr>
            </w:pPr>
          </w:p>
        </w:tc>
      </w:tr>
      <w:tr>
        <w:trPr>
          <w:trHeight w:val="205"/>
        </w:trPr>
        <w:tc>
          <w:tcPr>
            <w:tcW w:w="5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60"/>
              <w:spacing w:after="0" w:line="205" w:lineRule="exact"/>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w w:val="97"/>
              </w:rPr>
              <w:t>Adjusted SG&amp;A Expenses and Adjusted SG&amp;A Expenses Margin</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3,861</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416</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10.8%</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Disposal integration and acquisition-related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Enterprise resource planning system related costs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SG&amp;A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9.7%</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10.1%</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5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8"/>
          </w:tcPr>
          <w:p>
            <w:pPr>
              <w:jc w:val="right"/>
              <w:ind w:right="88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9"/>
                <w:szCs w:val="19"/>
                <w:color w:val="auto"/>
              </w:rPr>
            </w:pPr>
          </w:p>
        </w:tc>
        <w:tc>
          <w:tcPr>
            <w:tcW w:w="2480" w:type="dxa"/>
            <w:vAlign w:val="bottom"/>
            <w:gridSpan w:val="3"/>
          </w:tcPr>
          <w:p>
            <w:pPr>
              <w:ind w:left="38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19"/>
                <w:szCs w:val="19"/>
                <w:color w:val="auto"/>
              </w:rPr>
            </w:pPr>
          </w:p>
        </w:tc>
      </w:tr>
      <w:tr>
        <w:trPr>
          <w:trHeight w:val="205"/>
        </w:trPr>
        <w:tc>
          <w:tcPr>
            <w:tcW w:w="5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60"/>
              <w:spacing w:after="0" w:line="205" w:lineRule="exact"/>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ind w:left="240"/>
              <w:spacing w:after="0" w:line="205" w:lineRule="exact"/>
              <w:rPr>
                <w:sz w:val="20"/>
                <w:szCs w:val="20"/>
                <w:color w:val="auto"/>
              </w:rPr>
            </w:pPr>
            <w:r>
              <w:rPr>
                <w:rFonts w:ascii="Arial" w:cs="Arial" w:eastAsia="Arial" w:hAnsi="Arial"/>
                <w:sz w:val="18"/>
                <w:szCs w:val="18"/>
                <w:b w:val="1"/>
                <w:bCs w:val="1"/>
                <w:color w:val="auto"/>
              </w:rPr>
              <w:t>As a % of</w:t>
            </w:r>
          </w:p>
        </w:tc>
        <w:tc>
          <w:tcPr>
            <w:tcW w:w="18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360" w:type="dxa"/>
            <w:vAlign w:val="bottom"/>
            <w:gridSpan w:val="4"/>
          </w:tcPr>
          <w:p>
            <w:pPr>
              <w:ind w:left="8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Revenues</w:t>
            </w:r>
          </w:p>
        </w:tc>
      </w:tr>
      <w:tr>
        <w:trPr>
          <w:trHeight w:val="182"/>
        </w:trPr>
        <w:tc>
          <w:tcPr>
            <w:tcW w:w="5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i w:val="1"/>
                <w:iCs w:val="1"/>
                <w:color w:val="auto"/>
                <w:w w:val="97"/>
              </w:rPr>
              <w:t>Adjusted Operating Expenses and Adjusted Operating Expenses</w:t>
            </w: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3,861</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2,332</w:t>
            </w:r>
          </w:p>
        </w:tc>
        <w:tc>
          <w:tcPr>
            <w:tcW w:w="142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w w:val="93"/>
              </w:rPr>
              <w:t>60.4%</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Disposal integration-related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Multiemployer pension plan withdrawal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6"/>
              </w:rPr>
              <w:t>Scenario 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Scenario 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540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i w:val="1"/>
                <w:iCs w:val="1"/>
                <w:color w:val="auto"/>
              </w:rPr>
              <w:t>2021 Projected Free Cash Flow Reconciliation</w:t>
            </w:r>
            <w:r>
              <w:rPr>
                <w:rFonts w:ascii="Arial" w:cs="Arial" w:eastAsia="Arial" w:hAnsi="Arial"/>
                <w:sz w:val="27"/>
                <w:szCs w:val="27"/>
                <w:b w:val="1"/>
                <w:bCs w:val="1"/>
                <w:i w:val="1"/>
                <w:iCs w:val="1"/>
                <w:color w:val="auto"/>
                <w:vertAlign w:val="superscript"/>
              </w:rPr>
              <w:t>(a)</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4,130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4,300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5400" w:type="dxa"/>
            <w:vAlign w:val="bottom"/>
          </w:tcPr>
          <w:p>
            <w:pPr>
              <w:ind w:left="120"/>
              <w:spacing w:after="0" w:line="201" w:lineRule="exact"/>
              <w:rPr>
                <w:sz w:val="20"/>
                <w:szCs w:val="20"/>
                <w:color w:val="auto"/>
              </w:rPr>
            </w:pPr>
            <w:r>
              <w:rPr>
                <w:rFonts w:ascii="Arial" w:cs="Arial" w:eastAsia="Arial" w:hAnsi="Arial"/>
                <w:sz w:val="18"/>
                <w:szCs w:val="18"/>
                <w:color w:val="auto"/>
                <w:w w:val="93"/>
              </w:rPr>
              <w:t>Proceeds from divestitures of businesses and other assets, net of cash</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4"/>
        </w:trPr>
        <w:tc>
          <w:tcPr>
            <w:tcW w:w="5400" w:type="dxa"/>
            <w:vAlign w:val="bottom"/>
          </w:tcPr>
          <w:p>
            <w:pPr>
              <w:ind w:left="120"/>
              <w:spacing w:after="0"/>
              <w:rPr>
                <w:sz w:val="20"/>
                <w:szCs w:val="20"/>
                <w:color w:val="auto"/>
              </w:rPr>
            </w:pPr>
            <w:r>
              <w:rPr>
                <w:rFonts w:ascii="Arial" w:cs="Arial" w:eastAsia="Arial" w:hAnsi="Arial"/>
                <w:sz w:val="18"/>
                <w:szCs w:val="18"/>
                <w:color w:val="auto"/>
              </w:rPr>
              <w:t>divested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-1045210</wp:posOffset>
            </wp:positionV>
            <wp:extent cx="1834515"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30861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-599440</wp:posOffset>
            </wp:positionV>
            <wp:extent cx="183451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4515"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-179070</wp:posOffset>
            </wp:positionV>
            <wp:extent cx="183451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reconciliation includes two scenarios that illustrate our projected free cash flow range for 2021.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Supplemental Information Provided For Illustrative Purposes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8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0"/>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19"/>
                <w:szCs w:val="19"/>
                <w:color w:val="auto"/>
              </w:rPr>
            </w:pPr>
          </w:p>
        </w:tc>
      </w:tr>
      <w:tr>
        <w:trPr>
          <w:trHeight w:val="191"/>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EBITDA</w:t>
            </w:r>
          </w:p>
        </w:tc>
      </w:tr>
      <w:tr>
        <w:trPr>
          <w:trHeight w:val="234"/>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6"/>
        </w:trPr>
        <w:tc>
          <w:tcPr>
            <w:tcW w:w="5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73"/>
        </w:trPr>
        <w:tc>
          <w:tcPr>
            <w:tcW w:w="5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September 30, 2021</w:t>
            </w:r>
          </w:p>
        </w:tc>
        <w:tc>
          <w:tcPr>
            <w:tcW w:w="200" w:type="dxa"/>
            <w:vAlign w:val="bottom"/>
          </w:tcPr>
          <w:p>
            <w:pPr>
              <w:spacing w:after="0"/>
              <w:rPr>
                <w:sz w:val="19"/>
                <w:szCs w:val="19"/>
                <w:color w:val="auto"/>
              </w:rPr>
            </w:pPr>
          </w:p>
        </w:tc>
        <w:tc>
          <w:tcPr>
            <w:tcW w:w="2480" w:type="dxa"/>
            <w:vAlign w:val="bottom"/>
            <w:gridSpan w:val="3"/>
          </w:tcPr>
          <w:p>
            <w:pPr>
              <w:ind w:left="400"/>
              <w:spacing w:after="0"/>
              <w:rPr>
                <w:sz w:val="20"/>
                <w:szCs w:val="20"/>
                <w:color w:val="auto"/>
              </w:rPr>
            </w:pPr>
            <w:r>
              <w:rPr>
                <w:rFonts w:ascii="Arial" w:cs="Arial" w:eastAsia="Arial" w:hAnsi="Arial"/>
                <w:sz w:val="18"/>
                <w:szCs w:val="18"/>
                <w:b w:val="1"/>
                <w:bCs w:val="1"/>
                <w:color w:val="auto"/>
              </w:rPr>
              <w:t>September 30, 2020</w:t>
            </w:r>
          </w:p>
        </w:tc>
        <w:tc>
          <w:tcPr>
            <w:tcW w:w="160" w:type="dxa"/>
            <w:vAlign w:val="bottom"/>
          </w:tcPr>
          <w:p>
            <w:pPr>
              <w:spacing w:after="0"/>
              <w:rPr>
                <w:sz w:val="19"/>
                <w:szCs w:val="19"/>
                <w:color w:val="auto"/>
              </w:rPr>
            </w:pPr>
          </w:p>
        </w:tc>
      </w:tr>
      <w:tr>
        <w:trPr>
          <w:trHeight w:val="191"/>
        </w:trPr>
        <w:tc>
          <w:tcPr>
            <w:tcW w:w="5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Change in</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EBITDA</w:t>
            </w:r>
          </w:p>
        </w:tc>
      </w:tr>
      <w:tr>
        <w:trPr>
          <w:trHeight w:val="234"/>
        </w:trPr>
        <w:tc>
          <w:tcPr>
            <w:tcW w:w="5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Recycling commodity rebates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Accretion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688"/>
        </w:trPr>
        <w:tc>
          <w:tcPr>
            <w:tcW w:w="5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2021-10-26T06:40:51Z</dcterms:created>
  <dcterms:modified xsi:type="dcterms:W3CDTF">2021-10-26T06:40:51Z</dcterms:modified>
</cp:coreProperties>
</file>