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71120</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13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7120" w:type="dxa"/>
            <w:vAlign w:val="bottom"/>
            <w:gridSpan w:val="5"/>
          </w:tcPr>
          <w:p>
            <w:pPr>
              <w:jc w:val="center"/>
              <w:ind w:left="1558"/>
              <w:spacing w:after="0"/>
              <w:rPr>
                <w:sz w:val="20"/>
                <w:szCs w:val="20"/>
                <w:color w:val="auto"/>
              </w:rPr>
            </w:pPr>
            <w:r>
              <w:rPr>
                <w:rFonts w:ascii="Arial" w:cs="Arial" w:eastAsia="Arial" w:hAnsi="Arial"/>
                <w:sz w:val="22"/>
                <w:szCs w:val="22"/>
                <w:b w:val="1"/>
                <w:bCs w:val="1"/>
                <w:color w:val="auto"/>
                <w:w w:val="96"/>
              </w:rPr>
              <w:t>ANNUAL REPORT PURSUANT TO SECTION 15(d)</w:t>
            </w:r>
          </w:p>
        </w:tc>
      </w:tr>
      <w:tr>
        <w:trPr>
          <w:trHeight w:val="252"/>
        </w:trPr>
        <w:tc>
          <w:tcPr>
            <w:tcW w:w="1300" w:type="dxa"/>
            <w:vAlign w:val="bottom"/>
          </w:tcPr>
          <w:p>
            <w:pPr>
              <w:spacing w:after="0"/>
              <w:rPr>
                <w:sz w:val="21"/>
                <w:szCs w:val="21"/>
                <w:color w:val="auto"/>
              </w:rPr>
            </w:pPr>
          </w:p>
        </w:tc>
        <w:tc>
          <w:tcPr>
            <w:tcW w:w="7120" w:type="dxa"/>
            <w:vAlign w:val="bottom"/>
            <w:gridSpan w:val="5"/>
          </w:tcPr>
          <w:p>
            <w:pPr>
              <w:jc w:val="center"/>
              <w:ind w:left="1558"/>
              <w:spacing w:after="0"/>
              <w:rPr>
                <w:sz w:val="20"/>
                <w:szCs w:val="20"/>
                <w:color w:val="auto"/>
              </w:rPr>
            </w:pPr>
            <w:r>
              <w:rPr>
                <w:rFonts w:ascii="Arial" w:cs="Arial" w:eastAsia="Arial" w:hAnsi="Arial"/>
                <w:sz w:val="22"/>
                <w:szCs w:val="22"/>
                <w:b w:val="1"/>
                <w:bCs w:val="1"/>
                <w:color w:val="auto"/>
                <w:w w:val="97"/>
              </w:rPr>
              <w:t>OF THE SECURITIES EXCHANGE ACT OF 1934</w:t>
            </w:r>
          </w:p>
        </w:tc>
      </w:tr>
      <w:tr>
        <w:trPr>
          <w:trHeight w:val="234"/>
        </w:trPr>
        <w:tc>
          <w:tcPr>
            <w:tcW w:w="1300" w:type="dxa"/>
            <w:vAlign w:val="bottom"/>
          </w:tcPr>
          <w:p>
            <w:pPr>
              <w:spacing w:after="0"/>
              <w:rPr>
                <w:sz w:val="20"/>
                <w:szCs w:val="20"/>
                <w:color w:val="auto"/>
              </w:rPr>
            </w:pPr>
          </w:p>
        </w:tc>
        <w:tc>
          <w:tcPr>
            <w:tcW w:w="7120" w:type="dxa"/>
            <w:vAlign w:val="bottom"/>
            <w:gridSpan w:val="5"/>
          </w:tcPr>
          <w:p>
            <w:pPr>
              <w:jc w:val="center"/>
              <w:ind w:left="1018"/>
              <w:spacing w:after="0"/>
              <w:rPr>
                <w:sz w:val="20"/>
                <w:szCs w:val="20"/>
                <w:color w:val="auto"/>
              </w:rPr>
            </w:pPr>
            <w:r>
              <w:rPr>
                <w:rFonts w:ascii="Arial" w:cs="Arial" w:eastAsia="Arial" w:hAnsi="Arial"/>
                <w:sz w:val="18"/>
                <w:szCs w:val="18"/>
                <w:b w:val="1"/>
                <w:bCs w:val="1"/>
                <w:color w:val="auto"/>
                <w:w w:val="89"/>
              </w:rPr>
              <w:t>For the fiscal year ended December 31, 2003</w:t>
            </w:r>
          </w:p>
        </w:tc>
      </w:tr>
      <w:tr>
        <w:trPr>
          <w:trHeight w:val="432"/>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20" w:type="dxa"/>
            <w:vAlign w:val="bottom"/>
            <w:gridSpan w:val="4"/>
          </w:tcPr>
          <w:p>
            <w:pPr>
              <w:jc w:val="center"/>
              <w:ind w:right="2400"/>
              <w:spacing w:after="0"/>
              <w:rPr>
                <w:sz w:val="20"/>
                <w:szCs w:val="20"/>
                <w:color w:val="auto"/>
              </w:rPr>
            </w:pPr>
            <w:r>
              <w:rPr>
                <w:rFonts w:ascii="Arial" w:cs="Arial" w:eastAsia="Arial" w:hAnsi="Arial"/>
                <w:sz w:val="18"/>
                <w:szCs w:val="18"/>
                <w:b w:val="1"/>
                <w:bCs w:val="1"/>
                <w:color w:val="auto"/>
                <w:w w:val="99"/>
              </w:rPr>
              <w:t>or</w:t>
            </w:r>
          </w:p>
        </w:tc>
      </w:tr>
      <w:tr>
        <w:trPr>
          <w:trHeight w:val="459"/>
        </w:trPr>
        <w:tc>
          <w:tcPr>
            <w:tcW w:w="1300" w:type="dxa"/>
            <w:vAlign w:val="bottom"/>
          </w:tcPr>
          <w:p>
            <w:pPr>
              <w:spacing w:after="0"/>
              <w:rPr>
                <w:sz w:val="20"/>
                <w:szCs w:val="20"/>
                <w:color w:val="auto"/>
              </w:rPr>
            </w:pPr>
            <w:r>
              <w:rPr>
                <w:rFonts w:ascii="Arial" w:cs="Arial" w:eastAsia="Arial" w:hAnsi="Arial"/>
                <w:sz w:val="22"/>
                <w:szCs w:val="22"/>
                <w:color w:val="auto"/>
              </w:rPr>
              <w:t>o</w:t>
            </w:r>
          </w:p>
        </w:tc>
        <w:tc>
          <w:tcPr>
            <w:tcW w:w="7120" w:type="dxa"/>
            <w:vAlign w:val="bottom"/>
            <w:gridSpan w:val="5"/>
          </w:tcPr>
          <w:p>
            <w:pPr>
              <w:jc w:val="center"/>
              <w:ind w:left="1558"/>
              <w:spacing w:after="0"/>
              <w:rPr>
                <w:sz w:val="20"/>
                <w:szCs w:val="20"/>
                <w:color w:val="auto"/>
              </w:rPr>
            </w:pPr>
            <w:r>
              <w:rPr>
                <w:rFonts w:ascii="Arial" w:cs="Arial" w:eastAsia="Arial" w:hAnsi="Arial"/>
                <w:sz w:val="22"/>
                <w:szCs w:val="22"/>
                <w:b w:val="1"/>
                <w:bCs w:val="1"/>
                <w:color w:val="auto"/>
                <w:w w:val="97"/>
              </w:rPr>
              <w:t>TRANSITION REPORT PURSUANT TO SECTION 15(d)</w:t>
            </w:r>
          </w:p>
        </w:tc>
      </w:tr>
      <w:tr>
        <w:trPr>
          <w:trHeight w:val="252"/>
        </w:trPr>
        <w:tc>
          <w:tcPr>
            <w:tcW w:w="1300" w:type="dxa"/>
            <w:vAlign w:val="bottom"/>
          </w:tcPr>
          <w:p>
            <w:pPr>
              <w:spacing w:after="0"/>
              <w:rPr>
                <w:sz w:val="21"/>
                <w:szCs w:val="21"/>
                <w:color w:val="auto"/>
              </w:rPr>
            </w:pPr>
          </w:p>
        </w:tc>
        <w:tc>
          <w:tcPr>
            <w:tcW w:w="7120" w:type="dxa"/>
            <w:vAlign w:val="bottom"/>
            <w:gridSpan w:val="5"/>
          </w:tcPr>
          <w:p>
            <w:pPr>
              <w:jc w:val="center"/>
              <w:ind w:left="1558"/>
              <w:spacing w:after="0"/>
              <w:rPr>
                <w:sz w:val="20"/>
                <w:szCs w:val="20"/>
                <w:color w:val="auto"/>
              </w:rPr>
            </w:pPr>
            <w:r>
              <w:rPr>
                <w:rFonts w:ascii="Arial" w:cs="Arial" w:eastAsia="Arial" w:hAnsi="Arial"/>
                <w:sz w:val="22"/>
                <w:szCs w:val="22"/>
                <w:b w:val="1"/>
                <w:bCs w:val="1"/>
                <w:color w:val="auto"/>
                <w:w w:val="97"/>
              </w:rPr>
              <w:t>OF THE SECURITIES EXCHANGE ACT OF 1934</w:t>
            </w:r>
          </w:p>
        </w:tc>
      </w:tr>
      <w:tr>
        <w:trPr>
          <w:trHeight w:val="194"/>
        </w:trPr>
        <w:tc>
          <w:tcPr>
            <w:tcW w:w="1300" w:type="dxa"/>
            <w:vAlign w:val="bottom"/>
          </w:tcPr>
          <w:p>
            <w:pPr>
              <w:spacing w:after="0"/>
              <w:rPr>
                <w:sz w:val="16"/>
                <w:szCs w:val="16"/>
                <w:color w:val="auto"/>
              </w:rPr>
            </w:pPr>
          </w:p>
        </w:tc>
        <w:tc>
          <w:tcPr>
            <w:tcW w:w="3500" w:type="dxa"/>
            <w:vAlign w:val="bottom"/>
          </w:tcPr>
          <w:p>
            <w:pPr>
              <w:ind w:left="1120"/>
              <w:spacing w:after="0" w:line="194" w:lineRule="exact"/>
              <w:rPr>
                <w:sz w:val="20"/>
                <w:szCs w:val="20"/>
                <w:color w:val="auto"/>
              </w:rPr>
            </w:pPr>
            <w:r>
              <w:rPr>
                <w:rFonts w:ascii="Arial" w:cs="Arial" w:eastAsia="Arial" w:hAnsi="Arial"/>
                <w:sz w:val="18"/>
                <w:szCs w:val="18"/>
                <w:b w:val="1"/>
                <w:bCs w:val="1"/>
                <w:color w:val="auto"/>
                <w:w w:val="93"/>
              </w:rPr>
              <w:t>For the transition period from</w:t>
            </w:r>
          </w:p>
        </w:tc>
        <w:tc>
          <w:tcPr>
            <w:tcW w:w="1700" w:type="dxa"/>
            <w:vAlign w:val="bottom"/>
            <w:tcBorders>
              <w:bottom w:val="single" w:sz="8" w:color="auto"/>
            </w:tcBorders>
          </w:tcPr>
          <w:p>
            <w:pPr>
              <w:spacing w:after="0"/>
              <w:rPr>
                <w:sz w:val="16"/>
                <w:szCs w:val="16"/>
                <w:color w:val="auto"/>
              </w:rPr>
            </w:pPr>
          </w:p>
        </w:tc>
        <w:tc>
          <w:tcPr>
            <w:tcW w:w="200" w:type="dxa"/>
            <w:vAlign w:val="bottom"/>
          </w:tcPr>
          <w:p>
            <w:pPr>
              <w:ind w:left="40"/>
              <w:spacing w:after="0" w:line="194" w:lineRule="exact"/>
              <w:rPr>
                <w:sz w:val="20"/>
                <w:szCs w:val="20"/>
                <w:color w:val="auto"/>
              </w:rPr>
            </w:pPr>
            <w:r>
              <w:rPr>
                <w:rFonts w:ascii="Arial" w:cs="Arial" w:eastAsia="Arial" w:hAnsi="Arial"/>
                <w:sz w:val="18"/>
                <w:szCs w:val="18"/>
                <w:b w:val="1"/>
                <w:bCs w:val="1"/>
                <w:color w:val="auto"/>
                <w:w w:val="82"/>
              </w:rPr>
              <w:t>to</w:t>
            </w:r>
          </w:p>
        </w:tc>
        <w:tc>
          <w:tcPr>
            <w:tcW w:w="1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128905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RETIREMENT SAVINGS PLAN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BARGAINING UNIT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125730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AND SUPPLEMENTAL SCHEDULES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Report of Independent Registered Public Accounting Firm</w:t>
              </w:r>
            </w:hyperlink>
          </w:p>
        </w:tc>
        <w:tc>
          <w:tcPr>
            <w:tcW w:w="4660" w:type="dxa"/>
            <w:vAlign w:val="bottom"/>
            <w:gridSpan w:val="5"/>
          </w:tcPr>
          <w:p>
            <w:pPr>
              <w:spacing w:after="0"/>
              <w:rPr>
                <w:sz w:val="17"/>
                <w:szCs w:val="17"/>
                <w:color w:val="auto"/>
              </w:rPr>
            </w:pP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1</w:t>
            </w:r>
          </w:p>
        </w:tc>
      </w:tr>
      <w:tr>
        <w:trPr>
          <w:trHeight w:val="222"/>
        </w:trPr>
        <w:tc>
          <w:tcPr>
            <w:tcW w:w="340" w:type="dxa"/>
            <w:vAlign w:val="bottom"/>
          </w:tcPr>
          <w:p>
            <w:pPr>
              <w:spacing w:after="0"/>
              <w:rPr>
                <w:sz w:val="19"/>
                <w:szCs w:val="19"/>
                <w:color w:val="auto"/>
              </w:rPr>
            </w:pPr>
          </w:p>
        </w:tc>
        <w:tc>
          <w:tcPr>
            <w:tcW w:w="8840" w:type="dxa"/>
            <w:vAlign w:val="bottom"/>
            <w:gridSpan w:val="10"/>
          </w:tcPr>
          <w:p>
            <w:pPr>
              <w:spacing w:after="0"/>
              <w:rPr>
                <w:sz w:val="20"/>
                <w:szCs w:val="20"/>
                <w:color w:val="auto"/>
              </w:rPr>
            </w:pPr>
            <w:r>
              <w:rPr>
                <w:rFonts w:ascii="Arial" w:cs="Arial" w:eastAsia="Arial" w:hAnsi="Arial"/>
                <w:sz w:val="18"/>
                <w:szCs w:val="18"/>
                <w:color w:val="auto"/>
              </w:rPr>
              <w:t>Audited Financial Statements</w:t>
            </w:r>
          </w:p>
        </w:tc>
        <w:tc>
          <w:tcPr>
            <w:tcW w:w="224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40" w:type="dxa"/>
            <w:vAlign w:val="bottom"/>
            <w:gridSpan w:val="9"/>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2003 and 2002</w:t>
              </w:r>
            </w:hyperlink>
          </w:p>
        </w:tc>
        <w:tc>
          <w:tcPr>
            <w:tcW w:w="224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2003</w:t>
              </w:r>
            </w:hyperlink>
          </w:p>
        </w:tc>
        <w:tc>
          <w:tcPr>
            <w:tcW w:w="22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w:t>
            </w:r>
          </w:p>
        </w:tc>
      </w:tr>
      <w:tr>
        <w:trPr>
          <w:trHeight w:val="196"/>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680" w:type="dxa"/>
            <w:vAlign w:val="bottom"/>
          </w:tcPr>
          <w:p>
            <w:pPr>
              <w:spacing w:after="0"/>
              <w:rPr>
                <w:sz w:val="17"/>
                <w:szCs w:val="17"/>
                <w:color w:val="auto"/>
              </w:rPr>
            </w:pPr>
          </w:p>
        </w:tc>
        <w:tc>
          <w:tcPr>
            <w:tcW w:w="22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40" w:type="dxa"/>
            <w:vAlign w:val="bottom"/>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Supplemental Schedules</w:t>
              </w:r>
            </w:hyperlink>
          </w:p>
        </w:tc>
        <w:tc>
          <w:tcPr>
            <w:tcW w:w="2240" w:type="dxa"/>
            <w:vAlign w:val="bottom"/>
          </w:tcPr>
          <w:p>
            <w:pPr>
              <w:spacing w:after="0"/>
              <w:rPr>
                <w:sz w:val="17"/>
                <w:szCs w:val="17"/>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Schedule H, Line 4(a) – Schedule of Delinquent Participant Contributions</w:t>
              </w:r>
            </w:hyperlink>
          </w:p>
        </w:tc>
        <w:tc>
          <w:tcPr>
            <w:tcW w:w="22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10</w:t>
            </w:r>
          </w:p>
        </w:tc>
      </w:tr>
      <w:tr>
        <w:trPr>
          <w:trHeight w:val="196"/>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w:t>
              </w:r>
            </w:hyperlink>
          </w:p>
        </w:tc>
        <w:tc>
          <w:tcPr>
            <w:tcW w:w="3420" w:type="dxa"/>
            <w:vAlign w:val="bottom"/>
            <w:gridSpan w:val="3"/>
          </w:tcPr>
          <w:p>
            <w:pPr>
              <w:spacing w:after="0"/>
              <w:rPr>
                <w:sz w:val="17"/>
                <w:szCs w:val="17"/>
                <w:color w:val="auto"/>
              </w:rPr>
            </w:pPr>
          </w:p>
        </w:tc>
        <w:tc>
          <w:tcPr>
            <w:tcW w:w="22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40" w:type="dxa"/>
            <w:vAlign w:val="bottom"/>
            <w:gridSpan w:val="10"/>
          </w:tcPr>
          <w:p>
            <w:pPr>
              <w:spacing w:after="0" w:line="196" w:lineRule="exact"/>
              <w:rPr>
                <w:sz w:val="20"/>
                <w:szCs w:val="20"/>
                <w:color w:val="auto"/>
              </w:rPr>
            </w:pPr>
            <w:r>
              <w:rPr>
                <w:rFonts w:ascii="Arial" w:cs="Arial" w:eastAsia="Arial" w:hAnsi="Arial"/>
                <w:sz w:val="18"/>
                <w:szCs w:val="18"/>
                <w:color w:val="0000EE"/>
              </w:rPr>
              <w:t>Consent of Independent Public Accounting Firm</w:t>
            </w:r>
          </w:p>
        </w:tc>
        <w:tc>
          <w:tcPr>
            <w:tcW w:w="2240" w:type="dxa"/>
            <w:vAlign w:val="bottom"/>
          </w:tcPr>
          <w:p>
            <w:pPr>
              <w:spacing w:after="0"/>
              <w:rPr>
                <w:sz w:val="17"/>
                <w:szCs w:val="17"/>
                <w:color w:val="auto"/>
              </w:rPr>
            </w:pPr>
          </w:p>
        </w:tc>
      </w:tr>
      <w:tr>
        <w:trPr>
          <w:trHeight w:val="639"/>
        </w:trPr>
        <w:tc>
          <w:tcPr>
            <w:tcW w:w="340" w:type="dxa"/>
            <w:vAlign w:val="bottom"/>
            <w:tcBorders>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2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1180" w:type="dxa"/>
            <w:vAlign w:val="bottom"/>
            <w:tcBorders>
              <w:top w:val="single" w:sz="8" w:color="0000EE"/>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Bargaining Unit Employees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2003 and 2002, and the related statement of changes in net assets available for benefits for the year ended December 21, 2003. These financial statements are the responsibility of the Plan’s management. Our responsibility is to express an opinion on these financial statements based on our audits.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2003 and 2002, and the changes in its net assets available for benefits for the year ended December 31, 2003, in conformity with U.S. generally accepted accounting principles.</w:t>
      </w:r>
    </w:p>
    <w:p>
      <w:pPr>
        <w:spacing w:after="0" w:line="14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at end of year) as of December 31, 2003, and schedule of delinquent participant contributions for the year then ended, are presented for purposes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31, 2003 and 2002</w:t>
      </w:r>
    </w:p>
    <w:p>
      <w:pPr>
        <w:spacing w:after="0" w:line="200" w:lineRule="exact"/>
        <w:rPr>
          <w:sz w:val="20"/>
          <w:szCs w:val="20"/>
          <w:color w:val="auto"/>
        </w:rPr>
      </w:pPr>
    </w:p>
    <w:p>
      <w:pPr>
        <w:spacing w:after="0" w:line="206"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Plan interest in the Master Trust (Note 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$1,721,187</w:t>
            </w:r>
          </w:p>
        </w:tc>
        <w:tc>
          <w:tcPr>
            <w:tcW w:w="4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$704,452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loans</w:t>
            </w:r>
          </w:p>
        </w:tc>
        <w:tc>
          <w:tcPr>
            <w:tcW w:w="36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75,873</w:t>
            </w:r>
          </w:p>
        </w:tc>
        <w:tc>
          <w:tcPr>
            <w:tcW w:w="4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42,218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1,797,060</w:t>
            </w:r>
          </w:p>
        </w:tc>
        <w:tc>
          <w:tcPr>
            <w:tcW w:w="4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746,670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3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5,490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receivables</w:t>
            </w:r>
          </w:p>
        </w:tc>
        <w:tc>
          <w:tcPr>
            <w:tcW w:w="36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5,490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$1,797,060</w:t>
            </w:r>
          </w:p>
        </w:tc>
        <w:tc>
          <w:tcPr>
            <w:tcW w:w="4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$752,160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0" w:type="dxa"/>
            <w:vAlign w:val="bottom"/>
          </w:tcPr>
          <w:p>
            <w:pPr>
              <w:jc w:val="center"/>
              <w:ind w:left="1310"/>
              <w:spacing w:after="0"/>
              <w:rPr>
                <w:sz w:val="20"/>
                <w:szCs w:val="20"/>
                <w:color w:val="auto"/>
              </w:rPr>
            </w:pPr>
            <w:r>
              <w:rPr>
                <w:rFonts w:ascii="Arial" w:cs="Arial" w:eastAsia="Arial" w:hAnsi="Arial"/>
                <w:sz w:val="18"/>
                <w:szCs w:val="18"/>
                <w:color w:val="auto"/>
                <w:w w:val="88"/>
              </w:rPr>
              <w:t>Waste Management Retirement Savings Plan</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92"/>
              </w:rPr>
              <w:t>For Bargaining Unit Employees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89"/>
              </w:rPr>
              <w:t>Year Ended December 31, 2003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ADDITIONS TO NET ASSETS AVAILABLE FOR BENEFITS: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Employee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424,423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Rollover</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428,546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Net investment gain from the Master Trust (Note 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302,294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 interest</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Plan mergers (Note 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379,801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additions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1,114,222</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DEDUCTIONS FROM NET ASSETS AVAILABLE FOR BENEFITS: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Benefits paid to participants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69,322</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Total deductions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NET INCREASE IN NET ASSETS AVAILABLE FOR BENEFITS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1,044,900</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752,160</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End of year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1,797,060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Waste Management, Inc. (“WMI” or the “Company”), the parent of Waste Management, has named the Administrative Committee of the Waste Management Employee Benefit Plans (the “Administrative Committee”) to serve as administrator and fiduciary of all benefit plans of WMI and its subsidiaries, including the Plan. Waste Management has entered into a Defined Contribution Plans Master Trust Agreement (the “Master Trust”) with State Street Bank and Trust Company (“State Street”) whereby State Street serves as trustee of the Plan. CitiStreet, an affiliate of State Street, serves as record keeper.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 if they are covered by a collective bargaining agreement that provides for participation in the Plan.</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Employees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any other pension, retirement, profit-sharing, stock bonus, thrift or savings plan maintained by Waste Management or the Company other than the Waste Management Pension Plan for Collectively Bargained Employees or such other plans as may from time to time be determined by the Administrative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Plan does not provide for contributions by Waste Management.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The Plan utilizes cash equivalents to temporarily hold monies pending settlement for transactions initiated by participants.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14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(12 months prior to January 1, 2002) after receiving the hardship distribution.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Interest rates and repayment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terms are established by the Administrative Committee. Such loans shall be repaid by payroll deduction, or any other method approved by the Administrative Committee, which requires level amortization of principal and repayments no less frequently than quarterly and must be repaid over a period not to exceed 54 months (60 months for loans requested before August 5,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requesting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2003, the Company elected to pay certain audit and legal fees of the Plan.</w:t>
      </w:r>
    </w:p>
    <w:p>
      <w:pPr>
        <w:spacing w:after="0" w:line="128" w:lineRule="exact"/>
        <w:rPr>
          <w:sz w:val="20"/>
          <w:szCs w:val="20"/>
          <w:color w:val="auto"/>
        </w:rPr>
      </w:pPr>
    </w:p>
    <w:p>
      <w:pPr>
        <w:ind w:right="8660" w:firstLine="8"/>
        <w:spacing w:after="0" w:line="464"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38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preparation of the Plan’s financial statements in conformity with U.S. generally accepted accounting principles requires the Plan’s management to make estimates that affect the amounts reported in the financial statements and accompanying notes and supplemental schedule.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Benefits paid to participants are recorded when paid. The Plan had no amounts pending distribution to participants as of December 31,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0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Plan provides for investment in the Master Trust, which in turn invests in various common collective trust funds, corporate stocks, convertible notes and mutual funds.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(the “Non-Union Plan”). As of December 31, 2003 and 2002, the Plan’s beneficial interest in the net assets of the Master Trust was .18% and .09%, respectively.</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2003</w:t>
            </w: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224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Investments, at fair value-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collective trust funds</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$833,550,215</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$685,772,099</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4,937,729</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3,902,643</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stocks</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6,765,165</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3,370,845</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Waste Management, Inc., common stock</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102,445,458</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86,754,860</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Convertible notes</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1,048,309</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1,092,330</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6,796,257</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5,158,695</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Limited partnerships</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86,178</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31,257</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20" w:type="dxa"/>
            <w:vAlign w:val="bottom"/>
            <w:vMerge w:val="restart"/>
          </w:tcPr>
          <w:p>
            <w:pPr>
              <w:ind w:left="400"/>
              <w:spacing w:after="0"/>
              <w:rPr>
                <w:sz w:val="20"/>
                <w:szCs w:val="20"/>
                <w:color w:val="auto"/>
              </w:rPr>
            </w:pPr>
            <w:r>
              <w:rPr>
                <w:rFonts w:ascii="Arial" w:cs="Arial" w:eastAsia="Arial" w:hAnsi="Arial"/>
                <w:sz w:val="18"/>
                <w:szCs w:val="18"/>
                <w:color w:val="auto"/>
              </w:rPr>
              <w:t>Total investments</w:t>
            </w:r>
          </w:p>
        </w:tc>
        <w:tc>
          <w:tcPr>
            <w:tcW w:w="11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vMerge w:val="continue"/>
          </w:tcPr>
          <w:p>
            <w:pPr>
              <w:spacing w:after="0"/>
              <w:rPr>
                <w:sz w:val="18"/>
                <w:szCs w:val="18"/>
                <w:color w:val="auto"/>
              </w:rPr>
            </w:pPr>
          </w:p>
        </w:tc>
        <w:tc>
          <w:tcPr>
            <w:tcW w:w="11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955,629,311</w:t>
            </w:r>
          </w:p>
        </w:tc>
        <w:tc>
          <w:tcPr>
            <w:tcW w:w="132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786,082,729</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Securities sold receivable</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175,701</w:t>
            </w: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tcBorders>
              <w:left w:val="single" w:sz="8" w:color="EEEEEE"/>
            </w:tcBorders>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834,956</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1,631,527</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non-interest bearing</w:t>
            </w: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44,111</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20" w:type="dxa"/>
            <w:vAlign w:val="bottom"/>
            <w:vMerge w:val="restart"/>
          </w:tcPr>
          <w:p>
            <w:pPr>
              <w:ind w:left="40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vMerge w:val="continue"/>
          </w:tcPr>
          <w:p>
            <w:pPr>
              <w:spacing w:after="0"/>
              <w:rPr>
                <w:sz w:val="18"/>
                <w:szCs w:val="18"/>
                <w:color w:val="auto"/>
              </w:rPr>
            </w:pPr>
          </w:p>
        </w:tc>
        <w:tc>
          <w:tcPr>
            <w:tcW w:w="11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956,639,968</w:t>
            </w:r>
          </w:p>
        </w:tc>
        <w:tc>
          <w:tcPr>
            <w:tcW w:w="132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787,758,367</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Administrative fees payable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831,419</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1,310,052</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Securities purchased payable</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154,080</w:t>
            </w: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tcBorders>
              <w:left w:val="single" w:sz="8" w:color="EEEEEE"/>
            </w:tcBorders>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20" w:type="dxa"/>
            <w:vAlign w:val="bottom"/>
            <w:vMerge w:val="restart"/>
          </w:tcPr>
          <w:p>
            <w:pPr>
              <w:ind w:left="400"/>
              <w:spacing w:after="0"/>
              <w:rPr>
                <w:sz w:val="20"/>
                <w:szCs w:val="20"/>
                <w:color w:val="auto"/>
              </w:rPr>
            </w:pPr>
            <w:r>
              <w:rPr>
                <w:rFonts w:ascii="Arial" w:cs="Arial" w:eastAsia="Arial" w:hAnsi="Arial"/>
                <w:sz w:val="18"/>
                <w:szCs w:val="18"/>
                <w:color w:val="auto"/>
              </w:rPr>
              <w:t>Total liabilities</w:t>
            </w:r>
          </w:p>
        </w:tc>
        <w:tc>
          <w:tcPr>
            <w:tcW w:w="11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3720" w:type="dxa"/>
            <w:vAlign w:val="bottom"/>
            <w:vMerge w:val="continue"/>
          </w:tcPr>
          <w:p>
            <w:pPr>
              <w:spacing w:after="0"/>
              <w:rPr>
                <w:sz w:val="20"/>
                <w:szCs w:val="20"/>
                <w:color w:val="auto"/>
              </w:rPr>
            </w:pPr>
          </w:p>
        </w:tc>
        <w:tc>
          <w:tcPr>
            <w:tcW w:w="1160" w:type="dxa"/>
            <w:vAlign w:val="bottom"/>
            <w:gridSpan w:val="2"/>
          </w:tcPr>
          <w:p>
            <w:pPr>
              <w:spacing w:after="0"/>
              <w:rPr>
                <w:sz w:val="20"/>
                <w:szCs w:val="20"/>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985,499</w:t>
            </w:r>
          </w:p>
        </w:tc>
        <w:tc>
          <w:tcPr>
            <w:tcW w:w="1320" w:type="dxa"/>
            <w:vAlign w:val="bottom"/>
            <w:gridSpan w:val="3"/>
          </w:tcPr>
          <w:p>
            <w:pPr>
              <w:spacing w:after="0"/>
              <w:rPr>
                <w:sz w:val="20"/>
                <w:szCs w:val="20"/>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1,310,052</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440" w:type="dxa"/>
            <w:vAlign w:val="bottom"/>
          </w:tcPr>
          <w:p>
            <w:pPr>
              <w:spacing w:after="0"/>
              <w:rPr>
                <w:sz w:val="19"/>
                <w:szCs w:val="19"/>
                <w:color w:val="auto"/>
              </w:rPr>
            </w:pPr>
          </w:p>
        </w:tc>
        <w:tc>
          <w:tcPr>
            <w:tcW w:w="3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net assets</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$955,654,469</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$786,448,315</w:t>
            </w:r>
          </w:p>
        </w:tc>
        <w:tc>
          <w:tcPr>
            <w:tcW w:w="50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720" w:type="dxa"/>
            <w:vAlign w:val="bottom"/>
            <w:vMerge w:val="restart"/>
          </w:tcPr>
          <w:p>
            <w:pPr>
              <w:spacing w:after="0"/>
              <w:rPr>
                <w:sz w:val="20"/>
                <w:szCs w:val="20"/>
                <w:color w:val="auto"/>
              </w:rPr>
            </w:pPr>
            <w:r>
              <w:rPr>
                <w:rFonts w:ascii="Arial" w:cs="Arial" w:eastAsia="Arial" w:hAnsi="Arial"/>
                <w:sz w:val="18"/>
                <w:szCs w:val="18"/>
                <w:color w:val="auto"/>
              </w:rPr>
              <w:t>Plan interest</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808080"/>
              <w:right w:val="single" w:sz="8" w:color="808080"/>
            </w:tcBorders>
            <w:shd w:val="clear" w:color="auto" w:fill="808080"/>
          </w:tcPr>
          <w:p>
            <w:pPr>
              <w:spacing w:after="0"/>
              <w:rPr>
                <w:sz w:val="5"/>
                <w:szCs w:val="5"/>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808080"/>
              <w:right w:val="single" w:sz="8" w:color="808080"/>
            </w:tcBorders>
            <w:shd w:val="clear" w:color="auto" w:fill="808080"/>
          </w:tcPr>
          <w:p>
            <w:pPr>
              <w:spacing w:after="0"/>
              <w:rPr>
                <w:sz w:val="5"/>
                <w:szCs w:val="5"/>
                <w:color w:val="auto"/>
              </w:rPr>
            </w:pPr>
          </w:p>
        </w:tc>
        <w:tc>
          <w:tcPr>
            <w:tcW w:w="50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37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953,933,282</w:t>
            </w:r>
          </w:p>
        </w:tc>
        <w:tc>
          <w:tcPr>
            <w:tcW w:w="1320" w:type="dxa"/>
            <w:vAlign w:val="bottom"/>
            <w:gridSpan w:val="3"/>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785,743,863</w:t>
            </w:r>
          </w:p>
        </w:tc>
        <w:tc>
          <w:tcPr>
            <w:tcW w:w="50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Union Plan interest</w:t>
            </w:r>
          </w:p>
        </w:tc>
        <w:tc>
          <w:tcPr>
            <w:tcW w:w="2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1,721,187</w:t>
            </w:r>
          </w:p>
        </w:tc>
        <w:tc>
          <w:tcPr>
            <w:tcW w:w="2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704,452</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jc w:val="center"/>
              <w:ind w:left="1730"/>
              <w:spacing w:after="0"/>
              <w:rPr>
                <w:sz w:val="20"/>
                <w:szCs w:val="20"/>
                <w:color w:val="auto"/>
              </w:rPr>
            </w:pPr>
            <w:r>
              <w:rPr>
                <w:rFonts w:ascii="Arial" w:cs="Arial" w:eastAsia="Arial" w:hAnsi="Arial"/>
                <w:sz w:val="18"/>
                <w:szCs w:val="18"/>
                <w:color w:val="auto"/>
                <w:w w:val="88"/>
              </w:rPr>
              <w:t>Waste Management Retirement Savings Plan</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jc w:val="center"/>
              <w:ind w:left="1710"/>
              <w:spacing w:after="0"/>
              <w:rPr>
                <w:sz w:val="20"/>
                <w:szCs w:val="20"/>
                <w:color w:val="auto"/>
              </w:rPr>
            </w:pPr>
            <w:r>
              <w:rPr>
                <w:rFonts w:ascii="Arial" w:cs="Arial" w:eastAsia="Arial" w:hAnsi="Arial"/>
                <w:sz w:val="18"/>
                <w:szCs w:val="18"/>
                <w:color w:val="auto"/>
                <w:w w:val="92"/>
              </w:rPr>
              <w:t>For Bargaining Unit Employees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jc w:val="center"/>
              <w:ind w:left="1710"/>
              <w:spacing w:after="0"/>
              <w:rPr>
                <w:sz w:val="20"/>
                <w:szCs w:val="20"/>
                <w:color w:val="auto"/>
              </w:rPr>
            </w:pPr>
            <w:r>
              <w:rPr>
                <w:rFonts w:ascii="Arial" w:cs="Arial" w:eastAsia="Arial" w:hAnsi="Arial"/>
                <w:sz w:val="18"/>
                <w:szCs w:val="18"/>
                <w:color w:val="auto"/>
                <w:w w:val="90"/>
              </w:rPr>
              <w:t>Notes to Financial Statements (continued)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8180" w:type="dxa"/>
            <w:vAlign w:val="bottom"/>
            <w:gridSpan w:val="3"/>
          </w:tcPr>
          <w:p>
            <w:pPr>
              <w:spacing w:after="0"/>
              <w:rPr>
                <w:sz w:val="20"/>
                <w:szCs w:val="20"/>
                <w:color w:val="auto"/>
              </w:rPr>
            </w:pPr>
            <w:r>
              <w:rPr>
                <w:rFonts w:ascii="Arial" w:cs="Arial" w:eastAsia="Arial" w:hAnsi="Arial"/>
                <w:sz w:val="18"/>
                <w:szCs w:val="18"/>
                <w:color w:val="auto"/>
                <w:w w:val="92"/>
              </w:rPr>
              <w:t>Income or loss from investments held in the Master Trust for the year ended December 31, 2003, is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11,437,962</w:t>
            </w:r>
          </w:p>
        </w:tc>
        <w:tc>
          <w:tcPr>
            <w:tcW w:w="600" w:type="dxa"/>
            <w:vAlign w:val="bottom"/>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132,960</w:t>
            </w:r>
          </w:p>
        </w:tc>
        <w:tc>
          <w:tcPr>
            <w:tcW w:w="6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Dividends - Waste Management, Inc. common stock</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35,863</w:t>
            </w:r>
          </w:p>
        </w:tc>
        <w:tc>
          <w:tcPr>
            <w:tcW w:w="600" w:type="dxa"/>
            <w:vAlign w:val="bottom"/>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1,318,906</w:t>
            </w:r>
          </w:p>
        </w:tc>
        <w:tc>
          <w:tcPr>
            <w:tcW w:w="6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Net appreciation/(depreciation) in fair value of-</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Common collective trust funds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112,479,793</w:t>
            </w:r>
          </w:p>
        </w:tc>
        <w:tc>
          <w:tcPr>
            <w:tcW w:w="6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Corporate stock</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(1,636,238)</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Waste Management, Inc. common stock</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24,194,033</w:t>
            </w:r>
          </w:p>
        </w:tc>
        <w:tc>
          <w:tcPr>
            <w:tcW w:w="6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Convertible notes</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96,338</w:t>
            </w:r>
          </w:p>
        </w:tc>
        <w:tc>
          <w:tcPr>
            <w:tcW w:w="600" w:type="dxa"/>
            <w:vAlign w:val="bottom"/>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Limited partnerships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19,634</w:t>
            </w:r>
          </w:p>
        </w:tc>
        <w:tc>
          <w:tcPr>
            <w:tcW w:w="6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1,695,200</w:t>
            </w:r>
          </w:p>
        </w:tc>
        <w:tc>
          <w:tcPr>
            <w:tcW w:w="600" w:type="dxa"/>
            <w:vAlign w:val="bottom"/>
            <w:shd w:val="clear" w:color="auto" w:fill="EEEEEE"/>
          </w:tcPr>
          <w:p>
            <w:pPr>
              <w:spacing w:after="0"/>
              <w:rPr>
                <w:sz w:val="18"/>
                <w:szCs w:val="18"/>
                <w:color w:val="auto"/>
              </w:rPr>
            </w:pPr>
          </w:p>
        </w:tc>
      </w:tr>
      <w:tr>
        <w:trPr>
          <w:trHeight w:val="237"/>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Total net appreciation in fair value of investments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136,848,760</w:t>
            </w:r>
          </w:p>
        </w:tc>
        <w:tc>
          <w:tcPr>
            <w:tcW w:w="60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investment gain</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149,774,451</w:t>
            </w:r>
          </w:p>
        </w:tc>
        <w:tc>
          <w:tcPr>
            <w:tcW w:w="600" w:type="dxa"/>
            <w:vAlign w:val="bottom"/>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Administrative fees</w:t>
            </w:r>
          </w:p>
        </w:tc>
        <w:tc>
          <w:tcPr>
            <w:tcW w:w="3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(2,818,306)</w:t>
            </w:r>
          </w:p>
        </w:tc>
      </w:tr>
      <w:tr>
        <w:trPr>
          <w:trHeight w:val="21"/>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3"/>
        </w:trPr>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740" w:type="dxa"/>
            <w:vAlign w:val="bottom"/>
            <w:tcBorders>
              <w:bottom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Net gain</w:t>
            </w:r>
          </w:p>
        </w:tc>
        <w:tc>
          <w:tcPr>
            <w:tcW w:w="3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146,956,145</w:t>
            </w:r>
          </w:p>
        </w:tc>
        <w:tc>
          <w:tcPr>
            <w:tcW w:w="600" w:type="dxa"/>
            <w:vAlign w:val="bottom"/>
            <w:tcBorders>
              <w:bottom w:val="single" w:sz="8" w:color="EEEEEE"/>
            </w:tcBorders>
            <w:shd w:val="clear" w:color="auto" w:fill="EEEEEE"/>
          </w:tcPr>
          <w:p>
            <w:pPr>
              <w:spacing w:after="0"/>
              <w:rPr>
                <w:sz w:val="22"/>
                <w:szCs w:val="22"/>
                <w:color w:val="auto"/>
              </w:rPr>
            </w:pPr>
          </w:p>
        </w:tc>
      </w:tr>
      <w:tr>
        <w:trPr>
          <w:trHeight w:val="240"/>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146,653,851</w:t>
            </w:r>
          </w:p>
        </w:tc>
        <w:tc>
          <w:tcPr>
            <w:tcW w:w="60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Plan interest in investment gain from the Master Trust</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302,294</w:t>
            </w:r>
          </w:p>
        </w:tc>
        <w:tc>
          <w:tcPr>
            <w:tcW w:w="600" w:type="dxa"/>
            <w:vAlign w:val="bottom"/>
            <w:shd w:val="clear" w:color="auto" w:fill="EEEEEE"/>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Mergers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2003, the assets from plans of acquired companies were merged into the Plan. The following sets forth mergers during 2003: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jc w:val="right"/>
              <w:ind w:right="930"/>
              <w:spacing w:after="0"/>
              <w:rPr>
                <w:sz w:val="20"/>
                <w:szCs w:val="20"/>
                <w:color w:val="auto"/>
              </w:rPr>
            </w:pPr>
            <w:r>
              <w:rPr>
                <w:rFonts w:ascii="Arial" w:cs="Arial" w:eastAsia="Arial" w:hAnsi="Arial"/>
                <w:sz w:val="18"/>
                <w:szCs w:val="18"/>
                <w:color w:val="auto"/>
              </w:rPr>
              <w:t>CWM Chemical Services, LLC 401(k) Plan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$379,801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760" w:type="dxa"/>
            <w:vAlign w:val="bottom"/>
          </w:tcPr>
          <w:p>
            <w:pPr>
              <w:jc w:val="right"/>
              <w:ind w:right="2610"/>
              <w:spacing w:after="0"/>
              <w:rPr>
                <w:sz w:val="20"/>
                <w:szCs w:val="20"/>
                <w:color w:val="auto"/>
              </w:rPr>
            </w:pPr>
            <w:r>
              <w:rPr>
                <w:rFonts w:ascii="Arial" w:cs="Arial" w:eastAsia="Arial" w:hAnsi="Arial"/>
                <w:sz w:val="18"/>
                <w:szCs w:val="18"/>
                <w:color w:val="auto"/>
              </w:rPr>
              <w:t>Total plan mergers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$379,801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760" w:type="dxa"/>
            <w:vAlign w:val="bottom"/>
            <w:vMerge w:val="restart"/>
          </w:tcPr>
          <w:p>
            <w:pPr>
              <w:jc w:val="right"/>
              <w:ind w:right="910"/>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9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(“IRS”) dated November 31, 2001,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19"/>
        <w:spacing w:after="0"/>
        <w:rPr>
          <w:sz w:val="20"/>
          <w:szCs w:val="20"/>
          <w:color w:val="auto"/>
        </w:rPr>
      </w:pPr>
      <w:r>
        <w:rPr>
          <w:rFonts w:ascii="Arial" w:cs="Arial" w:eastAsia="Arial" w:hAnsi="Arial"/>
          <w:sz w:val="18"/>
          <w:szCs w:val="18"/>
          <w:color w:val="auto"/>
        </w:rPr>
        <w:t>Supplemental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jc w:val="center"/>
              <w:ind w:left="802"/>
              <w:spacing w:after="0"/>
              <w:rPr>
                <w:sz w:val="20"/>
                <w:szCs w:val="20"/>
                <w:color w:val="auto"/>
              </w:rPr>
            </w:pPr>
            <w:r>
              <w:rPr>
                <w:rFonts w:ascii="Arial" w:cs="Arial" w:eastAsia="Arial" w:hAnsi="Arial"/>
                <w:sz w:val="14"/>
                <w:szCs w:val="14"/>
                <w:b w:val="1"/>
                <w:bCs w:val="1"/>
                <w:color w:val="auto"/>
                <w:w w:val="94"/>
              </w:rPr>
              <w:t>Participant Contributions Transferred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3"/>
              </w:rPr>
              <w:t>Total that Constitute Non Exempt</w:t>
            </w:r>
          </w:p>
        </w:tc>
      </w:tr>
      <w:tr>
        <w:trPr>
          <w:trHeight w:val="186"/>
        </w:trPr>
        <w:tc>
          <w:tcPr>
            <w:tcW w:w="4840" w:type="dxa"/>
            <w:vAlign w:val="bottom"/>
          </w:tcPr>
          <w:p>
            <w:pPr>
              <w:jc w:val="center"/>
              <w:ind w:left="802"/>
              <w:spacing w:after="0"/>
              <w:rPr>
                <w:sz w:val="20"/>
                <w:szCs w:val="20"/>
                <w:color w:val="auto"/>
              </w:rPr>
            </w:pPr>
            <w:r>
              <w:rPr>
                <w:rFonts w:ascii="Arial" w:cs="Arial" w:eastAsia="Arial" w:hAnsi="Arial"/>
                <w:sz w:val="14"/>
                <w:szCs w:val="14"/>
                <w:b w:val="1"/>
                <w:bCs w:val="1"/>
                <w:color w:val="auto"/>
                <w:w w:val="95"/>
              </w:rPr>
              <w:t>Late to Plan</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1"/>
              </w:rPr>
              <w:t>Prohibitive Transactions</w:t>
            </w:r>
          </w:p>
        </w:tc>
      </w:tr>
      <w:tr>
        <w:trPr>
          <w:trHeight w:val="53"/>
        </w:trPr>
        <w:tc>
          <w:tcPr>
            <w:tcW w:w="48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5140" w:type="dxa"/>
            <w:vAlign w:val="bottom"/>
            <w:tcBorders>
              <w:bottom w:val="single" w:sz="8" w:color="808080"/>
            </w:tcBorders>
          </w:tcPr>
          <w:p>
            <w:pPr>
              <w:spacing w:after="0"/>
              <w:rPr>
                <w:sz w:val="4"/>
                <w:szCs w:val="4"/>
                <w:color w:val="auto"/>
              </w:rPr>
            </w:pPr>
          </w:p>
        </w:tc>
      </w:tr>
      <w:tr>
        <w:trPr>
          <w:trHeight w:val="291"/>
        </w:trPr>
        <w:tc>
          <w:tcPr>
            <w:tcW w:w="4840" w:type="dxa"/>
            <w:vAlign w:val="bottom"/>
          </w:tcPr>
          <w:p>
            <w:pPr>
              <w:jc w:val="center"/>
              <w:ind w:left="822"/>
              <w:spacing w:after="0"/>
              <w:rPr>
                <w:sz w:val="20"/>
                <w:szCs w:val="20"/>
                <w:color w:val="auto"/>
              </w:rPr>
            </w:pPr>
            <w:r>
              <w:rPr>
                <w:rFonts w:ascii="Arial" w:cs="Arial" w:eastAsia="Arial" w:hAnsi="Arial"/>
                <w:sz w:val="18"/>
                <w:szCs w:val="18"/>
                <w:color w:val="auto"/>
                <w:w w:val="90"/>
              </w:rPr>
              <w:t>$7,402</w:t>
            </w:r>
          </w:p>
        </w:tc>
        <w:tc>
          <w:tcPr>
            <w:tcW w:w="658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$7,402</w:t>
            </w:r>
          </w:p>
        </w:tc>
      </w:tr>
      <w:tr>
        <w:trPr>
          <w:trHeight w:val="392"/>
        </w:trPr>
        <w:tc>
          <w:tcPr>
            <w:tcW w:w="484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5140" w:type="dxa"/>
            <w:vAlign w:val="bottom"/>
          </w:tcPr>
          <w:p>
            <w:pPr>
              <w:spacing w:after="0"/>
              <w:rPr>
                <w:sz w:val="24"/>
                <w:szCs w:val="24"/>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ind w:left="1440"/>
              <w:spacing w:after="0"/>
              <w:rPr>
                <w:sz w:val="20"/>
                <w:szCs w:val="20"/>
                <w:color w:val="auto"/>
              </w:rPr>
            </w:pPr>
            <w:r>
              <w:rPr>
                <w:rFonts w:ascii="Arial" w:cs="Arial" w:eastAsia="Arial" w:hAnsi="Arial"/>
                <w:sz w:val="14"/>
                <w:szCs w:val="14"/>
                <w:b w:val="1"/>
                <w:bCs w:val="1"/>
                <w:color w:val="auto"/>
              </w:rPr>
              <w:t>Identity of Issue</w:t>
            </w:r>
          </w:p>
        </w:tc>
        <w:tc>
          <w:tcPr>
            <w:tcW w:w="560" w:type="dxa"/>
            <w:vAlign w:val="bottom"/>
          </w:tcPr>
          <w:p>
            <w:pPr>
              <w:spacing w:after="0"/>
              <w:rPr>
                <w:sz w:val="16"/>
                <w:szCs w:val="16"/>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 of Investment</w:t>
            </w:r>
          </w:p>
        </w:tc>
        <w:tc>
          <w:tcPr>
            <w:tcW w:w="540" w:type="dxa"/>
            <w:vAlign w:val="bottom"/>
          </w:tcPr>
          <w:p>
            <w:pPr>
              <w:spacing w:after="0"/>
              <w:rPr>
                <w:sz w:val="16"/>
                <w:szCs w:val="16"/>
                <w:color w:val="auto"/>
              </w:rPr>
            </w:pPr>
          </w:p>
        </w:tc>
        <w:tc>
          <w:tcPr>
            <w:tcW w:w="1400" w:type="dxa"/>
            <w:vAlign w:val="bottom"/>
          </w:tcPr>
          <w:p>
            <w:pPr>
              <w:jc w:val="right"/>
              <w:ind w:right="188"/>
              <w:spacing w:after="0"/>
              <w:rPr>
                <w:sz w:val="20"/>
                <w:szCs w:val="20"/>
                <w:color w:val="auto"/>
              </w:rPr>
            </w:pPr>
            <w:r>
              <w:rPr>
                <w:rFonts w:ascii="Arial" w:cs="Arial" w:eastAsia="Arial" w:hAnsi="Arial"/>
                <w:sz w:val="14"/>
                <w:szCs w:val="14"/>
                <w:b w:val="1"/>
                <w:bCs w:val="1"/>
                <w:color w:val="auto"/>
              </w:rPr>
              <w:t>Current Value</w:t>
            </w:r>
          </w:p>
        </w:tc>
      </w:tr>
      <w:tr>
        <w:trPr>
          <w:trHeight w:val="53"/>
        </w:trPr>
        <w:tc>
          <w:tcPr>
            <w:tcW w:w="38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508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r>
      <w:tr>
        <w:trPr>
          <w:trHeight w:val="276"/>
        </w:trPr>
        <w:tc>
          <w:tcPr>
            <w:tcW w:w="3840" w:type="dxa"/>
            <w:vAlign w:val="bottom"/>
          </w:tcPr>
          <w:p>
            <w:pPr>
              <w:spacing w:after="0"/>
              <w:rPr>
                <w:sz w:val="20"/>
                <w:szCs w:val="20"/>
                <w:color w:val="auto"/>
              </w:rPr>
            </w:pPr>
            <w:r>
              <w:rPr>
                <w:rFonts w:ascii="Arial" w:cs="Arial" w:eastAsia="Arial" w:hAnsi="Arial"/>
                <w:sz w:val="18"/>
                <w:szCs w:val="18"/>
                <w:color w:val="auto"/>
              </w:rPr>
              <w:t>*Participant Loans</w:t>
            </w:r>
          </w:p>
        </w:tc>
        <w:tc>
          <w:tcPr>
            <w:tcW w:w="5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Various maturity dates with</w:t>
            </w:r>
          </w:p>
        </w:tc>
        <w:tc>
          <w:tcPr>
            <w:tcW w:w="1940" w:type="dxa"/>
            <w:vAlign w:val="bottom"/>
            <w:gridSpan w:val="2"/>
          </w:tcPr>
          <w:p>
            <w:pPr>
              <w:jc w:val="right"/>
              <w:ind w:right="368"/>
              <w:spacing w:after="0"/>
              <w:rPr>
                <w:sz w:val="20"/>
                <w:szCs w:val="20"/>
                <w:color w:val="auto"/>
              </w:rPr>
            </w:pPr>
            <w:r>
              <w:rPr>
                <w:rFonts w:ascii="Arial" w:cs="Arial" w:eastAsia="Arial" w:hAnsi="Arial"/>
                <w:sz w:val="18"/>
                <w:szCs w:val="18"/>
                <w:color w:val="auto"/>
              </w:rPr>
              <w:t>$75,873</w:t>
            </w:r>
          </w:p>
        </w:tc>
      </w:tr>
      <w:tr>
        <w:trPr>
          <w:trHeight w:val="216"/>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0"/>
              </w:rPr>
              <w:t>interest rates ranging from</w:t>
            </w: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5.0% to 9.5%</w:t>
            </w: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3840" w:type="dxa"/>
            <w:vAlign w:val="bottom"/>
          </w:tcPr>
          <w:p>
            <w:pPr>
              <w:spacing w:after="0"/>
              <w:rPr>
                <w:sz w:val="20"/>
                <w:szCs w:val="20"/>
                <w:color w:val="auto"/>
              </w:rPr>
            </w:pPr>
            <w:r>
              <w:rPr>
                <w:rFonts w:ascii="Arial" w:cs="Arial" w:eastAsia="Arial" w:hAnsi="Arial"/>
                <w:sz w:val="18"/>
                <w:szCs w:val="18"/>
                <w:color w:val="auto"/>
              </w:rPr>
              <w:t>*Party-in-interest</w:t>
            </w: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3840" w:type="dxa"/>
            <w:vAlign w:val="bottom"/>
          </w:tcPr>
          <w:p>
            <w:pPr>
              <w:spacing w:after="0"/>
              <w:rPr>
                <w:sz w:val="24"/>
                <w:szCs w:val="24"/>
                <w:color w:val="auto"/>
              </w:rPr>
            </w:pPr>
          </w:p>
        </w:tc>
        <w:tc>
          <w:tcPr>
            <w:tcW w:w="5640" w:type="dxa"/>
            <w:vAlign w:val="bottom"/>
            <w:gridSpan w:val="2"/>
          </w:tcPr>
          <w:p>
            <w:pPr>
              <w:jc w:val="right"/>
              <w:ind w:right="3594"/>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6"/>
        </w:trPr>
        <w:tc>
          <w:tcPr>
            <w:tcW w:w="3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15(d) of the Securities Exchange Act of 1934, the Administrative Committee has duly caused this Annual Report to be signed on its behalf by the undersigned 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 June 25, 2004</w:t>
            </w:r>
          </w:p>
        </w:tc>
        <w:tc>
          <w:tcPr>
            <w:tcW w:w="8540" w:type="dxa"/>
            <w:vAlign w:val="bottom"/>
            <w:gridSpan w:val="2"/>
          </w:tcPr>
          <w:p>
            <w:pPr>
              <w:ind w:left="1420"/>
              <w:spacing w:after="0"/>
              <w:rPr>
                <w:sz w:val="20"/>
                <w:szCs w:val="20"/>
                <w:color w:val="auto"/>
              </w:rPr>
            </w:pPr>
            <w:r>
              <w:rPr>
                <w:rFonts w:ascii="Arial" w:cs="Arial" w:eastAsia="Arial" w:hAnsi="Arial"/>
                <w:sz w:val="18"/>
                <w:szCs w:val="18"/>
                <w:color w:val="auto"/>
              </w:rPr>
              <w:t>WASTE MANAGEMENT RETIREMENT</w:t>
            </w:r>
          </w:p>
        </w:tc>
      </w:tr>
      <w:tr>
        <w:trPr>
          <w:trHeight w:val="216"/>
        </w:trPr>
        <w:tc>
          <w:tcPr>
            <w:tcW w:w="2880" w:type="dxa"/>
            <w:vAlign w:val="bottom"/>
          </w:tcPr>
          <w:p>
            <w:pPr>
              <w:spacing w:after="0"/>
              <w:rPr>
                <w:sz w:val="18"/>
                <w:szCs w:val="18"/>
                <w:color w:val="auto"/>
              </w:rPr>
            </w:pPr>
          </w:p>
        </w:tc>
        <w:tc>
          <w:tcPr>
            <w:tcW w:w="8540" w:type="dxa"/>
            <w:vAlign w:val="bottom"/>
            <w:gridSpan w:val="2"/>
          </w:tcPr>
          <w:p>
            <w:pPr>
              <w:ind w:left="1420"/>
              <w:spacing w:after="0"/>
              <w:rPr>
                <w:sz w:val="20"/>
                <w:szCs w:val="20"/>
                <w:color w:val="auto"/>
              </w:rPr>
            </w:pPr>
            <w:r>
              <w:rPr>
                <w:rFonts w:ascii="Arial" w:cs="Arial" w:eastAsia="Arial" w:hAnsi="Arial"/>
                <w:sz w:val="18"/>
                <w:szCs w:val="18"/>
                <w:color w:val="auto"/>
              </w:rPr>
              <w:t>SAVINGS PLAN FOR BARGAINING UNIT</w:t>
            </w:r>
          </w:p>
        </w:tc>
      </w:tr>
      <w:tr>
        <w:trPr>
          <w:trHeight w:val="230"/>
        </w:trPr>
        <w:tc>
          <w:tcPr>
            <w:tcW w:w="2880" w:type="dxa"/>
            <w:vAlign w:val="bottom"/>
          </w:tcPr>
          <w:p>
            <w:pPr>
              <w:spacing w:after="0"/>
              <w:rPr>
                <w:sz w:val="20"/>
                <w:szCs w:val="20"/>
                <w:color w:val="auto"/>
              </w:rPr>
            </w:pPr>
          </w:p>
        </w:tc>
        <w:tc>
          <w:tcPr>
            <w:tcW w:w="8540" w:type="dxa"/>
            <w:vAlign w:val="bottom"/>
            <w:gridSpan w:val="2"/>
          </w:tcPr>
          <w:p>
            <w:pPr>
              <w:ind w:left="1420"/>
              <w:spacing w:after="0"/>
              <w:rPr>
                <w:sz w:val="20"/>
                <w:szCs w:val="20"/>
                <w:color w:val="auto"/>
              </w:rPr>
            </w:pPr>
            <w:r>
              <w:rPr>
                <w:rFonts w:ascii="Arial" w:cs="Arial" w:eastAsia="Arial" w:hAnsi="Arial"/>
                <w:sz w:val="18"/>
                <w:szCs w:val="18"/>
                <w:color w:val="auto"/>
              </w:rPr>
              <w:t>EMPLOYEES</w:t>
            </w:r>
          </w:p>
        </w:tc>
      </w:tr>
      <w:tr>
        <w:trPr>
          <w:trHeight w:val="439"/>
        </w:trPr>
        <w:tc>
          <w:tcPr>
            <w:tcW w:w="2880" w:type="dxa"/>
            <w:vAlign w:val="bottom"/>
          </w:tcPr>
          <w:p>
            <w:pPr>
              <w:spacing w:after="0"/>
              <w:rPr>
                <w:sz w:val="24"/>
                <w:szCs w:val="24"/>
                <w:color w:val="auto"/>
              </w:rPr>
            </w:pPr>
          </w:p>
        </w:tc>
        <w:tc>
          <w:tcPr>
            <w:tcW w:w="8540" w:type="dxa"/>
            <w:vAlign w:val="bottom"/>
            <w:gridSpan w:val="2"/>
          </w:tcPr>
          <w:p>
            <w:pPr>
              <w:ind w:left="1420"/>
              <w:spacing w:after="0"/>
              <w:rPr>
                <w:sz w:val="20"/>
                <w:szCs w:val="20"/>
                <w:color w:val="auto"/>
              </w:rPr>
            </w:pPr>
            <w:r>
              <w:rPr>
                <w:rFonts w:ascii="Arial" w:cs="Arial" w:eastAsia="Arial" w:hAnsi="Arial"/>
                <w:sz w:val="18"/>
                <w:szCs w:val="18"/>
                <w:color w:val="auto"/>
              </w:rPr>
              <w:t>By:  /s/Lois B. Martin</w:t>
            </w:r>
          </w:p>
        </w:tc>
      </w:tr>
      <w:tr>
        <w:trPr>
          <w:trHeight w:val="215"/>
        </w:trPr>
        <w:tc>
          <w:tcPr>
            <w:tcW w:w="2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40" w:type="dxa"/>
            <w:vAlign w:val="bottom"/>
            <w:tcBorders>
              <w:top w:val="single" w:sz="8" w:color="808080"/>
            </w:tcBorders>
          </w:tcPr>
          <w:p>
            <w:pPr>
              <w:spacing w:after="0"/>
              <w:rPr>
                <w:sz w:val="20"/>
                <w:szCs w:val="20"/>
                <w:color w:val="auto"/>
              </w:rPr>
            </w:pPr>
            <w:r>
              <w:rPr>
                <w:rFonts w:ascii="Arial" w:cs="Arial" w:eastAsia="Arial" w:hAnsi="Arial"/>
                <w:sz w:val="18"/>
                <w:szCs w:val="18"/>
                <w:color w:val="auto"/>
              </w:rPr>
              <w:t>Lois B. Martin</w:t>
            </w:r>
          </w:p>
        </w:tc>
      </w:tr>
      <w:tr>
        <w:trPr>
          <w:trHeight w:val="230"/>
        </w:trPr>
        <w:tc>
          <w:tcPr>
            <w:tcW w:w="2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Chair of the Administrative Committee</w:t>
            </w:r>
          </w:p>
        </w:tc>
      </w:tr>
      <w:tr>
        <w:trPr>
          <w:trHeight w:val="392"/>
        </w:trPr>
        <w:tc>
          <w:tcPr>
            <w:tcW w:w="2880" w:type="dxa"/>
            <w:vAlign w:val="bottom"/>
          </w:tcPr>
          <w:p>
            <w:pPr>
              <w:spacing w:after="0"/>
              <w:rPr>
                <w:sz w:val="24"/>
                <w:szCs w:val="24"/>
                <w:color w:val="auto"/>
              </w:rPr>
            </w:pPr>
          </w:p>
        </w:tc>
        <w:tc>
          <w:tcPr>
            <w:tcW w:w="8540" w:type="dxa"/>
            <w:vAlign w:val="bottom"/>
            <w:gridSpan w:val="2"/>
          </w:tcPr>
          <w:p>
            <w:pPr>
              <w:ind w:left="2740"/>
              <w:spacing w:after="0"/>
              <w:rPr>
                <w:sz w:val="20"/>
                <w:szCs w:val="20"/>
                <w:color w:val="auto"/>
              </w:rPr>
            </w:pPr>
            <w:r>
              <w:rPr>
                <w:rFonts w:ascii="Arial" w:cs="Arial" w:eastAsia="Arial" w:hAnsi="Arial"/>
                <w:sz w:val="18"/>
                <w:szCs w:val="18"/>
                <w:color w:val="auto"/>
              </w:rPr>
              <w:t>12</w:t>
            </w:r>
          </w:p>
        </w:tc>
      </w:tr>
      <w:tr>
        <w:trPr>
          <w:trHeight w:val="226"/>
        </w:trPr>
        <w:tc>
          <w:tcPr>
            <w:tcW w:w="28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3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10500" w:type="dxa"/>
            <w:vAlign w:val="bottom"/>
            <w:gridSpan w:val="2"/>
          </w:tcPr>
          <w:p>
            <w:pPr>
              <w:jc w:val="right"/>
              <w:ind w:right="553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June 15, 2004, with respect to the financial statements and schedules of the Waste Management Retirement Savings Plan for Bargaining Unit Employees included in this Annual Report (Form 11-K) for the year ended December 31, 2003.</w:t>
      </w:r>
    </w:p>
    <w:p>
      <w:pPr>
        <w:spacing w:after="0" w:line="106"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2019-12-20T03:56:38Z</dcterms:created>
  <dcterms:modified xsi:type="dcterms:W3CDTF">2019-12-20T03:56:38Z</dcterms:modified>
</cp:coreProperties>
</file>