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7)*</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Waste Management Inc.</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94106L109</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2014</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1 of 5</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42,939,153</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42,939,153</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42,939,153</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9.3%</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94106L109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5</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7</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tabs>
          <w:tab w:leader="none" w:pos="2940" w:val="left"/>
        </w:tabs>
        <w:rPr>
          <w:sz w:val="20"/>
          <w:szCs w:val="20"/>
          <w:color w:val="auto"/>
        </w:rPr>
      </w:pPr>
      <w:r>
        <w:rPr>
          <w:rFonts w:ascii="Courier New" w:cs="Courier New" w:eastAsia="Courier New" w:hAnsi="Courier New"/>
          <w:sz w:val="18"/>
          <w:szCs w:val="18"/>
          <w:color w:val="auto"/>
        </w:rPr>
        <w:t>1001 Fannin Street,</w:t>
      </w:r>
      <w:r>
        <w:rPr>
          <w:sz w:val="20"/>
          <w:szCs w:val="20"/>
          <w:color w:val="auto"/>
        </w:rPr>
        <w:tab/>
      </w:r>
      <w:r>
        <w:rPr>
          <w:rFonts w:ascii="Courier New" w:cs="Courier New" w:eastAsia="Courier New" w:hAnsi="Courier New"/>
          <w:sz w:val="16"/>
          <w:szCs w:val="16"/>
          <w:color w:val="auto"/>
        </w:rPr>
        <w:t>Ste 4000</w:t>
      </w:r>
    </w:p>
    <w:p>
      <w:pPr>
        <w:ind w:left="740"/>
        <w:spacing w:after="0"/>
        <w:rPr>
          <w:sz w:val="20"/>
          <w:szCs w:val="20"/>
          <w:color w:val="auto"/>
        </w:rPr>
      </w:pPr>
      <w:r>
        <w:rPr>
          <w:rFonts w:ascii="Courier New" w:cs="Courier New" w:eastAsia="Courier New" w:hAnsi="Courier New"/>
          <w:sz w:val="18"/>
          <w:szCs w:val="18"/>
          <w:color w:val="auto"/>
        </w:rPr>
        <w:t>Houston TX 77002</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94106L109</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w:t>
            </w:r>
          </w:p>
        </w:tc>
        <w:tc>
          <w:tcPr>
            <w:tcW w:w="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5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adviser in accordance with</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Capital World Investors is deemed to be the beneficial owner of 42,939,153 shares or 9.3% of the 457,920,973 shares believed to be outstanding as a result of CRMC acting as investment adviser to various investment companies registered under Section 8 of the Investment Company Act of 1940.</w:t>
      </w:r>
    </w:p>
    <w:p>
      <w:pPr>
        <w:spacing w:after="0" w:line="200" w:lineRule="exact"/>
        <w:rPr>
          <w:sz w:val="20"/>
          <w:szCs w:val="20"/>
          <w:color w:val="auto"/>
        </w:rPr>
      </w:pPr>
    </w:p>
    <w:p>
      <w:pPr>
        <w:spacing w:after="0" w:line="206"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3 of 5</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One or more clients of Capital World Investors have the right to receive or the power to direct the receipt of dividends from, or the proceeds from the sale of, the Common Stock of Waste Management Inc.. Capital World Investors holds more than five percent of the outstanding Common Stock of Waste Management Inc. as of December 31, 2014 on behalf of each of the following client(s):</w:t>
      </w:r>
    </w:p>
    <w:p>
      <w:pPr>
        <w:spacing w:after="0" w:line="207"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The Income Fund of America</w:t>
      </w:r>
    </w:p>
    <w:p>
      <w:pPr>
        <w:spacing w:after="0" w:line="207"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38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6, 2015</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80" w:type="dxa"/>
            <w:vAlign w:val="bottom"/>
          </w:tcPr>
          <w:p>
            <w:pPr>
              <w:ind w:left="220"/>
              <w:spacing w:after="0"/>
              <w:rPr>
                <w:sz w:val="20"/>
                <w:szCs w:val="20"/>
                <w:color w:val="auto"/>
              </w:rPr>
            </w:pPr>
            <w:r>
              <w:rPr>
                <w:rFonts w:ascii="Courier New" w:cs="Courier New" w:eastAsia="Courier New" w:hAnsi="Courier New"/>
                <w:sz w:val="18"/>
                <w:szCs w:val="18"/>
                <w:color w:val="auto"/>
              </w:rPr>
              <w:t>Alan</w:t>
            </w:r>
          </w:p>
        </w:tc>
        <w:tc>
          <w:tcPr>
            <w:tcW w:w="3120" w:type="dxa"/>
            <w:vAlign w:val="bottom"/>
          </w:tcPr>
          <w:p>
            <w:pPr>
              <w:ind w:left="60"/>
              <w:spacing w:after="0"/>
              <w:rPr>
                <w:sz w:val="20"/>
                <w:szCs w:val="20"/>
                <w:color w:val="auto"/>
              </w:rPr>
            </w:pPr>
            <w:r>
              <w:rPr>
                <w:rFonts w:ascii="Courier New" w:cs="Courier New" w:eastAsia="Courier New" w:hAnsi="Courier New"/>
                <w:sz w:val="18"/>
                <w:szCs w:val="18"/>
                <w:color w:val="auto"/>
              </w:rPr>
              <w:t>Berro***</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Alan</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Berro - Senior Vice President</w:t>
            </w:r>
          </w:p>
        </w:tc>
      </w:tr>
      <w:tr>
        <w:trPr>
          <w:trHeight w:val="203"/>
        </w:trPr>
        <w:tc>
          <w:tcPr>
            <w:tcW w:w="1360" w:type="dxa"/>
            <w:vAlign w:val="bottom"/>
          </w:tcPr>
          <w:p>
            <w:pPr>
              <w:spacing w:after="0"/>
              <w:rPr>
                <w:sz w:val="17"/>
                <w:szCs w:val="17"/>
                <w:color w:val="auto"/>
              </w:rPr>
            </w:pPr>
          </w:p>
        </w:tc>
        <w:tc>
          <w:tcPr>
            <w:tcW w:w="3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Capital World Investors</w:t>
            </w:r>
          </w:p>
        </w:tc>
      </w:tr>
    </w:tbl>
    <w:p>
      <w:pPr>
        <w:spacing w:after="0" w:line="200" w:lineRule="exact"/>
        <w:rPr>
          <w:sz w:val="20"/>
          <w:szCs w:val="20"/>
          <w:color w:val="auto"/>
        </w:rPr>
      </w:pP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6"/>
          <w:szCs w:val="16"/>
          <w:color w:val="auto"/>
        </w:rPr>
        <w:t>***By</w:t>
        <w:tab/>
        <w:t>/s/ Michael J Triessl</w:t>
      </w:r>
    </w:p>
    <w:p>
      <w:pPr>
        <w:sectPr>
          <w:pgSz w:w="11900" w:h="16838" w:orient="portrait"/>
          <w:cols w:equalWidth="0" w:num="1">
            <w:col w:w="10219"/>
          </w:cols>
          <w:pgMar w:left="240" w:top="136" w:right="1440" w:bottom="0" w:gutter="0" w:footer="0" w:header="0"/>
          <w:type w:val="continuous"/>
        </w:sectPr>
      </w:pPr>
    </w:p>
    <w:bookmarkStart w:id="3" w:name="page4"/>
    <w:bookmarkEnd w:id="3"/>
    <w:p>
      <w:pPr>
        <w:ind w:left="1580"/>
        <w:spacing w:after="0"/>
        <w:rPr>
          <w:sz w:val="20"/>
          <w:szCs w:val="20"/>
          <w:color w:val="auto"/>
        </w:rPr>
      </w:pPr>
      <w:r>
        <w:rPr>
          <w:rFonts w:ascii="Courier New" w:cs="Courier New" w:eastAsia="Courier New" w:hAnsi="Courier New"/>
          <w:sz w:val="18"/>
          <w:szCs w:val="18"/>
          <w:color w:val="auto"/>
        </w:rPr>
        <w:t>Michael J Triessl</w:t>
      </w:r>
    </w:p>
    <w:p>
      <w:pPr>
        <w:ind w:left="158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1060" w:right="3039"/>
        <w:spacing w:after="0" w:line="268" w:lineRule="auto"/>
        <w:rPr>
          <w:sz w:val="20"/>
          <w:szCs w:val="20"/>
          <w:color w:val="auto"/>
        </w:rPr>
      </w:pPr>
      <w:r>
        <w:rPr>
          <w:rFonts w:ascii="Courier New" w:cs="Courier New" w:eastAsia="Courier New" w:hAnsi="Courier New"/>
          <w:sz w:val="16"/>
          <w:szCs w:val="16"/>
          <w:color w:val="auto"/>
        </w:rPr>
        <w:t>Signed pursuant to a Power of Attorney dated December 19, 2014 included as an Exhibit to Schedule 13G filed with the</w:t>
      </w:r>
    </w:p>
    <w:p>
      <w:pPr>
        <w:ind w:left="1060"/>
        <w:spacing w:after="0" w:line="233" w:lineRule="auto"/>
        <w:rPr>
          <w:sz w:val="20"/>
          <w:szCs w:val="20"/>
          <w:color w:val="auto"/>
        </w:rPr>
      </w:pPr>
      <w:r>
        <w:rPr>
          <w:rFonts w:ascii="Courier New" w:cs="Courier New" w:eastAsia="Courier New" w:hAnsi="Courier New"/>
          <w:sz w:val="18"/>
          <w:szCs w:val="18"/>
          <w:color w:val="auto"/>
        </w:rPr>
        <w:t>Securities and Exchange Commission by Capital World Investors</w:t>
      </w:r>
    </w:p>
    <w:p>
      <w:pPr>
        <w:ind w:left="1060"/>
        <w:spacing w:after="0"/>
        <w:rPr>
          <w:sz w:val="20"/>
          <w:szCs w:val="20"/>
          <w:color w:val="auto"/>
        </w:rPr>
      </w:pPr>
      <w:r>
        <w:rPr>
          <w:rFonts w:ascii="Courier New" w:cs="Courier New" w:eastAsia="Courier New" w:hAnsi="Courier New"/>
          <w:sz w:val="18"/>
          <w:szCs w:val="18"/>
          <w:color w:val="auto"/>
        </w:rPr>
        <w:t>on February 6, 2015 with respect to Hudbay Minerals Inc.</w:t>
      </w: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4 of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5 of 5</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2019-12-21T02:59:31Z</dcterms:created>
  <dcterms:modified xsi:type="dcterms:W3CDTF">2019-12-21T02:59:31Z</dcterms:modified>
</cp:coreProperties>
</file>