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tm247937d1_8k.htm"/>
      <w:bookmarkStart w:id="1" w:name="kstm247937d1_8k"/>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1_edei--DocumentType_c20240301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9_edei--DocumentPeriodEndDate_c202"/>
      <w:bookmarkEnd w:id="3"/>
      <w:r>
        <w:rPr>
          <w:rFonts w:ascii="Times New Roman;Times;Serif" w:hAnsi="Times New Roman;Times;Serif"/>
          <w:b/>
          <w:i w:val="false"/>
          <w:caps w:val="false"/>
          <w:smallCaps w:val="false"/>
          <w:sz w:val="20"/>
        </w:rPr>
        <w:t>March 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6_edei--EntityRegistrantName_c2024"/>
      <w:bookmarkEnd w:id="4"/>
      <w:r>
        <w:rPr>
          <w:rFonts w:ascii="Times New Roman;Times;Serif" w:hAnsi="Times New Roman;Times;Serif"/>
          <w:b/>
          <w:i w:val="false"/>
          <w:caps w:val="false"/>
          <w:smallCaps w:val="false"/>
          <w:sz w:val="48"/>
        </w:rPr>
        <w:t>Waste Management,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Charter)</w:t>
      </w:r>
    </w:p>
    <w:p>
      <w:pPr>
        <w:pStyle w:val="TextBody"/>
        <w:bidi w:val="0"/>
        <w:spacing w:before="0" w:after="0"/>
        <w:ind w:left="0" w:right="0" w:hanging="0"/>
        <w:jc w:val="left"/>
        <w:rPr>
          <w:caps w:val="false"/>
          <w:smallCaps w:val="false"/>
        </w:rPr>
      </w:pPr>
      <w:r>
        <w:rPr>
          <w:caps w:val="false"/>
          <w:smallCaps w:val="false"/>
        </w:rPr>
        <w:t> </w:t>
      </w:r>
    </w:p>
    <w:tbl>
      <w:tblPr>
        <w:tblW w:w="6045" w:type="dxa"/>
        <w:jc w:val="left"/>
        <w:tblInd w:w="0" w:type="dxa"/>
        <w:tblLayout w:type="fixed"/>
        <w:tblCellMar>
          <w:top w:w="0" w:type="dxa"/>
          <w:left w:w="0" w:type="dxa"/>
          <w:bottom w:w="0" w:type="dxa"/>
          <w:right w:w="0" w:type="dxa"/>
        </w:tblCellMar>
      </w:tblPr>
      <w:tblGrid>
        <w:gridCol w:w="2195"/>
        <w:gridCol w:w="60"/>
        <w:gridCol w:w="2210"/>
        <w:gridCol w:w="60"/>
        <w:gridCol w:w="1520"/>
      </w:tblGrid>
      <w:tr>
        <w:trPr/>
        <w:tc>
          <w:tcPr>
            <w:tcW w:w="2195" w:type="dxa"/>
            <w:tcBorders/>
            <w:vAlign w:val="center"/>
          </w:tcPr>
          <w:p>
            <w:pPr>
              <w:pStyle w:val="TableContents"/>
              <w:bidi w:val="0"/>
              <w:spacing w:before="0" w:after="283"/>
              <w:jc w:val="center"/>
              <w:rPr>
                <w:b/>
              </w:rPr>
            </w:pPr>
            <w:bookmarkStart w:id="5" w:name="xdx_90E_edei--EntityIncorporationStateCo"/>
            <w:bookmarkEnd w:id="5"/>
            <w:r>
              <w:rPr>
                <w:b/>
              </w:rPr>
              <w:t>Delaware</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b/>
                <w:sz w:val="20"/>
              </w:rPr>
            </w:pPr>
            <w:bookmarkStart w:id="6" w:name="xdx_907_edei--EntityFileNumber_c20240301"/>
            <w:bookmarkEnd w:id="6"/>
            <w:r>
              <w:rPr>
                <w:rFonts w:ascii="Times New Roman;Times;Serif" w:hAnsi="Times New Roman;Times;Serif"/>
                <w:b/>
                <w:sz w:val="20"/>
              </w:rPr>
              <w:t>1-12154</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center"/>
              <w:rPr>
                <w:rFonts w:ascii="Times New Roman;Times;Serif" w:hAnsi="Times New Roman;Times;Serif"/>
                <w:b/>
                <w:sz w:val="20"/>
              </w:rPr>
            </w:pPr>
            <w:bookmarkStart w:id="7" w:name="xdx_909_edei--EntityTaxIdentificationNum"/>
            <w:bookmarkEnd w:id="7"/>
            <w:r>
              <w:rPr>
                <w:rFonts w:ascii="Times New Roman;Times;Serif" w:hAnsi="Times New Roman;Times;Serif"/>
                <w:b/>
                <w:sz w:val="20"/>
              </w:rPr>
              <w:t>73-1309529</w:t>
            </w:r>
          </w:p>
        </w:tc>
      </w:tr>
      <w:tr>
        <w:trPr/>
        <w:tc>
          <w:tcPr>
            <w:tcW w:w="21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w:t>
              <w:br/>
              <w:t>of Incorporation)</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885" w:type="dxa"/>
        <w:jc w:val="left"/>
        <w:tblInd w:w="0" w:type="dxa"/>
        <w:tblLayout w:type="fixed"/>
        <w:tblCellMar>
          <w:top w:w="0" w:type="dxa"/>
          <w:left w:w="0" w:type="dxa"/>
          <w:bottom w:w="0" w:type="dxa"/>
          <w:right w:w="0" w:type="dxa"/>
        </w:tblCellMar>
      </w:tblPr>
      <w:tblGrid>
        <w:gridCol w:w="3920"/>
        <w:gridCol w:w="60"/>
        <w:gridCol w:w="905"/>
      </w:tblGrid>
      <w:tr>
        <w:trPr/>
        <w:tc>
          <w:tcPr>
            <w:tcW w:w="3920" w:type="dxa"/>
            <w:tcBorders/>
            <w:vAlign w:val="center"/>
          </w:tcPr>
          <w:p>
            <w:pPr>
              <w:pStyle w:val="TableContents"/>
              <w:bidi w:val="0"/>
              <w:spacing w:before="0" w:after="283"/>
              <w:jc w:val="center"/>
              <w:rPr/>
            </w:pPr>
            <w:bookmarkStart w:id="8" w:name="xdx_90F_edei--EntityAddressAddressLine1_"/>
            <w:bookmarkEnd w:id="8"/>
            <w:r>
              <w:rPr>
                <w:rFonts w:ascii="Times New Roman;Times;Serif" w:hAnsi="Times New Roman;Times;Serif"/>
                <w:b/>
                <w:sz w:val="20"/>
              </w:rPr>
              <w:t xml:space="preserve">800 Capitol Street, </w:t>
            </w:r>
            <w:bookmarkStart w:id="9" w:name="xdx_90D_edei--EntityAddressAddressLine2_"/>
            <w:bookmarkEnd w:id="9"/>
            <w:r>
              <w:rPr>
                <w:rFonts w:ascii="Times New Roman;Times;Serif" w:hAnsi="Times New Roman;Times;Serif"/>
                <w:b/>
                <w:sz w:val="20"/>
              </w:rPr>
              <w:t xml:space="preserve">Suite 3000, </w:t>
            </w:r>
            <w:bookmarkStart w:id="10" w:name="xdx_909_edei--EntityAddressCityOrTown_c2"/>
            <w:bookmarkEnd w:id="10"/>
            <w:r>
              <w:rPr>
                <w:rFonts w:ascii="Times New Roman;Times;Serif" w:hAnsi="Times New Roman;Times;Serif"/>
                <w:b/>
                <w:sz w:val="20"/>
              </w:rPr>
              <w:t xml:space="preserve">Houston, </w:t>
            </w:r>
            <w:bookmarkStart w:id="11" w:name="xdx_906_edei--EntityAddressStateOrProvin"/>
            <w:bookmarkEnd w:id="11"/>
            <w:r>
              <w:rPr>
                <w:rFonts w:ascii="Times New Roman;Times;Serif" w:hAnsi="Times New Roman;Times;Serif"/>
                <w:b/>
                <w:sz w:val="20"/>
              </w:rPr>
              <w:t>Texas</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rFonts w:ascii="Times New Roman;Times;Serif" w:hAnsi="Times New Roman;Times;Serif"/>
                <w:b/>
                <w:sz w:val="20"/>
              </w:rPr>
            </w:pPr>
            <w:bookmarkStart w:id="12" w:name="xdx_909_edei--EntityAddressPostalZipCode"/>
            <w:bookmarkEnd w:id="12"/>
            <w:r>
              <w:rPr>
                <w:rFonts w:ascii="Times New Roman;Times;Serif" w:hAnsi="Times New Roman;Times;Serif"/>
                <w:b/>
                <w:sz w:val="20"/>
              </w:rPr>
              <w:t>77002</w:t>
            </w:r>
          </w:p>
        </w:tc>
      </w:tr>
      <w:tr>
        <w:trPr/>
        <w:tc>
          <w:tcPr>
            <w:tcW w:w="39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C_edei--CityAreaCode_c20240301__20"/>
      <w:bookmarkEnd w:id="13"/>
      <w:r>
        <w:rPr>
          <w:rFonts w:ascii="Times New Roman;Times;Serif" w:hAnsi="Times New Roman;Times;Serif"/>
          <w:b/>
          <w:i w:val="false"/>
          <w:caps w:val="false"/>
          <w:smallCaps w:val="false"/>
          <w:sz w:val="20"/>
        </w:rPr>
        <w:t xml:space="preserve">713) </w:t>
      </w:r>
      <w:bookmarkStart w:id="14" w:name="xdx_90A_edei--LocalPhoneNumber_c20240301"/>
      <w:bookmarkEnd w:id="14"/>
      <w:r>
        <w:rPr>
          <w:rFonts w:ascii="Times New Roman;Times;Serif" w:hAnsi="Times New Roman;Times;Serif"/>
          <w:b/>
          <w:i w:val="false"/>
          <w:caps w:val="false"/>
          <w:smallCaps w:val="false"/>
          <w:sz w:val="20"/>
        </w:rPr>
        <w:t>512-6200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15" w:name="xdx_900_edei--WrittenCommunications_c202"/>
      <w:bookmarkEnd w:id="15"/>
      <w:r>
        <w:rPr>
          <w:caps w:val="false"/>
          <w:smallCaps w:val="false"/>
        </w:rPr>
        <w:t>☐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ind w:left="0" w:right="0" w:hanging="0"/>
        <w:jc w:val="both"/>
        <w:rPr>
          <w:caps w:val="false"/>
          <w:smallCaps w:val="false"/>
        </w:rPr>
      </w:pPr>
      <w:bookmarkStart w:id="16" w:name="xdx_90F_edei--SolicitingMaterial_c202403"/>
      <w:bookmarkEnd w:id="16"/>
      <w:r>
        <w:rPr>
          <w:caps w:val="false"/>
          <w:smallCaps w:val="false"/>
        </w:rPr>
        <w:t xml:space="preserve">☐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ind w:left="0" w:right="0" w:hanging="0"/>
        <w:jc w:val="both"/>
        <w:rPr>
          <w:caps w:val="false"/>
          <w:smallCaps w:val="false"/>
        </w:rPr>
      </w:pPr>
      <w:bookmarkStart w:id="17" w:name="xdx_90C_edei--PreCommencementTenderOffer"/>
      <w:bookmarkEnd w:id="17"/>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0" w:right="0" w:hanging="0"/>
        <w:jc w:val="both"/>
        <w:rPr>
          <w:caps w:val="false"/>
          <w:smallCaps w:val="false"/>
        </w:rPr>
      </w:pPr>
      <w:bookmarkStart w:id="18" w:name="xdx_90E_edei--PreCommencementIssuerTende"/>
      <w:bookmarkEnd w:id="18"/>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tbl>
      <w:tblPr>
        <w:tblW w:w="7860" w:type="dxa"/>
        <w:jc w:val="left"/>
        <w:tblInd w:w="0" w:type="dxa"/>
        <w:tblLayout w:type="fixed"/>
        <w:tblCellMar>
          <w:top w:w="28" w:type="dxa"/>
          <w:left w:w="0" w:type="dxa"/>
          <w:bottom w:w="0" w:type="dxa"/>
          <w:right w:w="0" w:type="dxa"/>
        </w:tblCellMar>
      </w:tblPr>
      <w:tblGrid>
        <w:gridCol w:w="2630"/>
        <w:gridCol w:w="60"/>
        <w:gridCol w:w="1535"/>
        <w:gridCol w:w="60"/>
        <w:gridCol w:w="3575"/>
      </w:tblGrid>
      <w:tr>
        <w:trPr/>
        <w:tc>
          <w:tcPr>
            <w:tcW w:w="2630" w:type="dxa"/>
            <w:tcBorders>
              <w:top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of each class</w:t>
            </w:r>
          </w:p>
        </w:tc>
        <w:tc>
          <w:tcPr>
            <w:tcW w:w="60" w:type="dxa"/>
            <w:tcBorders>
              <w:top w:val="single" w:sz="8" w:space="0" w:color="000000"/>
              <w:bottom w:val="single" w:sz="8" w:space="0" w:color="000000"/>
            </w:tcBorders>
            <w:tcMar>
              <w:bottom w:w="28" w:type="dxa"/>
            </w:tcMar>
            <w:vAlign w:val="center"/>
          </w:tcPr>
          <w:p>
            <w:pPr>
              <w:pStyle w:val="TableContents"/>
              <w:bidi w:val="0"/>
              <w:spacing w:before="0" w:after="283"/>
              <w:jc w:val="center"/>
              <w:rPr/>
            </w:pPr>
            <w:r>
              <w:rPr/>
              <w:t> </w:t>
            </w:r>
          </w:p>
        </w:tc>
        <w:tc>
          <w:tcPr>
            <w:tcW w:w="1535" w:type="dxa"/>
            <w:tcBorders>
              <w:top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Trading Symbol(s)</w:t>
            </w:r>
          </w:p>
        </w:tc>
        <w:tc>
          <w:tcPr>
            <w:tcW w:w="60" w:type="dxa"/>
            <w:tcBorders>
              <w:top w:val="single" w:sz="8" w:space="0" w:color="000000"/>
              <w:bottom w:val="single" w:sz="8" w:space="0" w:color="000000"/>
            </w:tcBorders>
            <w:tcMar>
              <w:bottom w:w="28" w:type="dxa"/>
            </w:tcMar>
            <w:vAlign w:val="center"/>
          </w:tcPr>
          <w:p>
            <w:pPr>
              <w:pStyle w:val="TableContents"/>
              <w:bidi w:val="0"/>
              <w:spacing w:before="0" w:after="283"/>
              <w:jc w:val="center"/>
              <w:rPr/>
            </w:pPr>
            <w:r>
              <w:rPr/>
              <w:t> </w:t>
            </w:r>
          </w:p>
        </w:tc>
        <w:tc>
          <w:tcPr>
            <w:tcW w:w="3575" w:type="dxa"/>
            <w:tcBorders>
              <w:top w:val="single" w:sz="8" w:space="0" w:color="000000"/>
              <w:right w:val="single" w:sz="8" w:space="0" w:color="000000"/>
            </w:tcBorders>
            <w:tcMar>
              <w:right w:w="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2630" w:type="dxa"/>
            <w:tcBorders>
              <w:left w:val="single" w:sz="8" w:space="0" w:color="000000"/>
              <w:bottom w:val="single" w:sz="8" w:space="0" w:color="000000"/>
            </w:tcBorders>
            <w:tcMar>
              <w:top w:w="0" w:type="dxa"/>
              <w:left w:w="120" w:type="dxa"/>
              <w:bottom w:w="160" w:type="dxa"/>
            </w:tcMar>
            <w:vAlign w:val="center"/>
          </w:tcPr>
          <w:p>
            <w:pPr>
              <w:pStyle w:val="TableContents"/>
              <w:bidi w:val="0"/>
              <w:spacing w:before="0" w:after="283"/>
              <w:jc w:val="left"/>
              <w:rPr>
                <w:rFonts w:ascii="Times New Roman;Times;Serif" w:hAnsi="Times New Roman;Times;Serif"/>
                <w:sz w:val="20"/>
              </w:rPr>
            </w:pPr>
            <w:bookmarkStart w:id="19" w:name="xdx_90B_edei--Security12bTitle_c20240301"/>
            <w:bookmarkEnd w:id="19"/>
            <w:r>
              <w:rPr>
                <w:rFonts w:ascii="Times New Roman;Times;Serif" w:hAnsi="Times New Roman;Times;Serif"/>
                <w:sz w:val="20"/>
              </w:rPr>
              <w:t>Common Stock, $0.01 par value</w:t>
            </w:r>
          </w:p>
        </w:tc>
        <w:tc>
          <w:tcPr>
            <w:tcW w:w="60" w:type="dxa"/>
            <w:tcBorders>
              <w:bottom w:val="single" w:sz="8" w:space="0" w:color="000000"/>
            </w:tcBorders>
            <w:tcMar>
              <w:top w:w="0" w:type="dxa"/>
              <w:bottom w:w="160" w:type="dxa"/>
            </w:tcMar>
            <w:vAlign w:val="center"/>
          </w:tcPr>
          <w:p>
            <w:pPr>
              <w:pStyle w:val="TableContents"/>
              <w:bidi w:val="0"/>
              <w:spacing w:before="0" w:after="283"/>
              <w:jc w:val="left"/>
              <w:rPr/>
            </w:pPr>
            <w:r>
              <w:rPr/>
              <w:t> </w:t>
            </w:r>
          </w:p>
        </w:tc>
        <w:tc>
          <w:tcPr>
            <w:tcW w:w="1535" w:type="dxa"/>
            <w:tcBorders>
              <w:left w:val="single" w:sz="8" w:space="0" w:color="000000"/>
              <w:bottom w:val="single" w:sz="8" w:space="0" w:color="000000"/>
            </w:tcBorders>
            <w:tcMar>
              <w:top w:w="0" w:type="dxa"/>
              <w:left w:w="120" w:type="dxa"/>
              <w:bottom w:w="160" w:type="dxa"/>
            </w:tcMar>
            <w:vAlign w:val="center"/>
          </w:tcPr>
          <w:p>
            <w:pPr>
              <w:pStyle w:val="TableContents"/>
              <w:bidi w:val="0"/>
              <w:spacing w:before="0" w:after="283"/>
              <w:jc w:val="left"/>
              <w:rPr>
                <w:rFonts w:ascii="Times New Roman;Times;Serif" w:hAnsi="Times New Roman;Times;Serif"/>
                <w:sz w:val="20"/>
              </w:rPr>
            </w:pPr>
            <w:bookmarkStart w:id="20" w:name="xdx_904_edei--TradingSymbol_c20240301__2"/>
            <w:bookmarkEnd w:id="20"/>
            <w:r>
              <w:rPr>
                <w:rFonts w:ascii="Times New Roman;Times;Serif" w:hAnsi="Times New Roman;Times;Serif"/>
                <w:sz w:val="20"/>
              </w:rPr>
              <w:t>WM</w:t>
            </w:r>
          </w:p>
        </w:tc>
        <w:tc>
          <w:tcPr>
            <w:tcW w:w="60" w:type="dxa"/>
            <w:tcBorders>
              <w:bottom w:val="single" w:sz="8" w:space="0" w:color="000000"/>
            </w:tcBorders>
            <w:tcMar>
              <w:top w:w="0" w:type="dxa"/>
              <w:bottom w:w="160" w:type="dxa"/>
            </w:tcMar>
            <w:vAlign w:val="center"/>
          </w:tcPr>
          <w:p>
            <w:pPr>
              <w:pStyle w:val="TableContents"/>
              <w:bidi w:val="0"/>
              <w:spacing w:before="0" w:after="283"/>
              <w:jc w:val="left"/>
              <w:rPr/>
            </w:pPr>
            <w:r>
              <w:rPr/>
              <w:t> </w:t>
            </w:r>
          </w:p>
        </w:tc>
        <w:tc>
          <w:tcPr>
            <w:tcW w:w="3575" w:type="dxa"/>
            <w:tcBorders>
              <w:left w:val="single" w:sz="8" w:space="0" w:color="000000"/>
              <w:bottom w:val="single" w:sz="8" w:space="0" w:color="000000"/>
              <w:right w:val="single" w:sz="8" w:space="0" w:color="000000"/>
            </w:tcBorders>
            <w:tcMar>
              <w:top w:w="0" w:type="dxa"/>
              <w:left w:w="120" w:type="dxa"/>
              <w:bottom w:w="160" w:type="dxa"/>
              <w:right w:w="60" w:type="dxa"/>
            </w:tcMar>
            <w:vAlign w:val="center"/>
          </w:tcPr>
          <w:p>
            <w:pPr>
              <w:pStyle w:val="TableContents"/>
              <w:bidi w:val="0"/>
              <w:spacing w:before="0" w:after="283"/>
              <w:jc w:val="left"/>
              <w:rPr>
                <w:rFonts w:ascii="Times New Roman;Times;Serif" w:hAnsi="Times New Roman;Times;Serif"/>
                <w:sz w:val="20"/>
              </w:rPr>
            </w:pPr>
            <w:bookmarkStart w:id="21" w:name="xdx_90F_edei--SecurityExchangeName_c2024"/>
            <w:bookmarkEnd w:id="21"/>
            <w:r>
              <w:rPr>
                <w:rFonts w:ascii="Times New Roman;Times;Serif" w:hAnsi="Times New Roman;Times;Serif"/>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sz w:val="20"/>
        </w:rPr>
      </w:pPr>
      <w:r>
        <w:rPr>
          <w:rFonts w:ascii="Times New Roman;Times;Serif" w:hAnsi="Times New Roman;Times;Serif"/>
          <w:sz w:val="20"/>
        </w:rPr>
        <w:t xml:space="preserve">Emerging growth company </w:t>
      </w:r>
      <w:bookmarkStart w:id="22" w:name="xdx_900_edei--EntityEmergingGrowthCompan"/>
      <w:bookmarkEnd w:id="22"/>
      <w:r>
        <w:rPr>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sz w:val="20"/>
        </w:rPr>
      </w:pPr>
      <w:r>
        <w:rPr>
          <w:rFonts w:ascii="Times New Roman;Times;Serif" w:hAnsi="Times New Roman;Times;Serif"/>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 2024, the Management Development and Compensation Committee (the “Committee”) of the Board of Directors of Waste Management, Inc. (the “Company”) granted incentive awards to each of the Company’s currently-serving named executive officers, as identified in the Company’s most recent proxy statement (collectively, the “Executives”).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Executives, which includes James C. Fish, Jr., President and Chief Executive Officer; John J. Morris, Jr., Executive Vice President and Chief Operating Officer; Devina A. Rankin, Executive Vice President and Chief Financial Officer and Ms. Tara J. Hemmer, Senior Vice President and Chief Sustainability Officer, received performance share units (“PSUs”) and stock options under the Company’s 2023 Stock Incentive Plan. The number of PSUs granted to each of the Executives is as follows: Mr. Fish — 40,206; Mr. Morris — 12,164; Ms. Rankin — 9,484; and Ms. Hemmer — 8,248. The material terms of the PSUs are described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88"/>
        <w:gridCol w:w="60"/>
        <w:gridCol w:w="8257"/>
      </w:tblGrid>
      <w:tr>
        <w:trPr/>
        <w:tc>
          <w:tcPr>
            <w:tcW w:w="1888" w:type="dxa"/>
            <w:tcBorders/>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PSUs</w:t>
            </w:r>
          </w:p>
        </w:tc>
        <w:tc>
          <w:tcPr>
            <w:tcW w:w="60" w:type="dxa"/>
            <w:tcBorders/>
            <w:vAlign w:val="center"/>
          </w:tcPr>
          <w:p>
            <w:pPr>
              <w:pStyle w:val="TableContents"/>
              <w:bidi w:val="0"/>
              <w:spacing w:before="0" w:after="283"/>
              <w:jc w:val="left"/>
              <w:rPr/>
            </w:pPr>
            <w:r>
              <w:rPr/>
              <w:t> </w:t>
            </w:r>
          </w:p>
        </w:tc>
        <w:tc>
          <w:tcPr>
            <w:tcW w:w="8257" w:type="dxa"/>
            <w:tcBorders/>
            <w:vAlign w:val="center"/>
          </w:tcPr>
          <w:p>
            <w:pPr>
              <w:pStyle w:val="TableContents"/>
              <w:bidi w:val="0"/>
              <w:spacing w:before="0" w:after="283"/>
              <w:jc w:val="left"/>
              <w:rPr/>
            </w:pPr>
            <w:r>
              <w:rPr/>
              <w:t> </w:t>
            </w:r>
          </w:p>
        </w:tc>
      </w:tr>
      <w:tr>
        <w:trPr/>
        <w:tc>
          <w:tcPr>
            <w:tcW w:w="18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Performance Calculation Date (“PCD”)</w:t>
            </w:r>
          </w:p>
        </w:tc>
        <w:tc>
          <w:tcPr>
            <w:tcW w:w="60" w:type="dxa"/>
            <w:tcBorders/>
            <w:vAlign w:val="center"/>
          </w:tcPr>
          <w:p>
            <w:pPr>
              <w:pStyle w:val="TableContents"/>
              <w:bidi w:val="0"/>
              <w:spacing w:before="0" w:after="283"/>
              <w:jc w:val="left"/>
              <w:rPr/>
            </w:pPr>
            <w:r>
              <w:rPr/>
              <w:t> </w:t>
            </w:r>
          </w:p>
        </w:tc>
        <w:tc>
          <w:tcPr>
            <w:tcW w:w="82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of December 31, 2026; award (if any) paid out after certification by the Committee of actual level of achievement (“payment date”).</w:t>
            </w:r>
          </w:p>
        </w:tc>
      </w:tr>
      <w:tr>
        <w:trPr/>
        <w:tc>
          <w:tcPr>
            <w:tcW w:w="18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57" w:type="dxa"/>
            <w:tcBorders/>
            <w:vAlign w:val="center"/>
          </w:tcPr>
          <w:p>
            <w:pPr>
              <w:pStyle w:val="TableContents"/>
              <w:bidi w:val="0"/>
              <w:spacing w:before="0" w:after="283"/>
              <w:jc w:val="left"/>
              <w:rPr/>
            </w:pPr>
            <w:r>
              <w:rPr/>
              <w:t> </w:t>
            </w:r>
          </w:p>
        </w:tc>
      </w:tr>
      <w:tr>
        <w:trPr/>
        <w:tc>
          <w:tcPr>
            <w:tcW w:w="18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Performance Measure</w:t>
            </w:r>
          </w:p>
        </w:tc>
        <w:tc>
          <w:tcPr>
            <w:tcW w:w="60" w:type="dxa"/>
            <w:tcBorders/>
            <w:vAlign w:val="center"/>
          </w:tcPr>
          <w:p>
            <w:pPr>
              <w:pStyle w:val="TableContents"/>
              <w:bidi w:val="0"/>
              <w:spacing w:before="0" w:after="283"/>
              <w:jc w:val="left"/>
              <w:rPr/>
            </w:pPr>
            <w:r>
              <w:rPr/>
              <w:t> </w:t>
            </w:r>
          </w:p>
        </w:tc>
        <w:tc>
          <w:tcPr>
            <w:tcW w:w="82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50% of the PSUs will have a cash flow generation performance measure, and 50% of the PSUs will have a total shareholder return relative to the S&amp;P 500 performance measure, in each case as set forth in the award agreement filed as Exhibit 10.1.</w:t>
            </w:r>
          </w:p>
        </w:tc>
      </w:tr>
      <w:tr>
        <w:trPr/>
        <w:tc>
          <w:tcPr>
            <w:tcW w:w="18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57" w:type="dxa"/>
            <w:tcBorders/>
            <w:vAlign w:val="center"/>
          </w:tcPr>
          <w:p>
            <w:pPr>
              <w:pStyle w:val="TableContents"/>
              <w:bidi w:val="0"/>
              <w:spacing w:before="0" w:after="283"/>
              <w:jc w:val="left"/>
              <w:rPr/>
            </w:pPr>
            <w:r>
              <w:rPr/>
              <w:t> </w:t>
            </w:r>
          </w:p>
        </w:tc>
      </w:tr>
      <w:tr>
        <w:trPr/>
        <w:tc>
          <w:tcPr>
            <w:tcW w:w="18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Range of Possible Awards</w:t>
            </w:r>
          </w:p>
        </w:tc>
        <w:tc>
          <w:tcPr>
            <w:tcW w:w="60" w:type="dxa"/>
            <w:tcBorders/>
            <w:vAlign w:val="center"/>
          </w:tcPr>
          <w:p>
            <w:pPr>
              <w:pStyle w:val="TableContents"/>
              <w:bidi w:val="0"/>
              <w:spacing w:before="0" w:after="283"/>
              <w:jc w:val="left"/>
              <w:rPr/>
            </w:pPr>
            <w:r>
              <w:rPr/>
              <w:t> </w:t>
            </w:r>
          </w:p>
        </w:tc>
        <w:tc>
          <w:tcPr>
            <w:tcW w:w="82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0 — 200% of targeted amount, plus accrued dividend equivalents, based on actual results achieved.</w:t>
            </w:r>
          </w:p>
        </w:tc>
      </w:tr>
      <w:tr>
        <w:trPr/>
        <w:tc>
          <w:tcPr>
            <w:tcW w:w="18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57" w:type="dxa"/>
            <w:tcBorders/>
            <w:vAlign w:val="center"/>
          </w:tcPr>
          <w:p>
            <w:pPr>
              <w:pStyle w:val="TableContents"/>
              <w:bidi w:val="0"/>
              <w:spacing w:before="0" w:after="283"/>
              <w:jc w:val="left"/>
              <w:rPr/>
            </w:pPr>
            <w:r>
              <w:rPr/>
              <w:t> </w:t>
            </w:r>
          </w:p>
        </w:tc>
      </w:tr>
      <w:tr>
        <w:trPr/>
        <w:tc>
          <w:tcPr>
            <w:tcW w:w="18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Termination of Employment</w:t>
            </w:r>
          </w:p>
        </w:tc>
        <w:tc>
          <w:tcPr>
            <w:tcW w:w="60" w:type="dxa"/>
            <w:tcBorders/>
            <w:vAlign w:val="center"/>
          </w:tcPr>
          <w:p>
            <w:pPr>
              <w:pStyle w:val="TableContents"/>
              <w:bidi w:val="0"/>
              <w:spacing w:before="0" w:after="283"/>
              <w:jc w:val="left"/>
              <w:rPr/>
            </w:pPr>
            <w:r>
              <w:rPr/>
              <w:t> </w:t>
            </w:r>
          </w:p>
        </w:tc>
        <w:tc>
          <w:tcPr>
            <w:tcW w:w="8257" w:type="dxa"/>
            <w:tcBorders/>
            <w:vAlign w:val="center"/>
          </w:tcPr>
          <w:p>
            <w:pPr>
              <w:pStyle w:val="TableContents"/>
              <w:bidi w:val="0"/>
              <w:spacing w:before="0" w:after="283"/>
              <w:jc w:val="left"/>
              <w:rPr/>
            </w:pPr>
            <w:r>
              <w:rPr/>
              <w:t> </w:t>
            </w:r>
          </w:p>
        </w:tc>
      </w:tr>
      <w:tr>
        <w:trPr/>
        <w:tc>
          <w:tcPr>
            <w:tcW w:w="18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57" w:type="dxa"/>
            <w:tcBorders/>
            <w:vAlign w:val="center"/>
          </w:tcPr>
          <w:p>
            <w:pPr>
              <w:pStyle w:val="TableContents"/>
              <w:bidi w:val="0"/>
              <w:spacing w:before="0" w:after="283"/>
              <w:ind w:left="0" w:right="0" w:firstLine="360"/>
              <w:jc w:val="left"/>
              <w:rPr/>
            </w:pPr>
            <w:r>
              <w:rPr/>
              <w:t> </w:t>
            </w:r>
          </w:p>
        </w:tc>
      </w:tr>
      <w:tr>
        <w:trPr/>
        <w:tc>
          <w:tcPr>
            <w:tcW w:w="18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Death or Disability before PCD</w:t>
            </w:r>
          </w:p>
        </w:tc>
        <w:tc>
          <w:tcPr>
            <w:tcW w:w="60" w:type="dxa"/>
            <w:tcBorders/>
            <w:vAlign w:val="center"/>
          </w:tcPr>
          <w:p>
            <w:pPr>
              <w:pStyle w:val="TableContents"/>
              <w:bidi w:val="0"/>
              <w:spacing w:before="0" w:after="283"/>
              <w:jc w:val="left"/>
              <w:rPr/>
            </w:pPr>
            <w:r>
              <w:rPr/>
              <w:t> </w:t>
            </w:r>
          </w:p>
        </w:tc>
        <w:tc>
          <w:tcPr>
            <w:tcW w:w="82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Payable in full on payment date based on actual results as if participant had remained an active employee through PCD.</w:t>
            </w:r>
          </w:p>
        </w:tc>
      </w:tr>
      <w:tr>
        <w:trPr/>
        <w:tc>
          <w:tcPr>
            <w:tcW w:w="18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57" w:type="dxa"/>
            <w:tcBorders/>
            <w:vAlign w:val="center"/>
          </w:tcPr>
          <w:p>
            <w:pPr>
              <w:pStyle w:val="TableContents"/>
              <w:bidi w:val="0"/>
              <w:spacing w:before="0" w:after="283"/>
              <w:jc w:val="left"/>
              <w:rPr/>
            </w:pPr>
            <w:r>
              <w:rPr/>
              <w:t> </w:t>
            </w:r>
          </w:p>
        </w:tc>
      </w:tr>
      <w:tr>
        <w:trPr/>
        <w:tc>
          <w:tcPr>
            <w:tcW w:w="18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Involuntary Termination for Cause or Voluntary Resignation before PCD</w:t>
            </w:r>
          </w:p>
        </w:tc>
        <w:tc>
          <w:tcPr>
            <w:tcW w:w="60" w:type="dxa"/>
            <w:tcBorders/>
            <w:vAlign w:val="center"/>
          </w:tcPr>
          <w:p>
            <w:pPr>
              <w:pStyle w:val="TableContents"/>
              <w:bidi w:val="0"/>
              <w:spacing w:before="0" w:after="283"/>
              <w:jc w:val="left"/>
              <w:rPr/>
            </w:pPr>
            <w:r>
              <w:rPr/>
              <w:t> </w:t>
            </w:r>
          </w:p>
        </w:tc>
        <w:tc>
          <w:tcPr>
            <w:tcW w:w="82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Immediate forfeiture.</w:t>
            </w:r>
          </w:p>
        </w:tc>
      </w:tr>
      <w:tr>
        <w:trPr/>
        <w:tc>
          <w:tcPr>
            <w:tcW w:w="18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57" w:type="dxa"/>
            <w:tcBorders/>
            <w:vAlign w:val="center"/>
          </w:tcPr>
          <w:p>
            <w:pPr>
              <w:pStyle w:val="TableContents"/>
              <w:bidi w:val="0"/>
              <w:spacing w:before="0" w:after="283"/>
              <w:jc w:val="left"/>
              <w:rPr/>
            </w:pPr>
            <w:r>
              <w:rPr/>
              <w:t> </w:t>
            </w:r>
          </w:p>
        </w:tc>
      </w:tr>
      <w:tr>
        <w:trPr/>
        <w:tc>
          <w:tcPr>
            <w:tcW w:w="1888" w:type="dxa"/>
            <w:tcBorders/>
            <w:vAlign w:val="center"/>
          </w:tcPr>
          <w:p>
            <w:pPr>
              <w:pStyle w:val="TableContents"/>
              <w:bidi w:val="0"/>
              <w:spacing w:before="0" w:after="283"/>
              <w:jc w:val="left"/>
              <w:rPr/>
            </w:pPr>
            <w:r>
              <w:rPr/>
              <w:t>Involuntary Termination other than for Cause before PCD</w:t>
            </w:r>
          </w:p>
        </w:tc>
        <w:tc>
          <w:tcPr>
            <w:tcW w:w="60" w:type="dxa"/>
            <w:tcBorders/>
            <w:vAlign w:val="center"/>
          </w:tcPr>
          <w:p>
            <w:pPr>
              <w:pStyle w:val="TableContents"/>
              <w:bidi w:val="0"/>
              <w:spacing w:before="0" w:after="283"/>
              <w:jc w:val="left"/>
              <w:rPr/>
            </w:pPr>
            <w:r>
              <w:rPr/>
              <w:t> </w:t>
            </w:r>
          </w:p>
        </w:tc>
        <w:tc>
          <w:tcPr>
            <w:tcW w:w="82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Payable on payment date based on actual results, prorated based on portion of performance period completed prior to termination of employment.</w:t>
            </w:r>
          </w:p>
        </w:tc>
      </w:tr>
      <w:tr>
        <w:trPr/>
        <w:tc>
          <w:tcPr>
            <w:tcW w:w="18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57" w:type="dxa"/>
            <w:tcBorders/>
            <w:vAlign w:val="center"/>
          </w:tcPr>
          <w:p>
            <w:pPr>
              <w:pStyle w:val="TableContents"/>
              <w:bidi w:val="0"/>
              <w:spacing w:before="0" w:after="283"/>
              <w:jc w:val="left"/>
              <w:rPr/>
            </w:pPr>
            <w:r>
              <w:rPr/>
              <w:t> </w:t>
            </w:r>
          </w:p>
        </w:tc>
      </w:tr>
      <w:tr>
        <w:trPr/>
        <w:tc>
          <w:tcPr>
            <w:tcW w:w="18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Retirement (as defined in the award agreement) before PCD</w:t>
            </w:r>
          </w:p>
        </w:tc>
        <w:tc>
          <w:tcPr>
            <w:tcW w:w="60" w:type="dxa"/>
            <w:tcBorders/>
            <w:vAlign w:val="center"/>
          </w:tcPr>
          <w:p>
            <w:pPr>
              <w:pStyle w:val="TableContents"/>
              <w:bidi w:val="0"/>
              <w:spacing w:before="0" w:after="283"/>
              <w:jc w:val="left"/>
              <w:rPr/>
            </w:pPr>
            <w:r>
              <w:rPr/>
              <w:t> </w:t>
            </w:r>
          </w:p>
        </w:tc>
        <w:tc>
          <w:tcPr>
            <w:tcW w:w="82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Retirement occurs on or after December 31, 2024, payable in full on payment date based on actual results as if participant had remained an active employee through PCD. If Retirement occurs before December 31, 2024, payable on payment date based on actual results, prorated based on the number of days worked during 2024 (the first year of the performance period) divided by 366. </w:t>
            </w:r>
          </w:p>
        </w:tc>
      </w:tr>
      <w:tr>
        <w:trPr/>
        <w:tc>
          <w:tcPr>
            <w:tcW w:w="18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57" w:type="dxa"/>
            <w:tcBorders/>
            <w:vAlign w:val="center"/>
          </w:tcPr>
          <w:p>
            <w:pPr>
              <w:pStyle w:val="TableContents"/>
              <w:bidi w:val="0"/>
              <w:spacing w:before="0" w:after="283"/>
              <w:jc w:val="left"/>
              <w:rPr/>
            </w:pPr>
            <w:r>
              <w:rPr/>
              <w:t> </w:t>
            </w:r>
          </w:p>
        </w:tc>
      </w:tr>
      <w:tr>
        <w:trPr/>
        <w:tc>
          <w:tcPr>
            <w:tcW w:w="18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 in Control before PCD</w:t>
            </w:r>
          </w:p>
        </w:tc>
        <w:tc>
          <w:tcPr>
            <w:tcW w:w="60" w:type="dxa"/>
            <w:tcBorders/>
            <w:vAlign w:val="center"/>
          </w:tcPr>
          <w:p>
            <w:pPr>
              <w:pStyle w:val="TableContents"/>
              <w:bidi w:val="0"/>
              <w:spacing w:before="0" w:after="283"/>
              <w:jc w:val="left"/>
              <w:rPr/>
            </w:pPr>
            <w:r>
              <w:rPr/>
              <w:t> </w:t>
            </w:r>
          </w:p>
        </w:tc>
        <w:tc>
          <w:tcPr>
            <w:tcW w:w="82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Performance measured prior to the change in control and paid on prorated basis on actual results achieved up to such date. Thereafter, participant also generally receives a replacement award of restricted stock units in the successor entity generally equal to the number of PSUs that would have been earned had no change in control occurred and target performance levels had been met from the time of the change of control through December 31, 2026, adjusted for any conversion factors in the change in control transaction. The new restricted stock units in the successor entity would vest on December 31, 2026. </w:t>
            </w:r>
          </w:p>
        </w:tc>
      </w:tr>
    </w:tbl>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2 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granted stock options to the Executives to purchase the following number of shares of the Company’s common stock: Mr. Fish — 45,349; Mr. Morris — 13,721; Ms. Rankin — 10,698; and Ms. Hemmer – 9,302. The material terms of the stock options are described below.</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91"/>
        <w:gridCol w:w="60"/>
        <w:gridCol w:w="5854"/>
      </w:tblGrid>
      <w:tr>
        <w:trPr/>
        <w:tc>
          <w:tcPr>
            <w:tcW w:w="4291" w:type="dxa"/>
            <w:tcBorders/>
            <w:vAlign w:val="center"/>
          </w:tcPr>
          <w:p>
            <w:pPr>
              <w:pStyle w:val="TableContents"/>
              <w:bidi w:val="0"/>
              <w:spacing w:before="0" w:after="283"/>
              <w:jc w:val="both"/>
              <w:rPr>
                <w:b/>
                <w:u w:val="single"/>
              </w:rPr>
            </w:pPr>
            <w:r>
              <w:rPr>
                <w:b/>
                <w:u w:val="single"/>
              </w:rPr>
              <w:t>Stock Options</w:t>
            </w:r>
          </w:p>
        </w:tc>
        <w:tc>
          <w:tcPr>
            <w:tcW w:w="60" w:type="dxa"/>
            <w:tcBorders/>
            <w:vAlign w:val="center"/>
          </w:tcPr>
          <w:p>
            <w:pPr>
              <w:pStyle w:val="TableContents"/>
              <w:bidi w:val="0"/>
              <w:spacing w:before="0" w:after="283"/>
              <w:jc w:val="both"/>
              <w:rPr/>
            </w:pPr>
            <w:r>
              <w:rPr/>
              <w:t> </w:t>
            </w:r>
          </w:p>
        </w:tc>
        <w:tc>
          <w:tcPr>
            <w:tcW w:w="5854" w:type="dxa"/>
            <w:tcBorders/>
            <w:vAlign w:val="center"/>
          </w:tcPr>
          <w:p>
            <w:pPr>
              <w:pStyle w:val="TableContents"/>
              <w:bidi w:val="0"/>
              <w:spacing w:before="0" w:after="283"/>
              <w:jc w:val="both"/>
              <w:rPr/>
            </w:pPr>
            <w:r>
              <w:rPr/>
              <w:t> </w:t>
            </w:r>
          </w:p>
        </w:tc>
      </w:tr>
      <w:tr>
        <w:trPr/>
        <w:tc>
          <w:tcPr>
            <w:tcW w:w="4291" w:type="dxa"/>
            <w:tcBorders/>
            <w:vAlign w:val="center"/>
          </w:tcPr>
          <w:p>
            <w:pPr>
              <w:pStyle w:val="TableContents"/>
              <w:bidi w:val="0"/>
              <w:spacing w:before="0" w:after="283"/>
              <w:jc w:val="both"/>
              <w:rPr/>
            </w:pPr>
            <w:r>
              <w:rPr/>
              <w:t>Vesting Schedule</w:t>
            </w:r>
          </w:p>
        </w:tc>
        <w:tc>
          <w:tcPr>
            <w:tcW w:w="60" w:type="dxa"/>
            <w:tcBorders/>
            <w:vAlign w:val="center"/>
          </w:tcPr>
          <w:p>
            <w:pPr>
              <w:pStyle w:val="TableContents"/>
              <w:bidi w:val="0"/>
              <w:spacing w:before="0" w:after="283"/>
              <w:jc w:val="both"/>
              <w:rPr/>
            </w:pPr>
            <w:r>
              <w:rPr/>
              <w:t> </w:t>
            </w:r>
          </w:p>
        </w:tc>
        <w:tc>
          <w:tcPr>
            <w:tcW w:w="5854" w:type="dxa"/>
            <w:tcBorders/>
            <w:vAlign w:val="center"/>
          </w:tcPr>
          <w:p>
            <w:pPr>
              <w:pStyle w:val="TableContents"/>
              <w:bidi w:val="0"/>
              <w:spacing w:before="0" w:after="283"/>
              <w:jc w:val="both"/>
              <w:rPr/>
            </w:pPr>
            <w:r>
              <w:rPr/>
              <w:t xml:space="preserve">34% on first anniversary; </w:t>
              <w:br/>
              <w:t xml:space="preserve">33% on second anniversary; and </w:t>
              <w:br/>
              <w:t>33% on third anniversary.</w:t>
            </w:r>
          </w:p>
        </w:tc>
      </w:tr>
      <w:tr>
        <w:trPr/>
        <w:tc>
          <w:tcPr>
            <w:tcW w:w="429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854" w:type="dxa"/>
            <w:tcBorders/>
            <w:vAlign w:val="center"/>
          </w:tcPr>
          <w:p>
            <w:pPr>
              <w:pStyle w:val="TableContents"/>
              <w:bidi w:val="0"/>
              <w:spacing w:before="0" w:after="283"/>
              <w:jc w:val="both"/>
              <w:rPr/>
            </w:pPr>
            <w:r>
              <w:rPr/>
              <w:t> </w:t>
            </w:r>
          </w:p>
        </w:tc>
      </w:tr>
      <w:tr>
        <w:trPr/>
        <w:tc>
          <w:tcPr>
            <w:tcW w:w="4291" w:type="dxa"/>
            <w:tcBorders/>
            <w:vAlign w:val="center"/>
          </w:tcPr>
          <w:p>
            <w:pPr>
              <w:pStyle w:val="TableContents"/>
              <w:bidi w:val="0"/>
              <w:spacing w:before="0" w:after="283"/>
              <w:jc w:val="both"/>
              <w:rPr/>
            </w:pPr>
            <w:r>
              <w:rPr/>
              <w:t>Term</w:t>
            </w:r>
          </w:p>
        </w:tc>
        <w:tc>
          <w:tcPr>
            <w:tcW w:w="60" w:type="dxa"/>
            <w:tcBorders/>
            <w:vAlign w:val="center"/>
          </w:tcPr>
          <w:p>
            <w:pPr>
              <w:pStyle w:val="TableContents"/>
              <w:bidi w:val="0"/>
              <w:spacing w:before="0" w:after="283"/>
              <w:jc w:val="both"/>
              <w:rPr/>
            </w:pPr>
            <w:r>
              <w:rPr/>
              <w:t> </w:t>
            </w:r>
          </w:p>
        </w:tc>
        <w:tc>
          <w:tcPr>
            <w:tcW w:w="5854" w:type="dxa"/>
            <w:tcBorders/>
            <w:vAlign w:val="center"/>
          </w:tcPr>
          <w:p>
            <w:pPr>
              <w:pStyle w:val="TableContents"/>
              <w:bidi w:val="0"/>
              <w:spacing w:before="0" w:after="283"/>
              <w:jc w:val="both"/>
              <w:rPr/>
            </w:pPr>
            <w:r>
              <w:rPr/>
              <w:t>10 years from date of grant.</w:t>
            </w:r>
          </w:p>
        </w:tc>
      </w:tr>
      <w:tr>
        <w:trPr/>
        <w:tc>
          <w:tcPr>
            <w:tcW w:w="429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854" w:type="dxa"/>
            <w:tcBorders/>
            <w:vAlign w:val="center"/>
          </w:tcPr>
          <w:p>
            <w:pPr>
              <w:pStyle w:val="TableContents"/>
              <w:bidi w:val="0"/>
              <w:spacing w:before="0" w:after="283"/>
              <w:jc w:val="both"/>
              <w:rPr/>
            </w:pPr>
            <w:r>
              <w:rPr/>
              <w:t> </w:t>
            </w:r>
          </w:p>
        </w:tc>
      </w:tr>
      <w:tr>
        <w:trPr/>
        <w:tc>
          <w:tcPr>
            <w:tcW w:w="4291" w:type="dxa"/>
            <w:tcBorders/>
            <w:vAlign w:val="center"/>
          </w:tcPr>
          <w:p>
            <w:pPr>
              <w:pStyle w:val="TableContents"/>
              <w:bidi w:val="0"/>
              <w:spacing w:before="0" w:after="283"/>
              <w:jc w:val="both"/>
              <w:rPr/>
            </w:pPr>
            <w:r>
              <w:rPr/>
              <w:t>Exercise Price</w:t>
            </w:r>
          </w:p>
        </w:tc>
        <w:tc>
          <w:tcPr>
            <w:tcW w:w="60" w:type="dxa"/>
            <w:tcBorders/>
            <w:vAlign w:val="center"/>
          </w:tcPr>
          <w:p>
            <w:pPr>
              <w:pStyle w:val="TableContents"/>
              <w:bidi w:val="0"/>
              <w:spacing w:before="0" w:after="283"/>
              <w:jc w:val="both"/>
              <w:rPr/>
            </w:pPr>
            <w:r>
              <w:rPr/>
              <w:t> </w:t>
            </w:r>
          </w:p>
        </w:tc>
        <w:tc>
          <w:tcPr>
            <w:tcW w:w="5854" w:type="dxa"/>
            <w:tcBorders/>
            <w:vAlign w:val="center"/>
          </w:tcPr>
          <w:p>
            <w:pPr>
              <w:pStyle w:val="TableContents"/>
              <w:bidi w:val="0"/>
              <w:spacing w:before="0" w:after="283"/>
              <w:jc w:val="both"/>
              <w:rPr/>
            </w:pPr>
            <w:r>
              <w:rPr/>
              <w:t>Fair Market Value on date of grant - $204.7585.</w:t>
            </w:r>
          </w:p>
        </w:tc>
      </w:tr>
      <w:tr>
        <w:trPr/>
        <w:tc>
          <w:tcPr>
            <w:tcW w:w="429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854" w:type="dxa"/>
            <w:tcBorders/>
            <w:vAlign w:val="center"/>
          </w:tcPr>
          <w:p>
            <w:pPr>
              <w:pStyle w:val="TableContents"/>
              <w:bidi w:val="0"/>
              <w:spacing w:before="0" w:after="283"/>
              <w:jc w:val="both"/>
              <w:rPr/>
            </w:pPr>
            <w:r>
              <w:rPr/>
              <w:t> </w:t>
            </w:r>
          </w:p>
        </w:tc>
      </w:tr>
      <w:tr>
        <w:trPr/>
        <w:tc>
          <w:tcPr>
            <w:tcW w:w="4291" w:type="dxa"/>
            <w:tcBorders/>
            <w:vAlign w:val="center"/>
          </w:tcPr>
          <w:p>
            <w:pPr>
              <w:pStyle w:val="TableContents"/>
              <w:bidi w:val="0"/>
              <w:spacing w:before="0" w:after="283"/>
              <w:jc w:val="both"/>
              <w:rPr/>
            </w:pPr>
            <w:r>
              <w:rPr/>
              <w:t>Termination of Employment</w:t>
            </w:r>
          </w:p>
        </w:tc>
        <w:tc>
          <w:tcPr>
            <w:tcW w:w="60" w:type="dxa"/>
            <w:tcBorders/>
            <w:vAlign w:val="center"/>
          </w:tcPr>
          <w:p>
            <w:pPr>
              <w:pStyle w:val="TableContents"/>
              <w:bidi w:val="0"/>
              <w:spacing w:before="0" w:after="283"/>
              <w:jc w:val="both"/>
              <w:rPr/>
            </w:pPr>
            <w:r>
              <w:rPr/>
              <w:t> </w:t>
            </w:r>
          </w:p>
        </w:tc>
        <w:tc>
          <w:tcPr>
            <w:tcW w:w="5854" w:type="dxa"/>
            <w:tcBorders/>
            <w:vAlign w:val="center"/>
          </w:tcPr>
          <w:p>
            <w:pPr>
              <w:pStyle w:val="TableContents"/>
              <w:bidi w:val="0"/>
              <w:spacing w:before="0" w:after="283"/>
              <w:jc w:val="both"/>
              <w:rPr/>
            </w:pPr>
            <w:r>
              <w:rPr/>
              <w:t> </w:t>
            </w:r>
          </w:p>
        </w:tc>
      </w:tr>
      <w:tr>
        <w:trPr/>
        <w:tc>
          <w:tcPr>
            <w:tcW w:w="429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854" w:type="dxa"/>
            <w:tcBorders/>
            <w:vAlign w:val="center"/>
          </w:tcPr>
          <w:p>
            <w:pPr>
              <w:pStyle w:val="TableContents"/>
              <w:bidi w:val="0"/>
              <w:spacing w:before="0" w:after="283"/>
              <w:jc w:val="both"/>
              <w:rPr/>
            </w:pPr>
            <w:r>
              <w:rPr/>
              <w:t> </w:t>
            </w:r>
          </w:p>
        </w:tc>
      </w:tr>
      <w:tr>
        <w:trPr/>
        <w:tc>
          <w:tcPr>
            <w:tcW w:w="4291" w:type="dxa"/>
            <w:tcBorders/>
            <w:vAlign w:val="center"/>
          </w:tcPr>
          <w:p>
            <w:pPr>
              <w:pStyle w:val="TableContents"/>
              <w:bidi w:val="0"/>
              <w:spacing w:before="0" w:after="283"/>
              <w:jc w:val="both"/>
              <w:rPr/>
            </w:pPr>
            <w:r>
              <w:rPr/>
              <w:t>Death or Disability</w:t>
            </w:r>
          </w:p>
        </w:tc>
        <w:tc>
          <w:tcPr>
            <w:tcW w:w="60" w:type="dxa"/>
            <w:tcBorders/>
            <w:vAlign w:val="center"/>
          </w:tcPr>
          <w:p>
            <w:pPr>
              <w:pStyle w:val="TableContents"/>
              <w:bidi w:val="0"/>
              <w:spacing w:before="0" w:after="283"/>
              <w:jc w:val="both"/>
              <w:rPr/>
            </w:pPr>
            <w:r>
              <w:rPr/>
              <w:t> </w:t>
            </w:r>
          </w:p>
        </w:tc>
        <w:tc>
          <w:tcPr>
            <w:tcW w:w="5854" w:type="dxa"/>
            <w:tcBorders/>
            <w:vAlign w:val="center"/>
          </w:tcPr>
          <w:p>
            <w:pPr>
              <w:pStyle w:val="TableContents"/>
              <w:bidi w:val="0"/>
              <w:spacing w:before="0" w:after="283"/>
              <w:jc w:val="both"/>
              <w:rPr/>
            </w:pPr>
            <w:r>
              <w:rPr/>
              <w:t>All options immediately vest and remain exercisable for one year, but in no event later than the original term.</w:t>
            </w:r>
          </w:p>
        </w:tc>
      </w:tr>
      <w:tr>
        <w:trPr/>
        <w:tc>
          <w:tcPr>
            <w:tcW w:w="429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854" w:type="dxa"/>
            <w:tcBorders/>
            <w:vAlign w:val="center"/>
          </w:tcPr>
          <w:p>
            <w:pPr>
              <w:pStyle w:val="TableContents"/>
              <w:bidi w:val="0"/>
              <w:spacing w:before="0" w:after="283"/>
              <w:jc w:val="both"/>
              <w:rPr/>
            </w:pPr>
            <w:r>
              <w:rPr/>
              <w:t> </w:t>
            </w:r>
          </w:p>
        </w:tc>
      </w:tr>
      <w:tr>
        <w:trPr/>
        <w:tc>
          <w:tcPr>
            <w:tcW w:w="4291" w:type="dxa"/>
            <w:tcBorders/>
            <w:vAlign w:val="center"/>
          </w:tcPr>
          <w:p>
            <w:pPr>
              <w:pStyle w:val="TableContents"/>
              <w:bidi w:val="0"/>
              <w:spacing w:before="0" w:after="283"/>
              <w:jc w:val="both"/>
              <w:rPr/>
            </w:pPr>
            <w:r>
              <w:rPr/>
              <w:t>Qualifying Retirement</w:t>
            </w:r>
          </w:p>
        </w:tc>
        <w:tc>
          <w:tcPr>
            <w:tcW w:w="60" w:type="dxa"/>
            <w:tcBorders/>
            <w:vAlign w:val="center"/>
          </w:tcPr>
          <w:p>
            <w:pPr>
              <w:pStyle w:val="TableContents"/>
              <w:bidi w:val="0"/>
              <w:spacing w:before="0" w:after="283"/>
              <w:jc w:val="both"/>
              <w:rPr/>
            </w:pPr>
            <w:r>
              <w:rPr/>
              <w:t> </w:t>
            </w:r>
          </w:p>
        </w:tc>
        <w:tc>
          <w:tcPr>
            <w:tcW w:w="5854" w:type="dxa"/>
            <w:tcBorders/>
            <w:vAlign w:val="center"/>
          </w:tcPr>
          <w:p>
            <w:pPr>
              <w:pStyle w:val="TableContents"/>
              <w:bidi w:val="0"/>
              <w:spacing w:before="0" w:after="283"/>
              <w:jc w:val="both"/>
              <w:rPr/>
            </w:pPr>
            <w:r>
              <w:rPr/>
              <w:t>Continued vesting and exercisability for three years, but in no event later than the original term.  </w:t>
            </w:r>
          </w:p>
        </w:tc>
      </w:tr>
      <w:tr>
        <w:trPr/>
        <w:tc>
          <w:tcPr>
            <w:tcW w:w="429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854" w:type="dxa"/>
            <w:tcBorders/>
            <w:vAlign w:val="center"/>
          </w:tcPr>
          <w:p>
            <w:pPr>
              <w:pStyle w:val="TableContents"/>
              <w:bidi w:val="0"/>
              <w:spacing w:before="0" w:after="283"/>
              <w:jc w:val="both"/>
              <w:rPr/>
            </w:pPr>
            <w:r>
              <w:rPr/>
              <w:t> </w:t>
            </w:r>
          </w:p>
        </w:tc>
      </w:tr>
      <w:tr>
        <w:trPr/>
        <w:tc>
          <w:tcPr>
            <w:tcW w:w="4291" w:type="dxa"/>
            <w:tcBorders/>
            <w:vAlign w:val="center"/>
          </w:tcPr>
          <w:p>
            <w:pPr>
              <w:pStyle w:val="TableContents"/>
              <w:bidi w:val="0"/>
              <w:spacing w:before="0" w:after="283"/>
              <w:jc w:val="both"/>
              <w:rPr/>
            </w:pPr>
            <w:r>
              <w:rPr/>
              <w:t>Involuntary Termination other than for Cause or Voluntary Resignation</w:t>
            </w:r>
          </w:p>
        </w:tc>
        <w:tc>
          <w:tcPr>
            <w:tcW w:w="60" w:type="dxa"/>
            <w:tcBorders/>
            <w:vAlign w:val="center"/>
          </w:tcPr>
          <w:p>
            <w:pPr>
              <w:pStyle w:val="TableContents"/>
              <w:bidi w:val="0"/>
              <w:spacing w:before="0" w:after="283"/>
              <w:jc w:val="both"/>
              <w:rPr/>
            </w:pPr>
            <w:r>
              <w:rPr/>
              <w:t> </w:t>
            </w:r>
          </w:p>
        </w:tc>
        <w:tc>
          <w:tcPr>
            <w:tcW w:w="5854" w:type="dxa"/>
            <w:tcBorders/>
            <w:vAlign w:val="center"/>
          </w:tcPr>
          <w:p>
            <w:pPr>
              <w:pStyle w:val="TableContents"/>
              <w:bidi w:val="0"/>
              <w:spacing w:before="0" w:after="283"/>
              <w:jc w:val="both"/>
              <w:rPr/>
            </w:pPr>
            <w:r>
              <w:rPr/>
              <w:t>All vested options remain exercisable for 90 days, but in no event later than the original term.</w:t>
            </w:r>
          </w:p>
        </w:tc>
      </w:tr>
      <w:tr>
        <w:trPr/>
        <w:tc>
          <w:tcPr>
            <w:tcW w:w="429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854" w:type="dxa"/>
            <w:tcBorders/>
            <w:vAlign w:val="center"/>
          </w:tcPr>
          <w:p>
            <w:pPr>
              <w:pStyle w:val="TableContents"/>
              <w:bidi w:val="0"/>
              <w:spacing w:before="0" w:after="283"/>
              <w:jc w:val="both"/>
              <w:rPr/>
            </w:pPr>
            <w:r>
              <w:rPr/>
              <w:t> </w:t>
            </w:r>
          </w:p>
        </w:tc>
      </w:tr>
      <w:tr>
        <w:trPr/>
        <w:tc>
          <w:tcPr>
            <w:tcW w:w="4291" w:type="dxa"/>
            <w:tcBorders/>
            <w:vAlign w:val="center"/>
          </w:tcPr>
          <w:p>
            <w:pPr>
              <w:pStyle w:val="TableContents"/>
              <w:bidi w:val="0"/>
              <w:spacing w:before="0" w:after="283"/>
              <w:jc w:val="both"/>
              <w:rPr/>
            </w:pPr>
            <w:r>
              <w:rPr/>
              <w:t>Involuntary Termination for Cause</w:t>
            </w:r>
          </w:p>
        </w:tc>
        <w:tc>
          <w:tcPr>
            <w:tcW w:w="60" w:type="dxa"/>
            <w:tcBorders/>
            <w:vAlign w:val="center"/>
          </w:tcPr>
          <w:p>
            <w:pPr>
              <w:pStyle w:val="TableContents"/>
              <w:bidi w:val="0"/>
              <w:spacing w:before="0" w:after="283"/>
              <w:jc w:val="both"/>
              <w:rPr/>
            </w:pPr>
            <w:r>
              <w:rPr/>
              <w:t> </w:t>
            </w:r>
          </w:p>
        </w:tc>
        <w:tc>
          <w:tcPr>
            <w:tcW w:w="585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options are forfeited, whether or not exercisable. </w:t>
            </w:r>
          </w:p>
        </w:tc>
      </w:tr>
      <w:tr>
        <w:trPr/>
        <w:tc>
          <w:tcPr>
            <w:tcW w:w="429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854" w:type="dxa"/>
            <w:tcBorders/>
            <w:vAlign w:val="center"/>
          </w:tcPr>
          <w:p>
            <w:pPr>
              <w:pStyle w:val="TableContents"/>
              <w:bidi w:val="0"/>
              <w:spacing w:before="0" w:after="283"/>
              <w:jc w:val="both"/>
              <w:rPr/>
            </w:pPr>
            <w:r>
              <w:rPr/>
              <w:t> </w:t>
            </w:r>
          </w:p>
        </w:tc>
      </w:tr>
      <w:tr>
        <w:trPr/>
        <w:tc>
          <w:tcPr>
            <w:tcW w:w="429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Involuntary Termination or Resignation for Good Reason following a Change in Control</w:t>
            </w:r>
          </w:p>
        </w:tc>
        <w:tc>
          <w:tcPr>
            <w:tcW w:w="60" w:type="dxa"/>
            <w:tcBorders/>
            <w:vAlign w:val="center"/>
          </w:tcPr>
          <w:p>
            <w:pPr>
              <w:pStyle w:val="TableContents"/>
              <w:bidi w:val="0"/>
              <w:spacing w:before="0" w:after="283"/>
              <w:jc w:val="both"/>
              <w:rPr/>
            </w:pPr>
            <w:r>
              <w:rPr/>
              <w:t> </w:t>
            </w:r>
          </w:p>
        </w:tc>
        <w:tc>
          <w:tcPr>
            <w:tcW w:w="585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options immediately vest and remain exercisable for three years, but in no event later than the original term.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 2024, each of the Executives was also granted an annual cash incentive award. Annual cash incentive awards are targeted at a percentage of the Executive’s base salary, and payouts can range from zero to 200% of the targeted amount based on achievement of performance measures. Performance measures for the 2024 annual cash incentive awards are consistent with prior year and include operating EBITDA, income from operations margin and internal revenue growth. Payouts of annual cash incentives based on the performance measures can be increased or decreased by up to 10%, depending on achievement calculated using a sustainability scorecard. The Committee has discretion to increase or decrease an Executive’s annual cash incentive award by up to 25% based on individual performance. Subject to the terms of any individual written employment, change in control or severance agreement, recipients must be employed by an affiliate of the Company on December 31, 2024 to be eligible to receive payment of an annual cash incentive award; provided, however, in the event of death, the recipient’s beneficiaries will receive a prorated award based on the number of days worked in 2024.</w:t>
      </w:r>
    </w:p>
    <w:p>
      <w:pPr>
        <w:pStyle w:val="TextBody"/>
        <w:bidi w:val="0"/>
        <w:spacing w:before="0" w:after="0"/>
        <w:ind w:left="0" w:right="0" w:firstLine="72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3 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descriptions of the material terms of the awards are qualified in their entirety by reference to the appropriate award agreement filed as an exhibit hereto and incorporated herein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Index</w:t>
      </w:r>
    </w:p>
    <w:tbl>
      <w:tblPr>
        <w:tblW w:w="8680" w:type="dxa"/>
        <w:jc w:val="left"/>
        <w:tblInd w:w="0" w:type="dxa"/>
        <w:tblLayout w:type="fixed"/>
        <w:tblCellMar>
          <w:top w:w="0" w:type="dxa"/>
          <w:left w:w="0" w:type="dxa"/>
          <w:bottom w:w="28" w:type="dxa"/>
          <w:right w:w="0" w:type="dxa"/>
        </w:tblCellMar>
      </w:tblPr>
      <w:tblGrid>
        <w:gridCol w:w="725"/>
        <w:gridCol w:w="60"/>
        <w:gridCol w:w="7895"/>
      </w:tblGrid>
      <w:tr>
        <w:trPr/>
        <w:tc>
          <w:tcPr>
            <w:tcW w:w="725" w:type="dxa"/>
            <w:tcBorders>
              <w:bottom w:val="single" w:sz="8" w:space="0" w:color="000000"/>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 </w:t>
            </w:r>
          </w:p>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tcMar>
              <w:bottom w:w="0" w:type="dxa"/>
            </w:tcMar>
            <w:vAlign w:val="center"/>
          </w:tcPr>
          <w:p>
            <w:pPr>
              <w:pStyle w:val="TableContents"/>
              <w:bidi w:val="0"/>
              <w:spacing w:before="0" w:after="283"/>
              <w:jc w:val="both"/>
              <w:rPr/>
            </w:pPr>
            <w:r>
              <w:rPr/>
              <w:t> </w:t>
            </w:r>
          </w:p>
        </w:tc>
        <w:tc>
          <w:tcPr>
            <w:tcW w:w="7895" w:type="dxa"/>
            <w:tcBorders>
              <w:bottom w:val="single" w:sz="8"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Description</w:t>
            </w:r>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both"/>
              <w:rPr/>
            </w:pPr>
            <w:r>
              <w:rPr/>
              <w:t> </w:t>
            </w:r>
          </w:p>
        </w:tc>
        <w:tc>
          <w:tcPr>
            <w:tcW w:w="7895" w:type="dxa"/>
            <w:tcBorders/>
            <w:tcMar>
              <w:bottom w:w="0" w:type="dxa"/>
            </w:tcMar>
            <w:vAlign w:val="center"/>
          </w:tcPr>
          <w:p>
            <w:pPr>
              <w:pStyle w:val="TableContents"/>
              <w:bidi w:val="0"/>
              <w:spacing w:before="0" w:after="283"/>
              <w:jc w:val="both"/>
              <w:rPr/>
            </w:pPr>
            <w:r>
              <w:rPr/>
              <w:t> </w:t>
            </w:r>
          </w:p>
        </w:tc>
      </w:tr>
      <w:tr>
        <w:trPr/>
        <w:tc>
          <w:tcPr>
            <w:tcW w:w="725" w:type="dxa"/>
            <w:tcBorders/>
            <w:tcMar>
              <w:bottom w:w="0" w:type="dxa"/>
            </w:tcMar>
            <w:vAlign w:val="center"/>
          </w:tcPr>
          <w:p>
            <w:pPr>
              <w:pStyle w:val="TableContents"/>
              <w:bidi w:val="0"/>
              <w:spacing w:before="0" w:after="283"/>
              <w:jc w:val="both"/>
              <w:rPr/>
            </w:pPr>
            <w:hyperlink w:anchor="tm247937d1_ex10-1.htm">
              <w:r>
                <w:rPr>
                  <w:rStyle w:val="InternetLink"/>
                  <w:sz w:val="20"/>
                </w:rPr>
                <w:t>10.1</w:t>
              </w:r>
            </w:hyperlink>
          </w:p>
        </w:tc>
        <w:tc>
          <w:tcPr>
            <w:tcW w:w="60" w:type="dxa"/>
            <w:tcBorders/>
            <w:tcMar>
              <w:bottom w:w="0" w:type="dxa"/>
            </w:tcMar>
            <w:vAlign w:val="center"/>
          </w:tcPr>
          <w:p>
            <w:pPr>
              <w:pStyle w:val="TableContents"/>
              <w:bidi w:val="0"/>
              <w:spacing w:before="0" w:after="283"/>
              <w:jc w:val="both"/>
              <w:rPr/>
            </w:pPr>
            <w:r>
              <w:rPr/>
              <w:t> </w:t>
            </w:r>
          </w:p>
        </w:tc>
        <w:tc>
          <w:tcPr>
            <w:tcW w:w="7895" w:type="dxa"/>
            <w:tcBorders/>
            <w:tcMar>
              <w:bottom w:w="0" w:type="dxa"/>
            </w:tcMar>
            <w:vAlign w:val="center"/>
          </w:tcPr>
          <w:p>
            <w:pPr>
              <w:pStyle w:val="TableContents"/>
              <w:bidi w:val="0"/>
              <w:spacing w:before="0" w:after="283"/>
              <w:jc w:val="both"/>
              <w:rPr/>
            </w:pPr>
            <w:hyperlink w:anchor="tm247937d1_ex10-1.htm">
              <w:r>
                <w:rPr>
                  <w:rStyle w:val="InternetLink"/>
                  <w:sz w:val="20"/>
                </w:rPr>
                <w:t>Form of 2024 Long Term Incentive Compensation Award Agreement for Senior Leadership Team</w:t>
              </w:r>
            </w:hyperlink>
          </w:p>
        </w:tc>
      </w:tr>
      <w:tr>
        <w:trPr/>
        <w:tc>
          <w:tcPr>
            <w:tcW w:w="72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7895" w:type="dxa"/>
            <w:tcBorders/>
            <w:tcMar>
              <w:bottom w:w="0" w:type="dxa"/>
            </w:tcMar>
            <w:vAlign w:val="center"/>
          </w:tcPr>
          <w:p>
            <w:pPr>
              <w:pStyle w:val="TableContents"/>
              <w:bidi w:val="0"/>
              <w:spacing w:before="0" w:after="283"/>
              <w:jc w:val="both"/>
              <w:rPr/>
            </w:pPr>
            <w:r>
              <w:rPr/>
              <w:t> </w:t>
            </w:r>
          </w:p>
        </w:tc>
      </w:tr>
      <w:tr>
        <w:trPr/>
        <w:tc>
          <w:tcPr>
            <w:tcW w:w="725" w:type="dxa"/>
            <w:tcBorders/>
            <w:tcMar>
              <w:bottom w:w="0" w:type="dxa"/>
            </w:tcMar>
            <w:vAlign w:val="center"/>
          </w:tcPr>
          <w:p>
            <w:pPr>
              <w:pStyle w:val="TableContents"/>
              <w:bidi w:val="0"/>
              <w:spacing w:before="0" w:after="283"/>
              <w:jc w:val="both"/>
              <w:rPr/>
            </w:pPr>
            <w:hyperlink w:anchor="tm247937d1_ex10-2.htm">
              <w:r>
                <w:rPr>
                  <w:rStyle w:val="InternetLink"/>
                  <w:sz w:val="20"/>
                </w:rPr>
                <w:t>10.2</w:t>
              </w:r>
            </w:hyperlink>
          </w:p>
        </w:tc>
        <w:tc>
          <w:tcPr>
            <w:tcW w:w="60" w:type="dxa"/>
            <w:tcBorders/>
            <w:tcMar>
              <w:bottom w:w="0" w:type="dxa"/>
            </w:tcMar>
            <w:vAlign w:val="center"/>
          </w:tcPr>
          <w:p>
            <w:pPr>
              <w:pStyle w:val="TableContents"/>
              <w:bidi w:val="0"/>
              <w:spacing w:before="0" w:after="283"/>
              <w:jc w:val="both"/>
              <w:rPr/>
            </w:pPr>
            <w:r>
              <w:rPr/>
              <w:t> </w:t>
            </w:r>
          </w:p>
        </w:tc>
        <w:tc>
          <w:tcPr>
            <w:tcW w:w="7895" w:type="dxa"/>
            <w:tcBorders/>
            <w:tcMar>
              <w:bottom w:w="0" w:type="dxa"/>
            </w:tcMar>
            <w:vAlign w:val="center"/>
          </w:tcPr>
          <w:p>
            <w:pPr>
              <w:pStyle w:val="TableContents"/>
              <w:bidi w:val="0"/>
              <w:spacing w:before="0" w:after="283"/>
              <w:jc w:val="both"/>
              <w:rPr/>
            </w:pPr>
            <w:hyperlink w:anchor="tm247937d1_ex10-2.htm">
              <w:r>
                <w:rPr>
                  <w:rStyle w:val="InternetLink"/>
                  <w:sz w:val="20"/>
                </w:rPr>
                <w:t>Form of 2024 Executive Officer Annual Incentive Award Agreement</w:t>
              </w:r>
            </w:hyperlink>
          </w:p>
        </w:tc>
      </w:tr>
      <w:tr>
        <w:trPr/>
        <w:tc>
          <w:tcPr>
            <w:tcW w:w="72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7895" w:type="dxa"/>
            <w:tcBorders/>
            <w:tcMar>
              <w:bottom w:w="0" w:type="dxa"/>
            </w:tcMar>
            <w:vAlign w:val="center"/>
          </w:tcPr>
          <w:p>
            <w:pPr>
              <w:pStyle w:val="TableContents"/>
              <w:bidi w:val="0"/>
              <w:spacing w:before="0" w:after="283"/>
              <w:jc w:val="both"/>
              <w:rPr/>
            </w:pPr>
            <w:r>
              <w:rPr/>
              <w:t> </w:t>
            </w:r>
          </w:p>
        </w:tc>
      </w:tr>
      <w:tr>
        <w:trPr/>
        <w:tc>
          <w:tcPr>
            <w:tcW w:w="725" w:type="dxa"/>
            <w:tcBorders/>
            <w:tcMar>
              <w:bottom w:w="0" w:type="dxa"/>
            </w:tcMar>
            <w:vAlign w:val="center"/>
          </w:tcPr>
          <w:p>
            <w:pPr>
              <w:pStyle w:val="TableContents"/>
              <w:bidi w:val="0"/>
              <w:spacing w:before="0" w:after="283"/>
              <w:jc w:val="both"/>
              <w:rPr>
                <w:sz w:val="20"/>
              </w:rPr>
            </w:pPr>
            <w:r>
              <w:rPr>
                <w:sz w:val="20"/>
              </w:rPr>
              <w:t>104</w:t>
            </w:r>
          </w:p>
        </w:tc>
        <w:tc>
          <w:tcPr>
            <w:tcW w:w="60" w:type="dxa"/>
            <w:tcBorders/>
            <w:tcMar>
              <w:bottom w:w="0" w:type="dxa"/>
            </w:tcMar>
            <w:vAlign w:val="center"/>
          </w:tcPr>
          <w:p>
            <w:pPr>
              <w:pStyle w:val="TableContents"/>
              <w:bidi w:val="0"/>
              <w:spacing w:before="0" w:after="283"/>
              <w:jc w:val="both"/>
              <w:rPr/>
            </w:pPr>
            <w:r>
              <w:rPr/>
              <w:t> </w:t>
            </w:r>
          </w:p>
        </w:tc>
        <w:tc>
          <w:tcPr>
            <w:tcW w:w="7895" w:type="dxa"/>
            <w:tcBorders/>
            <w:tcMar>
              <w:bottom w:w="0" w:type="dxa"/>
            </w:tcMar>
            <w:vAlign w:val="center"/>
          </w:tcPr>
          <w:p>
            <w:pPr>
              <w:pStyle w:val="TableContents"/>
              <w:bidi w:val="0"/>
              <w:spacing w:before="0" w:after="283"/>
              <w:jc w:val="both"/>
              <w:rPr>
                <w:sz w:val="20"/>
              </w:rPr>
            </w:pPr>
            <w:r>
              <w:rPr>
                <w:sz w:val="20"/>
              </w:rPr>
              <w:t>Cover Page Interactive Data File (formatted as inline XBRL and contained in Exhibit 101)</w:t>
            </w:r>
          </w:p>
        </w:tc>
      </w:tr>
    </w:tbl>
    <w:p>
      <w:pPr>
        <w:pStyle w:val="TextBody"/>
        <w:bidi w:val="0"/>
        <w:spacing w:before="0" w:after="0"/>
        <w:ind w:left="0" w:right="0" w:hanging="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4 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8070" w:type="dxa"/>
        <w:jc w:val="left"/>
        <w:tblInd w:w="0" w:type="dxa"/>
        <w:tblLayout w:type="fixed"/>
        <w:tblCellMar>
          <w:top w:w="0" w:type="dxa"/>
          <w:left w:w="0" w:type="dxa"/>
          <w:bottom w:w="0" w:type="dxa"/>
          <w:right w:w="0" w:type="dxa"/>
        </w:tblCellMar>
      </w:tblPr>
      <w:tblGrid>
        <w:gridCol w:w="1700"/>
        <w:gridCol w:w="320"/>
        <w:gridCol w:w="6050"/>
      </w:tblGrid>
      <w:tr>
        <w:trPr/>
        <w:tc>
          <w:tcPr>
            <w:tcW w:w="1700" w:type="dxa"/>
            <w:tcBorders/>
            <w:vAlign w:val="center"/>
          </w:tcPr>
          <w:p>
            <w:pPr>
              <w:pStyle w:val="TableContents"/>
              <w:bidi w:val="0"/>
              <w:spacing w:before="0" w:after="283"/>
              <w:jc w:val="left"/>
              <w:rPr/>
            </w:pPr>
            <w:r>
              <w:rPr/>
              <w:t> </w:t>
            </w:r>
          </w:p>
        </w:tc>
        <w:tc>
          <w:tcPr>
            <w:tcW w:w="637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WASTE MANAGEMENT, INC.</w:t>
            </w:r>
          </w:p>
        </w:tc>
      </w:tr>
      <w:tr>
        <w:trPr/>
        <w:tc>
          <w:tcPr>
            <w:tcW w:w="1700" w:type="dxa"/>
            <w:tcBorders/>
            <w:vAlign w:val="center"/>
          </w:tcPr>
          <w:p>
            <w:pPr>
              <w:pStyle w:val="TableContents"/>
              <w:bidi w:val="0"/>
              <w:spacing w:before="0" w:after="283"/>
              <w:jc w:val="left"/>
              <w:rPr/>
            </w:pPr>
            <w:r>
              <w:rPr/>
              <w:t> </w:t>
            </w:r>
          </w:p>
        </w:tc>
        <w:tc>
          <w:tcPr>
            <w:tcW w:w="637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700" w:type="dxa"/>
            <w:tcBorders/>
            <w:vAlign w:val="center"/>
          </w:tcPr>
          <w:p>
            <w:pPr>
              <w:pStyle w:val="TableContents"/>
              <w:bidi w:val="0"/>
              <w:spacing w:before="0" w:after="283"/>
              <w:jc w:val="left"/>
              <w:rPr>
                <w:sz w:val="20"/>
              </w:rPr>
            </w:pPr>
            <w:r>
              <w:rPr>
                <w:sz w:val="20"/>
              </w:rPr>
              <w:t>Date: March 6, 2024</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0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Charles C. Boettcher</w:t>
            </w:r>
          </w:p>
        </w:tc>
      </w:tr>
      <w:tr>
        <w:trPr/>
        <w:tc>
          <w:tcPr>
            <w:tcW w:w="17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60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Charles C. Boettcher</w:t>
            </w:r>
          </w:p>
        </w:tc>
      </w:tr>
      <w:tr>
        <w:trPr/>
        <w:tc>
          <w:tcPr>
            <w:tcW w:w="17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60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 Corporate Development and Chief Legal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3" w:name="tm247937d1_ex10-1.htm"/>
      <w:bookmarkStart w:id="24" w:name="kstm247937d1_ex101"/>
      <w:bookmarkEnd w:id="23"/>
      <w:bookmarkEnd w:id="24"/>
      <w:r>
        <w:rPr>
          <w:rFonts w:ascii="Times New Roman;Times;Serif" w:hAnsi="Times New Roman;Times;Serif"/>
          <w:b/>
          <w:i w:val="false"/>
          <w:caps w:val="false"/>
          <w:smallCaps w:val="false"/>
          <w:sz w:val="20"/>
        </w:rPr>
        <w:t>EXHIBIT 10.1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 Long Term Incentive Compensation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 Agreement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Senior Leadership Team under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Waste Management, Inc. 2023 Stock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Award Agreement (this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is entered into effective as of March 1, 2024 (the “</w:t>
      </w:r>
      <w:r>
        <w:rPr>
          <w:rFonts w:ascii="Times New Roman;Times;Serif" w:hAnsi="Times New Roman;Times;Serif"/>
          <w:b/>
          <w:i/>
          <w:caps w:val="false"/>
          <w:smallCaps w:val="false"/>
          <w:sz w:val="20"/>
        </w:rPr>
        <w:t>Grant Date</w:t>
      </w:r>
      <w:r>
        <w:rPr>
          <w:rFonts w:ascii="Times New Roman;Times;Serif" w:hAnsi="Times New Roman;Times;Serif"/>
          <w:b w:val="false"/>
          <w:i w:val="false"/>
          <w:caps w:val="false"/>
          <w:smallCaps w:val="false"/>
          <w:sz w:val="20"/>
        </w:rPr>
        <w:t>”), by and between Waste Management,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(together with its Subsidiaries and Affiliates, “</w:t>
      </w:r>
      <w:r>
        <w:rPr>
          <w:rFonts w:ascii="Times New Roman;Times;Serif" w:hAnsi="Times New Roman;Times;Serif"/>
          <w:b/>
          <w:i/>
          <w:caps w:val="false"/>
          <w:smallCaps w:val="false"/>
          <w:sz w:val="20"/>
        </w:rPr>
        <w:t>WM</w:t>
      </w:r>
      <w:r>
        <w:rPr>
          <w:rFonts w:ascii="Times New Roman;Times;Serif" w:hAnsi="Times New Roman;Times;Serif"/>
          <w:b w:val="false"/>
          <w:i w:val="false"/>
          <w:caps w:val="false"/>
          <w:smallCaps w:val="false"/>
          <w:sz w:val="20"/>
        </w:rPr>
        <w:t>”), and you (“</w:t>
      </w:r>
      <w:r>
        <w:rPr>
          <w:rFonts w:ascii="Times New Roman;Times;Serif" w:hAnsi="Times New Roman;Times;Serif"/>
          <w:b/>
          <w:i/>
          <w:caps w:val="false"/>
          <w:smallCaps w:val="false"/>
          <w:sz w:val="20"/>
        </w:rPr>
        <w:t>Employee</w:t>
      </w:r>
      <w:r>
        <w:rPr>
          <w:rFonts w:ascii="Times New Roman;Times;Serif" w:hAnsi="Times New Roman;Times;Serif"/>
          <w:b w:val="false"/>
          <w:i w:val="false"/>
          <w:caps w:val="false"/>
          <w:smallCaps w:val="false"/>
          <w:sz w:val="20"/>
        </w:rPr>
        <w:t>”). At all times, the Awards under this Agreement are subject to the terms and conditions of the Waste Management, Inc. 2023 Stock Incentive Plan (the “</w:t>
      </w:r>
      <w:r>
        <w:rPr>
          <w:rFonts w:ascii="Times New Roman;Times;Serif" w:hAnsi="Times New Roman;Times;Serif"/>
          <w:b/>
          <w:i/>
          <w:caps w:val="false"/>
          <w:smallCaps w:val="false"/>
          <w:sz w:val="20"/>
        </w:rPr>
        <w:t>Plan</w:t>
      </w:r>
      <w:r>
        <w:rPr>
          <w:rFonts w:ascii="Times New Roman;Times;Serif" w:hAnsi="Times New Roman;Times;Serif"/>
          <w:b w:val="false"/>
          <w:i w:val="false"/>
          <w:caps w:val="false"/>
          <w:smallCaps w:val="false"/>
          <w:sz w:val="20"/>
        </w:rPr>
        <w:t>”), this Agreement, and all applicable administrative interpretations and practices. A copy of the Plan and the Plan Prospectus is available online at www.benefits.ml.com. Please also see the Company’s Form 10-K included in its most recent Annual Report, available on the Investor Relations page of www.wm.com under Financial Reporting – Annual Reports, for information about the Company. By executing this Agreement, you consent to receipt of the Plan, the Prospectus, and the Annual Reports by electronic access as set forth in this paragraph.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You must execute this Agreement in full, online in accordance with the instructions below, prior to April 1, 2024, in order for this Agreement to become effective.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If you do not execute this Agreement by correctly following the instructions below, your Awards may be cancelled.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Instructions for Executing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you are a new equity award participant, you must open a Limited Individual Investor Account (LIIA) before you can accept your awards. To open your LIIA, log in to </w:t>
      </w:r>
      <w:r>
        <w:rPr>
          <w:rFonts w:ascii="Times New Roman;Times;Serif" w:hAnsi="Times New Roman;Times;Serif"/>
          <w:b w:val="false"/>
          <w:i w:val="false"/>
          <w:caps w:val="false"/>
          <w:smallCaps w:val="false"/>
          <w:sz w:val="20"/>
          <w:u w:val="single"/>
        </w:rPr>
        <w:t>www.benefits.ml.com</w:t>
      </w:r>
      <w:r>
        <w:rPr>
          <w:rFonts w:ascii="Times New Roman;Times;Serif" w:hAnsi="Times New Roman;Times;Serif"/>
          <w:b w:val="false"/>
          <w:i w:val="false"/>
          <w:caps w:val="false"/>
          <w:smallCaps w:val="false"/>
          <w:sz w:val="20"/>
        </w:rPr>
        <w:t> at the secure website maintained by the third-party stock administrator. Once logged in, follow the prompts to “Open a Brokerage Account”. When you have successfully created your account, follow the online instructions, and complete all the steps required to accept the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you have previously received a stock-based incentive award, log on to </w:t>
      </w:r>
      <w:r>
        <w:rPr>
          <w:rFonts w:ascii="Times New Roman;Times;Serif" w:hAnsi="Times New Roman;Times;Serif"/>
          <w:b w:val="false"/>
          <w:i w:val="false"/>
          <w:caps w:val="false"/>
          <w:smallCaps w:val="false"/>
          <w:sz w:val="20"/>
          <w:u w:val="single"/>
        </w:rPr>
        <w:t>www.benefits.ml.com</w:t>
      </w:r>
      <w:r>
        <w:rPr>
          <w:rFonts w:ascii="Times New Roman;Times;Serif" w:hAnsi="Times New Roman;Times;Serif"/>
          <w:b w:val="false"/>
          <w:i w:val="false"/>
          <w:caps w:val="false"/>
          <w:smallCaps w:val="false"/>
          <w:sz w:val="20"/>
        </w:rPr>
        <w:t xml:space="preserve"> at the secure website maintained by the third-party stock administrator. Follow the online instructions and complete all the steps required to accept the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Performance Share Units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3"/>
        <w:gridCol w:w="10015"/>
      </w:tblGrid>
      <w:tr>
        <w:trPr/>
        <w:tc>
          <w:tcPr>
            <w:tcW w:w="3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1.</w:t>
            </w:r>
          </w:p>
        </w:tc>
        <w:tc>
          <w:tcPr>
            <w:tcW w:w="10015" w:type="dxa"/>
            <w:tcBorders/>
            <w:vAlign w:val="center"/>
          </w:tcPr>
          <w:p>
            <w:pPr>
              <w:pStyle w:val="TableContents"/>
              <w:bidi w:val="0"/>
              <w:spacing w:before="0" w:after="283"/>
              <w:jc w:val="left"/>
              <w:rPr/>
            </w:pPr>
            <w:r>
              <w:rPr>
                <w:u w:val="single"/>
              </w:rPr>
              <w:t>PSU Grant</w:t>
            </w:r>
            <w:r>
              <w:rPr/>
              <w:t>. The Company grants to Employee a Restricted Stock Unit Award subject to performance-based vesting conditions (a “</w:t>
            </w:r>
            <w:r>
              <w:rPr>
                <w:b/>
                <w:i/>
              </w:rPr>
              <w:t>PSU Award</w:t>
            </w:r>
            <w:r>
              <w:rPr/>
              <w:t>”), as provided in the Notice of Long-Term Incentive Award (the “</w:t>
            </w:r>
            <w:r>
              <w:rPr>
                <w:b/>
                <w:i/>
              </w:rPr>
              <w:t>Notice</w:t>
            </w:r>
            <w:r>
              <w:rPr/>
              <w:t>”). Each Restricted Stock Unit subject to performance-based vesting conditions (a “</w:t>
            </w:r>
            <w:r>
              <w:rPr>
                <w:b/>
                <w:i/>
              </w:rPr>
              <w:t>Performance Share Unit</w:t>
            </w:r>
            <w:r>
              <w:rPr/>
              <w:t>” or “</w:t>
            </w:r>
            <w:r>
              <w:rPr>
                <w:b/>
                <w:i/>
              </w:rPr>
              <w:t>PSU</w:t>
            </w:r>
            <w:r>
              <w:rPr/>
              <w:t>”) is a notational unit of measurement denominated in Common Stock.</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50"/>
        <w:gridCol w:w="1318"/>
        <w:gridCol w:w="8637"/>
      </w:tblGrid>
      <w:tr>
        <w:trPr/>
        <w:tc>
          <w:tcPr>
            <w:tcW w:w="250"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pPr>
            <w:r>
              <w:rPr/>
              <w:t>2.</w:t>
            </w:r>
          </w:p>
        </w:tc>
        <w:tc>
          <w:tcPr>
            <w:tcW w:w="8637" w:type="dxa"/>
            <w:tcBorders/>
            <w:vAlign w:val="center"/>
          </w:tcPr>
          <w:p>
            <w:pPr>
              <w:pStyle w:val="TableContents"/>
              <w:bidi w:val="0"/>
              <w:spacing w:before="0" w:after="283"/>
              <w:jc w:val="left"/>
              <w:rPr>
                <w:u w:val="single"/>
              </w:rPr>
            </w:pPr>
            <w:r>
              <w:rPr>
                <w:u w:val="single"/>
              </w:rPr>
              <w:t>PSU Metrics.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left"/>
              <w:rPr/>
            </w:pPr>
            <w:r>
              <w:rPr/>
              <w:t xml:space="preserve">The </w:t>
            </w:r>
            <w:r>
              <w:rPr>
                <w:b/>
                <w:i/>
              </w:rPr>
              <w:t>Performance Period</w:t>
            </w:r>
            <w:r>
              <w:rPr/>
              <w:t xml:space="preserve"> for this PSU Award is the 36-month period beginning January 1, 2024, and ending on December 31, 2026. Vesting and payout of your PSU Award is based upon the level of achievement of the </w:t>
            </w:r>
            <w:r>
              <w:rPr>
                <w:b/>
                <w:i/>
              </w:rPr>
              <w:t>Performance Goals</w:t>
            </w:r>
            <w:r>
              <w:rPr/>
              <w:t xml:space="preserve"> that have been set by the Committee. The Performance Goals set by the Committee for your PSU Awards are described in paragraph 3 below.</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left"/>
              <w:rPr/>
            </w:pPr>
            <w:r>
              <w:rPr/>
              <w:t xml:space="preserve">The performance measure selected by the Committee to serve as the Performance Goal for half (50%) of your Target PSU Award is </w:t>
            </w:r>
            <w:r>
              <w:rPr>
                <w:b/>
                <w:i/>
              </w:rPr>
              <w:t>Cash Flow Generation</w:t>
            </w:r>
            <w:r>
              <w:rPr/>
              <w:t xml:space="preserve"> (as defined below). The performance measure selected by the Committee to serve as the Performance Goal for the other half (50%) of your Target PSU Award is </w:t>
            </w:r>
            <w:r>
              <w:rPr>
                <w:b/>
                <w:i/>
              </w:rPr>
              <w:t>Total Shareholder Return Relative to the S&amp;P 500</w:t>
            </w:r>
            <w:r>
              <w:rPr/>
              <w:t xml:space="preserve">, or </w:t>
            </w:r>
            <w:r>
              <w:rPr>
                <w:b/>
                <w:i/>
              </w:rPr>
              <w:t>TSR</w:t>
            </w:r>
            <w:r>
              <w:rPr/>
              <w:t xml:space="preserve"> (as defined below). To determine the payout (if any) under your PSU Award, the Committee will determine the level of the Performance Goal reached (“</w:t>
            </w:r>
            <w:r>
              <w:rPr>
                <w:b/>
                <w:i/>
              </w:rPr>
              <w:t>Achievement</w:t>
            </w:r>
            <w:r>
              <w:rPr/>
              <w:t>”) and the corresponding payout percentage applicable to each half of your Target PSU Award under paragraph 3 below. The Committee’s determinations, and the related calculations, including the calculation of Cash Flow Generation and TSR, are made by, and in the sole discretion of, the Committee, and are final and not subject to appeal.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5"/>
        <w:gridCol w:w="10013"/>
      </w:tblGrid>
      <w:tr>
        <w:trPr/>
        <w:tc>
          <w:tcPr>
            <w:tcW w:w="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13" w:type="dxa"/>
            <w:tcBorders/>
            <w:vAlign w:val="center"/>
          </w:tcPr>
          <w:p>
            <w:pPr>
              <w:pStyle w:val="TableContents"/>
              <w:bidi w:val="0"/>
              <w:spacing w:before="0" w:after="283"/>
              <w:jc w:val="left"/>
              <w:rPr/>
            </w:pPr>
            <w:r>
              <w:rPr>
                <w:b/>
                <w:i/>
              </w:rPr>
              <w:t>Cash Flow Generation</w:t>
            </w:r>
            <w:r>
              <w:rPr/>
              <w:t xml:space="preserve"> is the net cash flow provided by operating activities of WM for the Performance Period, less capital expenditures, with the following adjustments:</w:t>
            </w:r>
          </w:p>
        </w:tc>
      </w:tr>
    </w:tbl>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i.</w:t>
            </w:r>
          </w:p>
        </w:tc>
        <w:tc>
          <w:tcPr>
            <w:tcW w:w="10028" w:type="dxa"/>
            <w:tcBorders/>
            <w:vAlign w:val="center"/>
          </w:tcPr>
          <w:p>
            <w:pPr>
              <w:pStyle w:val="TableContents"/>
              <w:bidi w:val="0"/>
              <w:spacing w:before="0" w:after="283"/>
              <w:jc w:val="left"/>
              <w:rPr/>
            </w:pPr>
            <w:r>
              <w:rPr/>
              <w:t>Payments related to costs (including legal costs) associated with labor disruptions (e.g., strikes) and actual or potential multiemployer plan withdrawal liability(ies) are excluded as expenditures required as a result of past labor commitments combined with changing economic conditions of the present business climate;</w:t>
            </w:r>
          </w:p>
        </w:tc>
      </w:tr>
    </w:tbl>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83" w:type="dxa"/>
            <w:tcBorders/>
            <w:vAlign w:val="center"/>
          </w:tcPr>
          <w:p>
            <w:pPr>
              <w:pStyle w:val="TableContents"/>
              <w:bidi w:val="0"/>
              <w:spacing w:before="0" w:after="283"/>
              <w:jc w:val="left"/>
              <w:rPr/>
            </w:pPr>
            <w:r>
              <w:rPr/>
              <w:t>Strategic acquisition, restructuring, transformation and reorganization costs are excluded in recognition of WM’s goals to increase customer and business base while minimizing operating costs; and</w:t>
            </w:r>
          </w:p>
        </w:tc>
      </w:tr>
    </w:tbl>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iii.</w:t>
            </w:r>
          </w:p>
        </w:tc>
        <w:tc>
          <w:tcPr>
            <w:tcW w:w="9908" w:type="dxa"/>
            <w:tcBorders/>
            <w:vAlign w:val="center"/>
          </w:tcPr>
          <w:p>
            <w:pPr>
              <w:pStyle w:val="TableContents"/>
              <w:bidi w:val="0"/>
              <w:spacing w:before="0" w:after="283"/>
              <w:jc w:val="left"/>
              <w:rPr/>
            </w:pPr>
            <w:r>
              <w:rPr/>
              <w:t>If any accounting rule or tax law change occurs that was not anticipated in setting the Cash Flow Generation target, any material impact of that change will be disregarded in calculating the Cash Flow Generation result.</w:t>
            </w:r>
          </w:p>
        </w:tc>
      </w:tr>
    </w:tbl>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above, the following adjustments will be made when the aggregate impact of the following items has a greater than 5% impact on attainment:</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iv.</w:t>
            </w:r>
          </w:p>
        </w:tc>
        <w:tc>
          <w:tcPr>
            <w:tcW w:w="9908" w:type="dxa"/>
            <w:tcBorders/>
            <w:vAlign w:val="center"/>
          </w:tcPr>
          <w:p>
            <w:pPr>
              <w:pStyle w:val="TableContents"/>
              <w:bidi w:val="0"/>
              <w:spacing w:before="0" w:after="283"/>
              <w:jc w:val="left"/>
              <w:rPr/>
            </w:pPr>
            <w:r>
              <w:rPr/>
              <w:t>Impacts from strategic acquisitions or divestitures of assets or businesses are excluded (EBITDA, capital expenditures, working capital, and proceeds from divestitures) (Impacts from normal course of business acquisitions and divestitures are included);</w:t>
            </w:r>
          </w:p>
        </w:tc>
      </w:tr>
    </w:tbl>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v.</w:t>
            </w:r>
          </w:p>
        </w:tc>
        <w:tc>
          <w:tcPr>
            <w:tcW w:w="9968" w:type="dxa"/>
            <w:tcBorders/>
            <w:vAlign w:val="center"/>
          </w:tcPr>
          <w:p>
            <w:pPr>
              <w:pStyle w:val="TableContents"/>
              <w:bidi w:val="0"/>
              <w:spacing w:before="0" w:after="283"/>
              <w:jc w:val="left"/>
              <w:rPr/>
            </w:pPr>
            <w:r>
              <w:rPr/>
              <w:t>Impacts from discrete growth capital investment projects made to support the long-term organic growth of the business that were not specifically planned for in setting the Cash Flow Generation target are excluded; and</w:t>
            </w:r>
          </w:p>
        </w:tc>
      </w:tr>
    </w:tbl>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vi.</w:t>
            </w:r>
          </w:p>
        </w:tc>
        <w:tc>
          <w:tcPr>
            <w:tcW w:w="9908" w:type="dxa"/>
            <w:tcBorders/>
            <w:vAlign w:val="center"/>
          </w:tcPr>
          <w:p>
            <w:pPr>
              <w:pStyle w:val="TableContents"/>
              <w:bidi w:val="0"/>
              <w:spacing w:before="0" w:after="283"/>
              <w:jc w:val="left"/>
              <w:rPr/>
            </w:pPr>
            <w:r>
              <w:rPr/>
              <w:t>Material changes in the realization of earnings and cash flow contributions for growth capital investments caused by items outside of WM’s control will be excluded.</w:t>
            </w:r>
          </w:p>
        </w:tc>
      </w:tr>
    </w:tbl>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solely in its discretion, is permitted to make other adjustments to reflect management’s performance consistent with maximizing shareholder value;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such other adjustments shall not reduce the Cash Flow Generation amount.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d.</w:t>
            </w:r>
          </w:p>
        </w:tc>
        <w:tc>
          <w:tcPr>
            <w:tcW w:w="9968" w:type="dxa"/>
            <w:tcBorders/>
            <w:vAlign w:val="center"/>
          </w:tcPr>
          <w:p>
            <w:pPr>
              <w:pStyle w:val="TableContents"/>
              <w:bidi w:val="0"/>
              <w:spacing w:before="0" w:after="283"/>
              <w:jc w:val="left"/>
              <w:rPr/>
            </w:pPr>
            <w:r>
              <w:rPr>
                <w:b/>
                <w:i/>
              </w:rPr>
              <w:t xml:space="preserve">TSR </w:t>
            </w:r>
            <w:r>
              <w:rPr/>
              <w:t>is the percentile performance of the Company as compared to the other S&amp;P 500 Companies for the Performance Period. For these purposes:</w:t>
            </w:r>
          </w:p>
        </w:tc>
      </w:tr>
    </w:tbl>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i.</w:t>
            </w:r>
          </w:p>
        </w:tc>
        <w:tc>
          <w:tcPr>
            <w:tcW w:w="10027" w:type="dxa"/>
            <w:tcBorders/>
            <w:vAlign w:val="center"/>
          </w:tcPr>
          <w:p>
            <w:pPr>
              <w:pStyle w:val="TableContents"/>
              <w:bidi w:val="0"/>
              <w:spacing w:before="0" w:after="283"/>
              <w:jc w:val="left"/>
              <w:rPr/>
            </w:pPr>
            <w:r>
              <w:rPr>
                <w:b/>
                <w:i/>
              </w:rPr>
              <w:t xml:space="preserve">S&amp;P 500 Companies </w:t>
            </w:r>
            <w:r>
              <w:rPr/>
              <w:t>means all the entities listed on the Standard &amp; Poor’s 500 Composite Index, including the Company, on the date which is 30 trading days prior to the commencement of the Performance Period, with the following modifications:</w:t>
            </w:r>
          </w:p>
        </w:tc>
      </w:tr>
    </w:tbl>
    <w:p>
      <w:pPr>
        <w:pStyle w:val="TextBody"/>
        <w:bidi w:val="0"/>
        <w:ind w:left="1296"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as provided below, only those entities that continue to trade throughout the Performance Period without interruption on a </w:t>
      </w:r>
      <w:r>
        <w:rPr>
          <w:rFonts w:ascii="Times New Roman;Times;Serif" w:hAnsi="Times New Roman;Times;Serif"/>
          <w:b/>
          <w:i/>
          <w:caps w:val="false"/>
          <w:smallCaps w:val="false"/>
          <w:sz w:val="20"/>
        </w:rPr>
        <w:t>National Exchange</w:t>
      </w:r>
      <w:r>
        <w:rPr>
          <w:rFonts w:ascii="Times New Roman;Times;Serif" w:hAnsi="Times New Roman;Times;Serif"/>
          <w:b w:val="false"/>
          <w:i w:val="false"/>
          <w:caps w:val="false"/>
          <w:smallCaps w:val="false"/>
          <w:sz w:val="20"/>
        </w:rPr>
        <w:t xml:space="preserve"> shall be included; and</w:t>
      </w:r>
    </w:p>
    <w:p>
      <w:pPr>
        <w:pStyle w:val="TextBody"/>
        <w:bidi w:val="0"/>
        <w:ind w:left="1296"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such entity that files for bankruptcy (“</w:t>
      </w:r>
      <w:r>
        <w:rPr>
          <w:rFonts w:ascii="Times New Roman;Times;Serif" w:hAnsi="Times New Roman;Times;Serif"/>
          <w:b/>
          <w:i/>
          <w:caps w:val="false"/>
          <w:smallCaps w:val="false"/>
          <w:sz w:val="20"/>
        </w:rPr>
        <w:t>Bankrupt Peer</w:t>
      </w:r>
      <w:r>
        <w:rPr>
          <w:rFonts w:ascii="Times New Roman;Times;Serif" w:hAnsi="Times New Roman;Times;Serif"/>
          <w:b w:val="false"/>
          <w:i w:val="false"/>
          <w:caps w:val="false"/>
          <w:smallCaps w:val="false"/>
          <w:sz w:val="20"/>
        </w:rPr>
        <w:t>”) during the Performance Period shall continue to be included.</w:t>
      </w:r>
    </w:p>
    <w:p>
      <w:pPr>
        <w:pStyle w:val="TextBody"/>
        <w:bidi w:val="0"/>
        <w:ind w:left="129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these purposes </w:t>
      </w:r>
      <w:r>
        <w:rPr>
          <w:rFonts w:ascii="Times New Roman;Times;Serif" w:hAnsi="Times New Roman;Times;Serif"/>
          <w:b/>
          <w:i/>
          <w:caps w:val="false"/>
          <w:smallCaps w:val="false"/>
          <w:sz w:val="20"/>
        </w:rPr>
        <w:t>National Exchange</w:t>
      </w:r>
      <w:r>
        <w:rPr>
          <w:rFonts w:ascii="Times New Roman;Times;Serif" w:hAnsi="Times New Roman;Times;Serif"/>
          <w:b w:val="false"/>
          <w:i w:val="false"/>
          <w:caps w:val="false"/>
          <w:smallCaps w:val="false"/>
          <w:sz w:val="20"/>
        </w:rPr>
        <w:t xml:space="preserve"> shall mean a securities exchange that has registered with the SEC under Section 6 of the Securities Exchange Act of 1934.</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ii.</w:t>
            </w:r>
          </w:p>
        </w:tc>
        <w:tc>
          <w:tcPr>
            <w:tcW w:w="9967" w:type="dxa"/>
            <w:tcBorders/>
            <w:vAlign w:val="center"/>
          </w:tcPr>
          <w:p>
            <w:pPr>
              <w:pStyle w:val="TableContents"/>
              <w:bidi w:val="0"/>
              <w:spacing w:before="0" w:after="283"/>
              <w:jc w:val="left"/>
              <w:rPr/>
            </w:pPr>
            <w:r>
              <w:rPr>
                <w:b/>
                <w:i/>
              </w:rPr>
              <w:t>Total Shareholder Return</w:t>
            </w:r>
            <w:r>
              <w:rPr/>
              <w:t xml:space="preserve"> is the result of dividing (1) the sum of the cumulative value of an entity’s dividends for the Performance Period, plus the entity’s Ending Price, minus the Beginning Price, by (2) the Beginning Price. For purposes of determining the cumulative value of an entity’s dividends during the Performance Period, it will be assumed that all dividends declared and paid with respect to a particular entity during the Performance Period were reinvested in such entity at the ex-dividend date, using the closing price on such date. The aggregate shares, or fractional shares thereof, that will be assumed to be purchased as part of the reinvestment calculation will be multiplied by the Ending Price to determine the cumulative value of an entity’s dividends for the Performance Period. For these purposes:</w:t>
            </w:r>
          </w:p>
        </w:tc>
      </w:tr>
    </w:tbl>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A.</w:t>
            </w:r>
          </w:p>
        </w:tc>
        <w:tc>
          <w:tcPr>
            <w:tcW w:w="9908" w:type="dxa"/>
            <w:tcBorders/>
            <w:vAlign w:val="center"/>
          </w:tcPr>
          <w:p>
            <w:pPr>
              <w:pStyle w:val="TableContents"/>
              <w:bidi w:val="0"/>
              <w:spacing w:before="0" w:after="283"/>
              <w:jc w:val="left"/>
              <w:rPr/>
            </w:pPr>
            <w:r>
              <w:rPr>
                <w:b/>
                <w:i/>
              </w:rPr>
              <w:t xml:space="preserve">Price </w:t>
            </w:r>
            <w:r>
              <w:rPr/>
              <w:t>is the per share closing price, as reported by the Bloomberg L.P. (or any other publicly available reporting service that the Committee may designate from time to time) of a share or share equivalent on the applicable stock exchange.</w:t>
            </w:r>
          </w:p>
        </w:tc>
      </w:tr>
    </w:tbl>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B.</w:t>
            </w:r>
          </w:p>
        </w:tc>
        <w:tc>
          <w:tcPr>
            <w:tcW w:w="9923" w:type="dxa"/>
            <w:tcBorders/>
            <w:vAlign w:val="center"/>
          </w:tcPr>
          <w:p>
            <w:pPr>
              <w:pStyle w:val="TableContents"/>
              <w:bidi w:val="0"/>
              <w:spacing w:before="0" w:after="283"/>
              <w:jc w:val="left"/>
              <w:rPr/>
            </w:pPr>
            <w:r>
              <w:rPr>
                <w:b/>
                <w:i/>
              </w:rPr>
              <w:t>Beginning Price</w:t>
            </w:r>
            <w:r>
              <w:rPr/>
              <w:t xml:space="preserve"> is the average Price for the period of 20 trading days immediately preceding the first day of the Performance Period.</w:t>
            </w:r>
          </w:p>
        </w:tc>
      </w:tr>
    </w:tbl>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C.</w:t>
            </w:r>
          </w:p>
        </w:tc>
        <w:tc>
          <w:tcPr>
            <w:tcW w:w="9923" w:type="dxa"/>
            <w:tcBorders/>
            <w:vAlign w:val="center"/>
          </w:tcPr>
          <w:p>
            <w:pPr>
              <w:pStyle w:val="TableContents"/>
              <w:bidi w:val="0"/>
              <w:spacing w:before="0" w:after="283"/>
              <w:jc w:val="left"/>
              <w:rPr/>
            </w:pPr>
            <w:r>
              <w:rPr>
                <w:b/>
                <w:i/>
              </w:rPr>
              <w:t xml:space="preserve">Ending Price </w:t>
            </w:r>
            <w:r>
              <w:rPr/>
              <w:t>is the average Price for the period of 20 trading days immediately preceding and including the final day of the Performance Period.</w:t>
            </w:r>
          </w:p>
        </w:tc>
      </w:tr>
    </w:tbl>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D.</w:t>
            </w:r>
          </w:p>
        </w:tc>
        <w:tc>
          <w:tcPr>
            <w:tcW w:w="9908" w:type="dxa"/>
            <w:tcBorders/>
            <w:vAlign w:val="center"/>
          </w:tcPr>
          <w:p>
            <w:pPr>
              <w:pStyle w:val="TableContents"/>
              <w:bidi w:val="0"/>
              <w:spacing w:before="0" w:after="283"/>
              <w:jc w:val="left"/>
              <w:rPr/>
            </w:pPr>
            <w:r>
              <w:rPr>
                <w:b/>
                <w:i/>
              </w:rPr>
              <w:t>Bankrupt Peer</w:t>
            </w:r>
            <w:r>
              <w:rPr/>
              <w:t>: Notwithstanding anything in the foregoing to the contrary, any Bankrupt Peer shall have a Total Shareholder return of negative one hundred percent (-100%).</w:t>
            </w:r>
          </w:p>
        </w:tc>
      </w:tr>
    </w:tbl>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iii.</w:t>
            </w:r>
          </w:p>
        </w:tc>
        <w:tc>
          <w:tcPr>
            <w:tcW w:w="9907" w:type="dxa"/>
            <w:tcBorders/>
            <w:vAlign w:val="center"/>
          </w:tcPr>
          <w:p>
            <w:pPr>
              <w:pStyle w:val="TableContents"/>
              <w:bidi w:val="0"/>
              <w:spacing w:before="0" w:after="283"/>
              <w:jc w:val="left"/>
              <w:rPr/>
            </w:pPr>
            <w:r>
              <w:rPr>
                <w:b/>
                <w:i/>
              </w:rPr>
              <w:t>Relative TSR Percentile Rank</w:t>
            </w:r>
            <w:r>
              <w:rPr/>
              <w:t xml:space="preserve"> is the percentile performance of the Company as compared to the S&amp;P 500 Companies. Relative TSR Percentile Rank is determined by ranking the Company and all other S&amp;P 500 Companies according to their respective Total Shareholder Return for the Performance Period. The ranking is in order from minimum-to-maximum, with the lowest performing entity assigned a rank of one. The Company’s ranking is then divided by the total number of entities within the S&amp;P 500 Companies to get the Relative TSR Percentile Rank.</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9"/>
        <w:gridCol w:w="785"/>
        <w:gridCol w:w="9271"/>
      </w:tblGrid>
      <w:tr>
        <w:trPr/>
        <w:tc>
          <w:tcPr>
            <w:tcW w:w="14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pPr>
            <w:r>
              <w:rPr/>
              <w:t>3.</w:t>
            </w:r>
          </w:p>
        </w:tc>
        <w:tc>
          <w:tcPr>
            <w:tcW w:w="9271" w:type="dxa"/>
            <w:tcBorders/>
            <w:vAlign w:val="center"/>
          </w:tcPr>
          <w:p>
            <w:pPr>
              <w:pStyle w:val="TableContents"/>
              <w:bidi w:val="0"/>
              <w:spacing w:before="0" w:after="283"/>
              <w:jc w:val="left"/>
              <w:rPr/>
            </w:pPr>
            <w:r>
              <w:rPr>
                <w:u w:val="single"/>
              </w:rPr>
              <w:t>PSU Payout Percentage</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left"/>
              <w:rPr/>
            </w:pPr>
            <w:r>
              <w:rPr/>
              <w:t xml:space="preserve">The </w:t>
            </w:r>
            <w:r>
              <w:rPr>
                <w:b/>
                <w:i/>
              </w:rPr>
              <w:t>Performance Goals</w:t>
            </w:r>
            <w:r>
              <w:rPr/>
              <w:t xml:space="preserve"> are the levels of performance set by the Committee on the Grant Date with respect to each measure of performance.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left"/>
              <w:rPr/>
            </w:pPr>
            <w:r>
              <w:rPr/>
              <w:t xml:space="preserve">The </w:t>
            </w:r>
            <w:r>
              <w:rPr>
                <w:b/>
                <w:i/>
              </w:rPr>
              <w:t>Target PSU Award</w:t>
            </w:r>
            <w:r>
              <w:rPr/>
              <w:t xml:space="preserve"> for this Agreement is based on the target number of PSUs granted by the Committee and announced in the Notice. If Achievement falls between two levels of Achievement, the resulting payout percentage will be straight line interpolated (rounding to the nearest 0.1 percent) between the payout percentages for those two levels of Achievement.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Achievement Levels and Corresponding Payouts for PSUs Dependent on Cash Flow Generation Performance Measure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9" w:type="dxa"/>
          <w:left w:w="144" w:type="dxa"/>
          <w:bottom w:w="29" w:type="dxa"/>
          <w:right w:w="130" w:type="dxa"/>
        </w:tblCellMar>
      </w:tblPr>
      <w:tblGrid>
        <w:gridCol w:w="7343"/>
        <w:gridCol w:w="1303"/>
        <w:gridCol w:w="1559"/>
      </w:tblGrid>
      <w:tr>
        <w:trPr/>
        <w:tc>
          <w:tcPr>
            <w:tcW w:w="734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Level of Achievement</w:t>
            </w:r>
          </w:p>
        </w:tc>
        <w:tc>
          <w:tcPr>
            <w:tcW w:w="1303"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Cash Flow </w:t>
              <w:br/>
              <w:t xml:space="preserve">Generation Over </w:t>
              <w:br/>
              <w:t>the Performance</w:t>
              <w:br/>
              <w:t>Period</w:t>
            </w:r>
          </w:p>
        </w:tc>
        <w:tc>
          <w:tcPr>
            <w:tcW w:w="155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Payout Percentage for the</w:t>
              <w:br/>
              <w:t>applicable half of your</w:t>
              <w:br/>
              <w:t xml:space="preserve">Target PSU Award </w:t>
            </w:r>
          </w:p>
        </w:tc>
      </w:tr>
      <w:tr>
        <w:trPr/>
        <w:tc>
          <w:tcPr>
            <w:tcW w:w="734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rFonts w:ascii="Times New Roman;Times;Serif" w:hAnsi="Times New Roman;Times;Serif"/>
                <w:b/>
                <w:i/>
                <w:sz w:val="20"/>
              </w:rPr>
              <w:t>Threshold Performance</w:t>
            </w:r>
            <w:r>
              <w:rPr/>
              <w:t xml:space="preserve"> </w:t>
            </w:r>
            <w:r>
              <w:rPr>
                <w:sz w:val="20"/>
              </w:rPr>
              <w:t>(the minimum level of Achievement to qualify for any payout of the Cash Flow Generation half of your Target PSU Award.)</w:t>
            </w:r>
          </w:p>
        </w:tc>
        <w:tc>
          <w:tcPr>
            <w:tcW w:w="130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$7.050 Billion</w:t>
            </w:r>
          </w:p>
        </w:tc>
        <w:tc>
          <w:tcPr>
            <w:tcW w:w="155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50%</w:t>
            </w:r>
          </w:p>
        </w:tc>
      </w:tr>
      <w:tr>
        <w:trPr/>
        <w:tc>
          <w:tcPr>
            <w:tcW w:w="734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rFonts w:ascii="Times New Roman;Times;Serif" w:hAnsi="Times New Roman;Times;Serif"/>
                <w:b/>
                <w:i/>
                <w:sz w:val="20"/>
              </w:rPr>
              <w:t>Target Performance</w:t>
            </w:r>
            <w:r>
              <w:rPr/>
              <w:t xml:space="preserve"> </w:t>
            </w:r>
            <w:r>
              <w:rPr>
                <w:sz w:val="20"/>
              </w:rPr>
              <w:t>(the level of Achievement to qualify for 100% payout of the Cash Flow Generation half of your Target PSU Award.)</w:t>
            </w:r>
          </w:p>
        </w:tc>
        <w:tc>
          <w:tcPr>
            <w:tcW w:w="130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$7.650 Billion</w:t>
            </w:r>
          </w:p>
        </w:tc>
        <w:tc>
          <w:tcPr>
            <w:tcW w:w="155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w:t>
            </w:r>
          </w:p>
        </w:tc>
      </w:tr>
      <w:tr>
        <w:trPr/>
        <w:tc>
          <w:tcPr>
            <w:tcW w:w="734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rFonts w:ascii="Times New Roman;Times;Serif" w:hAnsi="Times New Roman;Times;Serif"/>
                <w:b/>
                <w:i/>
                <w:sz w:val="20"/>
              </w:rPr>
              <w:t xml:space="preserve">Maximum Performance </w:t>
            </w:r>
            <w:r>
              <w:rPr>
                <w:sz w:val="20"/>
              </w:rPr>
              <w:t>(the maximum level of Achievement that results in an increased number of PSUs paid out under the Cash Flow Generation half of your Target PSU Award.)</w:t>
            </w:r>
          </w:p>
        </w:tc>
        <w:tc>
          <w:tcPr>
            <w:tcW w:w="130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$8.250 Billion</w:t>
            </w:r>
          </w:p>
        </w:tc>
        <w:tc>
          <w:tcPr>
            <w:tcW w:w="155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Achievement Levels and Corresponding Payouts for PSUs Dependent on TSR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7251"/>
        <w:gridCol w:w="1128"/>
        <w:gridCol w:w="1826"/>
      </w:tblGrid>
      <w:tr>
        <w:trPr/>
        <w:tc>
          <w:tcPr>
            <w:tcW w:w="10205"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 Shareholder Return Relative to the S&amp;P 500 over the Performance Period</w:t>
            </w:r>
          </w:p>
        </w:tc>
      </w:tr>
      <w:tr>
        <w:trPr/>
        <w:tc>
          <w:tcPr>
            <w:tcW w:w="7251" w:type="dxa"/>
            <w:tcBorders>
              <w:left w:val="single" w:sz="8" w:space="0" w:color="000000"/>
              <w:bottom w:val="single" w:sz="8" w:space="0" w:color="000000"/>
              <w:right w:val="single" w:sz="8" w:space="0" w:color="000000"/>
            </w:tcBorders>
            <w:tcMar>
              <w:top w:w="0" w:type="dxa"/>
              <w:left w:w="144" w:type="dxa"/>
              <w:bottom w:w="29" w:type="dxa"/>
              <w:right w:w="144"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of Achievement</w:t>
            </w:r>
          </w:p>
          <w:p>
            <w:pPr>
              <w:pStyle w:val="TableContents"/>
              <w:bidi w:val="0"/>
              <w:spacing w:before="0" w:after="0"/>
              <w:ind w:left="0" w:right="0" w:hanging="0"/>
              <w:jc w:val="left"/>
              <w:rPr>
                <w:caps w:val="false"/>
                <w:smallCaps w:val="false"/>
              </w:rPr>
            </w:pPr>
            <w:r>
              <w:rPr>
                <w:caps w:val="false"/>
                <w:smallCaps w:val="false"/>
              </w:rPr>
              <w:t> </w:t>
            </w:r>
          </w:p>
        </w:tc>
        <w:tc>
          <w:tcPr>
            <w:tcW w:w="11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Relative TSR</w:t>
              <w:br/>
              <w:t>Percentile Rank</w:t>
            </w:r>
          </w:p>
        </w:tc>
        <w:tc>
          <w:tcPr>
            <w:tcW w:w="1826" w:type="dxa"/>
            <w:tcBorders>
              <w:bottom w:val="single" w:sz="8" w:space="0" w:color="000000"/>
              <w:right w:val="single" w:sz="8" w:space="0" w:color="000000"/>
            </w:tcBorders>
            <w:tcMar>
              <w:top w:w="0" w:type="dxa"/>
              <w:left w:w="0" w:type="dxa"/>
              <w:bottom w:w="29" w:type="dxa"/>
              <w:right w:w="144"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Payout Percentage for the</w:t>
              <w:br/>
              <w:t xml:space="preserve">applicable half of your Target </w:t>
              <w:br/>
              <w:t>PSU Award</w:t>
            </w:r>
          </w:p>
        </w:tc>
      </w:tr>
      <w:tr>
        <w:trPr/>
        <w:tc>
          <w:tcPr>
            <w:tcW w:w="7251" w:type="dxa"/>
            <w:tcBorders>
              <w:left w:val="single" w:sz="8" w:space="0" w:color="000000"/>
              <w:bottom w:val="single" w:sz="8" w:space="0" w:color="000000"/>
              <w:right w:val="single" w:sz="8" w:space="0" w:color="000000"/>
            </w:tcBorders>
            <w:tcMar>
              <w:top w:w="0" w:type="dxa"/>
              <w:left w:w="144" w:type="dxa"/>
              <w:bottom w:w="29" w:type="dxa"/>
              <w:right w:w="144" w:type="dxa"/>
            </w:tcMar>
            <w:vAlign w:val="center"/>
          </w:tcPr>
          <w:p>
            <w:pPr>
              <w:pStyle w:val="TableContents"/>
              <w:bidi w:val="0"/>
              <w:spacing w:before="0" w:after="283"/>
              <w:jc w:val="left"/>
              <w:rPr/>
            </w:pPr>
            <w:r>
              <w:rPr>
                <w:rFonts w:ascii="Times New Roman;Times;Serif" w:hAnsi="Times New Roman;Times;Serif"/>
                <w:b/>
                <w:i/>
                <w:sz w:val="20"/>
              </w:rPr>
              <w:t>Threshold Performance</w:t>
            </w:r>
            <w:r>
              <w:rPr/>
              <w:t xml:space="preserve"> </w:t>
            </w:r>
            <w:r>
              <w:rPr>
                <w:sz w:val="20"/>
              </w:rPr>
              <w:t>(the minimum level of Achievement to qualify for any payout of the TSR half of your Target PSU Award.)</w:t>
            </w:r>
          </w:p>
        </w:tc>
        <w:tc>
          <w:tcPr>
            <w:tcW w:w="11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r>
              <w:rPr>
                <w:rFonts w:ascii="Times New Roman;Times;Serif" w:hAnsi="Times New Roman;Times;Serif"/>
                <w:position w:val="7"/>
                <w:sz w:val="16"/>
                <w:sz w:val="20"/>
              </w:rPr>
              <w:t>th</w:t>
            </w:r>
          </w:p>
        </w:tc>
        <w:tc>
          <w:tcPr>
            <w:tcW w:w="1826" w:type="dxa"/>
            <w:tcBorders>
              <w:bottom w:val="single" w:sz="8" w:space="0" w:color="000000"/>
              <w:right w:val="single" w:sz="8" w:space="0" w:color="000000"/>
            </w:tcBorders>
            <w:tcMar>
              <w:top w:w="0" w:type="dxa"/>
              <w:left w:w="0" w:type="dxa"/>
              <w:bottom w:w="29" w:type="dxa"/>
              <w:right w:w="144"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50%</w:t>
            </w:r>
          </w:p>
        </w:tc>
      </w:tr>
      <w:tr>
        <w:trPr/>
        <w:tc>
          <w:tcPr>
            <w:tcW w:w="7251" w:type="dxa"/>
            <w:tcBorders>
              <w:left w:val="single" w:sz="8" w:space="0" w:color="000000"/>
              <w:bottom w:val="single" w:sz="8" w:space="0" w:color="000000"/>
              <w:right w:val="single" w:sz="8" w:space="0" w:color="000000"/>
            </w:tcBorders>
            <w:tcMar>
              <w:top w:w="0" w:type="dxa"/>
              <w:left w:w="144" w:type="dxa"/>
              <w:bottom w:w="29" w:type="dxa"/>
              <w:right w:w="144" w:type="dxa"/>
            </w:tcMar>
            <w:vAlign w:val="center"/>
          </w:tcPr>
          <w:p>
            <w:pPr>
              <w:pStyle w:val="TableContents"/>
              <w:bidi w:val="0"/>
              <w:spacing w:before="0" w:after="283"/>
              <w:jc w:val="left"/>
              <w:rPr/>
            </w:pPr>
            <w:r>
              <w:rPr>
                <w:rFonts w:ascii="Times New Roman;Times;Serif" w:hAnsi="Times New Roman;Times;Serif"/>
                <w:b/>
                <w:i/>
                <w:sz w:val="20"/>
              </w:rPr>
              <w:t>Target Performance</w:t>
            </w:r>
            <w:r>
              <w:rPr/>
              <w:t xml:space="preserve"> </w:t>
            </w:r>
            <w:r>
              <w:rPr>
                <w:sz w:val="20"/>
              </w:rPr>
              <w:t>(the level of Achievement to qualify for 100% payout of the TSR half of your Target PSU Award.)</w:t>
            </w:r>
          </w:p>
        </w:tc>
        <w:tc>
          <w:tcPr>
            <w:tcW w:w="11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50</w:t>
            </w:r>
            <w:r>
              <w:rPr>
                <w:rFonts w:ascii="Times New Roman;Times;Serif" w:hAnsi="Times New Roman;Times;Serif"/>
                <w:position w:val="7"/>
                <w:sz w:val="16"/>
                <w:sz w:val="20"/>
              </w:rPr>
              <w:t>th</w:t>
            </w:r>
          </w:p>
        </w:tc>
        <w:tc>
          <w:tcPr>
            <w:tcW w:w="1826" w:type="dxa"/>
            <w:tcBorders>
              <w:bottom w:val="single" w:sz="8" w:space="0" w:color="000000"/>
              <w:right w:val="single" w:sz="8" w:space="0" w:color="000000"/>
            </w:tcBorders>
            <w:tcMar>
              <w:top w:w="0" w:type="dxa"/>
              <w:left w:w="0" w:type="dxa"/>
              <w:bottom w:w="29" w:type="dxa"/>
              <w:right w:w="144"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w:t>
            </w:r>
          </w:p>
        </w:tc>
      </w:tr>
      <w:tr>
        <w:trPr/>
        <w:tc>
          <w:tcPr>
            <w:tcW w:w="7251" w:type="dxa"/>
            <w:tcBorders>
              <w:left w:val="single" w:sz="8" w:space="0" w:color="000000"/>
              <w:bottom w:val="single" w:sz="8" w:space="0" w:color="000000"/>
              <w:right w:val="single" w:sz="8" w:space="0" w:color="000000"/>
            </w:tcBorders>
            <w:tcMar>
              <w:top w:w="0" w:type="dxa"/>
              <w:left w:w="144" w:type="dxa"/>
              <w:bottom w:w="29" w:type="dxa"/>
              <w:right w:w="144" w:type="dxa"/>
            </w:tcMar>
            <w:vAlign w:val="center"/>
          </w:tcPr>
          <w:p>
            <w:pPr>
              <w:pStyle w:val="TableContents"/>
              <w:bidi w:val="0"/>
              <w:spacing w:before="0" w:after="283"/>
              <w:jc w:val="left"/>
              <w:rPr/>
            </w:pPr>
            <w:r>
              <w:rPr>
                <w:rFonts w:ascii="Times New Roman;Times;Serif" w:hAnsi="Times New Roman;Times;Serif"/>
                <w:b/>
                <w:i/>
                <w:sz w:val="20"/>
              </w:rPr>
              <w:t xml:space="preserve">Maximum Performance </w:t>
            </w:r>
            <w:r>
              <w:rPr>
                <w:sz w:val="20"/>
              </w:rPr>
              <w:t>(the maximum level of Achievement that results in an increased number of PSUs paid out under the TSR half of your Target PSU Award.)</w:t>
            </w:r>
          </w:p>
        </w:tc>
        <w:tc>
          <w:tcPr>
            <w:tcW w:w="11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75</w:t>
            </w:r>
            <w:r>
              <w:rPr>
                <w:rFonts w:ascii="Times New Roman;Times;Serif" w:hAnsi="Times New Roman;Times;Serif"/>
                <w:position w:val="7"/>
                <w:sz w:val="16"/>
                <w:sz w:val="20"/>
              </w:rPr>
              <w:t>th</w:t>
            </w:r>
          </w:p>
        </w:tc>
        <w:tc>
          <w:tcPr>
            <w:tcW w:w="1826" w:type="dxa"/>
            <w:tcBorders>
              <w:bottom w:val="single" w:sz="8" w:space="0" w:color="000000"/>
              <w:right w:val="single" w:sz="8" w:space="0" w:color="000000"/>
            </w:tcBorders>
            <w:tcMar>
              <w:top w:w="0" w:type="dxa"/>
              <w:left w:w="0" w:type="dxa"/>
              <w:bottom w:w="29" w:type="dxa"/>
              <w:right w:w="144"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5"/>
        <w:gridCol w:w="10023"/>
      </w:tblGrid>
      <w:tr>
        <w:trPr/>
        <w:tc>
          <w:tcPr>
            <w:tcW w:w="3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pPr>
            <w:r>
              <w:rPr/>
              <w:t>4.</w:t>
            </w:r>
          </w:p>
        </w:tc>
        <w:tc>
          <w:tcPr>
            <w:tcW w:w="10023" w:type="dxa"/>
            <w:tcBorders/>
            <w:vAlign w:val="center"/>
          </w:tcPr>
          <w:p>
            <w:pPr>
              <w:pStyle w:val="TableContents"/>
              <w:bidi w:val="0"/>
              <w:spacing w:before="0" w:after="283"/>
              <w:jc w:val="left"/>
              <w:rPr/>
            </w:pPr>
            <w:r>
              <w:rPr>
                <w:u w:val="single"/>
              </w:rPr>
              <w:t>Timing and Form of Payment of PSU Award</w:t>
            </w:r>
            <w:r>
              <w:rPr/>
              <w:t>. After the close of the Performance Period, the Committee will certify (with respect to each portion of your Target PSU Award relating to the separate Performance Goals) Achievement and determine the corresponding payout percentage of the PSU Award by multiplying the applicable half of the PSU Award by the applicable payout percentage. The results will sum to the total number of shares of Common Stock that you are entitled to receive (the “</w:t>
            </w:r>
            <w:r>
              <w:rPr>
                <w:b/>
                <w:i/>
              </w:rPr>
              <w:t>PSU Awarded Shares</w:t>
            </w:r>
            <w:r>
              <w:rPr/>
              <w:t>”). Unless you have a valid deferral in place for your PSU Award (see paragraph 8 under “Important Award Details” for further information on permitted deferrals), the Company will deliver the PSU Awarded Shares and payment of the corresponding Dividend Equivalent as soon as administratively feasible (and no later than 74 days after the end of the Performance Period) after the Committee’s certification and determination.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Options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4"/>
        <w:gridCol w:w="10014"/>
      </w:tblGrid>
      <w:tr>
        <w:trPr/>
        <w:tc>
          <w:tcPr>
            <w:tcW w:w="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pPr>
            <w:r>
              <w:rPr/>
              <w:t>1.</w:t>
            </w:r>
          </w:p>
        </w:tc>
        <w:tc>
          <w:tcPr>
            <w:tcW w:w="10014" w:type="dxa"/>
            <w:tcBorders/>
            <w:vAlign w:val="center"/>
          </w:tcPr>
          <w:p>
            <w:pPr>
              <w:pStyle w:val="TableContents"/>
              <w:bidi w:val="0"/>
              <w:spacing w:before="0" w:after="283"/>
              <w:jc w:val="left"/>
              <w:rPr/>
            </w:pPr>
            <w:r>
              <w:rPr>
                <w:u w:val="single"/>
              </w:rPr>
              <w:t>Stock Option Grant</w:t>
            </w:r>
            <w:r>
              <w:rPr/>
              <w:t>. The Company grants to Employee a stock option award (the “</w:t>
            </w:r>
            <w:r>
              <w:rPr>
                <w:b/>
                <w:i/>
              </w:rPr>
              <w:t>Stock Option Award</w:t>
            </w:r>
            <w:r>
              <w:rPr/>
              <w:t>”) for the number of shares (“</w:t>
            </w:r>
            <w:r>
              <w:rPr>
                <w:b/>
                <w:i/>
              </w:rPr>
              <w:t>Stock Options</w:t>
            </w:r>
            <w:r>
              <w:rPr/>
              <w:t>”) of Common Stock provided in the Notice. This Stock Option Award grants Employee the right to purchase shares of Common Stock at the Grant Price. The “</w:t>
            </w:r>
            <w:r>
              <w:rPr>
                <w:b/>
                <w:i/>
              </w:rPr>
              <w:t>Grant Price</w:t>
            </w:r>
            <w:r>
              <w:rPr/>
              <w:t>” is the Fair Market Value of a share of Common Stock on the Grant Date.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9"/>
        <w:gridCol w:w="9989"/>
      </w:tblGrid>
      <w:tr>
        <w:trPr/>
        <w:tc>
          <w:tcPr>
            <w:tcW w:w="3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pPr>
            <w:r>
              <w:rPr/>
              <w:t>2.</w:t>
            </w:r>
          </w:p>
        </w:tc>
        <w:tc>
          <w:tcPr>
            <w:tcW w:w="9989" w:type="dxa"/>
            <w:tcBorders/>
            <w:vAlign w:val="center"/>
          </w:tcPr>
          <w:p>
            <w:pPr>
              <w:pStyle w:val="TableContents"/>
              <w:bidi w:val="0"/>
              <w:spacing w:before="0" w:after="283"/>
              <w:jc w:val="left"/>
              <w:rPr/>
            </w:pPr>
            <w:r>
              <w:rPr>
                <w:u w:val="single"/>
              </w:rPr>
              <w:t>Term</w:t>
            </w:r>
            <w:r>
              <w:rPr/>
              <w:t>. Notwithstanding any other provisions of this Agreement, the maximum term of the Stock Option Award is the 10</w:t>
            </w:r>
            <w:r>
              <w:rPr>
                <w:position w:val="8"/>
                <w:sz w:val="19"/>
              </w:rPr>
              <w:t>th</w:t>
            </w:r>
            <w:r>
              <w:rPr/>
              <w:t xml:space="preserve"> anniversary of the Grant Date.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1"/>
        <w:gridCol w:w="9997"/>
      </w:tblGrid>
      <w:tr>
        <w:trPr/>
        <w:tc>
          <w:tcPr>
            <w:tcW w:w="3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pPr>
            <w:r>
              <w:rPr/>
              <w:t>3.</w:t>
            </w:r>
          </w:p>
        </w:tc>
        <w:tc>
          <w:tcPr>
            <w:tcW w:w="9997" w:type="dxa"/>
            <w:tcBorders/>
            <w:vAlign w:val="center"/>
          </w:tcPr>
          <w:p>
            <w:pPr>
              <w:pStyle w:val="TableContents"/>
              <w:bidi w:val="0"/>
              <w:spacing w:before="0" w:after="283"/>
              <w:jc w:val="left"/>
              <w:rPr/>
            </w:pPr>
            <w:r>
              <w:rPr>
                <w:u w:val="single"/>
              </w:rPr>
              <w:t>Right to Exercise</w:t>
            </w:r>
            <w:r>
              <w:rPr/>
              <w:t>. Provided Employee remains employed by WM continuously through the applicable exercise dates, the Stock Option Award will become vested and exercisable as follows:</w:t>
            </w:r>
          </w:p>
        </w:tc>
      </w:tr>
    </w:tbl>
    <w:p>
      <w:pPr>
        <w:pStyle w:val="TextBody"/>
        <w:bidi w:val="0"/>
        <w:spacing w:before="0" w:after="0"/>
        <w:ind w:left="0" w:right="0" w:hanging="0"/>
        <w:jc w:val="left"/>
        <w:rPr>
          <w:caps w:val="false"/>
          <w:smallCaps w:val="false"/>
        </w:rPr>
      </w:pPr>
      <w:r>
        <w:rPr>
          <w:caps w:val="false"/>
          <w:smallCaps w:val="false"/>
        </w:rPr>
        <w:t> </w:t>
      </w:r>
    </w:p>
    <w:tbl>
      <w:tblPr>
        <w:tblW w:w="6910" w:type="dxa"/>
        <w:jc w:val="center"/>
        <w:tblInd w:w="0" w:type="dxa"/>
        <w:tblLayout w:type="fixed"/>
        <w:tblCellMar>
          <w:top w:w="28" w:type="dxa"/>
          <w:left w:w="108" w:type="dxa"/>
          <w:bottom w:w="28" w:type="dxa"/>
          <w:right w:w="108" w:type="dxa"/>
        </w:tblCellMar>
      </w:tblPr>
      <w:tblGrid>
        <w:gridCol w:w="4220"/>
        <w:gridCol w:w="2690"/>
      </w:tblGrid>
      <w:tr>
        <w:trPr/>
        <w:tc>
          <w:tcPr>
            <w:tcW w:w="422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Exercise Date</w:t>
            </w:r>
          </w:p>
        </w:tc>
        <w:tc>
          <w:tcPr>
            <w:tcW w:w="269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Cumulative Percentage of Stock</w:t>
            </w:r>
          </w:p>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Option Award Exercisable</w:t>
            </w:r>
          </w:p>
        </w:tc>
      </w:tr>
      <w:tr>
        <w:trPr/>
        <w:tc>
          <w:tcPr>
            <w:tcW w:w="42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Prior to the first anniversary of the Grant Date</w:t>
            </w:r>
          </w:p>
        </w:tc>
        <w:tc>
          <w:tcPr>
            <w:tcW w:w="26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w:t>
            </w:r>
          </w:p>
        </w:tc>
      </w:tr>
      <w:tr>
        <w:trPr/>
        <w:tc>
          <w:tcPr>
            <w:tcW w:w="42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On or after the first anniversary of the Grant Date</w:t>
            </w:r>
          </w:p>
        </w:tc>
        <w:tc>
          <w:tcPr>
            <w:tcW w:w="26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34%</w:t>
            </w:r>
          </w:p>
        </w:tc>
      </w:tr>
      <w:tr>
        <w:trPr/>
        <w:tc>
          <w:tcPr>
            <w:tcW w:w="42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On or after the second anniversary of the Grant Date</w:t>
            </w:r>
          </w:p>
        </w:tc>
        <w:tc>
          <w:tcPr>
            <w:tcW w:w="26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67%</w:t>
            </w:r>
          </w:p>
        </w:tc>
      </w:tr>
      <w:tr>
        <w:trPr/>
        <w:tc>
          <w:tcPr>
            <w:tcW w:w="42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On or after the third anniversary of the Grant Date</w:t>
            </w:r>
          </w:p>
        </w:tc>
        <w:tc>
          <w:tcPr>
            <w:tcW w:w="26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100%</w:t>
            </w:r>
          </w:p>
        </w:tc>
      </w:tr>
    </w:tbl>
    <w:p>
      <w:pPr>
        <w:pStyle w:val="TextBody"/>
        <w:bidi w:val="0"/>
        <w:spacing w:before="0" w:after="0"/>
        <w:ind w:left="36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0"/>
        <w:gridCol w:w="10008"/>
      </w:tblGrid>
      <w:tr>
        <w:trPr/>
        <w:tc>
          <w:tcPr>
            <w:tcW w:w="3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pPr>
            <w:r>
              <w:rPr/>
              <w:t>4.</w:t>
            </w:r>
          </w:p>
        </w:tc>
        <w:tc>
          <w:tcPr>
            <w:tcW w:w="10008" w:type="dxa"/>
            <w:tcBorders/>
            <w:vAlign w:val="center"/>
          </w:tcPr>
          <w:p>
            <w:pPr>
              <w:pStyle w:val="TableContents"/>
              <w:bidi w:val="0"/>
              <w:spacing w:before="0" w:after="283"/>
              <w:jc w:val="left"/>
              <w:rPr/>
            </w:pPr>
            <w:r>
              <w:rPr>
                <w:u w:val="single"/>
              </w:rPr>
              <w:t>Manner of Exercise</w:t>
            </w:r>
            <w:r>
              <w:rPr/>
              <w:t>. To exercise all or a portion of the Stock Option Award, Employee must contact (either by phone or online) the third-party stock plan administrator designated by the Company and follow the procedures established by the Company for exercising a Stock Option Award.</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4"/>
        <w:gridCol w:w="10024"/>
      </w:tblGrid>
      <w:tr>
        <w:trPr/>
        <w:tc>
          <w:tcPr>
            <w:tcW w:w="3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pPr>
            <w:r>
              <w:rPr/>
              <w:t>5.</w:t>
            </w:r>
          </w:p>
        </w:tc>
        <w:tc>
          <w:tcPr>
            <w:tcW w:w="10024" w:type="dxa"/>
            <w:tcBorders/>
            <w:vAlign w:val="center"/>
          </w:tcPr>
          <w:p>
            <w:pPr>
              <w:pStyle w:val="TableContents"/>
              <w:bidi w:val="0"/>
              <w:spacing w:before="0" w:after="283"/>
              <w:jc w:val="left"/>
              <w:rPr/>
            </w:pPr>
            <w:r>
              <w:rPr>
                <w:u w:val="single"/>
              </w:rPr>
              <w:t>Payment of Grant Price</w:t>
            </w:r>
            <w:r>
              <w:rPr/>
              <w:t xml:space="preserve">. The Grant Price is payable in full to the Company either (a) in cash or its equivalent; (b) by tendering previously acquired shares of Common Stock held for at least six months and with an aggregate fair market value at the time of exercise equal to the aggregate Grant Price; (c) to the extent Employee is an executive officer at the time of exercise, by withholding shares of Common Stock that otherwise would be acquired pursuant to the Stock Option Award; or (d) any combination of the foregoing. The Grant Price may also be paid by cashless exercise through delivery of irrevocable instructions to a broker to promptly deliver to the Company the amount of proceeds from a sale of shares having fair market value equal to the Grant Price, provided that such instructions are delivered by no later than the close of the New York Stock Exchange on the last </w:t>
            </w:r>
            <w:r>
              <w:rPr>
                <w:b/>
                <w:i/>
              </w:rPr>
              <w:t>Trading Day</w:t>
            </w:r>
            <w:r>
              <w:rPr/>
              <w:t xml:space="preserve"> prior to the 10th anniversary of the Grant Date. Payment by cashless exercise shall not be considered to have occurred until the broker has issued confirmation of the transaction. For these purposes, </w:t>
            </w:r>
            <w:r>
              <w:rPr>
                <w:b/>
                <w:i/>
              </w:rPr>
              <w:t>Trading Day</w:t>
            </w:r>
            <w:r>
              <w:rPr/>
              <w:t xml:space="preserve"> means a day on which the New York Stock Exchange is open for trading for its regular trading sessions.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Award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Awards under this Agreement are subject to important terms and conditions set forth below. Please read them carefully and seek advice from your own legal and tax advisors before executing this Agreement.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3"/>
        <w:gridCol w:w="10015"/>
      </w:tblGrid>
      <w:tr>
        <w:trPr/>
        <w:tc>
          <w:tcPr>
            <w:tcW w:w="3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1.</w:t>
            </w:r>
          </w:p>
        </w:tc>
        <w:tc>
          <w:tcPr>
            <w:tcW w:w="10015" w:type="dxa"/>
            <w:tcBorders/>
            <w:vAlign w:val="center"/>
          </w:tcPr>
          <w:p>
            <w:pPr>
              <w:pStyle w:val="TableContents"/>
              <w:bidi w:val="0"/>
              <w:spacing w:before="0" w:after="283"/>
              <w:jc w:val="left"/>
              <w:rPr/>
            </w:pPr>
            <w:r>
              <w:rPr>
                <w:u w:val="single"/>
              </w:rPr>
              <w:t>Death or Disability</w:t>
            </w:r>
            <w:r>
              <w:rPr/>
              <w:t>. Upon Employee’s death or disability (as determined by the Committee and within the meaning of Section 409A of the Internal Revenue Code of 1986, as amended, and the Treasury Regulations issued thereunder (“</w:t>
            </w:r>
            <w:r>
              <w:rPr>
                <w:b/>
                <w:i/>
              </w:rPr>
              <w:t>Section 409A</w:t>
            </w:r>
            <w:r>
              <w:rPr/>
              <w:t>”) and specifically Section 409A(a)(2)(C) (“</w:t>
            </w:r>
            <w:r>
              <w:rPr>
                <w:b/>
                <w:i/>
              </w:rPr>
              <w:t>Disability</w:t>
            </w:r>
            <w:r>
              <w:rPr/>
              <w:t>”)), Employee (or in the case of Employee’s death, Employee’s beneficiary) shall, subject to paragraph 2.e below, be entitled to:</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left"/>
              <w:rPr/>
            </w:pPr>
            <w:r>
              <w:rPr/>
              <w:t>receive the PSU Awarded Shares and related Dividend Equivalents that Employee would have been entitled to under this Agreement if Employee had remained employed until the last day of the Performance Period and determined based upon actual Achievement through the end of the Performance Period, which shall be paid no later than 74 days following the end of the Performance Period;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left"/>
              <w:rPr/>
            </w:pPr>
            <w:r>
              <w:rPr/>
              <w:t xml:space="preserve">exercise all Stock Options outstanding under the Stock Option Award (whether previously exercisable) for one year following such event. Provided however, if Employee was eligible for </w:t>
            </w:r>
            <w:r>
              <w:rPr>
                <w:b/>
                <w:i/>
              </w:rPr>
              <w:t>Retirement</w:t>
            </w:r>
            <w:r>
              <w:rPr/>
              <w:t xml:space="preserve"> (as defined below) at the time of his death or Disability, the Stock Option Award will remain exercisable for three years following the date of such event.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5"/>
        <w:gridCol w:w="9973"/>
      </w:tblGrid>
      <w:tr>
        <w:trPr/>
        <w:tc>
          <w:tcPr>
            <w:tcW w:w="3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pPr>
            <w:r>
              <w:rPr/>
              <w:t>2.</w:t>
            </w:r>
          </w:p>
        </w:tc>
        <w:tc>
          <w:tcPr>
            <w:tcW w:w="9973" w:type="dxa"/>
            <w:tcBorders/>
            <w:vAlign w:val="center"/>
          </w:tcPr>
          <w:p>
            <w:pPr>
              <w:pStyle w:val="TableContents"/>
              <w:bidi w:val="0"/>
              <w:spacing w:before="0" w:after="283"/>
              <w:jc w:val="left"/>
              <w:rPr/>
            </w:pPr>
            <w:r>
              <w:rPr>
                <w:u w:val="single"/>
              </w:rPr>
              <w:t>Treatment of PSU Award Upon Retirement or Involuntary Termination of Employment Without Cause by WM</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left"/>
              <w:rPr/>
            </w:pPr>
            <w:r>
              <w:rPr/>
              <w:t>Upon an involuntary Termination of Employment by WM without Cause (as defined below), Employee shall, subject to paragraph 2.e below, be entitled to receive the PSU Awarded Shares and related Dividend Equivalents that Employee would have been entitled to under this Agreement if Employee had remained employed until the last day of the Performance Period and determined based upon actual Achievement through the end of the Performance Period multiplied by the fraction which has as its numerator the total number of days that Employee was employed by WM during the Performance Period and has as its denominator 1096 (which amount shall be issued and paid as soon as practicable and no later than 74 days following the end of the Performance Period).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left"/>
              <w:rPr/>
            </w:pPr>
            <w:r>
              <w:rPr/>
              <w:t>Upon Employee’s Retirement (as defined below), Employee shall, subject to paragraph 2.e below, be entitled to receive the PSU Awarded Shares and related Dividend Equivalents that Employee would have been entitled to under this Agreement if Employee had remained employed until the last day of the Performance Period and determined based upon actual Achievement through the end of the Performance Period multiplied by the fraction which has as its numerator the total number of days that Employee was employed by WM during the first 12 months of the Performance Period and has as its denominator 366 (which amount shall be issued and paid as soon as practicable and no later than 74 days following the end of the Performance Period). To illustrate the application of the preceding sentence, if Employee’s Retirement is on or after December 31, 2024, subject to paragraph 2.e below, he or she shall be eligible to receive a full payout at the end of the Performance Period (based upon actual Achievement).</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3" w:type="dxa"/>
            <w:tcBorders/>
            <w:vAlign w:val="center"/>
          </w:tcPr>
          <w:p>
            <w:pPr>
              <w:pStyle w:val="TableContents"/>
              <w:bidi w:val="0"/>
              <w:spacing w:before="0" w:after="283"/>
              <w:jc w:val="left"/>
              <w:rPr/>
            </w:pPr>
            <w:r>
              <w:rPr/>
              <w:t>In the event Employee is employed by a subsidiary of the Company that is sold by the Company in a transaction (i) that would not constitute a Corporate Change, but (ii) that would constitute a Corporate Change with the subsidiary substituted for Company thereunder, such transaction shall be deemed to constitute an involuntary Termination of Employment by WM without Cause for purposes of this paragraph 2 as of the effective date of such Transaction.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227"/>
        <w:gridCol w:w="9936"/>
      </w:tblGrid>
      <w:tr>
        <w:trPr/>
        <w:tc>
          <w:tcPr>
            <w:tcW w:w="4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d.</w:t>
            </w:r>
          </w:p>
        </w:tc>
        <w:tc>
          <w:tcPr>
            <w:tcW w:w="9936" w:type="dxa"/>
            <w:tcBorders/>
            <w:vAlign w:val="center"/>
          </w:tcPr>
          <w:p>
            <w:pPr>
              <w:pStyle w:val="TableContents"/>
              <w:bidi w:val="0"/>
              <w:spacing w:before="0" w:after="283"/>
              <w:jc w:val="left"/>
              <w:rPr/>
            </w:pPr>
            <w:r>
              <w:rPr/>
              <w:t>The following terms shall have the meanings set forth below for purposes of this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i.</w:t>
            </w:r>
          </w:p>
        </w:tc>
        <w:tc>
          <w:tcPr>
            <w:tcW w:w="10028" w:type="dxa"/>
            <w:tcBorders/>
            <w:vAlign w:val="center"/>
          </w:tcPr>
          <w:p>
            <w:pPr>
              <w:pStyle w:val="TableContents"/>
              <w:bidi w:val="0"/>
              <w:spacing w:before="0" w:after="283"/>
              <w:jc w:val="left"/>
              <w:rPr/>
            </w:pPr>
            <w:r>
              <w:rPr>
                <w:b/>
                <w:i/>
              </w:rPr>
              <w:t xml:space="preserve">Retirement </w:t>
            </w:r>
            <w:r>
              <w:rPr/>
              <w:t xml:space="preserve">means Termination of Employment due to the voluntary resignation of employment by Employee, after Employee (1) has reached age 55 or greater; (2) has a sum of age plus years of Service (as defined in paragraph ii. below) with WM equal to 65 or greater; and (3) has completed at least 5 consecutive full years of Service with WM during the 5-year period immediately preceding the resignation; </w:t>
            </w:r>
            <w:r>
              <w:rPr>
                <w:u w:val="single"/>
              </w:rPr>
              <w:t>provided</w:t>
            </w:r>
            <w:r>
              <w:rPr/>
              <w:t>, that Employee is not receiving severance benefits pursuant to the severance pay plans of WM in connection with such Termination of Employment.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ii.</w:t>
            </w:r>
          </w:p>
        </w:tc>
        <w:tc>
          <w:tcPr>
            <w:tcW w:w="9968" w:type="dxa"/>
            <w:tcBorders/>
            <w:vAlign w:val="center"/>
          </w:tcPr>
          <w:p>
            <w:pPr>
              <w:pStyle w:val="TableContents"/>
              <w:bidi w:val="0"/>
              <w:spacing w:before="0" w:after="283"/>
              <w:jc w:val="left"/>
              <w:rPr/>
            </w:pPr>
            <w:r>
              <w:rPr>
                <w:b/>
                <w:i/>
              </w:rPr>
              <w:t>Service</w:t>
            </w:r>
            <w:r>
              <w:rPr/>
              <w:t xml:space="preserve"> is measured from Employee’s original date of hire by WM, except as provided below. In the case of a break of employment by Employee from WM of one year or more in length, Employee’s service before the break of employment is not considered Service. Service with an entity acquired by WM is considered Service so long as Employee remained continuously employed with such predecessor company(ies) and WM. In the case of a break of employment between a predecessor company and WM of any length, Employee’s Service shall be measured from the original date of hire by WM and shall not include any service with any predecessor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iii.</w:t>
            </w:r>
          </w:p>
        </w:tc>
        <w:tc>
          <w:tcPr>
            <w:tcW w:w="9908" w:type="dxa"/>
            <w:tcBorders/>
            <w:vAlign w:val="center"/>
          </w:tcPr>
          <w:p>
            <w:pPr>
              <w:pStyle w:val="TableContents"/>
              <w:bidi w:val="0"/>
              <w:spacing w:before="0" w:after="283"/>
              <w:jc w:val="left"/>
              <w:rPr/>
            </w:pPr>
            <w:r>
              <w:rPr>
                <w:b/>
                <w:i/>
              </w:rPr>
              <w:t>Termination of Employment</w:t>
            </w:r>
            <w:r>
              <w:rPr/>
              <w:t xml:space="preserve"> means the termination of Employee’s employment or other service relationship with WM as determined by the Committee. Temporary absences from employment because of illness, vacation or leave of absence and transfers among the Company and its Subsidiaries and Affiliates will not be considered a Termination of Employment. Any question as to whether and when there has been a Termination of Employment, and the cause of such termination, shall be determined by and in the sole discretion of the Committee and such determination shall be final.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iv.</w:t>
            </w:r>
          </w:p>
        </w:tc>
        <w:tc>
          <w:tcPr>
            <w:tcW w:w="9908" w:type="dxa"/>
            <w:tcBorders/>
            <w:vAlign w:val="center"/>
          </w:tcPr>
          <w:p>
            <w:pPr>
              <w:pStyle w:val="TableContents"/>
              <w:bidi w:val="0"/>
              <w:spacing w:before="0" w:after="283"/>
              <w:jc w:val="left"/>
              <w:rPr/>
            </w:pPr>
            <w:r>
              <w:rPr>
                <w:b/>
                <w:i/>
              </w:rPr>
              <w:t xml:space="preserve">Cause </w:t>
            </w:r>
            <w:r>
              <w:rPr/>
              <w:t xml:space="preserve">means any of the following: (1)  willful or deliberate and continual refusal to materially perform Employee’s duties reasonably requested by WM after receipt of written notice to Employee of such failure to perform, specifying such failure (other than as a result of Employee’s sickness, illness, injury, death or disability) and Employee fails to cure such nonperformance within ten (10) days of receipt of said written notice; (2) breach of any statutory or common law duty of loyalty to WM; (3) Employee has been convicted of, or pleaded </w:t>
            </w:r>
            <w:r>
              <w:rPr>
                <w:i/>
              </w:rPr>
              <w:t>nolo contendre</w:t>
            </w:r>
            <w:r>
              <w:rPr/>
              <w:t xml:space="preserve"> to, any felony; (4) Employee willfully or intentionally caused material injury to WM, its property, or its assets; (5) Employee disclosed to unauthorized person(s) proprietary or confidential information of WM that causes a material injury to WM; or (6) any material violation or a repeated and willful violation of WM’s policies or procedures, including but not limited to, WM’s Code of Business Conduct and Ethics (or any successor policy) then in effect.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e.</w:t>
            </w:r>
          </w:p>
        </w:tc>
        <w:tc>
          <w:tcPr>
            <w:tcW w:w="9983" w:type="dxa"/>
            <w:tcBorders/>
            <w:vAlign w:val="center"/>
          </w:tcPr>
          <w:p>
            <w:pPr>
              <w:pStyle w:val="TableContents"/>
              <w:bidi w:val="0"/>
              <w:spacing w:before="0" w:after="283"/>
              <w:jc w:val="left"/>
              <w:rPr/>
            </w:pPr>
            <w:r>
              <w:rPr/>
              <w:t>In order to receive any of the vesting or exercisability benefits upon termination described in paragraphs 1, 2, and 3 (except resignation), Employee (or, if applicable, Employee’s estate) must (x) execute and not revoke a general release of claims in favor of WM and its affiliates in a form that is acceptable to WM and which has become effective and irrevocable prior to the payment date set forth above (or such earlier deadline set by WM) and (y) continue to abide by all ongoing obligations to WM under any restrictive covenant agreement.</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229"/>
        <w:gridCol w:w="9933"/>
      </w:tblGrid>
      <w:tr>
        <w:trPr/>
        <w:tc>
          <w:tcPr>
            <w:tcW w:w="4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3.</w:t>
            </w:r>
          </w:p>
        </w:tc>
        <w:tc>
          <w:tcPr>
            <w:tcW w:w="9933" w:type="dxa"/>
            <w:tcBorders/>
            <w:vAlign w:val="center"/>
          </w:tcPr>
          <w:p>
            <w:pPr>
              <w:pStyle w:val="TableContents"/>
              <w:bidi w:val="0"/>
              <w:spacing w:before="0" w:after="283"/>
              <w:jc w:val="left"/>
              <w:rPr/>
            </w:pPr>
            <w:r>
              <w:rPr>
                <w:u w:val="single"/>
              </w:rPr>
              <w:t>Treatment of Stock Option Award upon Involuntary Termination; Resignation; Retirement</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left"/>
              <w:rPr/>
            </w:pPr>
            <w:r>
              <w:rPr>
                <w:u w:val="single"/>
              </w:rPr>
              <w:t>Involuntary Termination of Employment Without Cause or Resignation by Employee</w:t>
            </w:r>
            <w:r>
              <w:rPr/>
              <w:t>. Upon an involuntary Termination of Employment without Cause by WM or a Termination of Employment due to a voluntary resignation by Employee that is accepted by WM that is not a Retirement, for a period of 90 days following such Termination of Employment, Employee shall be entitled to exercise all the Stock Options then outstanding and exercisable under the Stock Option Award. Any Stock Options that are not outstanding and exercisable at the time of the applicable termination shall be forfeited without the payment of any consideration by WM, and any Stock Options that were eligible to be exercised pursuant to this paragraph 3.a but were not exercised during the 90-day exercise period shall also be forfeited without the payment of any consideration by WM.</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left"/>
              <w:rPr/>
            </w:pPr>
            <w:r>
              <w:rPr>
                <w:u w:val="single"/>
              </w:rPr>
              <w:t>Retirement</w:t>
            </w:r>
            <w:r>
              <w:rPr/>
              <w:t>. Upon Employee’s Retirement, the Stock Option Award shall continue to become exercisable under the applicable exercise schedule for three years following Employee’s Retirement and once exercisable shall remain exercisable for the three-year period following Employee’s Retirement.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0"/>
        <w:gridCol w:w="425"/>
        <w:gridCol w:w="9700"/>
      </w:tblGrid>
      <w:tr>
        <w:trPr/>
        <w:tc>
          <w:tcPr>
            <w:tcW w:w="8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pPr>
            <w:r>
              <w:rPr/>
              <w:t>4.</w:t>
            </w:r>
          </w:p>
        </w:tc>
        <w:tc>
          <w:tcPr>
            <w:tcW w:w="9700" w:type="dxa"/>
            <w:tcBorders/>
            <w:vAlign w:val="center"/>
          </w:tcPr>
          <w:p>
            <w:pPr>
              <w:pStyle w:val="TableContents"/>
              <w:bidi w:val="0"/>
              <w:spacing w:before="0" w:after="283"/>
              <w:jc w:val="left"/>
              <w:rPr/>
            </w:pPr>
            <w:r>
              <w:rPr>
                <w:u w:val="single"/>
              </w:rPr>
              <w:t>Termination of Employment for Other Reasons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left"/>
              <w:rPr/>
            </w:pPr>
            <w:r>
              <w:rPr>
                <w:u w:val="single"/>
              </w:rPr>
              <w:t>PSU Award in the Event of Involuntary Termination with Cause or Resignation by Employee</w:t>
            </w:r>
            <w:r>
              <w:rPr/>
              <w:t>. Except as provided in paragraphs 1 through 2 above and 6 below, Employee must be an employee of WM continuously from the Grant Date through the close of business on last day of the Performance Period to be entitled to receive payment of any PSU Award. Upon Termination of Employment on or before December 31, 2026, for any reason other than any termination that would qualify Employee for payout under paragraphs 1 through 2 above and 6 below, Employee shall immediately forfeit the PSU Award and any related Dividend Equivalents without payment of any consideration by WM.</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left"/>
              <w:rPr/>
            </w:pPr>
            <w:r>
              <w:rPr>
                <w:u w:val="single"/>
              </w:rPr>
              <w:t>Stock Option Award in the Event of Involuntary Termination with Cause</w:t>
            </w:r>
            <w:r>
              <w:rPr/>
              <w:t>. Upon Termination of Employment by WM with Cause, Employee shall forfeit all Stock Options under the Stock Option Award, whether exercisable, without the payment of any consideration by WM.</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3"/>
        <w:gridCol w:w="809"/>
        <w:gridCol w:w="9243"/>
      </w:tblGrid>
      <w:tr>
        <w:trPr/>
        <w:tc>
          <w:tcPr>
            <w:tcW w:w="153"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pPr>
            <w:r>
              <w:rPr/>
              <w:t>5.</w:t>
            </w:r>
          </w:p>
        </w:tc>
        <w:tc>
          <w:tcPr>
            <w:tcW w:w="9243" w:type="dxa"/>
            <w:tcBorders/>
            <w:vAlign w:val="center"/>
          </w:tcPr>
          <w:p>
            <w:pPr>
              <w:pStyle w:val="TableContents"/>
              <w:bidi w:val="0"/>
              <w:spacing w:before="0" w:after="283"/>
              <w:jc w:val="left"/>
              <w:rPr>
                <w:u w:val="single"/>
              </w:rPr>
            </w:pPr>
            <w:r>
              <w:rPr>
                <w:u w:val="single"/>
              </w:rPr>
              <w:t>Recoupment Provisions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6"/>
        <w:gridCol w:w="1005"/>
        <w:gridCol w:w="8994"/>
      </w:tblGrid>
      <w:tr>
        <w:trPr/>
        <w:tc>
          <w:tcPr>
            <w:tcW w:w="206"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pPr>
            <w:r>
              <w:rPr/>
              <w:t>a.</w:t>
            </w:r>
          </w:p>
        </w:tc>
        <w:tc>
          <w:tcPr>
            <w:tcW w:w="8994" w:type="dxa"/>
            <w:tcBorders/>
            <w:vAlign w:val="center"/>
          </w:tcPr>
          <w:p>
            <w:pPr>
              <w:pStyle w:val="TableContents"/>
              <w:bidi w:val="0"/>
              <w:spacing w:before="0" w:after="283"/>
              <w:jc w:val="left"/>
              <w:rPr>
                <w:u w:val="single"/>
              </w:rPr>
            </w:pPr>
            <w:r>
              <w:rPr>
                <w:u w:val="single"/>
              </w:rPr>
              <w:t>Clawback Policy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i.</w:t>
            </w:r>
          </w:p>
        </w:tc>
        <w:tc>
          <w:tcPr>
            <w:tcW w:w="10028" w:type="dxa"/>
            <w:tcBorders/>
            <w:vAlign w:val="center"/>
          </w:tcPr>
          <w:p>
            <w:pPr>
              <w:pStyle w:val="TableContents"/>
              <w:bidi w:val="0"/>
              <w:spacing w:before="0" w:after="283"/>
              <w:jc w:val="left"/>
              <w:rPr/>
            </w:pPr>
            <w:r>
              <w:rPr/>
              <w:t>Notwithstanding any provisions in the Plan or this Agreement to the contrary, any portion of the payments and benefits provided under this Agreement or the sale of any shares of Common Stock issued hereunder shall be subject to the Waste Management, Inc. Clawback Policy, adopted by the Committee of the Board on August 21, 2023, (as may be amended from time to time, the “</w:t>
            </w:r>
            <w:r>
              <w:rPr>
                <w:b/>
                <w:i/>
              </w:rPr>
              <w:t>Clawback Policy</w:t>
            </w:r>
            <w:r>
              <w:rPr/>
              <w:t>”) and any other clawback or recovery policy adopted by the Committee or the Board from time to time, including, without limitation, any such policy adopted in accordance with the requirements of the Dodd-Frank Wall Street Reform and Consumer Protection Act of 2010 or any rule or regulation of the SEC or New York Stock Exchange. Additionally, notwithstanding the terms of any of the organizational documents of WM, any corporate policy, or any contract between Employee and WM, Employee hereby acknowledges and agrees that Employee will not be entitled to (i) indemnification for any liability (including any amounts owed by Employee in a judgment or settlement in connection with any action taken by the Committee or the Board to enforce the Clawback Policy) (such action, a “</w:t>
            </w:r>
            <w:r>
              <w:rPr>
                <w:b/>
                <w:i/>
              </w:rPr>
              <w:t>Clawback Proceeding</w:t>
            </w:r>
            <w:r>
              <w:rPr/>
              <w:t>”) or loss (including judgments, fines, taxes, penalties or amounts paid in settlement by or on behalf of Employee incurred by Employee in connection with or as a result of any Clawback Proceeding) or (ii) indemnification or advancement of any expenses (including attorneys’ fees) from WM incurred by Employee in connection any Clawback Proceeding; provided, however, if Employee is successful on the merits in the defense of any claim asserted against Employee in a Clawback Proceeding, Employee shall be indemnified for the expenses (including attorneys' fees) Employee reasonably incurred to defend such claim. Employee knowingly, voluntarily and intentionally waives, and agrees not to asset any claims regarding, any and all rights to indemnification, advancement of expenses and other rights from WM to which Employee is now or may become entitled under any indemnity agreement or other contract between Employee and WM, the organizational documents of WM and the General Corporation Law of the State of Delaware, in each case to the extent such waiver and agreement is necessary to comply with applicable law or give effect to the preceding provisions of this paragraph.</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7"/>
        <w:gridCol w:w="407"/>
        <w:gridCol w:w="9721"/>
      </w:tblGrid>
      <w:tr>
        <w:trPr/>
        <w:tc>
          <w:tcPr>
            <w:tcW w:w="7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pPr>
            <w:r>
              <w:rPr/>
              <w:t>b.</w:t>
            </w:r>
          </w:p>
        </w:tc>
        <w:tc>
          <w:tcPr>
            <w:tcW w:w="9721" w:type="dxa"/>
            <w:tcBorders/>
            <w:vAlign w:val="center"/>
          </w:tcPr>
          <w:p>
            <w:pPr>
              <w:pStyle w:val="TableContents"/>
              <w:bidi w:val="0"/>
              <w:spacing w:before="0" w:after="283"/>
              <w:jc w:val="left"/>
              <w:rPr/>
            </w:pPr>
            <w:r>
              <w:rPr>
                <w:u w:val="single"/>
              </w:rPr>
              <w:t>Repayment of Award in the Event of Misconduct</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i.</w:t>
            </w:r>
          </w:p>
        </w:tc>
        <w:tc>
          <w:tcPr>
            <w:tcW w:w="10028" w:type="dxa"/>
            <w:tcBorders/>
            <w:vAlign w:val="center"/>
          </w:tcPr>
          <w:p>
            <w:pPr>
              <w:pStyle w:val="TableContents"/>
              <w:bidi w:val="0"/>
              <w:spacing w:before="0" w:after="283"/>
              <w:jc w:val="left"/>
              <w:rPr/>
            </w:pPr>
            <w:r>
              <w:rPr/>
              <w:t xml:space="preserve">Overriding any other inconsistent terms of this Agreement, if the Committee, in its sole discretion, determines that Employee either engaged in or benefited from Misconduct (as defined below), then, to the fullest extent permitted by law, Employee shall refund and pay to WM any Common Stock and/or amounts (including Dividend Equivalents), plus interest, received by Employee under this Agreement. </w:t>
            </w:r>
            <w:r>
              <w:rPr>
                <w:b/>
                <w:i/>
              </w:rPr>
              <w:t>Misconduct</w:t>
            </w:r>
            <w:r>
              <w:rPr/>
              <w:t xml:space="preserve"> means any act or failure to act by any employee of WM that (i) caused or was intended to cause a violation of WM’s policies or the WM code of conduct, generally accepted accounting principles or any applicable laws in effect at the time of the act or failure to act in question and that (ii) materially increased the value of the payment or Award received by Employee under this Agreement. The Committee may, in its sole discretion, delegate the determination of Misconduct to an independent third party (either a law firm or an accounting firm, hereinafter referred to as </w:t>
            </w:r>
            <w:r>
              <w:rPr>
                <w:b/>
                <w:i/>
              </w:rPr>
              <w:t>Independent Third Party</w:t>
            </w:r>
            <w:r>
              <w:rPr/>
              <w:t>) appointed by the Committee.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ii.</w:t>
            </w:r>
          </w:p>
        </w:tc>
        <w:tc>
          <w:tcPr>
            <w:tcW w:w="9968" w:type="dxa"/>
            <w:tcBorders/>
            <w:vAlign w:val="center"/>
          </w:tcPr>
          <w:p>
            <w:pPr>
              <w:pStyle w:val="TableContents"/>
              <w:bidi w:val="0"/>
              <w:spacing w:before="0" w:after="283"/>
              <w:jc w:val="left"/>
              <w:rPr/>
            </w:pPr>
            <w:r>
              <w:rPr/>
              <w:t>Following a determination of Misconduct by Employee, Employee may dispute such determination pursuant to binding arbitration as set forth below under “General Terms” provided, however, that if Employee is determined to have benefited from, but not engaged in, Misconduct, Employee will have no right to dispute such determination and such determination shall be conclusive and binding.</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iii.</w:t>
            </w:r>
          </w:p>
        </w:tc>
        <w:tc>
          <w:tcPr>
            <w:tcW w:w="9908" w:type="dxa"/>
            <w:tcBorders/>
            <w:vAlign w:val="center"/>
          </w:tcPr>
          <w:p>
            <w:pPr>
              <w:pStyle w:val="TableContents"/>
              <w:bidi w:val="0"/>
              <w:spacing w:before="0" w:after="283"/>
              <w:jc w:val="left"/>
              <w:rPr/>
            </w:pPr>
            <w:r>
              <w:rPr/>
              <w:t>WM must initiate recovery pursuant to this paragraph by the earliest of (i) one year after discovery of alleged Misconduct, or (ii) the second anniversary of Employee’s Termination of Employment.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iv.</w:t>
            </w:r>
          </w:p>
        </w:tc>
        <w:tc>
          <w:tcPr>
            <w:tcW w:w="9908" w:type="dxa"/>
            <w:tcBorders/>
            <w:vAlign w:val="center"/>
          </w:tcPr>
          <w:p>
            <w:pPr>
              <w:pStyle w:val="TableContents"/>
              <w:bidi w:val="0"/>
              <w:spacing w:before="0" w:after="283"/>
              <w:jc w:val="left"/>
              <w:rPr/>
            </w:pPr>
            <w:r>
              <w:rPr/>
              <w:t>The provisions of this paragraph, without any implication as to any other provision of this Agreement, shall survive the expiration or termination of this Agreement and Employee’s employment.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216"/>
        <w:gridCol w:w="9949"/>
      </w:tblGrid>
      <w:tr>
        <w:trPr/>
        <w:tc>
          <w:tcPr>
            <w:tcW w:w="4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pPr>
            <w:r>
              <w:rPr/>
              <w:t>6.</w:t>
            </w:r>
          </w:p>
        </w:tc>
        <w:tc>
          <w:tcPr>
            <w:tcW w:w="9949" w:type="dxa"/>
            <w:tcBorders/>
            <w:vAlign w:val="center"/>
          </w:tcPr>
          <w:p>
            <w:pPr>
              <w:pStyle w:val="TableContents"/>
              <w:bidi w:val="0"/>
              <w:spacing w:before="0" w:after="283"/>
              <w:jc w:val="left"/>
              <w:rPr/>
            </w:pPr>
            <w:r>
              <w:rPr>
                <w:u w:val="single"/>
              </w:rPr>
              <w:t>Acceleration upon Corporate Change</w:t>
            </w:r>
            <w:r>
              <w:rPr/>
              <w:t>. Overriding any other inconsistent terms of this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left"/>
              <w:rPr/>
            </w:pPr>
            <w:r>
              <w:rPr>
                <w:u w:val="single"/>
              </w:rPr>
              <w:t>PSU Award</w:t>
            </w:r>
            <w:r>
              <w:rPr/>
              <w:t>. If there is a Corporate Change before the close of the Performance Period, Employee is entitled to receive both i. and ii., as follows: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189"/>
        <w:gridCol w:w="9966"/>
      </w:tblGrid>
      <w:tr>
        <w:trPr/>
        <w:tc>
          <w:tcPr>
            <w:tcW w:w="5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pPr>
            <w:r>
              <w:rPr/>
              <w:t>i.</w:t>
            </w:r>
          </w:p>
        </w:tc>
        <w:tc>
          <w:tcPr>
            <w:tcW w:w="9966" w:type="dxa"/>
            <w:tcBorders/>
            <w:vAlign w:val="center"/>
          </w:tcPr>
          <w:p>
            <w:pPr>
              <w:pStyle w:val="TableContents"/>
              <w:bidi w:val="0"/>
              <w:spacing w:before="0" w:after="283"/>
              <w:jc w:val="left"/>
              <w:rPr/>
            </w:pPr>
            <w:r>
              <w:rPr/>
              <w:t>For each half of the PSU Award, the result of an equation with a numerator of</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(x)</w:t>
            </w:r>
          </w:p>
        </w:tc>
        <w:tc>
          <w:tcPr>
            <w:tcW w:w="9939" w:type="dxa"/>
            <w:tcBorders/>
            <w:vAlign w:val="center"/>
          </w:tcPr>
          <w:p>
            <w:pPr>
              <w:pStyle w:val="TableContents"/>
              <w:bidi w:val="0"/>
              <w:spacing w:before="0" w:after="283"/>
              <w:jc w:val="left"/>
              <w:rPr/>
            </w:pPr>
            <w:r>
              <w:rPr/>
              <w:t>the respective number of PSUs Employee would have otherwise received based upon achievement of the applicable Performance Goal after reducing the Performance Period so that it ends on the last day of the quarter preceding the Corporate Change (the “</w:t>
            </w:r>
            <w:r>
              <w:rPr>
                <w:b/>
                <w:i/>
              </w:rPr>
              <w:t>Early Measurement Date</w:t>
            </w:r>
            <w:r>
              <w:rPr/>
              <w:t>”) and, for the Cash Flow Generation half of the PSU Award, after adjusting the Threshold, Target, and Maximum Achievement Levels to reflect budgeted performance in the shorter Performance Period, multiplied by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2"/>
        <w:gridCol w:w="9916"/>
      </w:tblGrid>
      <w:tr>
        <w:trPr/>
        <w:tc>
          <w:tcPr>
            <w:tcW w:w="3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(y)</w:t>
            </w:r>
          </w:p>
        </w:tc>
        <w:tc>
          <w:tcPr>
            <w:tcW w:w="9916" w:type="dxa"/>
            <w:tcBorders/>
            <w:vAlign w:val="center"/>
          </w:tcPr>
          <w:p>
            <w:pPr>
              <w:pStyle w:val="TableContents"/>
              <w:bidi w:val="0"/>
              <w:spacing w:before="0" w:after="283"/>
              <w:jc w:val="left"/>
              <w:rPr/>
            </w:pPr>
            <w:r>
              <w:rPr/>
              <w:t>a fraction equal to (1) the number of days occurring between the beginning of the Performance Period and the Early Measurement Date (including the Early Measurement Date) divided by (2) 1096.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Payout of the PSUs shall be an immediate cash payment (in all events paid within 74 days following the Corporate Change) equal to the number of PSUs earned under this paragraph 6.a. multiplied by the closing stock price of the Common Stock on the Early Measurement Date and will be accompanied by a cash payment of the associated Dividend Equivalents through the Early Measurement Date; and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ii.</w:t>
            </w:r>
          </w:p>
        </w:tc>
        <w:tc>
          <w:tcPr>
            <w:tcW w:w="9968" w:type="dxa"/>
            <w:tcBorders/>
            <w:vAlign w:val="center"/>
          </w:tcPr>
          <w:p>
            <w:pPr>
              <w:pStyle w:val="TableContents"/>
              <w:bidi w:val="0"/>
              <w:spacing w:before="0" w:after="283"/>
              <w:jc w:val="left"/>
              <w:rPr/>
            </w:pPr>
            <w:r>
              <w:rPr/>
              <w:t>As a substitute award for the lost opportunity to continue to earn PSUs for the entire length of the original Performance Period:</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5"/>
        <w:gridCol w:w="10013"/>
      </w:tblGrid>
      <w:tr>
        <w:trPr/>
        <w:tc>
          <w:tcPr>
            <w:tcW w:w="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r>
              <w:rPr/>
              <w:t>1.</w:t>
            </w:r>
          </w:p>
        </w:tc>
        <w:tc>
          <w:tcPr>
            <w:tcW w:w="10013" w:type="dxa"/>
            <w:tcBorders/>
            <w:vAlign w:val="center"/>
          </w:tcPr>
          <w:p>
            <w:pPr>
              <w:pStyle w:val="TableContents"/>
              <w:bidi w:val="0"/>
              <w:spacing w:before="0" w:after="283"/>
              <w:jc w:val="left"/>
              <w:rPr/>
            </w:pPr>
            <w:r>
              <w:rPr/>
              <w:t>If the successor entity is a publicly traded company as of the Early Measurement Date, an award of restricted stock units in the successor entity equal to the number of shares of common stock of the successor entity that could have been purchased on the Early Measurement Date with an amount of cash equal to the quotient obtained from the following equation: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TAP X (1096 – EMD) x CP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1096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TAP </w:t>
      </w:r>
      <w:r>
        <w:rPr>
          <w:rFonts w:ascii="Times New Roman;Times;Serif" w:hAnsi="Times New Roman;Times;Serif"/>
          <w:b w:val="false"/>
          <w:i w:val="false"/>
          <w:caps w:val="false"/>
          <w:smallCaps w:val="false"/>
          <w:sz w:val="20"/>
        </w:rPr>
        <w:t>is the number of PSUs represented by the Target PSU Award;</w:t>
      </w:r>
    </w:p>
    <w:p>
      <w:pPr>
        <w:pStyle w:val="TextBody"/>
        <w:bidi w:val="0"/>
        <w:spacing w:before="0" w:after="0"/>
        <w:ind w:left="180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EMD </w:t>
      </w:r>
      <w:r>
        <w:rPr>
          <w:rFonts w:ascii="Times New Roman;Times;Serif" w:hAnsi="Times New Roman;Times;Serif"/>
          <w:b w:val="false"/>
          <w:i w:val="false"/>
          <w:caps w:val="false"/>
          <w:smallCaps w:val="false"/>
          <w:sz w:val="20"/>
        </w:rPr>
        <w:t>is the number of days during the Performance Period which occur prior to and including the Early Measurement Date; and</w:t>
      </w:r>
    </w:p>
    <w:p>
      <w:pPr>
        <w:pStyle w:val="TextBody"/>
        <w:bidi w:val="0"/>
        <w:spacing w:before="0" w:after="0"/>
        <w:ind w:left="180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CP</w:t>
      </w:r>
      <w:r>
        <w:rPr>
          <w:rFonts w:ascii="Times New Roman;Times;Serif" w:hAnsi="Times New Roman;Times;Serif"/>
          <w:b w:val="false"/>
          <w:i w:val="false"/>
          <w:caps w:val="false"/>
          <w:smallCaps w:val="false"/>
          <w:sz w:val="20"/>
        </w:rPr>
        <w:t xml:space="preserve"> is the closing price of a share of Common Stock of the Company on the Early Measurement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restricted stock units in the successor entity awarded under this paragraph 6.a.ii.1. will vest completely on December 31, 2026 (and be paid within 74 days thereof), if Employee remains continuously employed with the successor entity until then. Provided however, in the event of Employee’s involuntary Termination of Employment without Cause during the </w:t>
      </w:r>
      <w:r>
        <w:rPr>
          <w:rFonts w:ascii="Times New Roman;Times;Serif" w:hAnsi="Times New Roman;Times;Serif"/>
          <w:b/>
          <w:i/>
          <w:caps w:val="false"/>
          <w:smallCaps w:val="false"/>
          <w:sz w:val="20"/>
        </w:rPr>
        <w:t>Window Period</w:t>
      </w:r>
      <w:r>
        <w:rPr>
          <w:rFonts w:ascii="Times New Roman;Times;Serif" w:hAnsi="Times New Roman;Times;Serif"/>
          <w:b w:val="false"/>
          <w:i w:val="false"/>
          <w:caps w:val="false"/>
          <w:smallCaps w:val="false"/>
          <w:sz w:val="20"/>
        </w:rPr>
        <w:t xml:space="preserve"> (as defined below) or upon Employee’s Retirement, death or Disability, Employee shall become immediately vested in full in the restricted stock units in the successor entity awarded pursuant to this paragraph 6.a.ii.1 and paid (i) in the case of death or Disability, within 74 days of such time or (ii) in the case of Retirement or involuntary Termination of Employment without Cause, within 74 days following December 31, 2026.</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1"/>
        <w:gridCol w:w="9997"/>
      </w:tblGrid>
      <w:tr>
        <w:trPr/>
        <w:tc>
          <w:tcPr>
            <w:tcW w:w="3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pPr>
            <w:r>
              <w:rPr/>
              <w:t>2.</w:t>
            </w:r>
          </w:p>
        </w:tc>
        <w:tc>
          <w:tcPr>
            <w:tcW w:w="9997" w:type="dxa"/>
            <w:tcBorders/>
            <w:vAlign w:val="center"/>
          </w:tcPr>
          <w:p>
            <w:pPr>
              <w:pStyle w:val="TableContents"/>
              <w:bidi w:val="0"/>
              <w:spacing w:before="0" w:after="283"/>
              <w:jc w:val="left"/>
              <w:rPr/>
            </w:pPr>
            <w:r>
              <w:rPr/>
              <w:t>If the successor entity is not a publicly traded company as of the Early Measurement Date, an amount of cash equal to the quotient obtained from the equation in paragraph 6.a.ii.1. above.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cash payment awarded under this paragraph 6.a.ii.2. will be paid to Employee as soon as administratively feasible (and no later than 74 days) following December 31, 2026, if Employee remains continuously employed with the successor entity until such date. Provided however, in the event of Employee’s involuntary Termination of Employment without Cause during the Window Period or upon Employee’s Retirement, death or Disability, Employee shall become vested and be paid such cash payment by the successor entity (i) in the case of death or Disability, within 74 days of such time or (ii) in the case of Retirement or involuntary Termination of Employment without Cause, within 74 days following December 31, 2026.</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left"/>
              <w:rPr/>
            </w:pPr>
            <w:r>
              <w:rPr>
                <w:u w:val="single"/>
              </w:rPr>
              <w:t>Stock Option Award</w:t>
            </w:r>
            <w:r>
              <w:rPr/>
              <w:t>. In the event of Employee’s involuntary Termination of Employment without Cause or Termination of Employment due to a resignation by Employee for Good Reason that, in either case, occurs on or before the second anniversary of a Corporate Change, the Stock Option Award shall become exercisable immediately (whether previously exercisable) and shall remain exercisable for the three-year period following such Termination of Employment. For this purpose, “</w:t>
            </w:r>
            <w:r>
              <w:rPr>
                <w:b/>
                <w:i/>
              </w:rPr>
              <w:t>Good Reason</w:t>
            </w:r>
            <w:r>
              <w:rPr/>
              <w:t>” has the same meaning as within the Waste Management Holding, Inc. Executive Severance Plan (“</w:t>
            </w:r>
            <w:r>
              <w:rPr>
                <w:b/>
                <w:i/>
              </w:rPr>
              <w:t>Executive Severance Plan</w:t>
            </w:r>
            <w:r>
              <w:rPr/>
              <w:t xml:space="preserve">”). In the event Employee is not a participant in the Executive Severance Plan, then Good Reason means the initial existence of one or more of the following conditions, arising without the consent of the Employee: (1) a material diminution in Employee’s base compensation; (2) a material diminution in Employee’s authority, duties, or responsibilities; (3) the relocation of the geographic location of the Employee’s principal place of employment by more than 50 miles from the location Employee’s immediately prior principal place of employment; </w:t>
            </w:r>
            <w:r>
              <w:rPr>
                <w:i/>
              </w:rPr>
              <w:t>provided</w:t>
            </w:r>
            <w:r>
              <w:rPr/>
              <w:t xml:space="preserve">, </w:t>
            </w:r>
            <w:r>
              <w:rPr>
                <w:i/>
              </w:rPr>
              <w:t>that</w:t>
            </w:r>
            <w:r>
              <w:rPr/>
              <w:t>, Employee cannot terminate Employee’s employment for “Good Reason” unless Employee has provided written notice to the Company of the existence of the condition providing grounds for termination for Good Reason within ninety (90) days of the initial existence of the condition, the written notice must provide for a date of termination not less than thirty (3) nor more than sixty (60) days after the date such notice is given, and the condition specified in the notice must remain uncorrected through the date of termination set forth in the notice.</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210"/>
        <w:gridCol w:w="9953"/>
      </w:tblGrid>
      <w:tr>
        <w:trPr/>
        <w:tc>
          <w:tcPr>
            <w:tcW w:w="4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c.</w:t>
            </w:r>
          </w:p>
        </w:tc>
        <w:tc>
          <w:tcPr>
            <w:tcW w:w="9953" w:type="dxa"/>
            <w:tcBorders/>
            <w:vAlign w:val="center"/>
          </w:tcPr>
          <w:p>
            <w:pPr>
              <w:pStyle w:val="TableContents"/>
              <w:bidi w:val="0"/>
              <w:spacing w:before="0" w:after="283"/>
              <w:jc w:val="left"/>
              <w:rPr/>
            </w:pPr>
            <w:r>
              <w:rPr/>
              <w:t>The following terms shall have the meanings set forth below for purposes of this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d.</w:t>
            </w:r>
          </w:p>
        </w:tc>
        <w:tc>
          <w:tcPr>
            <w:tcW w:w="9968" w:type="dxa"/>
            <w:tcBorders/>
            <w:vAlign w:val="center"/>
          </w:tcPr>
          <w:p>
            <w:pPr>
              <w:pStyle w:val="TableContents"/>
              <w:bidi w:val="0"/>
              <w:spacing w:before="0" w:after="283"/>
              <w:jc w:val="left"/>
              <w:rPr/>
            </w:pPr>
            <w:r>
              <w:rPr>
                <w:b/>
                <w:i/>
              </w:rPr>
              <w:t>Window Period</w:t>
            </w:r>
            <w:r>
              <w:rPr/>
              <w:t xml:space="preserve"> means the period beginning on the date occurring six (6) months immediately prior to the date on which a Corporate Change first occurs and ending on the second anniversary of the date on which a Corporate Change occurs.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5"/>
        <w:gridCol w:w="10023"/>
      </w:tblGrid>
      <w:tr>
        <w:trPr/>
        <w:tc>
          <w:tcPr>
            <w:tcW w:w="3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pPr>
            <w:r>
              <w:rPr/>
              <w:t>7.</w:t>
            </w:r>
          </w:p>
        </w:tc>
        <w:tc>
          <w:tcPr>
            <w:tcW w:w="10023" w:type="dxa"/>
            <w:tcBorders/>
            <w:vAlign w:val="center"/>
          </w:tcPr>
          <w:p>
            <w:pPr>
              <w:pStyle w:val="TableContents"/>
              <w:bidi w:val="0"/>
              <w:spacing w:before="0" w:after="283"/>
              <w:jc w:val="left"/>
              <w:rPr/>
            </w:pPr>
            <w:r>
              <w:rPr>
                <w:u w:val="single"/>
              </w:rPr>
              <w:t>Dividend Equivalents on PSUs</w:t>
            </w:r>
            <w:r>
              <w:rPr/>
              <w:t>. The Company will pay Dividend Equivalents with respect to the PSUs when (i) the Performance Period has ended; (ii) Employee has vested in the Award; and (iii) the PSU Awarded Shares have been certified by the Committee based on actual Achievement during the Performance Period (or otherwise determined pursuant to above). As soon as administratively feasible after the last of these events (and no later than 74 days following the end of the Performance Period), the Company will pay Employee a lump-sum cash amount, less applicable taxes and withholdings, for PSU Award Dividend Equivalents based on the number of PSU Awarded Shares multiplied by the per share quarterly dividend payments made to stockholders of the Company’s Common Stock during the Performance Period (without any interest or compounding). Any accumulated and unpaid Dividend Equivalents attributable to PSUs that are cancelled or forfeited will not be paid and are immediately forfeited upon cancellation of the associated PSUs.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48"/>
        <w:gridCol w:w="1834"/>
        <w:gridCol w:w="8023"/>
      </w:tblGrid>
      <w:tr>
        <w:trPr/>
        <w:tc>
          <w:tcPr>
            <w:tcW w:w="348"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pPr>
            <w:r>
              <w:rPr/>
              <w:t>8.</w:t>
            </w:r>
          </w:p>
        </w:tc>
        <w:tc>
          <w:tcPr>
            <w:tcW w:w="8023" w:type="dxa"/>
            <w:tcBorders/>
            <w:vAlign w:val="center"/>
          </w:tcPr>
          <w:p>
            <w:pPr>
              <w:pStyle w:val="TableContents"/>
              <w:bidi w:val="0"/>
              <w:spacing w:before="0" w:after="283"/>
              <w:jc w:val="left"/>
              <w:rPr/>
            </w:pPr>
            <w:r>
              <w:rPr>
                <w:u w:val="single"/>
              </w:rPr>
              <w:t>Deferral</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left"/>
              <w:rPr/>
            </w:pPr>
            <w:r>
              <w:rPr/>
              <w:t>The Committee may establish procedures for Employee to elect for deferral, until a time or times later than the vesting of PSU Awards, receipt of all or a portion of the shares of Common Stock deliverable under the Awards. Any such deferral must be under the terms and conditions determined in the sole discretion of the Committee (or its designee) and the Waste Management, Inc. 409A Deferral Savings Plan (“</w:t>
            </w:r>
            <w:r>
              <w:rPr>
                <w:b/>
                <w:i/>
              </w:rPr>
              <w:t>WM 409A Plan</w:t>
            </w:r>
            <w:r>
              <w:rPr/>
              <w:t>”). The Committee further retains the authority and discretion to modify and/or terminate existing deferral elections, procedures, and distribution options. Common Stock subject to a deferral election does not confer any shareholder rights to Employee unless and until the date the deferral expires and certificates representing such shares are delivered to Employee.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left"/>
              <w:rPr/>
            </w:pPr>
            <w:r>
              <w:rPr/>
              <w:t>No deferral of Dividend Equivalents is permitted. In the event shares of Common Stock received upon vesting of PSU Awards are deferred pursuant to a valid deferral, then the Company will pay Dividend Equivalents to Employee in cash on such deferred shares of Common Stock, as soon as administratively feasible following the payment of such dividends to stockholders of record.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3" w:type="dxa"/>
            <w:tcBorders/>
            <w:vAlign w:val="center"/>
          </w:tcPr>
          <w:p>
            <w:pPr>
              <w:pStyle w:val="TableContents"/>
              <w:bidi w:val="0"/>
              <w:spacing w:before="0" w:after="283"/>
              <w:jc w:val="left"/>
              <w:rPr/>
            </w:pPr>
            <w:r>
              <w:rPr/>
              <w:t>If the Committee permits deferral of the PSU Awards under this Agreement, then each provision of this Agreement shall be interpreted to permit deferral only (i) in accordance with the terms of the WM 409A Plan and (ii) as allowed in compliance with Section 409A. Any provision that would conflict with such requirements is not valid or enforceable. Employee acknowledges, without limitation, and consents that the application of Section 409A to this Agreement may require additional delay of payments otherwise payable under this Agreement or the WM 409A Plan. Employee and the Company agree to execute any instruments and take any action as reasonably may be necessary to comply with Section 409A.</w:t>
            </w:r>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Terms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9"/>
        <w:gridCol w:w="785"/>
        <w:gridCol w:w="9271"/>
      </w:tblGrid>
      <w:tr>
        <w:trPr/>
        <w:tc>
          <w:tcPr>
            <w:tcW w:w="14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pPr>
            <w:r>
              <w:rPr/>
              <w:t>1.</w:t>
            </w:r>
          </w:p>
        </w:tc>
        <w:tc>
          <w:tcPr>
            <w:tcW w:w="9271" w:type="dxa"/>
            <w:tcBorders/>
            <w:vAlign w:val="center"/>
          </w:tcPr>
          <w:p>
            <w:pPr>
              <w:pStyle w:val="TableContents"/>
              <w:bidi w:val="0"/>
              <w:spacing w:before="0" w:after="283"/>
              <w:jc w:val="left"/>
              <w:rPr/>
            </w:pPr>
            <w:r>
              <w:rPr>
                <w:u w:val="single"/>
              </w:rPr>
              <w:t>Restrictions on Transfer</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left"/>
              <w:rPr/>
            </w:pPr>
            <w:r>
              <w:rPr/>
              <w:t>Absent prior written consent of the Committee, Awards may not be sold, assigned, transferred, pledged, or otherwise encumbered, whether voluntarily or involuntarily, by operation of law or otherwise, other than pursuant to a domestic relations order; provided, however, that the transfer of any shares of Common Stock issued under the Awards shall not be restricted by virtue of this Agreement once such shares have been paid out.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left"/>
              <w:rPr/>
            </w:pPr>
            <w:r>
              <w:rPr/>
              <w:t>Consistent with paragraph 1.a. above and except as provided in paragraph 3. below, no right or benefit under this Agreement shall be subject to transfer, anticipation, alienation, sale, assignment, pledge, encumbrance, or charge, whether voluntary, involuntary, by operation of law or otherwise, and any attempt to transfer, anticipate, alienate, sell, assign, pledge, encumber or charge the same shall be void. No right or benefit hereunder shall in any manner be liable for or subject to any debts, contracts, liabilities, or torts of the person entitled to such benefits. If Employee or his Beneficiary shall attempt to transfer, anticipate, alienate, assign, sell, pledge, encumber or charge any right or benefit hereunder (other than pursuant to a domestic relations order), or if any creditor shall attempt to subject the same to a writ of garnishment, attachment, execution sequestration, or any other form of process or involuntary lien or seizure, then such attempt shall have no effect and shall be void.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9"/>
        <w:gridCol w:w="9969"/>
      </w:tblGrid>
      <w:tr>
        <w:trPr/>
        <w:tc>
          <w:tcPr>
            <w:tcW w:w="3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pPr>
            <w:r>
              <w:rPr/>
              <w:t>2.</w:t>
            </w:r>
          </w:p>
        </w:tc>
        <w:tc>
          <w:tcPr>
            <w:tcW w:w="9969" w:type="dxa"/>
            <w:tcBorders/>
            <w:vAlign w:val="center"/>
          </w:tcPr>
          <w:p>
            <w:pPr>
              <w:pStyle w:val="TableContents"/>
              <w:bidi w:val="0"/>
              <w:spacing w:before="0" w:after="283"/>
              <w:jc w:val="left"/>
              <w:rPr/>
            </w:pPr>
            <w:r>
              <w:rPr>
                <w:u w:val="single"/>
              </w:rPr>
              <w:t>Fractional Shares</w:t>
            </w:r>
            <w:r>
              <w:rPr/>
              <w:t>. No fractional shares of Common Stock will be issued under the Plan or this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5"/>
        <w:gridCol w:w="10023"/>
      </w:tblGrid>
      <w:tr>
        <w:trPr/>
        <w:tc>
          <w:tcPr>
            <w:tcW w:w="3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pPr>
            <w:r>
              <w:rPr/>
              <w:t>3.</w:t>
            </w:r>
          </w:p>
        </w:tc>
        <w:tc>
          <w:tcPr>
            <w:tcW w:w="10023" w:type="dxa"/>
            <w:tcBorders/>
            <w:vAlign w:val="center"/>
          </w:tcPr>
          <w:p>
            <w:pPr>
              <w:pStyle w:val="TableContents"/>
              <w:bidi w:val="0"/>
              <w:spacing w:before="0" w:after="283"/>
              <w:jc w:val="left"/>
              <w:rPr/>
            </w:pPr>
            <w:r>
              <w:rPr>
                <w:u w:val="single"/>
              </w:rPr>
              <w:t>Withholding Tax</w:t>
            </w:r>
            <w:r>
              <w:rPr/>
              <w:t>. Employee agrees that Employee is responsible for federal, state, and local tax consequences associated with the Awards (and any associated Dividend Equivalents) under this Agreement. Upon the occurrence of a taxable event with respect to any Award under this Agreement, Employee shall deliver to WM at such time, (i) such amount of money or shares of Common Stock earned or owned by Employee or (ii) if employee is an executive officer at the time of such tax event and so elects (or, otherwise, with WM’s approval), shares deliverable to Employee at such time pursuant to the applicable Award, in each case, as WM may require to meet its obligation under applicable tax laws or regulations, and, if Employee fails to do so, WM is authorized to withhold from any shares of Common Stock deliverable to Employee, cash, or other form of remuneration then or thereafter payable to Employee, any tax required to be withheld.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5"/>
        <w:gridCol w:w="10023"/>
      </w:tblGrid>
      <w:tr>
        <w:trPr/>
        <w:tc>
          <w:tcPr>
            <w:tcW w:w="3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pPr>
            <w:r>
              <w:rPr/>
              <w:t>4.</w:t>
            </w:r>
          </w:p>
        </w:tc>
        <w:tc>
          <w:tcPr>
            <w:tcW w:w="10023" w:type="dxa"/>
            <w:tcBorders/>
            <w:vAlign w:val="center"/>
          </w:tcPr>
          <w:p>
            <w:pPr>
              <w:pStyle w:val="TableContents"/>
              <w:bidi w:val="0"/>
              <w:spacing w:before="0" w:after="283"/>
              <w:jc w:val="left"/>
              <w:rPr/>
            </w:pPr>
            <w:r>
              <w:rPr>
                <w:u w:val="single"/>
              </w:rPr>
              <w:t>Compliance with Securities Laws.</w:t>
            </w:r>
            <w:r>
              <w:rPr/>
              <w:t xml:space="preserve"> WM is not required to deliver any shares of Common Stock under this Agreement, if, in the opinion of counsel for the Company, such issuance would violate the Securities Act of 1933, any other applicable federal or state securities laws or regulations, or the requirements of any stock exchange or market system upon which the Common Stock may then be listed. Prior to the issuance of any shares, WM may require Employee (or Employee’s legal representative upon Employee’s death or disability) to enter into such written representations, warranties and agreements as WM may reasonably request in order to comply with applicable laws, including an agreement (in such form as the Committee may specify) under which Employee represents that the shares of Common Stock acquired under an Award are being acquired for investment and not with a view to sale or distribution.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WM may postpone issuing and/or delivering any Common Stock for so long as WM, in its complete and sole discretion, reasonably determines is necessary to satisfy any of the following conditions: (a) the Company completing or amending any securities registration or qualification of the Common Stock, (b) receipt of proof satisfactory to WM that a person seeking to exercise the Award after the Employee’s death is entitled to do so; (c) establishment of Employee’s compliance with any necessary representations or terms and conditions of the Plan or this Agreement, or (d) compliance with any federal, state, or local tax withholding obligations.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9"/>
        <w:gridCol w:w="10019"/>
      </w:tblGrid>
      <w:tr>
        <w:trPr/>
        <w:tc>
          <w:tcPr>
            <w:tcW w:w="3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pPr>
            <w:r>
              <w:rPr/>
              <w:t>5.</w:t>
            </w:r>
          </w:p>
        </w:tc>
        <w:tc>
          <w:tcPr>
            <w:tcW w:w="10019" w:type="dxa"/>
            <w:tcBorders/>
            <w:vAlign w:val="center"/>
          </w:tcPr>
          <w:p>
            <w:pPr>
              <w:pStyle w:val="TableContents"/>
              <w:bidi w:val="0"/>
              <w:spacing w:before="0" w:after="283"/>
              <w:jc w:val="left"/>
              <w:rPr/>
            </w:pPr>
            <w:r>
              <w:rPr>
                <w:u w:val="single"/>
              </w:rPr>
              <w:t>Employee to Have no Rights as a Stockholder.</w:t>
            </w:r>
            <w:r>
              <w:rPr/>
              <w:t xml:space="preserve"> Employee shall have no rights as a stockholder with respect to any shares of Common Stock subject to this Award prior to the date on which Employee is recorded as the holder of such shares of Common Stock on the records of the Company, including no right to dividends declared on the Common Stock underlying the Award. Notwithstanding the foregoing, Dividend Equivalents shall be paid to Employee in accordance with and subject to the terms of paragraph 7 under “Important Award Details.”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6"/>
        <w:gridCol w:w="10022"/>
      </w:tblGrid>
      <w:tr>
        <w:trPr/>
        <w:tc>
          <w:tcPr>
            <w:tcW w:w="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6.</w:t>
            </w:r>
          </w:p>
        </w:tc>
        <w:tc>
          <w:tcPr>
            <w:tcW w:w="10022" w:type="dxa"/>
            <w:tcBorders/>
            <w:vAlign w:val="center"/>
          </w:tcPr>
          <w:p>
            <w:pPr>
              <w:pStyle w:val="TableContents"/>
              <w:bidi w:val="0"/>
              <w:spacing w:before="0" w:after="283"/>
              <w:jc w:val="left"/>
              <w:rPr/>
            </w:pPr>
            <w:r>
              <w:rPr>
                <w:u w:val="single"/>
              </w:rPr>
              <w:t>Successors and Assigns</w:t>
            </w:r>
            <w:r>
              <w:rPr/>
              <w:t>. This Agreement shall bind and inure to the benefit of and be enforceable by Employee, WM and their respective permitted successors or assigns (including personal representatives, heirs, and legatees), except that Employee may not assign any rights or obligations under this Agreement except to the extent, and in the manner, expressly permitted herein. The Company shall require any successor (whether direct or indirect, by purchase, merger, consolidation or otherwise) to all or substantially all of the business and/or assets of the Company to assume expressly and agree to perform this Agreement in the same manner and to the same extent that WM would be required to perform it if no such succession had taken place, except as otherwise expressly provided in paragraph 6.b. under “Important Award Details.”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258"/>
        <w:gridCol w:w="9899"/>
      </w:tblGrid>
      <w:tr>
        <w:trPr/>
        <w:tc>
          <w:tcPr>
            <w:tcW w:w="4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pPr>
            <w:r>
              <w:rPr/>
              <w:t>7.</w:t>
            </w:r>
          </w:p>
        </w:tc>
        <w:tc>
          <w:tcPr>
            <w:tcW w:w="9899" w:type="dxa"/>
            <w:tcBorders/>
            <w:vAlign w:val="center"/>
          </w:tcPr>
          <w:p>
            <w:pPr>
              <w:pStyle w:val="TableContents"/>
              <w:bidi w:val="0"/>
              <w:spacing w:before="0" w:after="283"/>
              <w:jc w:val="both"/>
              <w:rPr/>
            </w:pPr>
            <w:r>
              <w:rPr>
                <w:u w:val="single"/>
              </w:rPr>
              <w:t>Limitation of Rights</w:t>
            </w:r>
            <w:r>
              <w:rPr/>
              <w:t>. Nothing in this Agreement or the Plan may be construed to:</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both"/>
              <w:rPr/>
            </w:pPr>
            <w:r>
              <w:rPr/>
              <w:t>give Employee any right to be awarded any further Awards other than in the sole discretion of the Committee;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left"/>
              <w:rPr/>
            </w:pPr>
            <w:r>
              <w:rPr/>
              <w:t>give Employee or any other person any interest in any fund or in any specified asset or assets of WM (other than the Awards made by this Agreement, the related Dividend Equivalents awarded under this Agreement, and any Common Stock issuable under the terms and conditions of such Awards);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237"/>
        <w:gridCol w:w="9920"/>
      </w:tblGrid>
      <w:tr>
        <w:trPr/>
        <w:tc>
          <w:tcPr>
            <w:tcW w:w="4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c.</w:t>
            </w:r>
          </w:p>
        </w:tc>
        <w:tc>
          <w:tcPr>
            <w:tcW w:w="9920" w:type="dxa"/>
            <w:tcBorders/>
            <w:vAlign w:val="center"/>
          </w:tcPr>
          <w:p>
            <w:pPr>
              <w:pStyle w:val="TableContents"/>
              <w:bidi w:val="0"/>
              <w:spacing w:before="0" w:after="283"/>
              <w:jc w:val="both"/>
              <w:rPr/>
            </w:pPr>
            <w:r>
              <w:rPr/>
              <w:t>confer upon Employee the right to continue in the employment or service of WM.</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3"/>
        <w:gridCol w:w="9995"/>
      </w:tblGrid>
      <w:tr>
        <w:trPr/>
        <w:tc>
          <w:tcPr>
            <w:tcW w:w="3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pPr>
            <w:r>
              <w:rPr/>
              <w:t>8.</w:t>
            </w:r>
          </w:p>
        </w:tc>
        <w:tc>
          <w:tcPr>
            <w:tcW w:w="9995" w:type="dxa"/>
            <w:tcBorders/>
            <w:vAlign w:val="center"/>
          </w:tcPr>
          <w:p>
            <w:pPr>
              <w:pStyle w:val="TableContents"/>
              <w:bidi w:val="0"/>
              <w:spacing w:before="0" w:after="283"/>
              <w:jc w:val="left"/>
              <w:rPr/>
            </w:pPr>
            <w:r>
              <w:rPr>
                <w:u w:val="single"/>
              </w:rPr>
              <w:t>Governing Law</w:t>
            </w:r>
            <w:r>
              <w:rPr/>
              <w:t>. This Agreement shall be governed by and construed in accordance with the internal laws of the State of Texas, without reference to principles of conflict of laws.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1"/>
        <w:gridCol w:w="9997"/>
      </w:tblGrid>
      <w:tr>
        <w:trPr/>
        <w:tc>
          <w:tcPr>
            <w:tcW w:w="3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pPr>
            <w:r>
              <w:rPr/>
              <w:t>9.</w:t>
            </w:r>
          </w:p>
        </w:tc>
        <w:tc>
          <w:tcPr>
            <w:tcW w:w="9997" w:type="dxa"/>
            <w:tcBorders/>
            <w:vAlign w:val="center"/>
          </w:tcPr>
          <w:p>
            <w:pPr>
              <w:pStyle w:val="TableContents"/>
              <w:bidi w:val="0"/>
              <w:spacing w:before="0" w:after="283"/>
              <w:jc w:val="left"/>
              <w:rPr/>
            </w:pPr>
            <w:r>
              <w:rPr>
                <w:u w:val="single"/>
              </w:rPr>
              <w:t>Severability/Entire Agreement</w:t>
            </w:r>
            <w:r>
              <w:rPr/>
              <w:t>. The invalidity or unenforceability of any provision of this Agreement shall not affect the validity or enforceability of any other provision of this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left"/>
              <w:rPr/>
            </w:pPr>
            <w:r>
              <w:rPr/>
              <w:t>Employee understands and agrees that the Awards granted under this Agreement are granted under the authority of the Plan and these Awards and this Agreement are in all ways governed by the terms and conditions of the Plan and its administrative practices and interpretations, which also include the Clawback Policy. Any inconsistency between the Agreement and the Plan shall be resolved in favor of the Plan. Employee also agrees the terms and conditions of the Plan, this Agreement and related administrative practices and interpretations control, even if there is a conflict with any other terms and conditions in any employment agreement or in any prior awards. Without limiting the generality of the foregoing, as a condition to receipt of this Award, Employee agrees that the provisions relating to vesting and/or forfeiture of this Award upon a Termination of Employment set forth in this Agreement supersede and replace any provisions relating to vesting of the Award upon termination or other event set forth in any employment agreement, offer letter or similar document.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left"/>
              <w:rPr/>
            </w:pPr>
            <w:r>
              <w:rPr/>
              <w:t>Employee understands and agrees that he or she is to consult with and rely upon only Employee’s own tax, legal, and financial advisors regarding the consequences and risks of this Agreement and the awards made under this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3" w:type="dxa"/>
            <w:tcBorders/>
            <w:vAlign w:val="center"/>
          </w:tcPr>
          <w:p>
            <w:pPr>
              <w:pStyle w:val="TableContents"/>
              <w:bidi w:val="0"/>
              <w:spacing w:before="0" w:after="283"/>
              <w:jc w:val="left"/>
              <w:rPr/>
            </w:pPr>
            <w:r>
              <w:rPr/>
              <w:t>Except as provided in paragraph 13 below, this Agreement may not be amended except in writing (including by electronic writing) signed by all the parties to this Agreement (or their respective successors and legal representatives). The captions are not a part of the Agreement and for that reason shall have no force or effect.</w:t>
            </w:r>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5"/>
        <w:gridCol w:w="9883"/>
      </w:tblGrid>
      <w:tr>
        <w:trPr/>
        <w:tc>
          <w:tcPr>
            <w:tcW w:w="3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10.</w:t>
            </w:r>
          </w:p>
        </w:tc>
        <w:tc>
          <w:tcPr>
            <w:tcW w:w="9883" w:type="dxa"/>
            <w:tcBorders/>
            <w:vAlign w:val="center"/>
          </w:tcPr>
          <w:p>
            <w:pPr>
              <w:pStyle w:val="TableContents"/>
              <w:bidi w:val="0"/>
              <w:spacing w:before="0" w:after="283"/>
              <w:jc w:val="left"/>
              <w:rPr/>
            </w:pPr>
            <w:r>
              <w:rPr>
                <w:u w:val="single"/>
              </w:rPr>
              <w:t>No Waiver</w:t>
            </w:r>
            <w:r>
              <w:rPr/>
              <w:t>. In the event the Employee or WM fails to insist on strict compliance with any term or condition of this Agreement or fails to assert any right under this Agreement, such failure is not a waiver of that term, condition or right.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2"/>
        <w:gridCol w:w="9896"/>
      </w:tblGrid>
      <w:tr>
        <w:trPr/>
        <w:tc>
          <w:tcPr>
            <w:tcW w:w="3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pPr>
            <w:r>
              <w:rPr/>
              <w:t>11.</w:t>
            </w:r>
          </w:p>
        </w:tc>
        <w:tc>
          <w:tcPr>
            <w:tcW w:w="9896" w:type="dxa"/>
            <w:tcBorders/>
            <w:vAlign w:val="center"/>
          </w:tcPr>
          <w:p>
            <w:pPr>
              <w:pStyle w:val="TableContents"/>
              <w:bidi w:val="0"/>
              <w:spacing w:before="0" w:after="283"/>
              <w:jc w:val="left"/>
              <w:rPr/>
            </w:pPr>
            <w:r>
              <w:rPr>
                <w:u w:val="single"/>
              </w:rPr>
              <w:t>Covenant Requirement Essential Part of Award</w:t>
            </w:r>
            <w:r>
              <w:rPr/>
              <w:t>. An overriding condition (even if any other provision of the Plan and this Agreement are conflicting) for Employee to receive any benefit from or payment of any Award under this Agreement, is that Employee must also have entered, and abided by the terms of, an agreement containing restrictive covenants concerning limitations on Employee’s behavior following termination of employment that is satisfactory to WM.</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325"/>
        <w:gridCol w:w="9842"/>
      </w:tblGrid>
      <w:tr>
        <w:trPr/>
        <w:tc>
          <w:tcPr>
            <w:tcW w:w="3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pPr>
            <w:r>
              <w:rPr/>
              <w:t>12.</w:t>
            </w:r>
          </w:p>
        </w:tc>
        <w:tc>
          <w:tcPr>
            <w:tcW w:w="9842" w:type="dxa"/>
            <w:tcBorders/>
            <w:vAlign w:val="center"/>
          </w:tcPr>
          <w:p>
            <w:pPr>
              <w:pStyle w:val="TableContents"/>
              <w:bidi w:val="0"/>
              <w:spacing w:before="0" w:after="283"/>
              <w:jc w:val="left"/>
              <w:rPr/>
            </w:pPr>
            <w:r>
              <w:rPr>
                <w:u w:val="single"/>
              </w:rPr>
              <w:t>Definitions</w:t>
            </w:r>
            <w:r>
              <w:rPr/>
              <w:t>. If not defined in this Agreement, capitalized terms have the meanings set forth in the Plan.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c>
          <w:tcPr>
            <w:tcW w:w="9937" w:type="dxa"/>
            <w:tcBorders/>
            <w:vAlign w:val="center"/>
          </w:tcPr>
          <w:p>
            <w:pPr>
              <w:pStyle w:val="TableContents"/>
              <w:bidi w:val="0"/>
              <w:spacing w:before="0" w:after="283"/>
              <w:jc w:val="left"/>
              <w:rPr/>
            </w:pPr>
            <w:r>
              <w:rPr>
                <w:u w:val="single"/>
              </w:rPr>
              <w:t>Compliance with Section 409A</w:t>
            </w:r>
            <w:r>
              <w:rPr/>
              <w:t>. Both WM and Employee intend that this Agreement does not result in unfavorable tax consequences to Employee under Section 409A. Accordingly, Employee consents to any amendment of this Agreement WM may reasonably make consistent to achieve that intention and WM may, disregarding any other provision in this Agreement to the contrary, unilaterally execute such amendment to this Agreement. WM shall promptly provide, or make available to, Employee a copy of any such amendment. WM agrees to make any such amendments to preserve the intended benefits to the Employee to the maximum extent possible. This paragraph does not create an obligation on the part of WM to modify this Agreement and does not guarantee that the amounts or benefits owed under the Agreement will not be subject to interest and penalties under Section 409A. Each cash and/or stock payment and/or benefit provided under the Plan and this Agreement and/or pursuant to the terms of WM’s benefit plans, programs and policies shall be considered a separate payment for purposes of Section 409A. Notwithstanding the foregoing, it is intended that Stock Option Awards are not subject to Section 409A. For purposes of Section 409A, to the extent that Employee is a “specified employee” within the meaning of the Treasury Regulations issued pursuant to Section 409A as of Employee’s separation from service and to the limited extent necessary to avoid the imputation of any tax, penalty or interest pursuant to Section 409A, notwithstanding anything to the contrary in this Agreement, no amount which is subject to Section 409A of the Code and is payable on account of Employee’s separation from service shall be paid to Employee before the date (the “Delayed Payment Date”) which is the first day of the seventh month after the Employee’s separation from service or, if earlier, the date of the Employee’s death following such separation from service. All such amounts that would, but for the immediately preceding sentence, become payable prior to the Delayed Payment Date will be accumulated and paid without interest on the Delayed Payment Date.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3"/>
        <w:gridCol w:w="9905"/>
      </w:tblGrid>
      <w:tr>
        <w:trPr/>
        <w:tc>
          <w:tcPr>
            <w:tcW w:w="3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14.</w:t>
            </w:r>
          </w:p>
        </w:tc>
        <w:tc>
          <w:tcPr>
            <w:tcW w:w="9905" w:type="dxa"/>
            <w:tcBorders/>
            <w:vAlign w:val="center"/>
          </w:tcPr>
          <w:p>
            <w:pPr>
              <w:pStyle w:val="TableContents"/>
              <w:bidi w:val="0"/>
              <w:spacing w:before="0" w:after="283"/>
              <w:jc w:val="left"/>
              <w:rPr/>
            </w:pPr>
            <w:r>
              <w:rPr>
                <w:u w:val="single"/>
              </w:rPr>
              <w:t>Use of Personal Data</w:t>
            </w:r>
            <w:r>
              <w:rPr/>
              <w:t>. Employee agrees to the collection, use, processing, and transfer of certain personal data, including name, salary, nationality, job title, position, social security number (or other tax identification number) and details of all past Awards and current Awards outstanding under the Plan (“</w:t>
            </w:r>
            <w:r>
              <w:rPr>
                <w:b/>
                <w:i/>
              </w:rPr>
              <w:t>Data</w:t>
            </w:r>
            <w:r>
              <w:rPr/>
              <w:t>”), for the purpose of managing and administering the Plan. Employee is not obliged to consent to such collection, use, processing, and transfer of personal data, but a refusal to provide such consent may affect the ability to participate in the Plan. WM may transfer Data among themselves or to third parties as necessary for the purpose of implementation, administration, and management of the Plan. These various recipients of Data may be located throughout the world. Employee authorizes these various recipients of Data to receive, possess, use, retain and transfer the Data, in electronic or other form, for the purposes of implementing, administering, and managing the Plan. Employee may, at any time, review Data with respect to Employee and require any necessary amendments to such Data. Employee may withdraw his or her consent to use Data herein by notifying WM in writing (according to the provisions of paragraph 15 below); however, Employee understands that by withdrawing his or her consent to use Data, Employee may affect his or her ability to participate in the Plan.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3"/>
        <w:gridCol w:w="9895"/>
      </w:tblGrid>
      <w:tr>
        <w:trPr/>
        <w:tc>
          <w:tcPr>
            <w:tcW w:w="3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15.</w:t>
            </w:r>
          </w:p>
        </w:tc>
        <w:tc>
          <w:tcPr>
            <w:tcW w:w="9895" w:type="dxa"/>
            <w:tcBorders/>
            <w:vAlign w:val="center"/>
          </w:tcPr>
          <w:p>
            <w:pPr>
              <w:pStyle w:val="TableContents"/>
              <w:bidi w:val="0"/>
              <w:spacing w:before="0" w:after="283"/>
              <w:jc w:val="left"/>
              <w:rPr/>
            </w:pPr>
            <w:r>
              <w:rPr>
                <w:u w:val="single"/>
              </w:rPr>
              <w:t>Notices</w:t>
            </w:r>
            <w:r>
              <w:rPr/>
              <w:t>. Any notice given by one party under this Agreement to the other shall be in writing and may be delivered personally or by mail, postage prepaid, addressed to the Secretary of the Company, at its then corporate headquarters, and Employee at Employee’s address as shown on WM’s records, or to such other address as Employee, by notice to the Company, may designate in writing from time to time.</w:t>
            </w:r>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9"/>
        <w:gridCol w:w="9899"/>
      </w:tblGrid>
      <w:tr>
        <w:trPr/>
        <w:tc>
          <w:tcPr>
            <w:tcW w:w="3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16.</w:t>
            </w:r>
          </w:p>
        </w:tc>
        <w:tc>
          <w:tcPr>
            <w:tcW w:w="9899" w:type="dxa"/>
            <w:tcBorders/>
            <w:vAlign w:val="center"/>
          </w:tcPr>
          <w:p>
            <w:pPr>
              <w:pStyle w:val="TableContents"/>
              <w:bidi w:val="0"/>
              <w:spacing w:before="0" w:after="283"/>
              <w:jc w:val="left"/>
              <w:rPr/>
            </w:pPr>
            <w:r>
              <w:rPr>
                <w:u w:val="single"/>
              </w:rPr>
              <w:t>Electronic Delivery</w:t>
            </w:r>
            <w:r>
              <w:rPr/>
              <w:t>.  WM may, in its sole discretion, deliver any documents related to the Awards under this Agreement, the Plan, and/or the WM 409A Plan, by electronic means or request Employee’s consent to participate in the administration of this Agreement, the Plan, and/or the WM 409A Plan by electronic means. Employee hereby consents to receive such documents by electronic delivery and agrees to participate in the Plan through an on-line or electronic system established and maintained by WM or another third party designated by WM.</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4"/>
        <w:gridCol w:w="9904"/>
      </w:tblGrid>
      <w:tr>
        <w:trPr/>
        <w:tc>
          <w:tcPr>
            <w:tcW w:w="3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pPr>
            <w:r>
              <w:rPr/>
              <w:t>17.</w:t>
            </w:r>
          </w:p>
        </w:tc>
        <w:tc>
          <w:tcPr>
            <w:tcW w:w="9904" w:type="dxa"/>
            <w:tcBorders/>
            <w:vAlign w:val="center"/>
          </w:tcPr>
          <w:p>
            <w:pPr>
              <w:pStyle w:val="TableContents"/>
              <w:bidi w:val="0"/>
              <w:spacing w:before="0" w:after="283"/>
              <w:jc w:val="left"/>
              <w:rPr/>
            </w:pPr>
            <w:r>
              <w:rPr>
                <w:u w:val="single"/>
              </w:rPr>
              <w:t>Binding Arbitration</w:t>
            </w:r>
            <w:r>
              <w:rPr/>
              <w:t xml:space="preserve">. Except as otherwise specifically provided herein, the Committee’s findings, calculations and determinations under this Agreement are made in the sole discretion of the Committee, and Employee expressly agrees that such determinations shall be final and not subject to dispute. In the event, however, that Employee has a right to dispute a matter hereunder (including, but not limited to, the right to dispute set forth in paragraph 5 under “Important Award Details”) or a matter directly relating to this Award under the Clawback Policy, the Company and Employee agree that such dispute shall be settled exclusively by final and binding arbitration, as governed by the Federal Arbitration Act (9 U.S.C. 1 </w:t>
            </w:r>
            <w:r>
              <w:rPr>
                <w:i/>
              </w:rPr>
              <w:t xml:space="preserve">et seq.). </w:t>
            </w:r>
            <w:r>
              <w:rPr/>
              <w:t xml:space="preserve">The arbitration proceeding, including the rendering of an award, if any, shall be administered by JAMS pursuant to its Employment Arbitration Rules and Procedures, which may be found on the JAMS Website </w:t>
            </w:r>
            <w:r>
              <w:rPr>
                <w:b/>
              </w:rPr>
              <w:t>www.jamsadr.com</w:t>
            </w:r>
            <w:r>
              <w:rPr/>
              <w:t>. All expenses associated with the arbitration shall be borne by WM; provided however, that such arbitration expenses will not include attorney fees incurred by the respective parties. Judgment on any arbitration award may be entered in any court having jurisdiction.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0"/>
        <w:gridCol w:w="9858"/>
      </w:tblGrid>
      <w:tr>
        <w:trPr/>
        <w:tc>
          <w:tcPr>
            <w:tcW w:w="37"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pPr>
            <w:r>
              <w:rPr/>
              <w:t>18.</w:t>
            </w:r>
          </w:p>
        </w:tc>
        <w:tc>
          <w:tcPr>
            <w:tcW w:w="9858" w:type="dxa"/>
            <w:tcBorders/>
            <w:vAlign w:val="center"/>
          </w:tcPr>
          <w:p>
            <w:pPr>
              <w:pStyle w:val="TableContents"/>
              <w:bidi w:val="0"/>
              <w:spacing w:before="0" w:after="283"/>
              <w:jc w:val="left"/>
              <w:rPr/>
            </w:pPr>
            <w:r>
              <w:rPr>
                <w:u w:val="single"/>
              </w:rPr>
              <w:t>Counterparts</w:t>
            </w:r>
            <w:r>
              <w:rPr/>
              <w:t>. This Agreement may be executed in counterparts, which together shall constitute one and the same original.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Company has caused this Agreement to be duly executed by one of its officers thereunto duly authorized and Employee has executed this Agreement, effective as of March 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610" w:type="dxa"/>
        <w:jc w:val="left"/>
        <w:tblInd w:w="0" w:type="dxa"/>
        <w:tblLayout w:type="fixed"/>
        <w:tblCellMar>
          <w:top w:w="0" w:type="dxa"/>
          <w:left w:w="0" w:type="dxa"/>
          <w:bottom w:w="0" w:type="dxa"/>
          <w:right w:w="0" w:type="dxa"/>
        </w:tblCellMar>
      </w:tblPr>
      <w:tblGrid>
        <w:gridCol w:w="2720"/>
        <w:gridCol w:w="890"/>
      </w:tblGrid>
      <w:tr>
        <w:trPr/>
        <w:tc>
          <w:tcPr>
            <w:tcW w:w="272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WASTE MANAGEMENT, INC.</w:t>
            </w:r>
          </w:p>
        </w:tc>
        <w:tc>
          <w:tcPr>
            <w:tcW w:w="89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w:t>
            </w:r>
          </w:p>
        </w:tc>
      </w:tr>
    </w:tbl>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920"/>
        <w:jc w:val="right"/>
        <w:rPr>
          <w:rFonts w:ascii="Times New Roman;Times;Serif" w:hAnsi="Times New Roman;Times;Serif"/>
          <w:b/>
          <w:i w:val="false"/>
          <w:caps w:val="false"/>
          <w:smallCaps w:val="false"/>
          <w:sz w:val="20"/>
        </w:rPr>
      </w:pPr>
      <w:bookmarkStart w:id="25" w:name="tm247937d1_ex10-2.htm"/>
      <w:bookmarkStart w:id="26" w:name="kstm247937d1_ex102"/>
      <w:bookmarkEnd w:id="25"/>
      <w:bookmarkEnd w:id="26"/>
      <w:r>
        <w:rPr>
          <w:rFonts w:ascii="Times New Roman;Times;Serif" w:hAnsi="Times New Roman;Times;Serif"/>
          <w:b/>
          <w:i w:val="false"/>
          <w:caps w:val="false"/>
          <w:smallCaps w:val="false"/>
          <w:sz w:val="20"/>
        </w:rPr>
        <w:t>EXHIBIT 10.2</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OFFICER ANNUAL INCENTIVE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 Executive Officer Annual Incentive Award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Executive Officer Annual Incentive Award (the “</w:t>
      </w:r>
      <w:r>
        <w:rPr>
          <w:rFonts w:ascii="Times New Roman;Times;Serif" w:hAnsi="Times New Roman;Times;Serif"/>
          <w:b/>
          <w:i/>
          <w:caps w:val="false"/>
          <w:smallCaps w:val="false"/>
          <w:sz w:val="20"/>
        </w:rPr>
        <w:t>Award</w:t>
      </w:r>
      <w:r>
        <w:rPr>
          <w:rFonts w:ascii="Times New Roman;Times;Serif" w:hAnsi="Times New Roman;Times;Serif"/>
          <w:b w:val="false"/>
          <w:i w:val="false"/>
          <w:caps w:val="false"/>
          <w:smallCaps w:val="false"/>
          <w:sz w:val="20"/>
        </w:rPr>
        <w:t>”) is granted on [●] (the “</w:t>
      </w:r>
      <w:r>
        <w:rPr>
          <w:rFonts w:ascii="Times New Roman;Times;Serif" w:hAnsi="Times New Roman;Times;Serif"/>
          <w:b/>
          <w:i/>
          <w:caps w:val="false"/>
          <w:smallCaps w:val="false"/>
          <w:sz w:val="20"/>
        </w:rPr>
        <w:t>Award Date</w:t>
      </w:r>
      <w:r>
        <w:rPr>
          <w:rFonts w:ascii="Times New Roman;Times;Serif" w:hAnsi="Times New Roman;Times;Serif"/>
          <w:b w:val="false"/>
          <w:i w:val="false"/>
          <w:caps w:val="false"/>
          <w:smallCaps w:val="false"/>
          <w:sz w:val="20"/>
        </w:rPr>
        <w:t>”), by USA Waste-Management Resources, LLC, for itself and on behalf of Waste Management, Inc. (“WMI”) and its applicable subsidiaries and affiliated entities (collectively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to [●] (“</w:t>
      </w:r>
      <w:r>
        <w:rPr>
          <w:rFonts w:ascii="Times New Roman;Times;Serif" w:hAnsi="Times New Roman;Times;Serif"/>
          <w:b/>
          <w:i/>
          <w:caps w:val="false"/>
          <w:smallCaps w:val="false"/>
          <w:sz w:val="20"/>
        </w:rPr>
        <w:t>Awardee</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you</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on February 29, 2024, the Management Development and Compensation Committee (the “</w:t>
      </w:r>
      <w:r>
        <w:rPr>
          <w:rFonts w:ascii="Times New Roman;Times;Serif" w:hAnsi="Times New Roman;Times;Serif"/>
          <w:b/>
          <w:i/>
          <w:caps w:val="false"/>
          <w:smallCaps w:val="false"/>
          <w:sz w:val="20"/>
        </w:rPr>
        <w:t>Committee</w:t>
      </w:r>
      <w:r>
        <w:rPr>
          <w:rFonts w:ascii="Times New Roman;Times;Serif" w:hAnsi="Times New Roman;Times;Serif"/>
          <w:b w:val="false"/>
          <w:i w:val="false"/>
          <w:caps w:val="false"/>
          <w:smallCaps w:val="false"/>
          <w:sz w:val="20"/>
        </w:rPr>
        <w:t>”) of WMI’s Board of Directors approved and adopted an annual cash-based incentive program for Executive Officers of WMI, as further described in the minutes of such Committee meeting (the “</w:t>
      </w:r>
      <w:r>
        <w:rPr>
          <w:rFonts w:ascii="Times New Roman;Times;Serif" w:hAnsi="Times New Roman;Times;Serif"/>
          <w:b/>
          <w:i/>
          <w:caps w:val="false"/>
          <w:smallCaps w:val="false"/>
          <w:sz w:val="20"/>
        </w:rPr>
        <w:t>Program</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the terms and conditions of this agreement (the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and the Program, you are receiving an opportunity to accept this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mutual covenants set forth herein and for other valuable consideration hereinafter set forth, the Award is hereby granted on the following terms and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Terms and Conditions</w:t>
      </w:r>
      <w:r>
        <w:rPr>
          <w:rFonts w:ascii="Times New Roman;Times;Serif" w:hAnsi="Times New Roman;Times;Serif"/>
          <w:b w:val="false"/>
          <w:i w:val="false"/>
          <w:caps w:val="false"/>
          <w:smallCaps w:val="false"/>
          <w:sz w:val="20"/>
        </w:rPr>
        <w:t>. The Award is subject to all the terms and conditions of this Agreement and the Program. All capitalized terms not defined in this Agreement shall have the meaning stated in the Program. If there is any inconsistency between the terms of this Agreement and the terms of the Program, the terms of the Program shall control unless this Agreement expressly states that an exception to the Program is being made. All decisions or interpretations of the Agreement and the Program by the Committee are binding, conclusive and final.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For purposes of this Agreement, the following terms shall have the meanings stated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caps w:val="false"/>
          <w:smallCaps w:val="false"/>
          <w:sz w:val="20"/>
        </w:rPr>
        <w:t>AIP Target Percentage</w:t>
      </w:r>
      <w:r>
        <w:rPr>
          <w:rFonts w:ascii="Times New Roman;Times;Serif" w:hAnsi="Times New Roman;Times;Serif"/>
          <w:b w:val="false"/>
          <w:i w:val="false"/>
          <w:caps w:val="false"/>
          <w:smallCaps w:val="false"/>
          <w:sz w:val="20"/>
        </w:rPr>
        <w:t>” means the percentage of your Base Salary, as approved by the Committee, used to calculate the actual payout of the Award. The actual payout under this Award can range from 0% to 200% of your AIP Target Percentage based on the Company’s achievement on the Performance Goals and any Individual Performance Modifier. Your AIP Target Percentage may change if your position changes during the Program Year but is otherwise set on the Award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caps w:val="false"/>
          <w:smallCaps w:val="false"/>
          <w:sz w:val="20"/>
        </w:rPr>
        <w:t>Base Salary</w:t>
      </w:r>
      <w:r>
        <w:rPr>
          <w:rFonts w:ascii="Times New Roman;Times;Serif" w:hAnsi="Times New Roman;Times;Serif"/>
          <w:b w:val="false"/>
          <w:i w:val="false"/>
          <w:caps w:val="false"/>
          <w:smallCaps w:val="false"/>
          <w:sz w:val="20"/>
        </w:rPr>
        <w:t>” means the base salary you received as an employee as of the last day of the Program Year on which you were eligible for the Program, (i) including any amounts deferred pursuant to an election under any 401(k) plan, pre-tax premium plan, deferred compensation plan, or flexible spending account sponsored by the Company, but (ii) excluding any incentive compensation, employee benefit, or other benefit paid or provided under any incentive, bonus or employee benefit plan sponsored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caps w:val="false"/>
          <w:smallCaps w:val="false"/>
          <w:sz w:val="20"/>
        </w:rPr>
        <w:t>Individual Agreement</w:t>
      </w:r>
      <w:r>
        <w:rPr>
          <w:rFonts w:ascii="Times New Roman;Times;Serif" w:hAnsi="Times New Roman;Times;Serif"/>
          <w:b w:val="false"/>
          <w:i w:val="false"/>
          <w:caps w:val="false"/>
          <w:smallCaps w:val="false"/>
          <w:sz w:val="20"/>
        </w:rPr>
        <w:t>” means any written employment, change in control or severance agreement signed by both parties, if any, between you and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caps w:val="false"/>
          <w:smallCaps w:val="false"/>
          <w:sz w:val="20"/>
        </w:rPr>
        <w:t>Individual Performance Modifier.</w:t>
      </w:r>
      <w:r>
        <w:rPr>
          <w:rFonts w:ascii="Times New Roman;Times;Serif" w:hAnsi="Times New Roman;Times;Serif"/>
          <w:b w:val="false"/>
          <w:i w:val="false"/>
          <w:caps w:val="false"/>
          <w:smallCaps w:val="false"/>
          <w:sz w:val="20"/>
        </w:rPr>
        <w:t>” The Committee has retained discretion to increase or decrease an individual’s payout under the Program based on individual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caps w:val="false"/>
          <w:smallCaps w:val="false"/>
          <w:sz w:val="20"/>
        </w:rPr>
        <w:t>Payout Target</w:t>
      </w:r>
      <w:r>
        <w:rPr>
          <w:rFonts w:ascii="Times New Roman;Times;Serif" w:hAnsi="Times New Roman;Times;Serif"/>
          <w:b w:val="false"/>
          <w:i w:val="false"/>
          <w:caps w:val="false"/>
          <w:smallCaps w:val="false"/>
          <w:sz w:val="20"/>
        </w:rPr>
        <w:t>” means the dollar value obtained by multiplying (i) your Base Salary and (ii) your AIP Target Percentage.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caps w:val="false"/>
          <w:smallCaps w:val="false"/>
          <w:sz w:val="20"/>
        </w:rPr>
        <w:t>Performance Goals</w:t>
      </w:r>
      <w:r>
        <w:rPr>
          <w:rFonts w:ascii="Times New Roman;Times;Serif" w:hAnsi="Times New Roman;Times;Serif"/>
          <w:b w:val="false"/>
          <w:i w:val="false"/>
          <w:caps w:val="false"/>
          <w:smallCaps w:val="false"/>
          <w:sz w:val="20"/>
        </w:rPr>
        <w:t>” means the performance criteria approved by the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caps w:val="false"/>
          <w:smallCaps w:val="false"/>
          <w:sz w:val="20"/>
        </w:rPr>
        <w:t>Program Year</w:t>
      </w:r>
      <w:r>
        <w:rPr>
          <w:rFonts w:ascii="Times New Roman;Times;Serif" w:hAnsi="Times New Roman;Times;Serif"/>
          <w:b w:val="false"/>
          <w:i w:val="false"/>
          <w:caps w:val="false"/>
          <w:smallCaps w:val="false"/>
          <w:sz w:val="20"/>
        </w:rPr>
        <w:t>” means January 1, 2024, through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Grant Date Award Value Components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u w:val="single"/>
        </w:rPr>
        <w:t>Target Award Percentage</w:t>
      </w:r>
      <w:r>
        <w:rPr>
          <w:rFonts w:ascii="Times New Roman;Times;Serif" w:hAnsi="Times New Roman;Times;Serif"/>
          <w:b w:val="false"/>
          <w:i w:val="false"/>
          <w:caps w:val="false"/>
          <w:smallCaps w:val="false"/>
          <w:sz w:val="20"/>
        </w:rPr>
        <w:t>. Your AIP Target Percentage for the Program Year is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u w:val="single"/>
        </w:rPr>
        <w:t>Maximum Performance Levels</w:t>
      </w:r>
      <w:r>
        <w:rPr>
          <w:rFonts w:ascii="Times New Roman;Times;Serif" w:hAnsi="Times New Roman;Times;Serif"/>
          <w:b w:val="false"/>
          <w:i w:val="false"/>
          <w:caps w:val="false"/>
          <w:smallCaps w:val="false"/>
          <w:sz w:val="20"/>
        </w:rPr>
        <w:t>. The maximum value of the Award shall not exceed 200% of your Payout Target, subject to the application of any Individual Performance Modifier.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Award Calculation</w:t>
      </w:r>
      <w:r>
        <w:rPr>
          <w:rFonts w:ascii="Times New Roman;Times;Serif" w:hAnsi="Times New Roman;Times;Serif"/>
          <w:b w:val="false"/>
          <w:i w:val="false"/>
          <w:caps w:val="false"/>
          <w:smallCaps w:val="false"/>
          <w:sz w:val="20"/>
        </w:rPr>
        <w:t>. Subject to the terms and conditions set forth in the Program and this Agreement, including, without limitation, Sections 3(b) and 6, the final amount of your Award shall be equal to the dollar amount obtained by multiplying your Payout Target (expressed as dollar amount) by the Company’s achievements on the Performance Goals This amount shall then be increased or decreased by application of the Individual Performance Modifier, if any. Any Award that is earned will be paid in a lump-sum cash payment no later than March 15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of the year following the Program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Effect of Termination of Employment</w:t>
      </w:r>
      <w:r>
        <w:rPr>
          <w:rFonts w:ascii="Times New Roman;Times;Serif" w:hAnsi="Times New Roman;Times;Serif"/>
          <w:b w:val="false"/>
          <w:i w:val="false"/>
          <w:caps w:val="false"/>
          <w:smallCaps w:val="false"/>
          <w:sz w:val="20"/>
        </w:rPr>
        <w:t>. Notwithstanding any provisions to the contrary below in the remainder of this Section 5, in the event of any inconsistency between this Section 5 and any written Individual Agreement you may have, the terms of the Individual Agreement will control. In the event your employment is terminated at any time on or after the Award Date and prior to the last day of the Program Year, your Award will be treated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u w:val="single"/>
        </w:rPr>
        <w:t>Death</w:t>
      </w:r>
      <w:r>
        <w:rPr>
          <w:rFonts w:ascii="Times New Roman;Times;Serif" w:hAnsi="Times New Roman;Times;Serif"/>
          <w:b w:val="false"/>
          <w:i w:val="false"/>
          <w:caps w:val="false"/>
          <w:smallCaps w:val="false"/>
          <w:sz w:val="20"/>
        </w:rPr>
        <w:t>. If your termination of employment is a result of your death you will receive a pro-rata Award based solely on your Base Salary and AIP Target Percentage at the time of your death, prorated by the number of days worked during the Program Year prior to the date of death (the “</w:t>
      </w:r>
      <w:r>
        <w:rPr>
          <w:rFonts w:ascii="Times New Roman;Times;Serif" w:hAnsi="Times New Roman;Times;Serif"/>
          <w:b/>
          <w:i/>
          <w:caps w:val="false"/>
          <w:smallCaps w:val="false"/>
          <w:sz w:val="20"/>
        </w:rPr>
        <w:t>Pro-Rata Award</w:t>
      </w:r>
      <w:r>
        <w:rPr>
          <w:rFonts w:ascii="Times New Roman;Times;Serif" w:hAnsi="Times New Roman;Times;Serif"/>
          <w:b w:val="false"/>
          <w:i w:val="false"/>
          <w:caps w:val="false"/>
          <w:smallCaps w:val="false"/>
          <w:sz w:val="20"/>
        </w:rPr>
        <w:t>”). Subject to Section 4, your beneficiaries or your estate, as applicable, will be paid in cash as soon as practicable following your termination date, but in no event later than March 15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of the year following the Program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u w:val="single"/>
        </w:rPr>
        <w:t>Terminations other than Death</w:t>
      </w:r>
      <w:r>
        <w:rPr>
          <w:rFonts w:ascii="Times New Roman;Times;Serif" w:hAnsi="Times New Roman;Times;Serif"/>
          <w:b w:val="false"/>
          <w:i w:val="false"/>
          <w:caps w:val="false"/>
          <w:smallCaps w:val="false"/>
          <w:sz w:val="20"/>
        </w:rPr>
        <w:t>. Unless your termination of employment is a result of your death, you must be employed by the Company on the last day of the Program Year to be eligible to receive payment of an Award. You have no vested interest in the Award prior to the last day of the Program Year. If your employment with the Company terminates for any reason other than your death, whether your termination is voluntary or involuntary, with or without cause, you will not be eligible to receive payment of any Award for the Program Year.</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Right of the Committee</w:t>
      </w:r>
      <w:r>
        <w:rPr>
          <w:rFonts w:ascii="Times New Roman;Times;Serif" w:hAnsi="Times New Roman;Times;Serif"/>
          <w:b w:val="false"/>
          <w:i w:val="false"/>
          <w:caps w:val="false"/>
          <w:smallCaps w:val="false"/>
          <w:sz w:val="20"/>
        </w:rPr>
        <w:t>. The Committee retains the right to interpret or amend the Program in its sole authority and discretion. The Committee has stipulated that the Program is subject to the terms of the Committee’s AIP/LTIP Adjustments Policy approved May 12, 2014.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Right of the Company to Terminate Services</w:t>
      </w:r>
      <w:r>
        <w:rPr>
          <w:rFonts w:ascii="Times New Roman;Times;Serif" w:hAnsi="Times New Roman;Times;Serif"/>
          <w:b w:val="false"/>
          <w:i w:val="false"/>
          <w:caps w:val="false"/>
          <w:smallCaps w:val="false"/>
          <w:sz w:val="20"/>
        </w:rPr>
        <w:t>. Nothing in this Agreement confers upon you the right to continue in the employ of the Company or interfere in any way with the rights of the Company to terminate your employment at any time, with or without cause.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Clawback Policy</w:t>
      </w:r>
      <w:r>
        <w:rPr>
          <w:rFonts w:ascii="Times New Roman;Times;Serif" w:hAnsi="Times New Roman;Times;Serif"/>
          <w:b w:val="false"/>
          <w:i w:val="false"/>
          <w:caps w:val="false"/>
          <w:smallCaps w:val="false"/>
          <w:sz w:val="20"/>
        </w:rPr>
        <w:t>. Awardee understands and agrees that the Award granted under this Agreement is granted under the authority of the Program and the Award and this Agreement are in all ways governed by the terms and conditions of the Program and its administrative practices and interpretations. This award is explicitly subject to the Waste Management, Inc. Clawback Policy, adopted by the Committee on August 21, 2023 (as may be amended from time to time, the “</w:t>
      </w:r>
      <w:r>
        <w:rPr>
          <w:rFonts w:ascii="Times New Roman;Times;Serif" w:hAnsi="Times New Roman;Times;Serif"/>
          <w:b/>
          <w:i/>
          <w:caps w:val="false"/>
          <w:smallCaps w:val="false"/>
          <w:sz w:val="20"/>
        </w:rPr>
        <w:t>Clawback Policy</w:t>
      </w:r>
      <w:r>
        <w:rPr>
          <w:rFonts w:ascii="Times New Roman;Times;Serif" w:hAnsi="Times New Roman;Times;Serif"/>
          <w:b w:val="false"/>
          <w:i w:val="false"/>
          <w:caps w:val="false"/>
          <w:smallCaps w:val="false"/>
          <w:sz w:val="20"/>
        </w:rPr>
        <w:t>”), as well as the Committee’s clawback guidelines adopted on August 23, 2007. Regardless of the terms of any Individual Agreement or any organizational documents of the Company, you understand and agree that you will not be entitled to indemnification for any liability or loss, or advancement of expenses, incurred by you in connection with a claim under the Clawback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Nontransferability</w:t>
      </w:r>
      <w:r>
        <w:rPr>
          <w:rFonts w:ascii="Times New Roman;Times;Serif" w:hAnsi="Times New Roman;Times;Serif"/>
          <w:b w:val="false"/>
          <w:i w:val="false"/>
          <w:caps w:val="false"/>
          <w:smallCaps w:val="false"/>
          <w:sz w:val="20"/>
        </w:rPr>
        <w:t>. Neither this Agreement nor this Award subject to this Agreement shall be subject in any manner to anticipation, alienation, sale, exchange, transfer, assignment, pledge, encumbrance or garnishment by your creditors or your beneficiary, except transfer by will or by the laws of descent and distribution. All rights with respect to this Agreement shall be exercisable during your lifetime only by yourself or, if necessary, your guardian or legal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This Agreement shall bind and inure to the benefit of and be enforceable by Awardee, the Company and their respective permitted successors or assigns (including personal representatives, heirs and legatees), except that Awardee may not assign any rights or obligations under this Agreement except to the extent, and in the manner, expressly permitted herein. The Company shall require any successor (whether direct or indirect, by purchase, merger, consolidation or otherwise) to all or substantially all the business and/or assets of the Company to assume expressly and agree to perform this Agreement in the same manner and to the same extent that the Company would be required to perform it if no such succession had taken 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shall be governed by and construed in accordance with the internal laws of the State of Texas, without reference to principles of conflict of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Compliance with Section 409A</w:t>
      </w:r>
      <w:r>
        <w:rPr>
          <w:rFonts w:ascii="Times New Roman;Times;Serif" w:hAnsi="Times New Roman;Times;Serif"/>
          <w:b w:val="false"/>
          <w:i w:val="false"/>
          <w:caps w:val="false"/>
          <w:smallCaps w:val="false"/>
          <w:sz w:val="20"/>
        </w:rPr>
        <w:t>. Both the Company and Awardee intend that this Agreement does not result in unfavorable tax consequences to Awardee under Section 409A of the Internal Revenue Code of 1986, as amended, and the Treasury Regulations issued thereunder (“</w:t>
      </w:r>
      <w:r>
        <w:rPr>
          <w:rFonts w:ascii="Times New Roman;Times;Serif" w:hAnsi="Times New Roman;Times;Serif"/>
          <w:b/>
          <w:i/>
          <w:caps w:val="false"/>
          <w:smallCaps w:val="false"/>
          <w:sz w:val="20"/>
        </w:rPr>
        <w:t>Section 409A</w:t>
      </w:r>
      <w:r>
        <w:rPr>
          <w:rFonts w:ascii="Times New Roman;Times;Serif" w:hAnsi="Times New Roman;Times;Serif"/>
          <w:b w:val="false"/>
          <w:i w:val="false"/>
          <w:caps w:val="false"/>
          <w:smallCaps w:val="false"/>
          <w:sz w:val="20"/>
        </w:rPr>
        <w:t>”). Accordingly, Awardee consents to any amendment of this Agreement the Company may reasonably make consistent to achieve that intention and the Company may, disregarding any other provision in this Agreement to the contrary, unilaterally execute such amendment to this Agreement. The Company shall promptly provide, or make available to, Awardee a copy of any such amendment. The Company agrees to make any such amendments to preserve the intended benefits to Awardee to the maximum extent possible. This Section 21 does not create an obligation on the part of the Company to modify this Agreement and does not guarantee that the amounts or benefits owed under this Agreement will not be subject to interest and penalties under Section 409A. Each cash and/or stock payment and/or benefit provided under the Program and this Agreement and/or pursuant to the terms of the Company’s benefit plans, programs and policies shall be considered a separate payment for purposes of Section 409A. For purposes of Section 409A, to the extent that Awardee is a “specified employee” within the meaning of the Treasury Regulations issued pursuant to Section 409A as of Awardee’s separation from service and to the limited extent necessary to avoid the imputation of any tax, penalty or interest pursuant to Section 409A, notwithstanding anything to the contrary in this Agreement, no amount which is subject to Section 409A and is payable on account of Awardee’s separation from service shall be paid to Awardee before the date (the “</w:t>
      </w:r>
      <w:r>
        <w:rPr>
          <w:rFonts w:ascii="Times New Roman;Times;Serif" w:hAnsi="Times New Roman;Times;Serif"/>
          <w:b/>
          <w:i/>
          <w:caps w:val="false"/>
          <w:smallCaps w:val="false"/>
          <w:sz w:val="20"/>
        </w:rPr>
        <w:t>Delayed Payment Date</w:t>
      </w:r>
      <w:r>
        <w:rPr>
          <w:rFonts w:ascii="Times New Roman;Times;Serif" w:hAnsi="Times New Roman;Times;Serif"/>
          <w:b w:val="false"/>
          <w:i w:val="false"/>
          <w:caps w:val="false"/>
          <w:smallCaps w:val="false"/>
          <w:sz w:val="20"/>
        </w:rPr>
        <w:t>”) which is the first day of the seventh month after Awardee’s separation from service or, if earlier, the date of Awardee’s death following such separation from service. All such amounts that would, but for the immediately preceding sentence, become payable prior to the Delayed Payment Date will be accumulated and paid without interest on the Delayed Payment Date.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 given by one party under this Agreement to the other shall be in writing and may be delivered personally or by mail, postage prepaid, addressed to the Secretary of the Company, at its then corporate headquarters, and Awardee at Awardee’s address as shown on the Company’s records, or to such other address as Awardee, by notice to the Company, may designate in writing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Electronic Delivery</w:t>
      </w:r>
      <w:r>
        <w:rPr>
          <w:rFonts w:ascii="Times New Roman;Times;Serif" w:hAnsi="Times New Roman;Times;Serif"/>
          <w:b w:val="false"/>
          <w:i w:val="false"/>
          <w:caps w:val="false"/>
          <w:smallCaps w:val="false"/>
          <w:sz w:val="20"/>
        </w:rPr>
        <w:t>. The Company may, in its sole discretion, deliver any documents related to the Award under this Agreement or the Program, by electronic means or request Awardee’s consent to participate in the administration of this Agreement or the Program by electronic means. Awardee hereby consents to receive such documents by electronic delivery and agrees to participate in the Program through an on-line or electronic system established and maintained by the Company or another third party designated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15.</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Binding Arbitration</w:t>
      </w:r>
      <w:r>
        <w:rPr>
          <w:rFonts w:ascii="Times New Roman;Times;Serif" w:hAnsi="Times New Roman;Times;Serif"/>
          <w:b w:val="false"/>
          <w:i w:val="false"/>
          <w:caps w:val="false"/>
          <w:smallCaps w:val="false"/>
          <w:sz w:val="20"/>
        </w:rPr>
        <w:t xml:space="preserve">. Except as otherwise specifically provided herein, the Committee’s findings, calculations and determinations under this Agreement are made in the sole discretion of the Committee, and Awardee expressly agrees that such determinations shall be final and not subject to dispute. In the event, however, that Awardee has a right to dispute a matter hereunder or a matter directly relating to this Award under the Clawback Policy, the Company and Awardee agree that such dispute shall be settled exclusively by final and binding arbitration, as governed by the Federal Arbitration Act (9 U.S.C. 1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 xml:space="preserve">). The arbitration proceeding, including the rendering of an award, if any, shall be administered by JAMS pursuant to its Employment Arbitration Rules and Procedures, which may be found on the JAMS Website </w:t>
      </w:r>
      <w:r>
        <w:rPr>
          <w:rFonts w:ascii="Times New Roman;Times;Serif" w:hAnsi="Times New Roman;Times;Serif"/>
          <w:b/>
          <w:i w:val="false"/>
          <w:caps w:val="false"/>
          <w:smallCaps w:val="false"/>
          <w:sz w:val="20"/>
        </w:rPr>
        <w:t>www.jamsadr.com</w:t>
      </w:r>
      <w:r>
        <w:rPr>
          <w:rFonts w:ascii="Times New Roman;Times;Serif" w:hAnsi="Times New Roman;Times;Serif"/>
          <w:b w:val="false"/>
          <w:i w:val="false"/>
          <w:caps w:val="false"/>
          <w:smallCaps w:val="false"/>
          <w:sz w:val="20"/>
        </w:rPr>
        <w:t>. All expenses associated with the arbitration shall be borne by the Company; provided however, that such arbitration expenses will not include attorney fees incurred by the respective parties. Judgment on any arbitration award may be entered in any court having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16.</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titles and headings of Sections are included for convenience of reference only and are not to be considered in construction of the provisions hereof.</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USA Waste-Management Resources, LLC has caused this Agreement to be duly executed by one of its officers thereunto duly authorized and Awardee has executed this Agreement, effective as of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290" w:type="dxa"/>
        <w:jc w:val="left"/>
        <w:tblInd w:w="0" w:type="dxa"/>
        <w:tblLayout w:type="fixed"/>
        <w:tblCellMar>
          <w:top w:w="0" w:type="dxa"/>
          <w:left w:w="0" w:type="dxa"/>
          <w:bottom w:w="0" w:type="dxa"/>
          <w:right w:w="0" w:type="dxa"/>
        </w:tblCellMar>
      </w:tblPr>
      <w:tblGrid>
        <w:gridCol w:w="4250"/>
        <w:gridCol w:w="1040"/>
      </w:tblGrid>
      <w:tr>
        <w:trPr/>
        <w:tc>
          <w:tcPr>
            <w:tcW w:w="425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USA WASTE-MANGEMENT RESOURCES, LLC</w:t>
            </w:r>
          </w:p>
        </w:tc>
        <w:tc>
          <w:tcPr>
            <w:tcW w:w="1040" w:type="dxa"/>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AWARDEE</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11699</Words>
  <Characters>61765</Characters>
  <CharactersWithSpaces>73785</CharactersWithSpaces>
  <Paragraphs>796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