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04" w:lineRule="exact"/>
        <w:rPr>
          <w:sz w:val="24"/>
          <w:szCs w:val="24"/>
          <w:color w:val="auto"/>
        </w:rPr>
      </w:pPr>
    </w:p>
    <w:p>
      <w:pPr>
        <w:ind w:left="480" w:right="120" w:hanging="337"/>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480" w:right="100" w:hanging="337"/>
        <w:spacing w:after="0" w:line="256"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480"/>
        <w:spacing w:after="0"/>
        <w:tabs>
          <w:tab w:leader="none" w:pos="3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80" w:type="dxa"/>
            <w:vAlign w:val="bottom"/>
            <w:gridSpan w:val="3"/>
          </w:tcPr>
          <w:p>
            <w:pPr>
              <w:jc w:val="center"/>
              <w:ind w:left="1356"/>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77"/>
              <w:spacing w:after="0"/>
              <w:rPr>
                <w:sz w:val="20"/>
                <w:szCs w:val="20"/>
                <w:color w:val="auto"/>
              </w:rPr>
            </w:pPr>
            <w:r>
              <w:rPr>
                <w:rFonts w:ascii="Arial" w:cs="Arial" w:eastAsia="Arial" w:hAnsi="Arial"/>
                <w:sz w:val="18"/>
                <w:szCs w:val="18"/>
                <w:b w:val="1"/>
                <w:bCs w:val="1"/>
                <w:color w:val="auto"/>
                <w:w w:val="89"/>
              </w:rPr>
              <w:t>73-1309529</w:t>
            </w:r>
          </w:p>
        </w:tc>
      </w:tr>
      <w:tr>
        <w:trPr>
          <w:trHeight w:val="189"/>
        </w:trPr>
        <w:tc>
          <w:tcPr>
            <w:tcW w:w="20" w:type="dxa"/>
            <w:vAlign w:val="bottom"/>
          </w:tcPr>
          <w:p>
            <w:pPr>
              <w:spacing w:after="0"/>
              <w:rPr>
                <w:sz w:val="16"/>
                <w:szCs w:val="16"/>
                <w:color w:val="auto"/>
              </w:rPr>
            </w:pPr>
          </w:p>
        </w:tc>
        <w:tc>
          <w:tcPr>
            <w:tcW w:w="3680" w:type="dxa"/>
            <w:vAlign w:val="bottom"/>
            <w:gridSpan w:val="3"/>
          </w:tcPr>
          <w:p>
            <w:pPr>
              <w:jc w:val="center"/>
              <w:ind w:left="1356"/>
              <w:spacing w:after="0" w:line="189" w:lineRule="exact"/>
              <w:rPr>
                <w:sz w:val="20"/>
                <w:szCs w:val="20"/>
                <w:color w:val="auto"/>
              </w:rPr>
            </w:pPr>
            <w:r>
              <w:rPr>
                <w:rFonts w:ascii="Arial" w:cs="Arial" w:eastAsia="Arial" w:hAnsi="Arial"/>
                <w:sz w:val="18"/>
                <w:szCs w:val="18"/>
                <w:i w:val="1"/>
                <w:iCs w:val="1"/>
                <w:color w:val="auto"/>
                <w:w w:val="94"/>
              </w:rPr>
              <w:t>(State or other jurisdiction of</w:t>
            </w:r>
          </w:p>
        </w:tc>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tcPr>
          <w:p>
            <w:pPr>
              <w:jc w:val="center"/>
              <w:ind w:right="1797"/>
              <w:spacing w:after="0" w:line="189"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20" w:type="dxa"/>
            <w:vAlign w:val="bottom"/>
          </w:tcPr>
          <w:p>
            <w:pPr>
              <w:spacing w:after="0"/>
              <w:rPr>
                <w:sz w:val="20"/>
                <w:szCs w:val="20"/>
                <w:color w:val="auto"/>
              </w:rPr>
            </w:pPr>
          </w:p>
        </w:tc>
        <w:tc>
          <w:tcPr>
            <w:tcW w:w="3680" w:type="dxa"/>
            <w:vAlign w:val="bottom"/>
            <w:gridSpan w:val="3"/>
          </w:tcPr>
          <w:p>
            <w:pPr>
              <w:jc w:val="center"/>
              <w:ind w:left="1356"/>
              <w:spacing w:after="0"/>
              <w:rPr>
                <w:sz w:val="20"/>
                <w:szCs w:val="20"/>
                <w:color w:val="auto"/>
              </w:rPr>
            </w:pPr>
            <w:r>
              <w:rPr>
                <w:rFonts w:ascii="Arial" w:cs="Arial" w:eastAsia="Arial" w:hAnsi="Arial"/>
                <w:sz w:val="18"/>
                <w:szCs w:val="18"/>
                <w:i w:val="1"/>
                <w:iCs w:val="1"/>
                <w:color w:val="auto"/>
                <w:w w:val="95"/>
              </w:rPr>
              <w:t>incorporation or organization)</w:t>
            </w: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777"/>
              <w:spacing w:after="0"/>
              <w:rPr>
                <w:sz w:val="20"/>
                <w:szCs w:val="20"/>
                <w:color w:val="auto"/>
              </w:rPr>
            </w:pPr>
            <w:r>
              <w:rPr>
                <w:rFonts w:ascii="Arial" w:cs="Arial" w:eastAsia="Arial" w:hAnsi="Arial"/>
                <w:sz w:val="18"/>
                <w:szCs w:val="18"/>
                <w:i w:val="1"/>
                <w:iCs w:val="1"/>
                <w:color w:val="auto"/>
                <w:w w:val="95"/>
              </w:rPr>
              <w:t>Identification No.)</w:t>
            </w:r>
          </w:p>
        </w:tc>
      </w:tr>
      <w:tr>
        <w:trPr>
          <w:trHeight w:val="306"/>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0"/>
              </w:rPr>
              <w:t>800 Capitol Street</w:t>
            </w:r>
          </w:p>
        </w:tc>
        <w:tc>
          <w:tcPr>
            <w:tcW w:w="32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7"/>
              </w:rPr>
              <w:t>Houston, Texas 77002</w:t>
            </w:r>
          </w:p>
        </w:tc>
        <w:tc>
          <w:tcPr>
            <w:tcW w:w="3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3"/>
          </w:tcPr>
          <w:p>
            <w:pPr>
              <w:jc w:val="center"/>
              <w:ind w:right="52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3200" w:type="dxa"/>
            <w:vAlign w:val="bottom"/>
          </w:tcPr>
          <w:p>
            <w:pPr>
              <w:spacing w:after="0"/>
              <w:rPr>
                <w:sz w:val="20"/>
                <w:szCs w:val="20"/>
                <w:color w:val="auto"/>
              </w:rPr>
            </w:pPr>
          </w:p>
        </w:tc>
      </w:tr>
      <w:tr>
        <w:trPr>
          <w:trHeight w:val="323"/>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jc w:val="center"/>
              <w:ind w:right="56"/>
              <w:spacing w:after="0"/>
              <w:rPr>
                <w:sz w:val="20"/>
                <w:szCs w:val="20"/>
                <w:color w:val="auto"/>
              </w:rPr>
            </w:pPr>
            <w:r>
              <w:rPr>
                <w:rFonts w:ascii="Arial" w:cs="Arial" w:eastAsia="Arial" w:hAnsi="Arial"/>
                <w:sz w:val="18"/>
                <w:szCs w:val="18"/>
                <w:b w:val="1"/>
                <w:bCs w:val="1"/>
                <w:color w:val="auto"/>
                <w:w w:val="90"/>
              </w:rPr>
              <w:t>(713) 512-6200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7000" w:type="dxa"/>
            <w:vAlign w:val="bottom"/>
            <w:gridSpan w:val="6"/>
          </w:tcPr>
          <w:p>
            <w:pPr>
              <w:jc w:val="center"/>
              <w:ind w:left="3096"/>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3200" w:type="dxa"/>
            <w:vAlign w:val="bottom"/>
          </w:tcPr>
          <w:p>
            <w:pPr>
              <w:spacing w:after="0"/>
              <w:rPr>
                <w:sz w:val="20"/>
                <w:szCs w:val="20"/>
                <w:color w:val="auto"/>
              </w:rPr>
            </w:pPr>
          </w:p>
        </w:tc>
      </w:tr>
      <w:tr>
        <w:trPr>
          <w:trHeight w:val="338"/>
        </w:trPr>
        <w:tc>
          <w:tcPr>
            <w:tcW w:w="702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36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Title of each class</w:t>
            </w:r>
          </w:p>
        </w:tc>
        <w:tc>
          <w:tcPr>
            <w:tcW w:w="33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Trading Symbol</w:t>
            </w:r>
          </w:p>
        </w:tc>
        <w:tc>
          <w:tcPr>
            <w:tcW w:w="32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0" w:type="dxa"/>
            <w:vAlign w:val="bottom"/>
          </w:tcPr>
          <w:p>
            <w:pPr>
              <w:spacing w:after="0"/>
              <w:rPr>
                <w:sz w:val="15"/>
                <w:szCs w:val="15"/>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jc w:val="center"/>
              <w:ind w:right="36"/>
              <w:spacing w:after="0"/>
              <w:rPr>
                <w:sz w:val="20"/>
                <w:szCs w:val="20"/>
                <w:color w:val="auto"/>
              </w:rPr>
            </w:pPr>
            <w:r>
              <w:rPr>
                <w:rFonts w:ascii="Arial" w:cs="Arial" w:eastAsia="Arial" w:hAnsi="Arial"/>
                <w:sz w:val="14"/>
                <w:szCs w:val="14"/>
                <w:color w:val="auto"/>
              </w:rPr>
              <w:t>WM</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117"/>
              <w:spacing w:after="0"/>
              <w:rPr>
                <w:sz w:val="20"/>
                <w:szCs w:val="20"/>
                <w:color w:val="auto"/>
              </w:rPr>
            </w:pPr>
            <w:r>
              <w:rPr>
                <w:rFonts w:ascii="Arial" w:cs="Arial" w:eastAsia="Arial" w:hAnsi="Arial"/>
                <w:sz w:val="14"/>
                <w:szCs w:val="14"/>
                <w:color w:val="auto"/>
                <w:w w:val="94"/>
              </w:rPr>
              <w:t>New York Stock Exchange</w:t>
            </w:r>
          </w:p>
        </w:tc>
      </w:tr>
    </w:tbl>
    <w:p>
      <w:pPr>
        <w:spacing w:after="0" w:line="16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900" w:right="839" w:bottom="1440" w:gutter="0" w:footer="0" w:header="0"/>
        </w:sectPr>
      </w:pPr>
    </w:p>
    <w:p>
      <w:pPr>
        <w:spacing w:after="0" w:line="103" w:lineRule="exact"/>
        <w:rPr>
          <w:sz w:val="24"/>
          <w:szCs w:val="24"/>
          <w:color w:val="auto"/>
        </w:rPr>
      </w:pPr>
    </w:p>
    <w:p>
      <w:pPr>
        <w:ind w:right="64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3">
            <w:col w:w="2240" w:space="720"/>
            <w:col w:w="4360" w:space="720"/>
            <w:col w:w="2180"/>
          </w:cols>
          <w:pgMar w:left="840" w:top="900" w:right="839" w:bottom="1440" w:gutter="0" w:footer="0" w:header="0"/>
          <w:type w:val="continuous"/>
        </w:sect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tabs>
          <w:tab w:leader="none" w:pos="75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at April 22, 2021 was 422,127,260 (excluding treasury shares of 208,155,201).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468630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57150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91440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900" w:right="8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98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3000"/>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w:t>
            </w:r>
          </w:p>
        </w:tc>
        <w:tc>
          <w:tcPr>
            <w:tcW w:w="40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0" w:type="dxa"/>
            <w:vAlign w:val="bottom"/>
          </w:tcPr>
          <w:p>
            <w:pPr>
              <w:spacing w:after="0"/>
              <w:rPr>
                <w:sz w:val="1"/>
                <w:szCs w:val="1"/>
                <w:color w:val="auto"/>
              </w:rPr>
            </w:pPr>
          </w:p>
        </w:tc>
      </w:tr>
      <w:tr>
        <w:trPr>
          <w:trHeight w:val="203"/>
        </w:trPr>
        <w:tc>
          <w:tcPr>
            <w:tcW w:w="6720" w:type="dxa"/>
            <w:vAlign w:val="bottom"/>
          </w:tcPr>
          <w:p>
            <w:pPr>
              <w:ind w:left="100"/>
              <w:spacing w:after="0"/>
              <w:rPr>
                <w:sz w:val="20"/>
                <w:szCs w:val="20"/>
                <w:color w:val="auto"/>
              </w:rPr>
            </w:pPr>
            <w:r>
              <w:rPr>
                <w:rFonts w:ascii="Arial" w:cs="Arial" w:eastAsia="Arial" w:hAnsi="Arial"/>
                <w:sz w:val="17"/>
                <w:szCs w:val="17"/>
                <w:color w:val="auto"/>
                <w:w w:val="99"/>
              </w:rPr>
              <w:t>Accounts receivable, net of allowance for doubtful accounts of $28 and $33, respectively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2,025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2,097</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receivables, net of allowance for doubtful accounts of $11 and $7, respectively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0" w:type="dxa"/>
            <w:vAlign w:val="bottom"/>
          </w:tcPr>
          <w:p>
            <w:pPr>
              <w:spacing w:after="0"/>
              <w:rPr>
                <w:sz w:val="1"/>
                <w:szCs w:val="1"/>
                <w:color w:val="auto"/>
              </w:rPr>
            </w:pPr>
          </w:p>
        </w:tc>
      </w:tr>
      <w:tr>
        <w:trPr>
          <w:trHeight w:val="203"/>
        </w:trPr>
        <w:tc>
          <w:tcPr>
            <w:tcW w:w="6720" w:type="dxa"/>
            <w:vAlign w:val="bottom"/>
          </w:tcPr>
          <w:p>
            <w:pPr>
              <w:ind w:left="100"/>
              <w:spacing w:after="0"/>
              <w:rPr>
                <w:sz w:val="20"/>
                <w:szCs w:val="20"/>
                <w:color w:val="auto"/>
              </w:rPr>
            </w:pPr>
            <w:r>
              <w:rPr>
                <w:rFonts w:ascii="Arial" w:cs="Arial" w:eastAsia="Arial" w:hAnsi="Arial"/>
                <w:sz w:val="17"/>
                <w:szCs w:val="17"/>
                <w:color w:val="auto"/>
              </w:rPr>
              <w:t>Parts and supplies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196"/>
        </w:trPr>
        <w:tc>
          <w:tcPr>
            <w:tcW w:w="6720" w:type="dxa"/>
            <w:vAlign w:val="bottom"/>
          </w:tcPr>
          <w:p>
            <w:pPr>
              <w:ind w:left="220"/>
              <w:spacing w:after="0"/>
              <w:rPr>
                <w:sz w:val="20"/>
                <w:szCs w:val="20"/>
                <w:color w:val="auto"/>
              </w:rPr>
            </w:pPr>
            <w:r>
              <w:rPr>
                <w:rFonts w:ascii="Arial" w:cs="Arial" w:eastAsia="Arial" w:hAnsi="Arial"/>
                <w:sz w:val="17"/>
                <w:szCs w:val="17"/>
                <w:color w:val="auto"/>
              </w:rPr>
              <w:t>Total current 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3,327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3,540</w:t>
            </w: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8"/>
              </w:rPr>
              <w:t>Property and equipment, net of accumulated depreciation and amortization of $19,647 and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$19,337, respectively</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14,038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14,148</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7"/>
                <w:szCs w:val="17"/>
                <w:color w:val="auto"/>
              </w:rPr>
              <w:t>Goodwill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8,980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8,994</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1,024</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7"/>
                <w:szCs w:val="17"/>
                <w:color w:val="auto"/>
              </w:rPr>
              <w:t>Restricted trust and escrow accounts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448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347</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unconsolidated entities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0" w:type="dxa"/>
            <w:vAlign w:val="bottom"/>
          </w:tcPr>
          <w:p>
            <w:pPr>
              <w:spacing w:after="0"/>
              <w:rPr>
                <w:sz w:val="1"/>
                <w:szCs w:val="1"/>
                <w:color w:val="auto"/>
              </w:rPr>
            </w:pPr>
          </w:p>
        </w:tc>
      </w:tr>
      <w:tr>
        <w:trPr>
          <w:trHeight w:val="203"/>
        </w:trPr>
        <w:tc>
          <w:tcPr>
            <w:tcW w:w="6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assets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866</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29,070</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29,345</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2220"/>
              <w:spacing w:after="0"/>
              <w:rPr>
                <w:sz w:val="20"/>
                <w:szCs w:val="20"/>
                <w:color w:val="auto"/>
              </w:rPr>
            </w:pPr>
            <w:r>
              <w:rPr>
                <w:rFonts w:ascii="Arial" w:cs="Arial" w:eastAsia="Arial" w:hAnsi="Arial"/>
                <w:sz w:val="17"/>
                <w:szCs w:val="17"/>
                <w:b w:val="1"/>
                <w:bCs w:val="1"/>
                <w:color w:val="auto"/>
              </w:rPr>
              <w:t>LIABILITIES AND EQUITY</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100"/>
              <w:spacing w:after="0"/>
              <w:rPr>
                <w:sz w:val="20"/>
                <w:szCs w:val="20"/>
                <w:color w:val="auto"/>
              </w:rPr>
            </w:pPr>
            <w:r>
              <w:rPr>
                <w:rFonts w:ascii="Arial" w:cs="Arial" w:eastAsia="Arial" w:hAnsi="Arial"/>
                <w:sz w:val="17"/>
                <w:szCs w:val="17"/>
                <w:color w:val="auto"/>
              </w:rPr>
              <w:t>Accounts payable</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1,212</w:t>
            </w:r>
          </w:p>
        </w:tc>
        <w:tc>
          <w:tcPr>
            <w:tcW w:w="40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1,121</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Accrued liabilities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w:t>
            </w:r>
          </w:p>
        </w:tc>
        <w:tc>
          <w:tcPr>
            <w:tcW w:w="0" w:type="dxa"/>
            <w:vAlign w:val="bottom"/>
          </w:tcPr>
          <w:p>
            <w:pPr>
              <w:spacing w:after="0"/>
              <w:rPr>
                <w:sz w:val="1"/>
                <w:szCs w:val="1"/>
                <w:color w:val="auto"/>
              </w:rPr>
            </w:pPr>
          </w:p>
        </w:tc>
      </w:tr>
      <w:tr>
        <w:trPr>
          <w:trHeight w:val="203"/>
        </w:trPr>
        <w:tc>
          <w:tcPr>
            <w:tcW w:w="6720" w:type="dxa"/>
            <w:vAlign w:val="bottom"/>
          </w:tcPr>
          <w:p>
            <w:pPr>
              <w:ind w:left="100"/>
              <w:spacing w:after="0"/>
              <w:rPr>
                <w:sz w:val="20"/>
                <w:szCs w:val="20"/>
                <w:color w:val="auto"/>
              </w:rPr>
            </w:pPr>
            <w:r>
              <w:rPr>
                <w:rFonts w:ascii="Arial" w:cs="Arial" w:eastAsia="Arial" w:hAnsi="Arial"/>
                <w:sz w:val="17"/>
                <w:szCs w:val="17"/>
                <w:color w:val="auto"/>
              </w:rPr>
              <w:t>Deferred revenues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548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long-term debt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0" w:type="dxa"/>
            <w:vAlign w:val="bottom"/>
          </w:tcPr>
          <w:p>
            <w:pPr>
              <w:spacing w:after="0"/>
              <w:rPr>
                <w:sz w:val="1"/>
                <w:szCs w:val="1"/>
                <w:color w:val="auto"/>
              </w:rPr>
            </w:pPr>
          </w:p>
        </w:tc>
      </w:tr>
      <w:tr>
        <w:trPr>
          <w:trHeight w:val="196"/>
        </w:trPr>
        <w:tc>
          <w:tcPr>
            <w:tcW w:w="6720" w:type="dxa"/>
            <w:vAlign w:val="bottom"/>
          </w:tcPr>
          <w:p>
            <w:pPr>
              <w:ind w:left="220"/>
              <w:spacing w:after="0"/>
              <w:rPr>
                <w:sz w:val="20"/>
                <w:szCs w:val="20"/>
                <w:color w:val="auto"/>
              </w:rPr>
            </w:pPr>
            <w:r>
              <w:rPr>
                <w:rFonts w:ascii="Arial" w:cs="Arial" w:eastAsia="Arial" w:hAnsi="Arial"/>
                <w:sz w:val="17"/>
                <w:szCs w:val="17"/>
                <w:color w:val="auto"/>
              </w:rPr>
              <w:t>Total current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3,285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3,553</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Long-term debt, less current portion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13,259</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7"/>
                <w:szCs w:val="17"/>
                <w:color w:val="auto"/>
              </w:rPr>
              <w:t>Deferred income taxes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1,805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1,806</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Landfill and environmental remediation liabilities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2,222</w:t>
            </w:r>
          </w:p>
        </w:tc>
        <w:tc>
          <w:tcPr>
            <w:tcW w:w="0" w:type="dxa"/>
            <w:vAlign w:val="bottom"/>
          </w:tcPr>
          <w:p>
            <w:pPr>
              <w:spacing w:after="0"/>
              <w:rPr>
                <w:sz w:val="1"/>
                <w:szCs w:val="1"/>
                <w:color w:val="auto"/>
              </w:rPr>
            </w:pPr>
          </w:p>
        </w:tc>
      </w:tr>
      <w:tr>
        <w:trPr>
          <w:trHeight w:val="203"/>
        </w:trPr>
        <w:tc>
          <w:tcPr>
            <w:tcW w:w="6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liabilities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1,051</w:t>
            </w: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21,641</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21,891</w:t>
            </w:r>
          </w:p>
        </w:tc>
        <w:tc>
          <w:tcPr>
            <w:tcW w:w="0" w:type="dxa"/>
            <w:vAlign w:val="bottom"/>
          </w:tcPr>
          <w:p>
            <w:pPr>
              <w:spacing w:after="0"/>
              <w:rPr>
                <w:sz w:val="1"/>
                <w:szCs w:val="1"/>
                <w:color w:val="auto"/>
              </w:rPr>
            </w:pPr>
          </w:p>
        </w:tc>
      </w:tr>
      <w:tr>
        <w:trPr>
          <w:trHeight w:val="196"/>
        </w:trPr>
        <w:tc>
          <w:tcPr>
            <w:tcW w:w="6720" w:type="dxa"/>
            <w:vAlign w:val="bottom"/>
          </w:tcPr>
          <w:p>
            <w:pPr>
              <w:spacing w:after="0"/>
              <w:rPr>
                <w:sz w:val="20"/>
                <w:szCs w:val="20"/>
                <w:color w:val="auto"/>
              </w:rPr>
            </w:pPr>
            <w:r>
              <w:rPr>
                <w:rFonts w:ascii="Arial" w:cs="Arial" w:eastAsia="Arial" w:hAnsi="Arial"/>
                <w:sz w:val="17"/>
                <w:szCs w:val="17"/>
                <w:color w:val="auto"/>
              </w:rPr>
              <w:t>Commitments and contingencies (Note 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Equity: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20" w:type="dxa"/>
            <w:vAlign w:val="bottom"/>
          </w:tcPr>
          <w:p>
            <w:pPr>
              <w:ind w:left="100"/>
              <w:spacing w:after="0"/>
              <w:rPr>
                <w:sz w:val="20"/>
                <w:szCs w:val="20"/>
                <w:color w:val="auto"/>
              </w:rPr>
            </w:pPr>
            <w:r>
              <w:rPr>
                <w:rFonts w:ascii="Arial" w:cs="Arial" w:eastAsia="Arial" w:hAnsi="Arial"/>
                <w:sz w:val="17"/>
                <w:szCs w:val="17"/>
                <w:color w:val="auto"/>
              </w:rPr>
              <w:t>Waste Management, Inc. stockholders’ equity: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1"/>
              </w:rPr>
              <w:t>Common stock, $0.01 par value; 1,500,000,000 shares authorized; 630,282,461 shares issued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3"/>
        </w:trPr>
        <w:tc>
          <w:tcPr>
            <w:tcW w:w="672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5,071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5,129</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11,337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11,159</w:t>
            </w:r>
          </w:p>
        </w:tc>
        <w:tc>
          <w:tcPr>
            <w:tcW w:w="0" w:type="dxa"/>
            <w:vAlign w:val="bottom"/>
          </w:tcPr>
          <w:p>
            <w:pPr>
              <w:spacing w:after="0"/>
              <w:rPr>
                <w:sz w:val="1"/>
                <w:szCs w:val="1"/>
                <w:color w:val="auto"/>
              </w:rPr>
            </w:pPr>
          </w:p>
        </w:tc>
      </w:tr>
      <w:tr>
        <w:trPr>
          <w:trHeight w:val="203"/>
        </w:trPr>
        <w:tc>
          <w:tcPr>
            <w:tcW w:w="6720" w:type="dxa"/>
            <w:vAlign w:val="bottom"/>
          </w:tcPr>
          <w:p>
            <w:pPr>
              <w:ind w:left="220"/>
              <w:spacing w:after="0"/>
              <w:rPr>
                <w:sz w:val="20"/>
                <w:szCs w:val="20"/>
                <w:color w:val="auto"/>
              </w:rPr>
            </w:pPr>
            <w:r>
              <w:rPr>
                <w:rFonts w:ascii="Arial" w:cs="Arial" w:eastAsia="Arial" w:hAnsi="Arial"/>
                <w:sz w:val="17"/>
                <w:szCs w:val="17"/>
                <w:color w:val="auto"/>
              </w:rPr>
              <w:t>Accumulated other comprehensive income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Treasury stock at cost, 208,200,661 and 207,480,827 shares, respectively</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(9,035)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(8,881)</w:t>
            </w:r>
          </w:p>
        </w:tc>
        <w:tc>
          <w:tcPr>
            <w:tcW w:w="0" w:type="dxa"/>
            <w:vAlign w:val="bottom"/>
          </w:tcPr>
          <w:p>
            <w:pPr>
              <w:spacing w:after="0"/>
              <w:rPr>
                <w:sz w:val="1"/>
                <w:szCs w:val="1"/>
                <w:color w:val="auto"/>
              </w:rPr>
            </w:pPr>
          </w:p>
        </w:tc>
      </w:tr>
      <w:tr>
        <w:trPr>
          <w:trHeight w:val="196"/>
        </w:trPr>
        <w:tc>
          <w:tcPr>
            <w:tcW w:w="6720" w:type="dxa"/>
            <w:vAlign w:val="bottom"/>
          </w:tcPr>
          <w:p>
            <w:pPr>
              <w:ind w:left="320"/>
              <w:spacing w:after="0"/>
              <w:rPr>
                <w:sz w:val="20"/>
                <w:szCs w:val="20"/>
                <w:color w:val="auto"/>
              </w:rPr>
            </w:pPr>
            <w:r>
              <w:rPr>
                <w:rFonts w:ascii="Arial" w:cs="Arial" w:eastAsia="Arial" w:hAnsi="Arial"/>
                <w:sz w:val="17"/>
                <w:szCs w:val="17"/>
                <w:color w:val="auto"/>
              </w:rPr>
              <w:t>Total Waste Management, Inc. stockholders’ equity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7,427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7,452</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Noncontrolling interests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equity</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7,429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7,454</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liabilities and equity</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29,070</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29,345</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CONDENSED CONSOLIDATED STATEMENTS OF OPERATIONS (In Millions, Except per Share Amounts) (Unaudited)</w:t>
      </w:r>
    </w:p>
    <w:p>
      <w:pPr>
        <w:spacing w:after="0" w:line="185"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Three Months Ended</w:t>
      </w:r>
    </w:p>
    <w:p>
      <w:pPr>
        <w:ind w:left="77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61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3"/>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3"/>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8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   4,112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3,729</w:t>
            </w:r>
          </w:p>
        </w:tc>
        <w:tc>
          <w:tcPr>
            <w:tcW w:w="0" w:type="dxa"/>
            <w:vAlign w:val="bottom"/>
          </w:tcPr>
          <w:p>
            <w:pPr>
              <w:spacing w:after="0"/>
              <w:rPr>
                <w:sz w:val="1"/>
                <w:szCs w:val="1"/>
                <w:color w:val="auto"/>
              </w:rPr>
            </w:pPr>
          </w:p>
        </w:tc>
      </w:tr>
      <w:tr>
        <w:trPr>
          <w:trHeight w:val="209"/>
        </w:trPr>
        <w:tc>
          <w:tcPr>
            <w:tcW w:w="6180" w:type="dxa"/>
            <w:vAlign w:val="bottom"/>
          </w:tcPr>
          <w:p>
            <w:pPr>
              <w:spacing w:after="0"/>
              <w:rPr>
                <w:sz w:val="20"/>
                <w:szCs w:val="20"/>
                <w:color w:val="auto"/>
              </w:rPr>
            </w:pPr>
            <w:r>
              <w:rPr>
                <w:rFonts w:ascii="Arial" w:cs="Arial" w:eastAsia="Arial" w:hAnsi="Arial"/>
                <w:sz w:val="18"/>
                <w:szCs w:val="18"/>
                <w:color w:val="auto"/>
              </w:rPr>
              <w:t>Costs and expenses: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1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2,329</w:t>
            </w:r>
          </w:p>
        </w:tc>
        <w:tc>
          <w:tcPr>
            <w:tcW w:w="0" w:type="dxa"/>
            <w:vAlign w:val="bottom"/>
          </w:tcPr>
          <w:p>
            <w:pPr>
              <w:spacing w:after="0"/>
              <w:rPr>
                <w:sz w:val="1"/>
                <w:szCs w:val="1"/>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458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loss from divestitures, asset impairments and unusual items, net</w:t>
            </w:r>
          </w:p>
        </w:tc>
        <w:tc>
          <w:tcPr>
            <w:tcW w:w="8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3,462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3,156</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650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09"/>
        </w:trPr>
        <w:tc>
          <w:tcPr>
            <w:tcW w:w="6180" w:type="dxa"/>
            <w:vAlign w:val="bottom"/>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Equity in net losses of unconsolidated entities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8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8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9"/>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Less: Net loss attributable to noncontrolling interests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421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Basic earnings per common share</w:t>
            </w:r>
          </w:p>
        </w:tc>
        <w:tc>
          <w:tcPr>
            <w:tcW w:w="8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80" w:type="dxa"/>
            <w:vAlign w:val="bottom"/>
            <w:tcBorders>
              <w:bottom w:val="single" w:sz="8" w:color="CCEEFF"/>
            </w:tcBorders>
            <w:vMerge w:val="continue"/>
          </w:tcPr>
          <w:p>
            <w:pPr>
              <w:spacing w:after="0"/>
              <w:rPr>
                <w:sz w:val="20"/>
                <w:szCs w:val="20"/>
                <w:color w:val="auto"/>
              </w:rPr>
            </w:pPr>
          </w:p>
        </w:tc>
        <w:tc>
          <w:tcPr>
            <w:tcW w:w="8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0"/>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1.00</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197"/>
        </w:trPr>
        <w:tc>
          <w:tcPr>
            <w:tcW w:w="61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common share</w:t>
            </w:r>
          </w:p>
        </w:tc>
        <w:tc>
          <w:tcPr>
            <w:tcW w:w="8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0.99</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706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8040" w:type="dxa"/>
            <w:vAlign w:val="bottom"/>
            <w:gridSpan w:val="6"/>
          </w:tcPr>
          <w:p>
            <w:pPr>
              <w:jc w:val="center"/>
              <w:ind w:left="77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80" w:type="dxa"/>
            <w:vAlign w:val="bottom"/>
          </w:tcPr>
          <w:p>
            <w:pPr>
              <w:jc w:val="center"/>
              <w:ind w:left="2610"/>
              <w:spacing w:after="0"/>
              <w:rPr>
                <w:sz w:val="20"/>
                <w:szCs w:val="20"/>
                <w:color w:val="auto"/>
              </w:rPr>
            </w:pPr>
            <w:r>
              <w:rPr>
                <w:rFonts w:ascii="Arial" w:cs="Arial" w:eastAsia="Arial" w:hAnsi="Arial"/>
                <w:sz w:val="18"/>
                <w:szCs w:val="18"/>
                <w:b w:val="1"/>
                <w:bCs w:val="1"/>
                <w:color w:val="auto"/>
                <w:w w:val="95"/>
              </w:rPr>
              <w:t>(In Millions)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80" w:type="dxa"/>
            <w:vAlign w:val="bottom"/>
          </w:tcPr>
          <w:p>
            <w:pPr>
              <w:jc w:val="center"/>
              <w:ind w:left="2610"/>
              <w:spacing w:after="0"/>
              <w:rPr>
                <w:sz w:val="20"/>
                <w:szCs w:val="20"/>
                <w:color w:val="auto"/>
              </w:rPr>
            </w:pPr>
            <w:r>
              <w:rPr>
                <w:rFonts w:ascii="Arial" w:cs="Arial" w:eastAsia="Arial" w:hAnsi="Arial"/>
                <w:sz w:val="18"/>
                <w:szCs w:val="18"/>
                <w:b w:val="1"/>
                <w:bCs w:val="1"/>
                <w:color w:val="auto"/>
                <w:w w:val="91"/>
              </w:rPr>
              <w:t>(Unaudited)</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6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6"/>
          </w:tcPr>
          <w:p>
            <w:pPr>
              <w:jc w:val="right"/>
              <w:ind w:right="1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20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instruments, net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Available-for-sale securities, net</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Post-retirement benefit obligations, net</w:t>
            </w:r>
          </w:p>
        </w:tc>
        <w:tc>
          <w:tcPr>
            <w:tcW w:w="8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Comprehensive income</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120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right"/>
              <w:ind w:right="27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Consolidated net income</w:t>
            </w:r>
          </w:p>
        </w:tc>
        <w:tc>
          <w:tcPr>
            <w:tcW w:w="28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421</w:t>
            </w:r>
          </w:p>
        </w:tc>
        <w:tc>
          <w:tcPr>
            <w:tcW w:w="180" w:type="dxa"/>
            <w:vAlign w:val="bottom"/>
          </w:tcPr>
          <w:p>
            <w:pPr>
              <w:spacing w:after="0"/>
              <w:rPr>
                <w:sz w:val="17"/>
                <w:szCs w:val="17"/>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w w:val="95"/>
              </w:rPr>
              <w:t>Adjustments to reconcile consolidated net income to net cash provided by operating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income tax benefit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Interest accretion on landfill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Provision for bad debts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Equity-based compensation expense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gain on disposal of assets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Loss from divestitures, asset impairments and other, net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Equity in net losses of unconsolidated entities, net of dividends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w w:val="99"/>
              </w:rPr>
              <w:t>Change in operating assets and liabilities, net of effects of acquisitions and divestitures: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Receivables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400"/>
              <w:spacing w:after="0"/>
              <w:rPr>
                <w:sz w:val="20"/>
                <w:szCs w:val="20"/>
                <w:color w:val="auto"/>
              </w:rPr>
            </w:pPr>
            <w:r>
              <w:rPr>
                <w:rFonts w:ascii="Arial" w:cs="Arial" w:eastAsia="Arial" w:hAnsi="Arial"/>
                <w:sz w:val="17"/>
                <w:szCs w:val="17"/>
                <w:color w:val="auto"/>
              </w:rPr>
              <w:t>Other current assets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400"/>
              <w:spacing w:after="0"/>
              <w:rPr>
                <w:sz w:val="20"/>
                <w:szCs w:val="20"/>
                <w:color w:val="auto"/>
              </w:rPr>
            </w:pPr>
            <w:r>
              <w:rPr>
                <w:rFonts w:ascii="Arial" w:cs="Arial" w:eastAsia="Arial" w:hAnsi="Arial"/>
                <w:sz w:val="17"/>
                <w:szCs w:val="17"/>
                <w:color w:val="auto"/>
              </w:rPr>
              <w:t>Accounts payable and accrued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Deferred revenues and other liabilities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1,120</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Acquisitions of businesses, net of cash acquired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Capital expenditures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Proceeds from divestitures of businesses and other assets (net of cash divested)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net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New borrowings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Debt repayments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Commercial paper repayments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(280)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Common stock repurchase program</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Cash dividends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Exercise of common stock options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Tax payments associated with equity-based compensation transactions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net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used in financing activities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(830)</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76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Effect of exchange rate changes on cash, cash equivalents and restricted cash and cash</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equivalents</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Decrease in cash, cash equivalents and restricted cash and cash equivalents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 and cash equivalents at beginning of period</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3,647</w:t>
            </w:r>
          </w:p>
        </w:tc>
        <w:tc>
          <w:tcPr>
            <w:tcW w:w="0" w:type="dxa"/>
            <w:vAlign w:val="bottom"/>
          </w:tcPr>
          <w:p>
            <w:pPr>
              <w:spacing w:after="0"/>
              <w:rPr>
                <w:sz w:val="1"/>
                <w:szCs w:val="1"/>
                <w:color w:val="auto"/>
              </w:rPr>
            </w:pPr>
          </w:p>
        </w:tc>
      </w:tr>
      <w:tr>
        <w:trPr>
          <w:trHeight w:val="236"/>
        </w:trPr>
        <w:tc>
          <w:tcPr>
            <w:tcW w:w="6780" w:type="dxa"/>
            <w:vAlign w:val="bottom"/>
            <w:gridSpan w:val="2"/>
          </w:tcPr>
          <w:p>
            <w:pPr>
              <w:spacing w:after="0"/>
              <w:rPr>
                <w:sz w:val="20"/>
                <w:szCs w:val="20"/>
                <w:color w:val="auto"/>
              </w:rPr>
            </w:pPr>
            <w:r>
              <w:rPr>
                <w:rFonts w:ascii="Arial" w:cs="Arial" w:eastAsia="Arial" w:hAnsi="Arial"/>
                <w:sz w:val="17"/>
                <w:szCs w:val="17"/>
                <w:color w:val="auto"/>
              </w:rPr>
              <w:t>Cash, cash equivalents and restricted cash and cash equivalents at end of period</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7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w w:val="90"/>
              </w:rPr>
              <w:t>Reconciliation of cash, cash equivalents and restricted cash and cash equivalents at end of period: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w:t>
            </w: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Restricted cash and cash equivalents included in other current assets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 and cash equivalents included in restricted trust and escrow accounts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96"/>
        </w:trPr>
        <w:tc>
          <w:tcPr>
            <w:tcW w:w="6780" w:type="dxa"/>
            <w:vAlign w:val="bottom"/>
            <w:gridSpan w:val="2"/>
          </w:tcPr>
          <w:p>
            <w:pPr>
              <w:spacing w:after="0"/>
              <w:rPr>
                <w:sz w:val="20"/>
                <w:szCs w:val="20"/>
                <w:color w:val="auto"/>
              </w:rPr>
            </w:pPr>
            <w:r>
              <w:rPr>
                <w:rFonts w:ascii="Arial" w:cs="Arial" w:eastAsia="Arial" w:hAnsi="Arial"/>
                <w:sz w:val="17"/>
                <w:szCs w:val="17"/>
                <w:color w:val="auto"/>
              </w:rPr>
              <w:t>Cash, cash equivalents and restricted cash and cash equivalents at end of period</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606</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ind w:left="3260"/>
        <w:spacing w:after="0"/>
        <w:rPr>
          <w:sz w:val="20"/>
          <w:szCs w:val="20"/>
          <w:color w:val="auto"/>
        </w:rPr>
      </w:pPr>
      <w:r>
        <w:rPr>
          <w:rFonts w:ascii="Arial" w:cs="Arial" w:eastAsia="Arial" w:hAnsi="Arial"/>
          <w:sz w:val="18"/>
          <w:szCs w:val="18"/>
          <w:b w:val="1"/>
          <w:bCs w:val="1"/>
          <w:color w:val="auto"/>
        </w:rPr>
        <w:t>WASTE MANAGEMENT, INC.</w:t>
      </w:r>
    </w:p>
    <w:p>
      <w:pPr>
        <w:spacing w:after="0" w:line="158"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5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2"/>
          </w:tcPr>
          <w:p>
            <w:pPr>
              <w:ind w:left="200"/>
              <w:spacing w:after="0"/>
              <w:rPr>
                <w:sz w:val="20"/>
                <w:szCs w:val="20"/>
                <w:color w:val="auto"/>
              </w:rPr>
            </w:pPr>
            <w:r>
              <w:rPr>
                <w:rFonts w:ascii="Arial" w:cs="Arial" w:eastAsia="Arial" w:hAnsi="Arial"/>
                <w:sz w:val="13"/>
                <w:szCs w:val="13"/>
                <w:b w:val="1"/>
                <w:bCs w:val="1"/>
                <w:color w:val="auto"/>
              </w:rPr>
              <w:t>Waste Management, Inc. Stockholders’ Equity</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29"/>
        </w:trPr>
        <w:tc>
          <w:tcPr>
            <w:tcW w:w="3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3"/>
              </w:rPr>
              <w:t>Accumulated</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3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Additional</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Other</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1"/>
        </w:trPr>
        <w:tc>
          <w:tcPr>
            <w:tcW w:w="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5"/>
          </w:tcPr>
          <w:p>
            <w:pPr>
              <w:ind w:left="1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Paid-In</w:t>
            </w: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Retained</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Comprehensive</w:t>
            </w:r>
          </w:p>
        </w:tc>
        <w:tc>
          <w:tcPr>
            <w:tcW w:w="128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Treasury Stock</w:t>
            </w: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Noncontrolling</w:t>
            </w:r>
          </w:p>
        </w:tc>
      </w:tr>
      <w:tr>
        <w:trPr>
          <w:trHeight w:val="142"/>
        </w:trPr>
        <w:tc>
          <w:tcPr>
            <w:tcW w:w="3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60" w:type="dxa"/>
            <w:vAlign w:val="bottom"/>
            <w:gridSpan w:val="2"/>
          </w:tcPr>
          <w:p>
            <w:pPr>
              <w:ind w:left="100"/>
              <w:spacing w:after="0" w:line="142" w:lineRule="exact"/>
              <w:rPr>
                <w:sz w:val="20"/>
                <w:szCs w:val="20"/>
                <w:color w:val="auto"/>
              </w:rPr>
            </w:pPr>
            <w:r>
              <w:rPr>
                <w:rFonts w:ascii="Arial" w:cs="Arial" w:eastAsia="Arial" w:hAnsi="Arial"/>
                <w:sz w:val="13"/>
                <w:szCs w:val="13"/>
                <w:b w:val="1"/>
                <w:bCs w:val="1"/>
                <w:color w:val="auto"/>
              </w:rPr>
              <w:t>Total</w:t>
            </w:r>
          </w:p>
        </w:tc>
        <w:tc>
          <w:tcPr>
            <w:tcW w:w="6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3"/>
                <w:szCs w:val="13"/>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88"/>
              </w:rPr>
              <w:t>Amounts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Capital</w:t>
            </w:r>
          </w:p>
        </w:tc>
        <w:tc>
          <w:tcPr>
            <w:tcW w:w="64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Earnings</w:t>
            </w:r>
          </w:p>
        </w:tc>
        <w:tc>
          <w:tcPr>
            <w:tcW w:w="980" w:type="dxa"/>
            <w:vAlign w:val="bottom"/>
            <w:gridSpan w:val="3"/>
          </w:tcPr>
          <w:p>
            <w:pPr>
              <w:jc w:val="center"/>
              <w:ind w:right="60"/>
              <w:spacing w:after="0" w:line="142" w:lineRule="exact"/>
              <w:rPr>
                <w:sz w:val="20"/>
                <w:szCs w:val="20"/>
                <w:color w:val="auto"/>
              </w:rPr>
            </w:pPr>
            <w:r>
              <w:rPr>
                <w:rFonts w:ascii="Arial" w:cs="Arial" w:eastAsia="Arial" w:hAnsi="Arial"/>
                <w:sz w:val="13"/>
                <w:szCs w:val="13"/>
                <w:b w:val="1"/>
                <w:bCs w:val="1"/>
                <w:color w:val="auto"/>
                <w:w w:val="90"/>
              </w:rPr>
              <w:t>Income (Loss)</w:t>
            </w:r>
          </w:p>
        </w:tc>
        <w:tc>
          <w:tcPr>
            <w:tcW w:w="68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2"/>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28"/>
              <w:spacing w:after="0" w:line="142" w:lineRule="exact"/>
              <w:rPr>
                <w:sz w:val="20"/>
                <w:szCs w:val="20"/>
                <w:color w:val="auto"/>
              </w:rPr>
            </w:pPr>
            <w:r>
              <w:rPr>
                <w:rFonts w:ascii="Arial" w:cs="Arial" w:eastAsia="Arial" w:hAnsi="Arial"/>
                <w:sz w:val="13"/>
                <w:szCs w:val="13"/>
                <w:b w:val="1"/>
                <w:bCs w:val="1"/>
                <w:color w:val="auto"/>
              </w:rPr>
              <w:t>Interests</w:t>
            </w:r>
          </w:p>
        </w:tc>
      </w:tr>
      <w:tr>
        <w:trPr>
          <w:trHeight w:val="128"/>
        </w:trPr>
        <w:tc>
          <w:tcPr>
            <w:tcW w:w="2620" w:type="dxa"/>
            <w:vAlign w:val="bottom"/>
            <w:tcBorders>
              <w:top w:val="single" w:sz="8" w:color="CCEEFF"/>
              <w:left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r>
      <w:tr>
        <w:trPr>
          <w:trHeight w:val="20"/>
        </w:trPr>
        <w:tc>
          <w:tcPr>
            <w:tcW w:w="300" w:type="dxa"/>
            <w:vAlign w:val="bottom"/>
            <w:tcBorders>
              <w:left w:val="single" w:sz="8" w:color="CCEEFF"/>
            </w:tcBorders>
            <w:shd w:val="clear" w:color="auto" w:fill="000000"/>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42"/>
        </w:trPr>
        <w:tc>
          <w:tcPr>
            <w:tcW w:w="26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Balance, December 31, 2020</w:t>
            </w: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w w:val="89"/>
              </w:rPr>
              <w:t>$ 7,454</w:t>
            </w:r>
          </w:p>
        </w:tc>
        <w:tc>
          <w:tcPr>
            <w:tcW w:w="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100" w:type="dxa"/>
            <w:vAlign w:val="bottom"/>
          </w:tcPr>
          <w:p>
            <w:pPr>
              <w:ind w:left="20"/>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5,129</w:t>
            </w:r>
          </w:p>
        </w:tc>
        <w:tc>
          <w:tcPr>
            <w:tcW w:w="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w w:val="91"/>
              </w:rPr>
              <w:t>$ 11,159</w:t>
            </w:r>
          </w:p>
        </w:tc>
        <w:tc>
          <w:tcPr>
            <w:tcW w:w="6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39</w:t>
            </w: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(207,481)</w:t>
            </w:r>
          </w:p>
        </w:tc>
        <w:tc>
          <w:tcPr>
            <w:tcW w:w="6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w w:val="92"/>
              </w:rPr>
              <w:t>$ (8,881)</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9"/>
        </w:trPr>
        <w:tc>
          <w:tcPr>
            <w:tcW w:w="262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620" w:type="dxa"/>
            <w:vAlign w:val="bottom"/>
            <w:gridSpan w:val="2"/>
          </w:tcPr>
          <w:p>
            <w:pPr>
              <w:ind w:left="20"/>
              <w:spacing w:after="0" w:line="130" w:lineRule="exact"/>
              <w:rPr>
                <w:sz w:val="20"/>
                <w:szCs w:val="20"/>
                <w:color w:val="auto"/>
              </w:rPr>
            </w:pPr>
            <w:r>
              <w:rPr>
                <w:rFonts w:ascii="Arial" w:cs="Arial" w:eastAsia="Arial" w:hAnsi="Arial"/>
                <w:sz w:val="14"/>
                <w:szCs w:val="14"/>
                <w:color w:val="auto"/>
                <w:w w:val="97"/>
              </w:rPr>
              <w:t>Other comprehensive income (loss), net of</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620" w:type="dxa"/>
            <w:vAlign w:val="bottom"/>
            <w:gridSpan w:val="2"/>
          </w:tcPr>
          <w:p>
            <w:pPr>
              <w:ind w:left="140"/>
              <w:spacing w:after="0"/>
              <w:rPr>
                <w:sz w:val="20"/>
                <w:szCs w:val="20"/>
                <w:color w:val="auto"/>
              </w:rPr>
            </w:pPr>
            <w:r>
              <w:rPr>
                <w:rFonts w:ascii="Arial" w:cs="Arial" w:eastAsia="Arial" w:hAnsi="Arial"/>
                <w:sz w:val="14"/>
                <w:szCs w:val="14"/>
                <w:color w:val="auto"/>
              </w:rPr>
              <w:t>tax</w:t>
            </w:r>
          </w:p>
        </w:tc>
        <w:tc>
          <w:tcPr>
            <w:tcW w:w="500" w:type="dxa"/>
            <w:vAlign w:val="bottom"/>
          </w:tcPr>
          <w:p>
            <w:pPr>
              <w:jc w:val="right"/>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20" w:type="dxa"/>
            <w:vAlign w:val="bottom"/>
            <w:tcBorders>
              <w:left w:val="single" w:sz="8" w:color="CCEEFF"/>
            </w:tcBorders>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Cash dividends declared of $0.575 per</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62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common share</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(247)</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(247)</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2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Equity-based compensation transactions,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620" w:type="dxa"/>
            <w:vAlign w:val="bottom"/>
            <w:gridSpan w:val="2"/>
          </w:tcPr>
          <w:p>
            <w:pPr>
              <w:ind w:left="140"/>
              <w:spacing w:after="0"/>
              <w:rPr>
                <w:sz w:val="20"/>
                <w:szCs w:val="20"/>
                <w:color w:val="auto"/>
              </w:rPr>
            </w:pPr>
            <w:r>
              <w:rPr>
                <w:rFonts w:ascii="Arial" w:cs="Arial" w:eastAsia="Arial" w:hAnsi="Arial"/>
                <w:sz w:val="14"/>
                <w:szCs w:val="14"/>
                <w:color w:val="auto"/>
              </w:rPr>
              <w:t>net</w:t>
            </w:r>
          </w:p>
        </w:tc>
        <w:tc>
          <w:tcPr>
            <w:tcW w:w="500" w:type="dxa"/>
            <w:vAlign w:val="bottom"/>
          </w:tcPr>
          <w:p>
            <w:pPr>
              <w:jc w:val="right"/>
              <w:spacing w:after="0"/>
              <w:rPr>
                <w:sz w:val="20"/>
                <w:szCs w:val="20"/>
                <w:color w:val="auto"/>
              </w:rPr>
            </w:pPr>
            <w:r>
              <w:rPr>
                <w:rFonts w:ascii="Arial" w:cs="Arial" w:eastAsia="Arial" w:hAnsi="Arial"/>
                <w:sz w:val="14"/>
                <w:szCs w:val="14"/>
                <w:color w:val="auto"/>
              </w:rPr>
              <w:t>42</w:t>
            </w:r>
          </w:p>
        </w:tc>
        <w:tc>
          <w:tcPr>
            <w:tcW w:w="6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(8)</w:t>
            </w: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1,089</w:t>
            </w: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62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(250)</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(1,809)</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net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620" w:type="dxa"/>
            <w:vAlign w:val="bottom"/>
            <w:tcBorders>
              <w:top w:val="single" w:sz="8" w:color="CCEEFF"/>
              <w:left w:val="single" w:sz="8" w:color="CCEEFF"/>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March 31, 2021</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$ 7,429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5,071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$ 11,337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(208,201)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 (9,035)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20"/>
        </w:trPr>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62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2020</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300" w:type="dxa"/>
            <w:vAlign w:val="bottom"/>
            <w:tcBorders>
              <w:left w:val="single" w:sz="8" w:color="CCEEFF"/>
            </w:tcBorders>
            <w:shd w:val="clear" w:color="auto" w:fill="000000"/>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42"/>
        </w:trPr>
        <w:tc>
          <w:tcPr>
            <w:tcW w:w="26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Balance, December 31, 2019</w:t>
            </w: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w w:val="89"/>
              </w:rPr>
              <w:t>$ 7,070</w:t>
            </w:r>
          </w:p>
        </w:tc>
        <w:tc>
          <w:tcPr>
            <w:tcW w:w="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100" w:type="dxa"/>
            <w:vAlign w:val="bottom"/>
          </w:tcPr>
          <w:p>
            <w:pPr>
              <w:ind w:left="20"/>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5,049</w:t>
            </w:r>
          </w:p>
        </w:tc>
        <w:tc>
          <w:tcPr>
            <w:tcW w:w="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w w:val="91"/>
              </w:rPr>
              <w:t>$ 10,592</w:t>
            </w:r>
          </w:p>
        </w:tc>
        <w:tc>
          <w:tcPr>
            <w:tcW w:w="6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(8)</w:t>
            </w:r>
          </w:p>
        </w:tc>
        <w:tc>
          <w:tcPr>
            <w:tcW w:w="6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(205,956)</w:t>
            </w:r>
          </w:p>
        </w:tc>
        <w:tc>
          <w:tcPr>
            <w:tcW w:w="6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w w:val="92"/>
              </w:rPr>
              <w:t>$ (8,571)</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8"/>
        </w:trPr>
        <w:tc>
          <w:tcPr>
            <w:tcW w:w="262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Adoption of new accounting standard</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361</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620" w:type="dxa"/>
            <w:vAlign w:val="bottom"/>
            <w:tcBorders>
              <w:left w:val="single" w:sz="8" w:color="CCEEFF"/>
            </w:tcBorders>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Other comprehensive income (loss), net of</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62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tax</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(83)</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2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Cash dividends declared of $0.545 per</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620" w:type="dxa"/>
            <w:vAlign w:val="bottom"/>
            <w:gridSpan w:val="2"/>
          </w:tcPr>
          <w:p>
            <w:pPr>
              <w:ind w:left="140"/>
              <w:spacing w:after="0"/>
              <w:rPr>
                <w:sz w:val="20"/>
                <w:szCs w:val="20"/>
                <w:color w:val="auto"/>
              </w:rPr>
            </w:pPr>
            <w:r>
              <w:rPr>
                <w:rFonts w:ascii="Arial" w:cs="Arial" w:eastAsia="Arial" w:hAnsi="Arial"/>
                <w:sz w:val="14"/>
                <w:szCs w:val="14"/>
                <w:color w:val="auto"/>
              </w:rPr>
              <w:t>common share</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(236)</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(236)</w:t>
            </w: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20" w:type="dxa"/>
            <w:vAlign w:val="bottom"/>
            <w:tcBorders>
              <w:left w:val="single" w:sz="8" w:color="CCEEFF"/>
            </w:tcBorders>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Equity-based compensation transactions,</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62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net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6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(402)</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(3,687)</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(402)</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2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net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6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Balance, March 31, 2020</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$ 6,745</w:t>
            </w:r>
          </w:p>
        </w:tc>
        <w:tc>
          <w:tcPr>
            <w:tcW w:w="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5,026</w:t>
            </w: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$ 10,718</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w:t>
            </w:r>
          </w:p>
        </w:tc>
        <w:tc>
          <w:tcPr>
            <w:tcW w:w="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(208,287)</w:t>
            </w:r>
          </w:p>
        </w:tc>
        <w:tc>
          <w:tcPr>
            <w:tcW w:w="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 (8,916)</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r>
      <w:tr>
        <w:trPr>
          <w:trHeight w:val="20"/>
        </w:trPr>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13.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9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are North America’s leading provider of comprehensive waste management environmental services,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we are also a leading developer, operator and owner of landfill gas-to-energy facilities in the U.S.</w:t>
      </w:r>
    </w:p>
    <w:p>
      <w:pPr>
        <w:spacing w:after="0" w:line="17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17 Areas. On October 30, 2020, we acquired Advanced Disposal Services, Inc. (“Advanced Disposal”), the operations of which are presented in this report within our existing Solid Waste tiers. We also provide additional services that are not managed through our Solid Waste business, which are presented in this report as “Other.” Additional information related to our segments and our acquisition of Advanced Disposal are included in Notes 7 and 8, respectively.</w:t>
      </w:r>
    </w:p>
    <w:p>
      <w:pPr>
        <w:spacing w:after="0" w:line="16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Condensed Consolidated Financial Statements as of March 31, 2021 and for the three months ended March 31, 2021 and 2020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2020.</w:t>
      </w:r>
    </w:p>
    <w:p>
      <w:pPr>
        <w:spacing w:after="0" w:line="19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the fair value of assets and liabilities acquired in business combinations or asset acquisitions and reserves associated with our insured and self-insured claims. Actual results could differ materially from the estimates and assumptions that we use in the preparation of our financial statements.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 billings are included in deferred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revenues and recognized as revenue in the period service is provided. Substantially all our deferred revenues during the reported periods are realized as revenues within one to three months when the related services are performed.</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w:t>
      </w:r>
    </w:p>
    <w:p>
      <w:pPr>
        <w:spacing w:after="0" w:line="19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As of March 31, 2021 and December 31, 2020, we had $165 million and $159 million, respectively, of deferred contract costs, of which $119 million and $118 million, respectively, was related to deferred sales incentives. For the three months ended March 31, 2021 and 2020, amortization of our sales incentives was not material to our results of operations.</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Amounts for our operating lease right-of-use assets are recorded in long-term other assets in our Condensed Consolidated Balance Sheets. The current and long-term portion of our operating lease liabilities are reflected in accrued liabilities and other long-term liabilities, respectively, in our Condensed Consolidated Balance Sheets. Amounts for our financing leases are recorded in property and equipment, net of accumulated depreciation, and current or long-term debt in our Condensed Consolidated Balance Sheets, as appropriate.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Financial instruments that potentially subject us to concentrations of credit risk consist primarily of cash and cash equivalents, investments held within our restricted trust and escrow accounts,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When necessary, reclassifications have been made to our prior period financial information to conform to the current year presentation and are not material to our consolidated financial statements. Our prior year accumulated depreciation and gross property and equipment as of December 31, 2020 were overstated and have been corrected in our current year presentation.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March 31, 2021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6"/>
              </w:rPr>
              <w:t>Landfill</w:t>
            </w:r>
          </w:p>
        </w:tc>
        <w:tc>
          <w:tcPr>
            <w:tcW w:w="1160" w:type="dxa"/>
            <w:vAlign w:val="bottom"/>
            <w:gridSpan w:val="4"/>
          </w:tcPr>
          <w:p>
            <w:pPr>
              <w:ind w:left="140"/>
              <w:spacing w:after="0" w:line="119" w:lineRule="exact"/>
              <w:rPr>
                <w:sz w:val="20"/>
                <w:szCs w:val="20"/>
                <w:color w:val="auto"/>
              </w:rPr>
            </w:pPr>
            <w:r>
              <w:rPr>
                <w:rFonts w:ascii="Arial" w:cs="Arial" w:eastAsia="Arial" w:hAnsi="Arial"/>
                <w:sz w:val="13"/>
                <w:szCs w:val="13"/>
                <w:b w:val="1"/>
                <w:bCs w:val="1"/>
                <w:color w:val="auto"/>
              </w:rPr>
              <w:t>Environmental</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6"/>
              </w:rPr>
              <w:t>Landfill</w:t>
            </w:r>
          </w:p>
        </w:tc>
        <w:tc>
          <w:tcPr>
            <w:tcW w:w="140" w:type="dxa"/>
            <w:vAlign w:val="bottom"/>
          </w:tcPr>
          <w:p>
            <w:pPr>
              <w:spacing w:after="0"/>
              <w:rPr>
                <w:sz w:val="10"/>
                <w:szCs w:val="10"/>
                <w:color w:val="auto"/>
              </w:rPr>
            </w:pPr>
          </w:p>
        </w:tc>
        <w:tc>
          <w:tcPr>
            <w:tcW w:w="11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Environmental</w:t>
            </w:r>
          </w:p>
        </w:tc>
        <w:tc>
          <w:tcPr>
            <w:tcW w:w="140" w:type="dxa"/>
            <w:vAlign w:val="bottom"/>
          </w:tcPr>
          <w:p>
            <w:pPr>
              <w:spacing w:after="0"/>
              <w:rPr>
                <w:sz w:val="10"/>
                <w:szCs w:val="10"/>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Remediation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Remediation</w:t>
            </w: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three months ended March 31, 2021 are reflected in the table below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Landfill</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Environmental</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0" w:type="dxa"/>
            <w:vAlign w:val="bottom"/>
          </w:tcPr>
          <w:p>
            <w:pPr>
              <w:spacing w:after="0"/>
              <w:rPr>
                <w:sz w:val="1"/>
                <w:szCs w:val="1"/>
                <w:color w:val="auto"/>
              </w:rPr>
            </w:pPr>
          </w:p>
        </w:tc>
      </w:tr>
      <w:tr>
        <w:trPr>
          <w:trHeight w:val="209"/>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Obligations incurred and capitalized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Interest accretion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Acquisitions, divestitures and other adjustments</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13 for additional information related to these trusts.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summarizes the major components of debt as of each balance sheet date (in millions) and provides the maturities and interest rate ranges of each major category as of March 31, 2021:</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r>
      <w:tr>
        <w:trPr>
          <w:trHeight w:val="182"/>
        </w:trPr>
        <w:tc>
          <w:tcPr>
            <w:tcW w:w="20" w:type="dxa"/>
            <w:vAlign w:val="bottom"/>
          </w:tcPr>
          <w:p>
            <w:pPr>
              <w:spacing w:after="0"/>
              <w:rPr>
                <w:sz w:val="15"/>
                <w:szCs w:val="15"/>
                <w:color w:val="auto"/>
              </w:rPr>
            </w:pPr>
          </w:p>
        </w:tc>
        <w:tc>
          <w:tcPr>
            <w:tcW w:w="67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4"/>
              </w:rPr>
              <w:t>Commercial paper program (weighted average interest rate of 0.4% as of March 31, 2021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and December 31, 2020)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r>
      <w:tr>
        <w:trPr>
          <w:trHeight w:val="202"/>
        </w:trPr>
        <w:tc>
          <w:tcPr>
            <w:tcW w:w="20" w:type="dxa"/>
            <w:vAlign w:val="bottom"/>
          </w:tcPr>
          <w:p>
            <w:pPr>
              <w:spacing w:after="0"/>
              <w:rPr>
                <w:sz w:val="17"/>
                <w:szCs w:val="17"/>
                <w:color w:val="auto"/>
              </w:rPr>
            </w:pPr>
          </w:p>
        </w:tc>
        <w:tc>
          <w:tcPr>
            <w:tcW w:w="6760" w:type="dxa"/>
            <w:vAlign w:val="bottom"/>
            <w:gridSpan w:val="2"/>
          </w:tcPr>
          <w:p>
            <w:pPr>
              <w:spacing w:after="0" w:line="201" w:lineRule="exact"/>
              <w:rPr>
                <w:sz w:val="20"/>
                <w:szCs w:val="20"/>
                <w:color w:val="auto"/>
              </w:rPr>
            </w:pPr>
            <w:r>
              <w:rPr>
                <w:rFonts w:ascii="Arial" w:cs="Arial" w:eastAsia="Arial" w:hAnsi="Arial"/>
                <w:sz w:val="18"/>
                <w:szCs w:val="18"/>
                <w:color w:val="auto"/>
                <w:w w:val="92"/>
              </w:rPr>
              <w:t>Senior notes, maturing through 2050, interest rates ranging from 0.75% to 7.75% (weighted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760" w:type="dxa"/>
            <w:vAlign w:val="bottom"/>
            <w:gridSpan w:val="2"/>
          </w:tcPr>
          <w:p>
            <w:pPr>
              <w:ind w:left="120"/>
              <w:spacing w:after="0"/>
              <w:rPr>
                <w:sz w:val="20"/>
                <w:szCs w:val="20"/>
                <w:color w:val="auto"/>
              </w:rPr>
            </w:pPr>
            <w:r>
              <w:rPr>
                <w:rFonts w:ascii="Arial" w:cs="Arial" w:eastAsia="Arial" w:hAnsi="Arial"/>
                <w:sz w:val="18"/>
                <w:szCs w:val="18"/>
                <w:color w:val="auto"/>
              </w:rPr>
              <w:t>average interest rate of 3.3% as of March 31, 2021 and December 31, 2020)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8,465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8,465</w:t>
            </w: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Canadian senior notes, C$500 million maturing September 2026, interest rate of 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02"/>
        </w:trPr>
        <w:tc>
          <w:tcPr>
            <w:tcW w:w="20" w:type="dxa"/>
            <w:vAlign w:val="bottom"/>
          </w:tcPr>
          <w:p>
            <w:pPr>
              <w:spacing w:after="0"/>
              <w:rPr>
                <w:sz w:val="17"/>
                <w:szCs w:val="17"/>
                <w:color w:val="auto"/>
              </w:rPr>
            </w:pPr>
          </w:p>
        </w:tc>
        <w:tc>
          <w:tcPr>
            <w:tcW w:w="6760" w:type="dxa"/>
            <w:vAlign w:val="bottom"/>
            <w:gridSpan w:val="2"/>
          </w:tcPr>
          <w:p>
            <w:pPr>
              <w:spacing w:after="0" w:line="201" w:lineRule="exact"/>
              <w:rPr>
                <w:sz w:val="20"/>
                <w:szCs w:val="20"/>
                <w:color w:val="auto"/>
              </w:rPr>
            </w:pPr>
            <w:r>
              <w:rPr>
                <w:rFonts w:ascii="Arial" w:cs="Arial" w:eastAsia="Arial" w:hAnsi="Arial"/>
                <w:sz w:val="18"/>
                <w:szCs w:val="18"/>
                <w:color w:val="auto"/>
                <w:w w:val="95"/>
              </w:rPr>
              <w:t>Tax-exempt bonds, maturing through 2048, fixed and variable interest rates ranging from</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20"/>
              <w:spacing w:after="0"/>
              <w:rPr>
                <w:sz w:val="20"/>
                <w:szCs w:val="20"/>
                <w:color w:val="auto"/>
              </w:rPr>
            </w:pPr>
            <w:r>
              <w:rPr>
                <w:rFonts w:ascii="Arial" w:cs="Arial" w:eastAsia="Arial" w:hAnsi="Arial"/>
                <w:sz w:val="18"/>
                <w:szCs w:val="18"/>
                <w:color w:val="auto"/>
              </w:rPr>
              <w:t>0.1% to 4.3% (weighted average interest rate of 1.7% as of March 31, 2021 and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760" w:type="dxa"/>
            <w:vAlign w:val="bottom"/>
            <w:gridSpan w:val="2"/>
          </w:tcPr>
          <w:p>
            <w:pPr>
              <w:ind w:left="120"/>
              <w:spacing w:after="0"/>
              <w:rPr>
                <w:sz w:val="20"/>
                <w:szCs w:val="20"/>
                <w:color w:val="auto"/>
              </w:rPr>
            </w:pPr>
            <w:r>
              <w:rPr>
                <w:rFonts w:ascii="Arial" w:cs="Arial" w:eastAsia="Arial" w:hAnsi="Arial"/>
                <w:sz w:val="18"/>
                <w:szCs w:val="18"/>
                <w:color w:val="auto"/>
              </w:rPr>
              <w:t>December 31, 2020)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2,571</w:t>
            </w:r>
          </w:p>
        </w:tc>
      </w:tr>
      <w:tr>
        <w:trPr>
          <w:trHeight w:val="202"/>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Financing leases and other, maturing through 2085, weighted average interest rate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of 4.6% (a)</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Debt issuance costs, discounts and other</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13,810</w:t>
            </w: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4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Excluding our landfill financing leases, the maturities of our financing leases and other debt obligations extend through 2059.</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March 31, 2021, we had approximately $3.0 billion of debt maturing within the next 12 months, including</w:t>
      </w:r>
    </w:p>
    <w:p>
      <w:pPr>
        <w:spacing w:after="0" w:line="35" w:lineRule="exact"/>
        <w:rPr>
          <w:sz w:val="20"/>
          <w:szCs w:val="20"/>
          <w:color w:val="auto"/>
        </w:rPr>
      </w:pPr>
    </w:p>
    <w:p>
      <w:pPr>
        <w:jc w:val="both"/>
        <w:ind w:left="60" w:right="59" w:hanging="10"/>
        <w:spacing w:after="0" w:line="265" w:lineRule="auto"/>
        <w:tabs>
          <w:tab w:leader="none" w:pos="286" w:val="left"/>
        </w:tabs>
        <w:numPr>
          <w:ilvl w:val="0"/>
          <w:numId w:val="6"/>
        </w:numPr>
        <w:rPr>
          <w:rFonts w:ascii="Arial" w:cs="Arial" w:eastAsia="Arial" w:hAnsi="Arial"/>
          <w:sz w:val="17"/>
          <w:szCs w:val="17"/>
          <w:color w:val="auto"/>
        </w:rPr>
      </w:pPr>
      <w:r>
        <w:rPr>
          <w:rFonts w:ascii="Arial" w:cs="Arial" w:eastAsia="Arial" w:hAnsi="Arial"/>
          <w:sz w:val="17"/>
          <w:szCs w:val="17"/>
          <w:color w:val="auto"/>
        </w:rPr>
        <w:t>$1.5 billion of short-term borrowings under our commercial paper program; (ii) $1.2 billion of tax-exempt bonds with term interest rate periods that expire within the next 12 months, which is prior to their scheduled maturities, and</w:t>
      </w:r>
    </w:p>
    <w:p>
      <w:pPr>
        <w:jc w:val="both"/>
        <w:ind w:left="60" w:right="59" w:hanging="10"/>
        <w:spacing w:after="0" w:line="252"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$213 million of other debt with scheduled maturities within the next 12 months, including $103 million of tax-exempt bonds. As of March 31, 2021, we have classified $2.7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$244 million of debt maturing in the next 12 months is classified as current obligations.</w:t>
      </w:r>
    </w:p>
    <w:p>
      <w:pPr>
        <w:spacing w:after="0" w:line="194"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As of March 31, 2021, we also had $54 million of variable-rate tax-exempt bonds with long-term scheduled maturities supported by letters of credit under our $3.5 billion revolving credit facility.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$3.5 billion revolving credit facility to fund these bonds until they are remarketed successfully. Accordingly, we have classified the $54 million of variable-rate tax-exempt bonds with maturities of more than one year as long-term in our Condensed Consolidated Balance Sheet as of March 31, 2021.</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Access to and Utilization of Credit Facilities and Commercial Paper Program</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 xml:space="preserve">$3.5 Billion Revolving Credit Facility — </w:t>
      </w:r>
      <w:r>
        <w:rPr>
          <w:rFonts w:ascii="Arial" w:cs="Arial" w:eastAsia="Arial" w:hAnsi="Arial"/>
          <w:sz w:val="16"/>
          <w:szCs w:val="16"/>
          <w:color w:val="auto"/>
        </w:rPr>
        <w:t>Our $3.5 billion revolving credit facility, maturing November 2024,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us with credit capacity to be used for cash borrowings, to support letters of credit and to support our commercial paper program. The rates we pay for outstanding U.S. or Canadian loans are generally based on LIBOR or CDOR, respectively, plus a spread depending on the Company’s debt rating assigned by Moody’s Investors Service and Standard and Poor’s. As of March 31, 2021, we had no borrowings under this facility. We had $269 million of letters of credit issued and $1.5 billion of outstanding borrowings (net of related discount on issuance) under our commercial paper program, both supported by the facility, leaving unused and available credit capacity of $1.7 billion as of March 31, 2021. WM Holdings, a wholly-owned subsidiary of WM, guarantees all of the obligations under the $3.5 billion revolving credit facility.</w:t>
      </w:r>
    </w:p>
    <w:p>
      <w:pPr>
        <w:spacing w:after="0" w:line="16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Commercial Paper Program </w:t>
      </w:r>
      <w:r>
        <w:rPr>
          <w:rFonts w:ascii="Arial" w:cs="Arial" w:eastAsia="Arial" w:hAnsi="Arial"/>
          <w:sz w:val="16"/>
          <w:szCs w:val="16"/>
          <w:color w:val="auto"/>
        </w:rPr>
        <w:t>— We have a commercial paper program that enables us to borrow funds for up to 397</w:t>
      </w:r>
      <w:r>
        <w:rPr>
          <w:rFonts w:ascii="Arial" w:cs="Arial" w:eastAsia="Arial" w:hAnsi="Arial"/>
          <w:sz w:val="16"/>
          <w:szCs w:val="16"/>
          <w:i w:val="1"/>
          <w:iCs w:val="1"/>
          <w:color w:val="auto"/>
        </w:rPr>
        <w:t xml:space="preserve"> </w:t>
      </w:r>
      <w:r>
        <w:rPr>
          <w:rFonts w:ascii="Arial" w:cs="Arial" w:eastAsia="Arial" w:hAnsi="Arial"/>
          <w:sz w:val="16"/>
          <w:szCs w:val="16"/>
          <w:color w:val="auto"/>
        </w:rPr>
        <w:t>days at competitive interest rates. The rates we pay for outstanding borrowings are based on the term of the notes. The commercial paper program is fully supported by our $3.5 billion revolving credit facility. As of March 31, 2021, we had $1.5 billion of outstanding borrowings (net of related discount on issuance) under our commercial paper program.</w:t>
      </w:r>
    </w:p>
    <w:p>
      <w:pPr>
        <w:spacing w:after="0" w:line="15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Other Letter of Credit Lines — </w:t>
      </w:r>
      <w:r>
        <w:rPr>
          <w:rFonts w:ascii="Arial" w:cs="Arial" w:eastAsia="Arial" w:hAnsi="Arial"/>
          <w:sz w:val="18"/>
          <w:szCs w:val="18"/>
          <w:color w:val="auto"/>
        </w:rPr>
        <w:t>As of March 31, 2021, we had utilized $609 million of other uncommitted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lines, with terms maturing through April 2022.</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Repayments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Commercial Paper Program — </w:t>
      </w:r>
      <w:r>
        <w:rPr>
          <w:rFonts w:ascii="Arial" w:cs="Arial" w:eastAsia="Arial" w:hAnsi="Arial"/>
          <w:sz w:val="18"/>
          <w:szCs w:val="18"/>
          <w:color w:val="auto"/>
        </w:rPr>
        <w:t>During the three months ended March 31, 2021, we made cash repayments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$280 million.</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Tax-Exempt Bonds — </w:t>
      </w:r>
      <w:r>
        <w:rPr>
          <w:rFonts w:ascii="Arial" w:cs="Arial" w:eastAsia="Arial" w:hAnsi="Arial"/>
          <w:sz w:val="18"/>
          <w:szCs w:val="18"/>
          <w:color w:val="auto"/>
        </w:rPr>
        <w:t>During the three months ended March 31, 2021, we repaid $24 million of our tax-exempt bonds</w:t>
      </w:r>
      <w:r>
        <w:rPr>
          <w:rFonts w:ascii="Arial" w:cs="Arial" w:eastAsia="Arial" w:hAnsi="Arial"/>
          <w:sz w:val="18"/>
          <w:szCs w:val="18"/>
          <w:i w:val="1"/>
          <w:iCs w:val="1"/>
          <w:color w:val="auto"/>
        </w:rPr>
        <w:t xml:space="preserve"> </w:t>
      </w:r>
      <w:r>
        <w:rPr>
          <w:rFonts w:ascii="Arial" w:cs="Arial" w:eastAsia="Arial" w:hAnsi="Arial"/>
          <w:sz w:val="18"/>
          <w:szCs w:val="18"/>
          <w:color w:val="auto"/>
        </w:rPr>
        <w:t>with available cash at their scheduled maturities.</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Financing Leases and Other </w:t>
      </w:r>
      <w:r>
        <w:rPr>
          <w:rFonts w:ascii="Arial" w:cs="Arial" w:eastAsia="Arial" w:hAnsi="Arial"/>
          <w:sz w:val="18"/>
          <w:szCs w:val="18"/>
          <w:color w:val="auto"/>
        </w:rPr>
        <w:t>— The decrease during the three months ended March 31, 2021 is due to $25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repayments of debt at maturity</w:t>
      </w:r>
      <w:r>
        <w:rPr>
          <w:rFonts w:ascii="Arial" w:cs="Arial" w:eastAsia="Arial" w:hAnsi="Arial"/>
          <w:sz w:val="18"/>
          <w:szCs w:val="18"/>
          <w:b w:val="1"/>
          <w:bCs w:val="1"/>
          <w:color w:val="auto"/>
        </w:rPr>
        <w:t>.</w:t>
      </w:r>
    </w:p>
    <w:p>
      <w:pPr>
        <w:spacing w:after="0" w:line="166" w:lineRule="exact"/>
        <w:rPr>
          <w:sz w:val="20"/>
          <w:szCs w:val="20"/>
          <w:color w:val="auto"/>
        </w:rPr>
      </w:pPr>
    </w:p>
    <w:p>
      <w:pPr>
        <w:ind w:left="360" w:hanging="310"/>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Our effective income tax rate was 22.7% and 17.0% for the three months ended March 31, 2021 and 2020, respectively.</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increase in our effective income tax rate when comparing the three months ended March 31, 2021 and 2020 was primarily driven by (i) a decrease in excess tax benefits associated with equity-based compensation; (ii) lower federal tax credits and (iii) favorable adjustments to accruals and related deferred taxes recorded in 2020. These items are discussed further below. We evaluate our effective income tax rate at each interim period and adjust it as facts and circumstances warrant.</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the three months ended March 31, 2021 and 2020, we recognized a reduction</w:t>
      </w:r>
      <w:r>
        <w:rPr>
          <w:rFonts w:ascii="Arial" w:cs="Arial" w:eastAsia="Arial" w:hAnsi="Arial"/>
          <w:sz w:val="18"/>
          <w:szCs w:val="18"/>
          <w:i w:val="1"/>
          <w:iCs w:val="1"/>
          <w:color w:val="auto"/>
        </w:rPr>
        <w:t xml:space="preserve"> </w:t>
      </w:r>
      <w:r>
        <w:rPr>
          <w:rFonts w:ascii="Arial" w:cs="Arial" w:eastAsia="Arial" w:hAnsi="Arial"/>
          <w:sz w:val="18"/>
          <w:szCs w:val="18"/>
          <w:color w:val="auto"/>
        </w:rPr>
        <w:t>in our income tax expense of $9 million and $21 million, respectively, for excess tax benefits related to the vesting or exercise of equity-based compensation awards.</w:t>
      </w:r>
    </w:p>
    <w:p>
      <w:pPr>
        <w:spacing w:after="0" w:line="18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Investments Qualifying for Federal Tax Credits </w:t>
      </w:r>
      <w:r>
        <w:rPr>
          <w:rFonts w:ascii="Arial" w:cs="Arial" w:eastAsia="Arial" w:hAnsi="Arial"/>
          <w:sz w:val="17"/>
          <w:szCs w:val="17"/>
          <w:color w:val="auto"/>
        </w:rPr>
        <w:t>— We have significant financial interests in entities established to</w:t>
      </w:r>
      <w:r>
        <w:rPr>
          <w:rFonts w:ascii="Arial" w:cs="Arial" w:eastAsia="Arial" w:hAnsi="Arial"/>
          <w:sz w:val="17"/>
          <w:szCs w:val="17"/>
          <w:i w:val="1"/>
          <w:iCs w:val="1"/>
          <w:color w:val="auto"/>
        </w:rPr>
        <w:t xml:space="preserve"> </w:t>
      </w:r>
      <w:r>
        <w:rPr>
          <w:rFonts w:ascii="Arial" w:cs="Arial" w:eastAsia="Arial" w:hAnsi="Arial"/>
          <w:sz w:val="17"/>
          <w:szCs w:val="17"/>
          <w:color w:val="auto"/>
        </w:rPr>
        <w:t>invest in and manage low-income housing properties. We support the operations of these entities in exchange for a pro-rata share of the tax credits they generate. The low-income housing investments qualify for federal tax credits that we expect to realize through 2030 under Section 42 or Section 45D of the Internal Revenue Code.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We also held a residual financial interest in an entity that owned a refined coal facility that qualified for federal tax credits under Section 45 of the Internal Revenue Code through 2019. The entity sold the majority of its assets in the first quarter of 2020, which resulted in a $7 million non-cash impairment of our investment at that time.</w:t>
      </w:r>
    </w:p>
    <w:p>
      <w:pPr>
        <w:spacing w:after="0" w:line="16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account for our investments in these entities using the equity method of accounting, recognizing our share of each entity’s results of operations and other reductions in the value of our investments in equity in net losses of unconsolidated entities, within our Condensed Consolidated Statements of Operations. During the three months ended March 31, 2021 and 2020, we recognized $9 million and $26 million (including the $7 million impairment of the refined coal facility noted above) of net losses, respectively. The related reduction in our income tax expense, which is primarily due to federal tax credits realized from the investments, was $16 million and $24 million for the three months ended March 31, 2021 and 2020, respectively. In addition, during the three months ended March 31, 2021 and 2020, we recognized interest expense of $2 million and $3 million, respectively, associated with our investments in low-income housing properties. See Note 13 for additional information related to these unconsolidated variable interest entities.</w:t>
      </w:r>
    </w:p>
    <w:p>
      <w:pPr>
        <w:spacing w:after="0" w:line="166"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i w:val="1"/>
          <w:iCs w:val="1"/>
          <w:color w:val="auto"/>
        </w:rPr>
        <w:t xml:space="preserve">Adjustments to Accruals and Related Deferred Taxes </w:t>
      </w:r>
      <w:r>
        <w:rPr>
          <w:rFonts w:ascii="Arial" w:cs="Arial" w:eastAsia="Arial" w:hAnsi="Arial"/>
          <w:sz w:val="17"/>
          <w:szCs w:val="17"/>
          <w:color w:val="auto"/>
        </w:rPr>
        <w:t>— During the three months ended March 31, 2020, we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a reduction in our income tax expense of $6 million for adjustments to accruals and related deferred taxes.</w:t>
      </w:r>
    </w:p>
    <w:p>
      <w:pPr>
        <w:spacing w:after="0" w:line="142" w:lineRule="exact"/>
        <w:rPr>
          <w:sz w:val="20"/>
          <w:szCs w:val="20"/>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Basic and diluted earnings per share for the three months ended March 31 were computed using the following common share data (shares in millions):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Effect of using weighted average common shares outstanding</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5"/>
              </w:rPr>
              <w:t>Dilutive effect of equity-based compensation awards and other contingently issuable shares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color w:val="auto"/>
              </w:rPr>
              <w:t>Potentially issuable shares</w:t>
            </w:r>
          </w:p>
        </w:tc>
        <w:tc>
          <w:tcPr>
            <w:tcW w:w="7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220" w:type="dxa"/>
            <w:vAlign w:val="bottom"/>
            <w:vMerge w:val="continue"/>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2"/>
        </w:trPr>
        <w:tc>
          <w:tcPr>
            <w:tcW w:w="7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anti-dilutive potentially issuable shares excluded from diluted common shares</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60" w:hanging="310"/>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surety bonds and insurance policies and have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66"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8"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i w:val="1"/>
          <w:iCs w:val="1"/>
          <w:color w:val="auto"/>
        </w:rPr>
        <w:t xml:space="preserve">Insurance — </w:t>
      </w:r>
      <w:r>
        <w:rPr>
          <w:rFonts w:ascii="Arial" w:cs="Arial" w:eastAsia="Arial" w:hAnsi="Arial"/>
          <w:sz w:val="17"/>
          <w:szCs w:val="17"/>
          <w:color w:val="auto"/>
        </w:rPr>
        <w:t>We carry insurance coverage for protection of our assets and operations from certain risks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liability, automobile liability, workers’ compensation, real and personal property, directors’ and officers’ liability,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pollution legal liability, cyber incident liability and other coverages we believe are customary to the industry. Our exposure to loss for insurance claims is generally limited to the per incident deductible under the related insurance policy. Our exposure could increase if our insurers are unable to meet their commitments on a timely basis.</w:t>
      </w:r>
    </w:p>
    <w:p>
      <w:pPr>
        <w:spacing w:after="0" w:line="16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w:t>
      </w:r>
    </w:p>
    <w:p>
      <w:pPr>
        <w:spacing w:after="0" w:line="16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17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Guarantees — </w:t>
      </w:r>
      <w:r>
        <w:rPr>
          <w:rFonts w:ascii="Arial" w:cs="Arial" w:eastAsia="Arial" w:hAnsi="Arial"/>
          <w:sz w:val="17"/>
          <w:szCs w:val="17"/>
          <w:color w:val="auto"/>
        </w:rPr>
        <w:t>In the ordinary course of our business, WM and WM Holdings enter into guarantee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their subsidiaries’ 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171"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As of March 31, 2021, we have guaranteed the obligations and certain performance requirements of third parties in connection with both consolidated and unconsolidated entities, including guarantees to cover certain market value losses for certain properties adjacent to or near 18 of our landfills. We have also agreed to indemnify certain third-party purchasers against liabilities associated with divested operations prior to such sale. We do not believe that these contingent obligations will have a material adverse effect on the Company’s financial condition, results of operations or cash flows.</w:t>
      </w:r>
    </w:p>
    <w:p>
      <w:pPr>
        <w:spacing w:after="0" w:line="161"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Environmental Matters — </w:t>
      </w:r>
      <w:r>
        <w:rPr>
          <w:rFonts w:ascii="Arial" w:cs="Arial" w:eastAsia="Arial" w:hAnsi="Arial"/>
          <w:sz w:val="17"/>
          <w:szCs w:val="17"/>
          <w:color w:val="auto"/>
        </w:rPr>
        <w:t>A significant portion of our operating costs and capital expenditures could be characterized</w:t>
      </w:r>
      <w:r>
        <w:rPr>
          <w:rFonts w:ascii="Arial" w:cs="Arial" w:eastAsia="Arial" w:hAnsi="Arial"/>
          <w:sz w:val="17"/>
          <w:szCs w:val="17"/>
          <w:i w:val="1"/>
          <w:iCs w:val="1"/>
          <w:color w:val="auto"/>
        </w:rPr>
        <w:t xml:space="preserve"> </w:t>
      </w:r>
      <w:r>
        <w:rPr>
          <w:rFonts w:ascii="Arial" w:cs="Arial" w:eastAsia="Arial" w:hAnsi="Arial"/>
          <w:sz w:val="17"/>
          <w:szCs w:val="17"/>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7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$135 million higher than the $218 million recorded in the Condensed Consolidated Balance Sheet as of March 31, 2021.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As of March 31, 2021, we have been notified by the government that we are a PRP in connection with 73 locations listed on the Environmental Protection Agency’s (“EPA’s”) Superfund National Priorities List (“NPL”). Of the 73 sites at which claims have been made against us, 14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59 NPL sites, which we do not own, are at various procedural stages under the Comprehensive Environmental Response, Compensation and Liability Act of 1980, as amended, known as CERCLA or Superfund.</w:t>
      </w:r>
    </w:p>
    <w:p>
      <w:pPr>
        <w:spacing w:after="0" w:line="16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8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 October 11, 2017, the EPA issued its Record of Decision (“ROD”) with respect to the previously proposed remediation plan for the San Jacinto waste pits in Harris County, Texas. McGinnes Industrial Maintenance Corporation (“MIMC”), an indirect wholly-owned subsidiary of WM, operated some of the waste pits from 1965 to 1966 and has been named as a site PRP. In 1998, WM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proposed remedy for the site. Allocation of responsibility among the PRPs for the proposed remedy has not been established. As of March 31, 2021 and December 31, 2020, the recorded liability for MIMC’s estimated potential share of the EPA’s proposed remedy and related costs was $54 million and $55 million, respectively. MIMC’s ultimate liability could be materially different from current estimates.</w:t>
      </w:r>
    </w:p>
    <w:p>
      <w:pPr>
        <w:spacing w:after="0" w:line="18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As of the date of this filing, we are not aware of any matters that are required to be disclosed pursuant to this standard.</w:t>
      </w:r>
    </w:p>
    <w:p>
      <w:pPr>
        <w:spacing w:after="0" w:line="178"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us to meet certain regulatory or contractual conditions upon site closure or upon termination of the agreements. Compliance with these agreements inherently involves subjective determinations and may result in disputes, including litigation.</w:t>
      </w:r>
    </w:p>
    <w:p>
      <w:pPr>
        <w:spacing w:after="0" w:line="184"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i w:val="1"/>
          <w:iCs w:val="1"/>
          <w:color w:val="auto"/>
        </w:rPr>
        <w:t xml:space="preserve">Litigation — </w:t>
      </w:r>
      <w:r>
        <w:rPr>
          <w:rFonts w:ascii="Arial" w:cs="Arial" w:eastAsia="Arial" w:hAnsi="Arial"/>
          <w:sz w:val="16"/>
          <w:szCs w:val="16"/>
          <w:color w:val="auto"/>
        </w:rPr>
        <w:t>As a large company with operations across the U.S. and Canada, we are subject to various proceedings,</w:t>
      </w:r>
      <w:r>
        <w:rPr>
          <w:rFonts w:ascii="Arial" w:cs="Arial" w:eastAsia="Arial" w:hAnsi="Arial"/>
          <w:sz w:val="16"/>
          <w:szCs w:val="16"/>
          <w:i w:val="1"/>
          <w:iCs w:val="1"/>
          <w:color w:val="auto"/>
        </w:rPr>
        <w:t xml:space="preserve"> </w:t>
      </w:r>
      <w:r>
        <w:rPr>
          <w:rFonts w:ascii="Arial" w:cs="Arial" w:eastAsia="Arial" w:hAnsi="Arial"/>
          <w:sz w:val="16"/>
          <w:szCs w:val="16"/>
          <w:color w:val="auto"/>
        </w:rPr>
        <w:t>lawsuits, disputes and claims arising in the ordinary course of 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6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WM’s Board of Directors and each of WM’s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1"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 xml:space="preserve">Multiemployer Defined Benefit Pension Plans — </w:t>
      </w:r>
      <w:r>
        <w:rPr>
          <w:rFonts w:ascii="Arial" w:cs="Arial" w:eastAsia="Arial" w:hAnsi="Arial"/>
          <w:sz w:val="17"/>
          <w:szCs w:val="17"/>
          <w:color w:val="auto"/>
        </w:rPr>
        <w:t>About 20% of our workforce is covered by collective bargaining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with various local unions across the U.S. and Canada.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 During the first quarter of 2020, we recognized a $3 million charge to operating expenses for the withdrawal from an underfunded Multiemployer Pension Plan.</w:t>
      </w:r>
    </w:p>
    <w:p>
      <w:pPr>
        <w:spacing w:after="0" w:line="18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Tax Matters — </w:t>
      </w:r>
      <w:r>
        <w:rPr>
          <w:rFonts w:ascii="Arial" w:cs="Arial" w:eastAsia="Arial" w:hAnsi="Arial"/>
          <w:sz w:val="16"/>
          <w:szCs w:val="16"/>
          <w:color w:val="auto"/>
        </w:rPr>
        <w:t>We participate in the IRS’s Compliance Assurance Process, which means we work with the IRS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throughout the year towards resolving any material issues prior to the filing of our annual tax return. Any unresolved issues as of the tax return filing date are subject to routine examination procedures. We are currently in the examination phase of IRS audits for the 2017 through 2020 tax years and expect these audits to be completed within the next 24 months. We are also currently undergoing audits by various state and local jurisdictions for tax years that date back to 2014. We maintain a liability for uncertain tax positions, the balance of which management believes is adequate. Results of audit assessments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by taxing authorities are not currently expected to have a material adverse effect on our financial condition, results of operations or cash flows.</w:t>
      </w:r>
    </w:p>
    <w:p>
      <w:pPr>
        <w:spacing w:after="0" w:line="166" w:lineRule="exact"/>
        <w:rPr>
          <w:sz w:val="20"/>
          <w:szCs w:val="20"/>
          <w:color w:val="auto"/>
        </w:rPr>
      </w:pPr>
    </w:p>
    <w:p>
      <w:pPr>
        <w:ind w:left="360" w:hanging="310"/>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The 17 Areas constitute operating segments and we have evaluated the aggregation criteria and concluded that, based on the similarities between our Areas, including the fact that our Solid Waste business is homogenous across geographies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18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On an annual basis, we analyze the Areas’ income from operations margins for purposes of segment reporting and, if necessary, realign our Solid Waste tiers to reflect recent changes in their relative economic characteristics and prospects. These changes are the results of various factors including acquisitions, divestitures, business mix and the economic climate of various geographies. No realignment was necessary for the periods presented.</w:t>
      </w:r>
    </w:p>
    <w:p>
      <w:pPr>
        <w:spacing w:after="0" w:line="17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Tier 1 is comprised of our operations across the Southern U.S., with the exception of the Southern California area and the Florida area, and also includes the New England area and the tri-state area that includes Michigan, Indiana and Ohio. Tier 2 includes California, Canada, and the Wisconsin and Minnesota area. Tier 3 encompasses all the remaining operations including the Pacific Northwest, the Mid-Atlantic region of the U.S., the Florida area, and Illinois and the Missouri Valley area.</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Summarized financial information concerning our reportable segments for the three months ended March 31 is shown in the following table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14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4"/>
                <w:szCs w:val="14"/>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Income</w:t>
            </w:r>
          </w:p>
        </w:tc>
      </w:tr>
      <w:tr>
        <w:trPr>
          <w:trHeight w:val="149"/>
        </w:trPr>
        <w:tc>
          <w:tcPr>
            <w:tcW w:w="22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Operating</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2"/>
                <w:szCs w:val="12"/>
                <w:color w:val="auto"/>
              </w:rPr>
            </w:pPr>
          </w:p>
        </w:tc>
        <w:tc>
          <w:tcPr>
            <w:tcW w:w="72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from</w:t>
            </w:r>
          </w:p>
        </w:tc>
      </w:tr>
      <w:tr>
        <w:trPr>
          <w:trHeight w:val="171"/>
        </w:trPr>
        <w:tc>
          <w:tcPr>
            <w:tcW w:w="22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Revenues(c)</w:t>
            </w: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Operations(d)</w:t>
            </w:r>
          </w:p>
        </w:tc>
      </w:tr>
      <w:tr>
        <w:trPr>
          <w:trHeight w:val="209"/>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3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Solid Waste:</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16"/>
        </w:trPr>
        <w:tc>
          <w:tcPr>
            <w:tcW w:w="5440" w:type="dxa"/>
            <w:vAlign w:val="bottom"/>
            <w:gridSpan w:val="2"/>
          </w:tcPr>
          <w:p>
            <w:pPr>
              <w:ind w:left="220"/>
              <w:spacing w:after="0"/>
              <w:rPr>
                <w:sz w:val="20"/>
                <w:szCs w:val="20"/>
                <w:color w:val="auto"/>
              </w:rPr>
            </w:pPr>
            <w:r>
              <w:rPr>
                <w:rFonts w:ascii="Arial" w:cs="Arial" w:eastAsia="Arial" w:hAnsi="Arial"/>
                <w:sz w:val="18"/>
                <w:szCs w:val="18"/>
                <w:color w:val="auto"/>
              </w:rPr>
              <w:t>Tier 2</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1,360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09"/>
        </w:trPr>
        <w:tc>
          <w:tcPr>
            <w:tcW w:w="5440" w:type="dxa"/>
            <w:vAlign w:val="bottom"/>
            <w:gridSpan w:val="2"/>
          </w:tcPr>
          <w:p>
            <w:pPr>
              <w:ind w:left="340"/>
              <w:spacing w:after="0"/>
              <w:rPr>
                <w:sz w:val="20"/>
                <w:szCs w:val="20"/>
                <w:color w:val="auto"/>
              </w:rPr>
            </w:pPr>
            <w:r>
              <w:rPr>
                <w:rFonts w:ascii="Arial" w:cs="Arial" w:eastAsia="Arial" w:hAnsi="Arial"/>
                <w:sz w:val="18"/>
                <w:szCs w:val="18"/>
                <w:color w:val="auto"/>
              </w:rPr>
              <w:t>Solid Waste</w:t>
            </w: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3,470</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w:t>
            </w: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9"/>
        </w:trPr>
        <w:tc>
          <w:tcPr>
            <w:tcW w:w="22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4,112</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w:t>
            </w: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and Other (b)</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50"/>
        </w:trPr>
        <w:tc>
          <w:tcPr>
            <w:tcW w:w="5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4,971</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4,112</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w:t>
            </w:r>
          </w:p>
        </w:tc>
      </w:tr>
      <w:tr>
        <w:trPr>
          <w:trHeight w:val="196"/>
        </w:trPr>
        <w:tc>
          <w:tcPr>
            <w:tcW w:w="224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Solid Waste: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ind w:left="220"/>
              <w:spacing w:after="0"/>
              <w:rPr>
                <w:sz w:val="20"/>
                <w:szCs w:val="20"/>
                <w:color w:val="auto"/>
              </w:rPr>
            </w:pPr>
            <w:r>
              <w:rPr>
                <w:rFonts w:ascii="Arial" w:cs="Arial" w:eastAsia="Arial" w:hAnsi="Arial"/>
                <w:sz w:val="18"/>
                <w:szCs w:val="18"/>
                <w:color w:val="auto"/>
              </w:rPr>
              <w:t>Tier 1</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1,503</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1,223</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16"/>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16"/>
        </w:trPr>
        <w:tc>
          <w:tcPr>
            <w:tcW w:w="5440" w:type="dxa"/>
            <w:vAlign w:val="bottom"/>
            <w:gridSpan w:val="2"/>
          </w:tcPr>
          <w:p>
            <w:pPr>
              <w:ind w:left="220"/>
              <w:spacing w:after="0"/>
              <w:rPr>
                <w:sz w:val="20"/>
                <w:szCs w:val="20"/>
                <w:color w:val="auto"/>
              </w:rPr>
            </w:pPr>
            <w:r>
              <w:rPr>
                <w:rFonts w:ascii="Arial" w:cs="Arial" w:eastAsia="Arial" w:hAnsi="Arial"/>
                <w:sz w:val="18"/>
                <w:szCs w:val="18"/>
                <w:color w:val="auto"/>
              </w:rPr>
              <w:t>Tier 3</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1,247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10"/>
        </w:trPr>
        <w:tc>
          <w:tcPr>
            <w:tcW w:w="54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Solid Waste</w:t>
            </w: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3,204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Other (a)</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9"/>
        </w:trPr>
        <w:tc>
          <w:tcPr>
            <w:tcW w:w="224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3,729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Corporate and Other (b)</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09"/>
        </w:trPr>
        <w:tc>
          <w:tcPr>
            <w:tcW w:w="54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3,729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0"/>
        </w:trPr>
        <w:tc>
          <w:tcPr>
            <w:tcW w:w="2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73"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includes (i) our Strategic Business Solutions (“WMSBS”) business; (ii) those elements of our landfill gas-to-energy operations and third-party subcontract and administration revenues managed by our Energy and Environmental Services (“EES”) and WM Renewable Energy businesses that are not included in the operations of our reportable segments; (iii) our recycling brokerage services and (iv) certain other expanded service offerings and solutions. In addition, our “Other” segment reflects the results of non-operating entities that provide financial assurance and self-insurance support for our Solid Waste business, net of intercompany activity.</w:t>
      </w:r>
    </w:p>
    <w:p>
      <w:pPr>
        <w:spacing w:after="0" w:line="69" w:lineRule="exact"/>
        <w:rPr>
          <w:rFonts w:ascii="Arial" w:cs="Arial" w:eastAsia="Arial" w:hAnsi="Arial"/>
          <w:sz w:val="17"/>
          <w:szCs w:val="17"/>
          <w:color w:val="auto"/>
        </w:rPr>
      </w:pPr>
    </w:p>
    <w:p>
      <w:pPr>
        <w:jc w:val="both"/>
        <w:ind w:left="380" w:right="59"/>
        <w:spacing w:after="0" w:line="286" w:lineRule="auto"/>
        <w:rPr>
          <w:rFonts w:ascii="Arial" w:cs="Arial" w:eastAsia="Arial" w:hAnsi="Arial"/>
          <w:sz w:val="17"/>
          <w:szCs w:val="17"/>
          <w:color w:val="auto"/>
        </w:rPr>
      </w:pPr>
      <w:r>
        <w:rPr>
          <w:rFonts w:ascii="Arial" w:cs="Arial" w:eastAsia="Arial" w:hAnsi="Arial"/>
          <w:sz w:val="17"/>
          <w:szCs w:val="17"/>
          <w:color w:val="auto"/>
        </w:rPr>
        <w:t>The increase in income from operations was primarily driven by (i) increased market values for renewable energy credits generated by our WM Renewable Energy business; (ii) a gain from the divestitures of certain ancillary operations and (iii) significantly higher commodity prices benefiting our recycling brokerage services.</w:t>
      </w:r>
    </w:p>
    <w:p>
      <w:pPr>
        <w:spacing w:after="0" w:line="57" w:lineRule="exact"/>
        <w:rPr>
          <w:rFonts w:ascii="Arial" w:cs="Arial" w:eastAsia="Arial" w:hAnsi="Arial"/>
          <w:sz w:val="17"/>
          <w:szCs w:val="17"/>
          <w:color w:val="auto"/>
        </w:rPr>
      </w:pPr>
    </w:p>
    <w:p>
      <w:pPr>
        <w:jc w:val="both"/>
        <w:ind w:left="380" w:right="79" w:hanging="330"/>
        <w:spacing w:after="0" w:line="255"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operating results reflect certain costs incurred for various support services that are not allocated to our reportable segments.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any administrative expenses or revisions to our estimated obligations associated with divested operations.</w:t>
      </w:r>
    </w:p>
    <w:p>
      <w:pPr>
        <w:spacing w:after="0" w:line="84" w:lineRule="exact"/>
        <w:rPr>
          <w:rFonts w:ascii="Arial" w:cs="Arial" w:eastAsia="Arial" w:hAnsi="Arial"/>
          <w:sz w:val="18"/>
          <w:szCs w:val="18"/>
          <w:color w:val="auto"/>
        </w:rPr>
      </w:pPr>
    </w:p>
    <w:p>
      <w:pPr>
        <w:jc w:val="both"/>
        <w:ind w:left="380" w:right="59"/>
        <w:spacing w:after="0" w:line="263" w:lineRule="auto"/>
        <w:rPr>
          <w:rFonts w:ascii="Arial" w:cs="Arial" w:eastAsia="Arial" w:hAnsi="Arial"/>
          <w:sz w:val="18"/>
          <w:szCs w:val="18"/>
          <w:color w:val="auto"/>
        </w:rPr>
      </w:pPr>
      <w:r>
        <w:rPr>
          <w:rFonts w:ascii="Arial" w:cs="Arial" w:eastAsia="Arial" w:hAnsi="Arial"/>
          <w:sz w:val="18"/>
          <w:szCs w:val="18"/>
          <w:color w:val="auto"/>
        </w:rPr>
        <w:t>The decrease in income from operations was primarily driven by increased expenses as a result of (i) higher incentive compensation; (ii) a charge pertaining to reserves for certain loss contingencies and (iii) investments we are making in our digital platform.</w:t>
      </w:r>
    </w:p>
    <w:p>
      <w:pPr>
        <w:spacing w:after="0" w:line="75"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380" w:right="79" w:hanging="330"/>
        <w:spacing w:after="0" w:line="259"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from operations provided by our Solid Waste business is generally indicative of the margins provided by our collection, landfill, transfer and recycling lines of business. From time to time, the operating results of our reportable segments are significantly affected by certain transactions or events that management believes are not indicative or representative of our results.</w:t>
      </w:r>
    </w:p>
    <w:p>
      <w:pPr>
        <w:spacing w:after="0" w:line="187" w:lineRule="exact"/>
        <w:rPr>
          <w:sz w:val="20"/>
          <w:szCs w:val="20"/>
          <w:color w:val="auto"/>
        </w:rPr>
      </w:pPr>
    </w:p>
    <w:p>
      <w:pPr>
        <w:ind w:left="380" w:right="59"/>
        <w:spacing w:after="0" w:line="274" w:lineRule="auto"/>
        <w:rPr>
          <w:sz w:val="20"/>
          <w:szCs w:val="20"/>
          <w:color w:val="auto"/>
        </w:rPr>
      </w:pPr>
      <w:r>
        <w:rPr>
          <w:rFonts w:ascii="Arial" w:cs="Arial" w:eastAsia="Arial" w:hAnsi="Arial"/>
          <w:sz w:val="17"/>
          <w:szCs w:val="17"/>
          <w:color w:val="auto"/>
        </w:rPr>
        <w:t>Income from operations in our Solid Waste business increased primarily due to (i) revenue growth from yield in our collection and disposal businesses; (ii) controlling our operating costs and margins with volume declines and</w:t>
      </w:r>
    </w:p>
    <w:p>
      <w:pPr>
        <w:ind w:left="380" w:right="59" w:hanging="6"/>
        <w:spacing w:after="0" w:line="323" w:lineRule="auto"/>
        <w:tabs>
          <w:tab w:leader="none" w:pos="697" w:val="left"/>
        </w:tabs>
        <w:numPr>
          <w:ilvl w:val="0"/>
          <w:numId w:val="14"/>
        </w:numPr>
        <w:rPr>
          <w:rFonts w:ascii="Arial" w:cs="Arial" w:eastAsia="Arial" w:hAnsi="Arial"/>
          <w:sz w:val="16"/>
          <w:szCs w:val="16"/>
          <w:color w:val="auto"/>
        </w:rPr>
      </w:pPr>
      <w:r>
        <w:rPr>
          <w:rFonts w:ascii="Arial" w:cs="Arial" w:eastAsia="Arial" w:hAnsi="Arial"/>
          <w:sz w:val="16"/>
          <w:szCs w:val="16"/>
          <w:color w:val="auto"/>
        </w:rPr>
        <w:t>higher recycling commodity prices. During the three months ended March 31, 2021, the contribution of Advanced Disposal to income from operations was offset by elevated depreciation and amortization of acquired assets.</w:t>
      </w:r>
    </w:p>
    <w:p>
      <w:pPr>
        <w:spacing w:after="0" w:line="138"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The mix of operating revenues from our major lines of business for the three months ended March 31 are as follows (in millions):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Borders>
              <w:bottom w:val="single" w:sz="8" w:color="CCEEFF"/>
            </w:tcBorders>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r>
      <w:tr>
        <w:trPr>
          <w:trHeight w:val="210"/>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r>
      <w:tr>
        <w:trPr>
          <w:trHeight w:val="216"/>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1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16"/>
        </w:trPr>
        <w:tc>
          <w:tcPr>
            <w:tcW w:w="7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collection</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10"/>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r>
      <w:tr>
        <w:trPr>
          <w:trHeight w:val="216"/>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Landfill</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887</w:t>
            </w:r>
          </w:p>
        </w:tc>
      </w:tr>
      <w:tr>
        <w:trPr>
          <w:trHeight w:val="21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16"/>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Recycling</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1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16"/>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Intercompany (b)</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(859)</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09"/>
        </w:trPr>
        <w:tc>
          <w:tcPr>
            <w:tcW w:w="70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r>
      <w:tr>
        <w:trPr>
          <w:trHeight w:val="20"/>
        </w:trPr>
        <w:tc>
          <w:tcPr>
            <w:tcW w:w="22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54"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“Other” line of business includes (i) our WMSBS business; (ii) our landfill gas-to-energy operations; (iii) certain services within our EES business,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 Activity related to collection, landfill, transfer and recycling within “Other” has been reclassified to the appropriate line of business for purposes of the presentation in this table.</w:t>
      </w:r>
    </w:p>
    <w:p>
      <w:pPr>
        <w:spacing w:after="0" w:line="86"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170"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changes in commodity prices and general economic conditions. Our revenues and income from operations typically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6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Prior year period operating results were negatively impacted by COVID-19, as volumes declined beginning in March 2020 in our landfill, industrial and commercial collection businesses due to steps taken by national and local governments to slow the spread of the virus, including travel bans, prohibitions on group events and gatherings, shutdowns of certain businesses, curfews, shelter-in-place orders and recommendations to practice social distancing.</w:t>
      </w:r>
    </w:p>
    <w:p>
      <w:pPr>
        <w:spacing w:after="0" w:line="171"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Service disruptions caused by severe storms, extended periods of inclement weather or climate events can significantly affect the operating results of the Areas affected. On the other hand, certain destructive weather and climate conditions,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such as wildfires in the Western U.S. and hurricanes that most often impact our operations in the Southern and Eastern U.S. during the second half of the year, can increase our revenues in the Areas affected as a result of the waste volumes generated by these events. While weather-related and other event driven special projects can boost revenues through additional work for a limited time, as a result of significant start-up costs and other factors, such revenue can generate earnings at comparatively lower margins.</w:t>
      </w:r>
    </w:p>
    <w:p>
      <w:pPr>
        <w:spacing w:after="0" w:line="184"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Acquisition of Advanced Disposal</w:t>
      </w:r>
    </w:p>
    <w:p>
      <w:pPr>
        <w:spacing w:after="0" w:line="22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On October 30, 2020, we completed the acquisition of all outstanding shares of Advanced Disposal for $30.30 per share in cash, pursuant to an Agreement and Plan of Merger dated April 14, 2019, as amended on June 24, 2020. Total enterprise value of the acquisition was $4.6 billion when including approximately $1.8 billion of Advanced Disposal’s net debt. This acquisition grows our footprint and allows us to provide differentiated, sustainable waste management and recycling services to approximately three million new commercial, industrial, and residential customers, primarily located in the Eastern half of the U.S. The acquisition was funded using a $3.0 billion, 364-day, U.S. revolving credit facility and our commercial paper program. In November 2020, we issued $2.5 billion of senior notes and used a portion of the proceeds to repay all outstanding borrowings under the $3.0 billion, 364-day, U.S. revolver and terminated the facility.</w:t>
      </w:r>
    </w:p>
    <w:p>
      <w:pPr>
        <w:spacing w:after="0" w:line="16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consolidated financial statements have not been retroactively restated to include Advanced Disposal’s historical financial position or results of operations. The acquisition was accounted for as a business combination. In accordance with the purchase method of accounting, the purchase price paid has been allocated to the assets and liabilities acquired based upon their estimated fair values as of the acquisition date, with the excess of the purchase price over the net assets acquired recorded as goodwill. We are in the process of valuing all of the assets and liabilities acquired in the acquisition, and, until we have completed our valuation process, there may be adjustments to our estimates of fair value and resulting preliminary purchase price allocation, specifically those that require significant accounting estimates and assumptions, such as our landfills and intangibles.</w:t>
      </w:r>
    </w:p>
    <w:p>
      <w:pPr>
        <w:spacing w:after="0" w:line="17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Goodwill of $2.5 billion was calculated as the excess of the consideration paid over the net assets recognized and represents the future economic benefits expected to arise from other assets acquired that could not be individually identified and separately recognized. Goodwill has been assigned to our Areas that have integrated these operations as they are benefiting from the synergies of the combination. Goodwill related to this acquisition is not deductible for income tax purposes.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shows the preliminary purchase price allocation as of the date acquired, and adjustments to</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2021 (in millions):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October 30, 2020</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Adjustments</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March 31, 2021</w:t>
            </w:r>
          </w:p>
        </w:tc>
      </w:tr>
      <w:tr>
        <w:trPr>
          <w:trHeight w:val="210"/>
        </w:trPr>
        <w:tc>
          <w:tcPr>
            <w:tcW w:w="5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and other receivables</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Parts and supplies</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Assets held for sale (a)</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1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2,470</w:t>
            </w:r>
          </w:p>
        </w:tc>
      </w:tr>
      <w:tr>
        <w:trPr>
          <w:trHeight w:val="21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Investments in unconsolidated entities</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Deferred revenues</w:t>
            </w:r>
          </w:p>
        </w:tc>
        <w:tc>
          <w:tcPr>
            <w:tcW w:w="3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Liabilities held for sale (a)</w:t>
            </w:r>
          </w:p>
        </w:tc>
        <w:tc>
          <w:tcPr>
            <w:tcW w:w="3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(234)</w:t>
            </w:r>
          </w:p>
        </w:tc>
        <w:tc>
          <w:tcPr>
            <w:tcW w:w="3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 (b)</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Landfill and environmental remediation liabilities</w:t>
            </w:r>
          </w:p>
        </w:tc>
        <w:tc>
          <w:tcPr>
            <w:tcW w:w="3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3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1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9"/>
        </w:trPr>
        <w:tc>
          <w:tcPr>
            <w:tcW w:w="576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purchase price</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w:t>
            </w:r>
          </w:p>
        </w:tc>
      </w:tr>
      <w:tr>
        <w:trPr>
          <w:trHeight w:val="20"/>
        </w:trPr>
        <w:tc>
          <w:tcPr>
            <w:tcW w:w="22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r>
    </w:tbl>
    <w:p>
      <w:pPr>
        <w:spacing w:after="0" w:line="188" w:lineRule="exact"/>
        <w:rPr>
          <w:sz w:val="20"/>
          <w:szCs w:val="20"/>
          <w:color w:val="auto"/>
        </w:rPr>
      </w:pPr>
    </w:p>
    <w:p>
      <w:pPr>
        <w:jc w:val="both"/>
        <w:ind w:left="380" w:right="79" w:hanging="330"/>
        <w:spacing w:after="0" w:line="293"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connection with our acquisition of Advanced Disposal, we were required by the U.S. Department of Justice to divest assets, including a portion of the assets acquired from Advanced Disposal. Upon acquisition these assets met the criteria for reporting discontinued operations and were classified as held for sale and included within the “Assets held for sale” and “Liabilities held for sale” line items in the above preliminary allocation of purchase price. Immediately following the closing of our acquisition of Advanced Disposal, the transactions contemplated by the U.S. Department of Justice were consummated and we sold the net assets to GFL Environmental for total consideration of $856 million.</w:t>
      </w:r>
    </w:p>
    <w:p>
      <w:pPr>
        <w:spacing w:after="0" w:line="56" w:lineRule="exact"/>
        <w:rPr>
          <w:rFonts w:ascii="Arial" w:cs="Arial" w:eastAsia="Arial" w:hAnsi="Arial"/>
          <w:sz w:val="16"/>
          <w:szCs w:val="16"/>
          <w:color w:val="auto"/>
        </w:rPr>
      </w:pPr>
    </w:p>
    <w:p>
      <w:pPr>
        <w:jc w:val="both"/>
        <w:ind w:left="380" w:right="79" w:hanging="330"/>
        <w:spacing w:after="0" w:line="263"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the time of acquisition, Advanced Disposal had outstanding $425 million of 5.625% senior notes due November 2024, the fair value of which was $438 million. In November 2020, we redeemed the notes pursuant to an optional redemption feature.</w:t>
      </w:r>
    </w:p>
    <w:p>
      <w:pPr>
        <w:spacing w:after="0" w:line="184"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preliminary allocation of $601 million as of March 31, 2021 for other intangibles includes $572 million for customer relationships with an amortization period of 15 years and $29 million of other intangibles with a weighted average amortization period of seven years.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60" w:right="979" w:firstLine="910"/>
        <w:spacing w:after="0" w:line="503" w:lineRule="auto"/>
        <w:rPr>
          <w:sz w:val="20"/>
          <w:szCs w:val="20"/>
          <w:color w:val="auto"/>
        </w:rPr>
      </w:pPr>
      <w:r>
        <w:rPr>
          <w:rFonts w:ascii="Arial" w:cs="Arial" w:eastAsia="Arial" w:hAnsi="Arial"/>
          <w:sz w:val="18"/>
          <w:szCs w:val="18"/>
          <w:b w:val="1"/>
          <w:bCs w:val="1"/>
          <w:color w:val="auto"/>
        </w:rPr>
        <w:t>NOTES TO CONDENSED CONSOLIDATED FINANCIAL STATEMENTS — (Continued) 9. Divestitures, Asset Impairments and Unusual Items</w:t>
      </w:r>
    </w:p>
    <w:p>
      <w:pPr>
        <w:ind w:left="6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During the first quarter of 2021, we recognized net charges of $17 million consisting of charges for (i) a $19 million charge pertaining to reserves for loss contingencies in our Corporate and Other segment and (ii) $6 million of asset impairment charges primarily related to our WM Renewable Energy business within our Other Segment; which were partially offset by an $8 million gain from divestitures of certain ancillary operations in our Other segment.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During the first quarter of 2020, we recorded a non-cash impairment charge of $7 million related to our investment in a refined coal facility which is discussed further in Note 4. The fair value of our investment was not readily determinable; thus, we determined the fair value using management assumptions pertaining to investment value (Level 3).</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Accumulated Other Comprehensive Income (Loss)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Balance,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3" w:lineRule="exact"/>
        <w:rPr>
          <w:sz w:val="20"/>
          <w:szCs w:val="20"/>
          <w:color w:val="auto"/>
        </w:rPr>
      </w:pPr>
    </w:p>
    <w:p>
      <w:pPr>
        <w:ind w:left="400" w:right="120" w:hanging="128"/>
        <w:spacing w:after="0" w:line="255" w:lineRule="auto"/>
        <w:rPr>
          <w:sz w:val="20"/>
          <w:szCs w:val="20"/>
          <w:color w:val="auto"/>
        </w:rPr>
      </w:pPr>
      <w:r>
        <w:rPr>
          <w:rFonts w:ascii="Arial" w:cs="Arial" w:eastAsia="Arial" w:hAnsi="Arial"/>
          <w:sz w:val="18"/>
          <w:szCs w:val="18"/>
          <w:color w:val="auto"/>
        </w:rPr>
        <w:t>Other comprehensive income (loss) before reclassifications, net of tax expense (benefit) of $0, $(2), $0 and $0,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wp:posOffset>
            </wp:positionV>
            <wp:extent cx="564896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411480"/>
                    </a:xfrm>
                    <a:prstGeom prst="rect">
                      <a:avLst/>
                    </a:prstGeom>
                    <a:noFill/>
                  </pic:spPr>
                </pic:pic>
              </a:graphicData>
            </a:graphic>
          </wp:anchor>
        </w:drawing>
      </w:r>
    </w:p>
    <w:p>
      <w:pPr>
        <w:jc w:val="both"/>
        <w:ind w:left="400" w:hanging="128"/>
        <w:spacing w:after="0" w:line="255" w:lineRule="auto"/>
        <w:rPr>
          <w:sz w:val="20"/>
          <w:szCs w:val="20"/>
          <w:color w:val="auto"/>
        </w:rPr>
      </w:pPr>
      <w:r>
        <w:rPr>
          <w:rFonts w:ascii="Arial" w:cs="Arial" w:eastAsia="Arial" w:hAnsi="Arial"/>
          <w:sz w:val="18"/>
          <w:szCs w:val="18"/>
          <w:color w:val="auto"/>
        </w:rPr>
        <w:t>Amounts reclassified from accumulated other comprehensive (income) loss, net of tax (expense) benefit of $0, $0, $0 and $0, respectively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Post-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Currency</w:t>
            </w:r>
          </w:p>
        </w:tc>
        <w:tc>
          <w:tcPr>
            <w:tcW w:w="8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Retirement</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gridSpan w:val="3"/>
            <w:vMerge w:val="continue"/>
          </w:tcPr>
          <w:p>
            <w:pPr>
              <w:spacing w:after="0"/>
              <w:rPr>
                <w:sz w:val="12"/>
                <w:szCs w:val="12"/>
                <w:color w:val="auto"/>
              </w:rPr>
            </w:pPr>
          </w:p>
        </w:tc>
        <w:tc>
          <w:tcPr>
            <w:tcW w:w="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for-Sale</w:t>
            </w: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Benefit</w:t>
            </w:r>
          </w:p>
        </w:tc>
        <w:tc>
          <w:tcPr>
            <w:tcW w:w="5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Securities</w:t>
            </w: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Adjustments</w:t>
            </w: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Obligations</w:t>
            </w: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39</w:t>
            </w:r>
          </w:p>
        </w:tc>
        <w:tc>
          <w:tcPr>
            <w:tcW w:w="0" w:type="dxa"/>
            <w:vAlign w:val="bottom"/>
          </w:tcPr>
          <w:p>
            <w:pPr>
              <w:spacing w:after="0"/>
              <w:rPr>
                <w:sz w:val="1"/>
                <w:szCs w:val="1"/>
                <w:color w:val="auto"/>
              </w:rPr>
            </w:pPr>
          </w:p>
        </w:tc>
      </w:tr>
      <w:tr>
        <w:trPr>
          <w:trHeight w:val="634"/>
        </w:trPr>
        <w:tc>
          <w:tcPr>
            <w:tcW w:w="30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48"/>
        </w:trPr>
        <w:tc>
          <w:tcPr>
            <w:tcW w:w="3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2">
            <w:col w:w="4700" w:space="180"/>
            <w:col w:w="4139"/>
          </w:cols>
          <w:pgMar w:left="1440" w:top="661" w:right="1440" w:bottom="1440" w:gutter="0" w:footer="0" w:header="0"/>
          <w:type w:val="continuous"/>
        </w:sectPr>
      </w:pPr>
    </w:p>
    <w:tbl>
      <w:tblPr>
        <w:tblLayout w:type="fixed"/>
        <w:tblInd w:w="40" w:type="dxa"/>
        <w:tblCellMar>
          <w:top w:w="0" w:type="dxa"/>
          <w:left w:w="0" w:type="dxa"/>
          <w:bottom w:w="0" w:type="dxa"/>
          <w:right w:w="0" w:type="dxa"/>
        </w:tblCellMar>
      </w:tblPr>
      <w:tr>
        <w:trPr>
          <w:trHeight w:val="198"/>
        </w:trPr>
        <w:tc>
          <w:tcPr>
            <w:tcW w:w="4840" w:type="dxa"/>
            <w:vAlign w:val="bottom"/>
            <w:tcBorders>
              <w:bottom w:val="single" w:sz="8" w:color="CCEEFF"/>
            </w:tcBorders>
          </w:tcPr>
          <w:p>
            <w:pPr>
              <w:ind w:left="20"/>
              <w:spacing w:after="0" w:line="198" w:lineRule="exact"/>
              <w:rPr>
                <w:sz w:val="20"/>
                <w:szCs w:val="20"/>
                <w:color w:val="auto"/>
              </w:rPr>
            </w:pPr>
            <w:r>
              <w:rPr>
                <w:rFonts w:ascii="Arial" w:cs="Arial" w:eastAsia="Arial" w:hAnsi="Arial"/>
                <w:sz w:val="18"/>
                <w:szCs w:val="18"/>
                <w:color w:val="auto"/>
              </w:rPr>
              <w:t>Net current period other comprehensive income (loss)</w:t>
            </w:r>
          </w:p>
        </w:tc>
        <w:tc>
          <w:tcPr>
            <w:tcW w:w="3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ind w:left="200"/>
              <w:spacing w:after="0" w:line="198"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9</w:t>
            </w:r>
          </w:p>
        </w:tc>
      </w:tr>
      <w:tr>
        <w:trPr>
          <w:trHeight w:val="209"/>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4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Common Stock Repurchase Program</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Company repurchases shares of its common stock as part of capital allocation programs authorized by our Board of Directors. In February 2021, we entered into an accelerated share repurchase (“ASR”) agreement to repurchase $250 million of our common stock. At the beginning of the repurchase period, we delivered $250 million cash and received 1.8 million shares based on a stock price of $110.56. The final number of shares to be repurchased and the final average price per share under the ASR agreement will depend on the volume-weighted average price of our stock, less a discount, during the term of the agreement. Purchases under the ASR agreement are expected to be completed in April 2021.</w:t>
      </w:r>
    </w:p>
    <w:p>
      <w:pPr>
        <w:spacing w:after="0" w:line="16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As of March 31, 2021, the Company has authorization for $1.1 billion of future share repurchases.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assets and liabilities that are measured at fair value on a recurring basis include the following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r>
      <w:tr>
        <w:trPr>
          <w:trHeight w:val="176"/>
        </w:trPr>
        <w:tc>
          <w:tcPr>
            <w:tcW w:w="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Fair Value Measurements Using:</w:t>
            </w:r>
          </w:p>
        </w:tc>
        <w:tc>
          <w:tcPr>
            <w:tcW w:w="250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Quoted prices in active markets (Level 1):</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Cash equivalents and money market funds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5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Significant other observable inputs (Level 2):</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Available-for-sale securities (a)</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Significant unobservable inputs (Level 3):</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Redeemable preferred stock (b)</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09"/>
        </w:trPr>
        <w:tc>
          <w:tcPr>
            <w:tcW w:w="20" w:type="dxa"/>
            <w:vAlign w:val="bottom"/>
          </w:tcPr>
          <w:p>
            <w:pPr>
              <w:spacing w:after="0"/>
              <w:rPr>
                <w:sz w:val="18"/>
                <w:szCs w:val="18"/>
                <w:color w:val="auto"/>
              </w:rPr>
            </w:pP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Total Assets</w:t>
            </w:r>
          </w:p>
        </w:tc>
        <w:tc>
          <w:tcPr>
            <w:tcW w:w="17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5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r>
    </w:tbl>
    <w:p>
      <w:pPr>
        <w:spacing w:after="0" w:line="80" w:lineRule="exact"/>
        <w:rPr>
          <w:sz w:val="20"/>
          <w:szCs w:val="20"/>
          <w:color w:val="auto"/>
        </w:rPr>
      </w:pPr>
    </w:p>
    <w:p>
      <w:pPr>
        <w:ind w:left="380" w:hanging="33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available-for-sale securities primarily relate to debt securities with maturities over the next nine years.</w:t>
      </w:r>
    </w:p>
    <w:p>
      <w:pPr>
        <w:spacing w:after="0" w:line="117" w:lineRule="exact"/>
        <w:rPr>
          <w:rFonts w:ascii="Arial" w:cs="Arial" w:eastAsia="Arial" w:hAnsi="Arial"/>
          <w:sz w:val="18"/>
          <w:szCs w:val="18"/>
          <w:color w:val="auto"/>
        </w:rPr>
      </w:pPr>
    </w:p>
    <w:p>
      <w:pPr>
        <w:jc w:val="both"/>
        <w:ind w:left="380" w:right="79" w:hanging="330"/>
        <w:spacing w:after="0" w:line="257"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When available, Level 3 investments have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company comparable transactions.</w:t>
      </w:r>
    </w:p>
    <w:p>
      <w:pPr>
        <w:spacing w:after="0" w:line="18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See Note 8 for information related to the nonrecurring fair value measurement of assets and liabilities acquired in connection with our acquisition of Advanced Disposal.</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of March 31, 2021 and December 31, 2020, the carrying value of our debt was $13.5 billion and $13.8 billion. The estimated fair value of our debt was approximately $14.1 billion and $15.2 billion as of March 31, 2021 and December 31, 2020, respectively. The decrease in the fair value of debt was primarily attributable to increases in current market rates for similar types of instruments.</w:t>
      </w:r>
    </w:p>
    <w:p>
      <w:pPr>
        <w:spacing w:after="0" w:line="18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March 31, 2021 and December 31, 2020. These amounts have not been revalued since those dates, and current estimates of fair value could differ significantly from the amounts presented.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Variable Interest Entities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Following is a description of our financial interests in unconsolidated and consolidated variable interest entities that we consider significant: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Low-Income Housing Properties</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do not consolidate our investments in entities established to manage low-income housing properties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$220 million and $228 million as of March 31, 2021 and December 31, 2020, respectively. The debt balance related to our investments in low-income housing properties was $196 million and $210 million as of March 31, 2021 and December 31, 2020, respectively. During the first quarter of 2020, the entity that owned the investment in the refined coal facility sold the majority of its assets, which resulted in a $7 million non-cash impairment of our investment. Additional information related to these investments is discussed in Note 4.</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Unconsolidated Variable Interest Entities — </w:t>
      </w:r>
      <w:r>
        <w:rPr>
          <w:rFonts w:ascii="Arial" w:cs="Arial" w:eastAsia="Arial" w:hAnsi="Arial"/>
          <w:sz w:val="17"/>
          <w:szCs w:val="17"/>
          <w:color w:val="auto"/>
        </w:rPr>
        <w:t>Trust funds that are established for both the benefit of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$108 million and $106 million as of March 31, 2021 and December 31, 2020, respectively.</w:t>
      </w:r>
    </w:p>
    <w:p>
      <w:pPr>
        <w:spacing w:after="0" w:line="181"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Consolidated Variable Interest Entities — </w:t>
      </w:r>
      <w:r>
        <w:rPr>
          <w:rFonts w:ascii="Arial" w:cs="Arial" w:eastAsia="Arial" w:hAnsi="Arial"/>
          <w:sz w:val="17"/>
          <w:szCs w:val="17"/>
          <w:color w:val="auto"/>
        </w:rPr>
        <w:t>Trust funds for which we are the sole beneficiary are consolidated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we are the primary beneficiary. These trust funds are recorded in restricted trust and escrow accounts in our Condensed Consolidated Balance Sheets. Unrealized gains and losses on available-for-sale securities held by these trusts are recorded as a component of accumulated other comprehensive income (loss). These trusts had a fair value of $115 million and $114 million as of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2" w:name="page23"/>
    <w:bookmarkEnd w:id="22"/>
    <w:p>
      <w:pPr>
        <w:ind w:left="60"/>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2020.</w:t>
      </w:r>
    </w:p>
    <w:p>
      <w:pPr>
        <w:spacing w:after="0" w:line="187"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 view or belief about current and future events, circumstances or performance. You should view these statements with caution. They are based on the facts and circumstances known to us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growth, and cost savings initiatives and overall business strategy; failure to identify acquisition targets and negotiate attractive terms; failure to consummate or integrate acquisitions; failure to obtain the results anticipated from acquisitions; failure to successfully integrate the acquisition of Advanced Disposal Services, Inc. (“Advanced Disposal”), realize anticipated synergies or obtain other results anticipated from such acquisition; environmental and other regulations, including developments related to emerging contaminants, gas emissions and renewable fuel; significant environmental, safety or other incidents resulting in liabilities or brand damage; failure to obtain and maintain necessary permits; failure to attract, hire and retain key team members and a high quality workforce; labor disruptions and wage-related regulations; significant storms and destructive climate events; public health risk and other impacts of COVID-19 or similar pandemic conditions, including increased costs, social and commercial disruption and service reductions; increased competition; pricing actions; commodity price fluctuations; international trade restrictions; disposal alternatives and waste diversion; declining waste volumes; weakness in general economic conditions and capital markets; adoption of new tax legislation; fuel shortages; failure to develop and protect new technology; failure of technology to perform as expected, including implementation of a new enterprise resource planning system; failure to prevent, detect and address cybersecurity incidents or comply with privacy regulations; negative outcomes of litigation or governmental proceedings; decisions or developments that result in impairment charges and other risks discussed in our filings with the SEC, including Part I, Item 1A of our Annual Report on Form 10-K for the year ended December 31, 2020. We assume no obligation to update any forward-looking statement, including financial estimates and forecasts, whether as a result of future events, circumstances or developments or otherwise.</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are North America’s leading provider of comprehensive waste management environmental services,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We own or operate the largest network of landfills in the U.S. and Canada. In order to make disposal more practical for larger urban markets, where the distance to landfills is typically farther, we manage transfer stations that consolidate, compact and transport waste efficiently and economically. We also use waste to create energy, recovering the gas produced naturally as waste decomposes in landfills and using the gas in generators to make electricity or natural gas. Additionally, we are a leading recycler in the U.S. and Canada, handling materials that include paper, cardboard, glass, plastic and metal. Our “Solid Waste” business is operated and managed locally by our subsidiaries that focus on distinct geographic areas and provides collection, transfer, disposal, and recycling and resource recovery services.</w:t>
      </w:r>
    </w:p>
    <w:p>
      <w:pPr>
        <w:spacing w:after="0" w:line="18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3" w:name="page24"/>
    <w:bookmarkEnd w:id="23"/>
    <w:p>
      <w:pPr>
        <w:jc w:val="both"/>
        <w:ind w:left="60" w:right="59"/>
        <w:spacing w:after="0" w:line="271" w:lineRule="auto"/>
        <w:rPr>
          <w:sz w:val="20"/>
          <w:szCs w:val="20"/>
          <w:color w:val="auto"/>
        </w:rPr>
      </w:pPr>
      <w:r>
        <w:rPr>
          <w:rFonts w:ascii="Arial" w:cs="Arial" w:eastAsia="Arial" w:hAnsi="Arial"/>
          <w:sz w:val="17"/>
          <w:szCs w:val="17"/>
          <w:color w:val="auto"/>
        </w:rPr>
        <w:t xml:space="preserve">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fee, fuel surcharge and regulatory recovery fee which are intended to pass through to customers direct and indirect costs incurred. We also provide additional services that are not managed through our Solid Waste business, described under </w:t>
      </w: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below.</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Acquisition of Advanced Disposal</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On October 30, 2020, we completed our acquisition of all outstanding shares of Advanced Disposal for $30.30 per share in cash, pursuant to an Agreement and Plan of Merger dated April 14, 2019, as amended on June 24, 2020. Total enterprise value of the acquisition was $4.6 billion when including approximately $1.8 billion of Advanced Disposal’s net debt. This acquisition grows our footprint and allows us to provide differentiated, sustainable waste management and recycling services to approximately three million new commercial, industrial and residential customers primarily located in the Eastern half of the U.S. The acquisition was funded using a $3.0 billion, 364-day, U.S. revolving credit facility and our commercial paper program. In November 2020, we issued $2.5 billion of senior notes and used a portion of the proceeds to repay all outstanding borrowings under the $3.0 billion, 364-day, U.S. revolver and terminated the facility. As a result of the acquisition we recorded $4.1 billion of net assets including $2.5 billion of goodwill as of December 31, 2020. During the first quarter of 2021, we made significant progress on our integration of Advanced Disposal. The focus of these efforts has been to ensure that we continue to provide uninterrupted service to our customers through the integration of certain customer facing and back office digital platforms.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COVID-19 Update</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impacts of COVID-19 on the global economy increased rapidly at the end of the first quarter of 2020 affecting our business in most geographies and across a variety of our customer types. While our volumes (excluding volumes from acquisitions and divestitures) for the three months ended March 31, 2021 are still below the first quarter of the prior year, as the impacts of COVID-19 did not begin to take hold until late in the first quarter of 2020, we continue to see volume recovery in our landfill and industrial and commercial collection businesses from the lowest levels observed in April 2020. We expect the year-over-year comparisons during 2021 to be impacted by the significant revenue declines experienced in 2020 as a result of COVID-19. We are optimistic about continued volume recovery in 2021 as COVID-19 vaccines become more widely available to more people and states and local jurisdictions continue to re-open.</w:t>
      </w:r>
    </w:p>
    <w:p>
      <w:pPr>
        <w:spacing w:after="0" w:line="165" w:lineRule="exact"/>
        <w:rPr>
          <w:sz w:val="20"/>
          <w:szCs w:val="20"/>
          <w:color w:val="auto"/>
        </w:rPr>
      </w:pPr>
    </w:p>
    <w:p>
      <w:pPr>
        <w:jc w:val="both"/>
        <w:ind w:left="60" w:right="79" w:firstLine="324"/>
        <w:spacing w:after="0" w:line="296" w:lineRule="auto"/>
        <w:rPr>
          <w:sz w:val="20"/>
          <w:szCs w:val="20"/>
          <w:color w:val="auto"/>
        </w:rPr>
      </w:pPr>
      <w:r>
        <w:rPr>
          <w:rFonts w:ascii="Arial" w:cs="Arial" w:eastAsia="Arial" w:hAnsi="Arial"/>
          <w:sz w:val="16"/>
          <w:szCs w:val="16"/>
          <w:color w:val="auto"/>
        </w:rPr>
        <w:t>Throughout the COVID-19 pandemic, the Company has proactively taken steps to put our employees’ and customers’ needs first and we continue to work with the appropriate regulatory agencies to ensure we can provide our essential services safely and efficiently. We continue to operate with a focus on protecting the health and safety of our employees and maintaining business continuity for our customers. These efforts, combined with our disciplined execution in our daily operations, have positioned the Company to prudently manage the challenges presented by COVID-19.</w:t>
      </w:r>
    </w:p>
    <w:p>
      <w:pPr>
        <w:spacing w:after="0" w:line="161"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see signs of an improving economy and are optimistic about our future outlook; however, the ultimate impacts of COVID-19 on our long-term outlook for the business will depend on future developments, including the duration of the pandemic and pace of economic recovery. These factors and their impacts on our business, financial condition, results of operations and cash flows are uncertain and cannot be predicted at this time. We remain focused on the diligent and safe execution of our daily operations. We are encouraged by our first quarter results and remain focused on delivering outstanding customer service and managing our variable costs with changing volumes.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Strategy</w:t>
      </w:r>
    </w:p>
    <w:p>
      <w:pPr>
        <w:spacing w:after="0" w:line="225"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that leverages and sustains the strongest asset network in the industry to drive best-in-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4" w:name="page25"/>
    <w:bookmarkEnd w:id="24"/>
    <w:p>
      <w:pPr>
        <w:jc w:val="both"/>
        <w:ind w:left="60" w:right="59"/>
        <w:spacing w:after="0" w:line="270" w:lineRule="auto"/>
        <w:rPr>
          <w:sz w:val="20"/>
          <w:szCs w:val="20"/>
          <w:color w:val="auto"/>
        </w:rPr>
      </w:pPr>
      <w:r>
        <w:rPr>
          <w:rFonts w:ascii="Arial" w:cs="Arial" w:eastAsia="Arial" w:hAnsi="Arial"/>
          <w:sz w:val="17"/>
          <w:szCs w:val="17"/>
          <w:color w:val="auto"/>
        </w:rPr>
        <w:t>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the combination of cost control, enhancements to our digital platform, process improvement and operational efficiency will deliver on the Company’s strategy of continuous improvement and yield an attractive total cost structure and enhanced service quality. While we will continue to monitor emerging diversion technologies that may generate additional value and related market dynamics, our current attention will be on improving existing diversion technologies, such as our recycling operations.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w:t>
      </w:r>
    </w:p>
    <w:p>
      <w:pPr>
        <w:spacing w:after="0" w:line="17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Despite some industry consolidation in recent years, we encounter intense competition from governmental, quasi-governmental and private service providers based on pricing, service quality, customer experience and breadth of service offerings.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including the impact of COVID-19, can and have caused customers to reduce their service needs. Such negative economic conditions, in addition to competitor actions, can and have made it more challenging to implement our pricing strategy and negotiate, renew or expand service contracts with acceptable margins.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Volume changes can fluctuate dramatically by line of business and decreases in volumes in higher margin businesses, such as what we have seen with COVID-19, can impact key financial metrics. In this type of environment, we must dynamically manage our cost structure.</w:t>
      </w:r>
    </w:p>
    <w:p>
      <w:pPr>
        <w:spacing w:after="0" w:line="17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believe the Company’s industry-leading asset network and strategic focuses on investing in our people and our digital platform will give the Company the necessary tools to address the evolving challenges impacting the Company and our industry. In line with our commitment to continuous improvement and a differentiated customer experience, we accelerated our customer service digitalization initiative to change the way we interact with our customers. Enhancements made through this initiative are designed to seamlessly and digitally connect all the Company’s functions required to service our customers in order to provide the best experience and service. Additionally, we continue to make meaningful progress on the implementation of our new enterprise resource planning system.</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Current Quarter Financial Results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During the first quarter of 2021, we delivered solid operating income and cash flows as we continued to experience volume recovery in our landfill and industrial and commercial collection businesses and benefited from the acquisition of Advanced Disposal. Additionally, we maintained focus on reducing our operating costs and discretionary selling, general and administrative expenses. We allocated $270 million of available cash to capital expenditures and $497 million to our shareholders through dividends and share repurchases.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Key elements of our financial results for the first quarter include:</w:t>
      </w:r>
    </w:p>
    <w:p>
      <w:pPr>
        <w:spacing w:after="0" w:line="117" w:lineRule="exact"/>
        <w:rPr>
          <w:sz w:val="20"/>
          <w:szCs w:val="20"/>
          <w:color w:val="auto"/>
        </w:rPr>
      </w:pPr>
    </w:p>
    <w:p>
      <w:pPr>
        <w:ind w:left="720" w:right="79" w:hanging="319"/>
        <w:spacing w:after="0" w:line="342"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Revenues of $4,112 million, compared with $3,729 million in the prior year period, an increase of $383 million, or 10.3%. The increase is primarily attributable to (i) our acquisition of Advanced Disposal; (ii) higher yield in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5" w:name="page26"/>
    <w:bookmarkEnd w:id="25"/>
    <w:p>
      <w:pPr>
        <w:jc w:val="both"/>
        <w:ind w:left="720" w:right="79"/>
        <w:spacing w:after="0" w:line="263" w:lineRule="auto"/>
        <w:rPr>
          <w:sz w:val="20"/>
          <w:szCs w:val="20"/>
          <w:color w:val="auto"/>
        </w:rPr>
      </w:pPr>
      <w:r>
        <w:rPr>
          <w:rFonts w:ascii="Arial" w:cs="Arial" w:eastAsia="Arial" w:hAnsi="Arial"/>
          <w:sz w:val="18"/>
          <w:szCs w:val="18"/>
          <w:color w:val="auto"/>
        </w:rPr>
        <w:t>our recycling business driven by higher commodity prices and (iii) higher yield in our collection and disposal businesses. These revenue increases were partially offset by lower volumes in our collection and disposal businesses resulting from COVID-19 related impacts;</w:t>
      </w:r>
    </w:p>
    <w:p>
      <w:pPr>
        <w:spacing w:after="0" w:line="76" w:lineRule="exact"/>
        <w:rPr>
          <w:sz w:val="20"/>
          <w:szCs w:val="20"/>
          <w:color w:val="auto"/>
        </w:rPr>
      </w:pPr>
    </w:p>
    <w:p>
      <w:pPr>
        <w:jc w:val="both"/>
        <w:ind w:left="720" w:right="79" w:hanging="319"/>
        <w:spacing w:after="0" w:line="301"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Operating expenses of $2,514 million, or 61.1% of revenues, compared with $2,329 million, or 62.5% of revenues, in the prior year period. The $185 million increase is primarily attributable to (i) the acquisition of Advanced Disposal and (ii) higher cost of goods sold driven by higher market prices for recycling commodities. These increases were partially offset by proactive cost management efforts and lower landfill operating costs;</w:t>
      </w:r>
    </w:p>
    <w:p>
      <w:pPr>
        <w:spacing w:after="0" w:line="49" w:lineRule="exact"/>
        <w:rPr>
          <w:rFonts w:ascii="Arial" w:cs="Arial" w:eastAsia="Arial" w:hAnsi="Arial"/>
          <w:sz w:val="16"/>
          <w:szCs w:val="16"/>
          <w:color w:val="auto"/>
        </w:rPr>
      </w:pPr>
    </w:p>
    <w:p>
      <w:pPr>
        <w:jc w:val="both"/>
        <w:ind w:left="720" w:right="79" w:hanging="319"/>
        <w:spacing w:after="0" w:line="274"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Selling, general and administrative expenses were $458 million, or 11.1% of revenues, compared with $425 million, or 11.4% of revenues, in the prior year period. The $33 million increase is primarily attributable to</w:t>
      </w:r>
    </w:p>
    <w:p>
      <w:pPr>
        <w:jc w:val="both"/>
        <w:ind w:left="720" w:right="79" w:firstLine="5"/>
        <w:spacing w:after="0" w:line="253" w:lineRule="auto"/>
        <w:tabs>
          <w:tab w:leader="none" w:pos="975" w:val="left"/>
        </w:tabs>
        <w:numPr>
          <w:ilvl w:val="1"/>
          <w:numId w:val="19"/>
        </w:numPr>
        <w:rPr>
          <w:rFonts w:ascii="Arial" w:cs="Arial" w:eastAsia="Arial" w:hAnsi="Arial"/>
          <w:sz w:val="18"/>
          <w:szCs w:val="18"/>
          <w:color w:val="auto"/>
        </w:rPr>
      </w:pPr>
      <w:r>
        <w:rPr>
          <w:rFonts w:ascii="Arial" w:cs="Arial" w:eastAsia="Arial" w:hAnsi="Arial"/>
          <w:sz w:val="18"/>
          <w:szCs w:val="18"/>
          <w:color w:val="auto"/>
        </w:rPr>
        <w:t>higher incentive compensation costs; (ii) increased labor and support costs related to our acquisition of Advanced Disposal and (iii) strategic investments in our digital platform. These cost increases were offset, in part, by (i) the proactive steps taken to reduce discretionary expenses and (ii) a decrease in the provision for bad debts;</w:t>
      </w:r>
    </w:p>
    <w:p>
      <w:pPr>
        <w:spacing w:after="0" w:line="84" w:lineRule="exact"/>
        <w:rPr>
          <w:rFonts w:ascii="Arial" w:cs="Arial" w:eastAsia="Arial" w:hAnsi="Arial"/>
          <w:sz w:val="18"/>
          <w:szCs w:val="18"/>
          <w:color w:val="auto"/>
        </w:rPr>
      </w:pPr>
    </w:p>
    <w:p>
      <w:pPr>
        <w:jc w:val="both"/>
        <w:ind w:left="720" w:right="79" w:hanging="319"/>
        <w:spacing w:after="0" w:line="272"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Income from operations was $650 million, or 15.8% of revenues, compared with $573 million, or 15.4% of revenues, in the prior year period. The improved earnings in the current year are driven by strong operating results in our collection and disposal business, improved profitability in our recycling business and increased market values for renewable energy credits generated by our WM Renewable Energy business. The favorable comparison was partially offset by (i) higher depreciation and amortization expense, particularly due to the Advanced Disposal acquisition; (ii) a charge pertaining to reserves for certain loss contingencies in our Corporate and Other segment and (iii) strategic investments in our digital platform;</w:t>
      </w:r>
    </w:p>
    <w:p>
      <w:pPr>
        <w:spacing w:after="0" w:line="69" w:lineRule="exact"/>
        <w:rPr>
          <w:rFonts w:ascii="Arial" w:cs="Arial" w:eastAsia="Arial" w:hAnsi="Arial"/>
          <w:sz w:val="17"/>
          <w:szCs w:val="17"/>
          <w:color w:val="auto"/>
        </w:rPr>
      </w:pPr>
    </w:p>
    <w:p>
      <w:pPr>
        <w:jc w:val="both"/>
        <w:ind w:left="720" w:right="79" w:hanging="319"/>
        <w:spacing w:after="0" w:line="275"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Net income attributable to Waste Management, Inc. was $421 million, or $0.99 per diluted share, compared with $361 million, or $0.85 per diluted share, in the prior year period. In addition to the activity discussed above, net income in the current period was also impacted by higher income tax expense primarily attributable to a higher effective tax rate and an increase in income before income taxes, which was partially offset by a decrease in net interest expense primarily related to certain refinancing activities;</w:t>
      </w:r>
    </w:p>
    <w:p>
      <w:pPr>
        <w:spacing w:after="0" w:line="68" w:lineRule="exact"/>
        <w:rPr>
          <w:rFonts w:ascii="Arial" w:cs="Arial" w:eastAsia="Arial" w:hAnsi="Arial"/>
          <w:sz w:val="17"/>
          <w:szCs w:val="17"/>
          <w:color w:val="auto"/>
        </w:rPr>
      </w:pPr>
    </w:p>
    <w:p>
      <w:pPr>
        <w:jc w:val="both"/>
        <w:ind w:left="720" w:right="79" w:hanging="319"/>
        <w:spacing w:after="0" w:line="259"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cash provided by operating activities was $1,120 million compared with $765 million in the prior year period, with the increase related to (i) favorable working capital changes, including improved cash collections and lower annual incentive compensation payments in the current year and (ii) an increase in earnings attributable to our collection and disposal and recycling lines of business; and</w:t>
      </w:r>
    </w:p>
    <w:p>
      <w:pPr>
        <w:spacing w:after="0" w:line="78" w:lineRule="exact"/>
        <w:rPr>
          <w:rFonts w:ascii="Arial" w:cs="Arial" w:eastAsia="Arial" w:hAnsi="Arial"/>
          <w:sz w:val="18"/>
          <w:szCs w:val="18"/>
          <w:color w:val="auto"/>
        </w:rPr>
      </w:pPr>
    </w:p>
    <w:p>
      <w:pPr>
        <w:jc w:val="both"/>
        <w:ind w:left="720" w:right="79" w:hanging="319"/>
        <w:spacing w:after="0" w:line="296"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Free cash flow was $865 million compared with $318 million in the prior year period. The increase in net cash provided by operating activities noted above was the primary driver of the increase, though a decrease in capital expenditures further improved the comparison. Free cash flow is a non-GAAP measure of liquidity. Refer to </w:t>
      </w:r>
      <w:r>
        <w:rPr>
          <w:rFonts w:ascii="Arial" w:cs="Arial" w:eastAsia="Arial" w:hAnsi="Arial"/>
          <w:sz w:val="16"/>
          <w:szCs w:val="16"/>
          <w:i w:val="1"/>
          <w:iCs w:val="1"/>
          <w:color w:val="auto"/>
        </w:rPr>
        <w:t>Free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Cash Flow </w:t>
      </w:r>
      <w:r>
        <w:rPr>
          <w:rFonts w:ascii="Arial" w:cs="Arial" w:eastAsia="Arial" w:hAnsi="Arial"/>
          <w:sz w:val="16"/>
          <w:szCs w:val="16"/>
          <w:color w:val="auto"/>
        </w:rPr>
        <w:t>below for our definition of free cash flow, additional information about our use of this measure, and a</w:t>
      </w:r>
      <w:r>
        <w:rPr>
          <w:rFonts w:ascii="Arial" w:cs="Arial" w:eastAsia="Arial" w:hAnsi="Arial"/>
          <w:sz w:val="16"/>
          <w:szCs w:val="16"/>
          <w:i w:val="1"/>
          <w:iCs w:val="1"/>
          <w:color w:val="auto"/>
        </w:rPr>
        <w:t xml:space="preserve"> </w:t>
      </w:r>
      <w:r>
        <w:rPr>
          <w:rFonts w:ascii="Arial" w:cs="Arial" w:eastAsia="Arial" w:hAnsi="Arial"/>
          <w:sz w:val="16"/>
          <w:szCs w:val="16"/>
          <w:color w:val="auto"/>
        </w:rPr>
        <w:t>reconciliation to net cash provided by operating activities, which is the most comparable GAAP measure.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17 Areas. We also provide additional services that are not managed through our Solid Waste business, including operations managed by both our Strategic Business Solutions (“WMSBS”) and Energy and Environmental Services (“EES”) businesses, recycling brokerage services, landfill gas-to-energy services and certain other expanded service offerings and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6" w:name="page27"/>
    <w:bookmarkEnd w:id="26"/>
    <w:p>
      <w:pPr>
        <w:ind w:left="60" w:right="59"/>
        <w:spacing w:after="0" w:line="277" w:lineRule="auto"/>
        <w:rPr>
          <w:sz w:val="20"/>
          <w:szCs w:val="20"/>
          <w:color w:val="auto"/>
        </w:rPr>
      </w:pPr>
      <w:r>
        <w:rPr>
          <w:rFonts w:ascii="Arial" w:cs="Arial" w:eastAsia="Arial" w:hAnsi="Arial"/>
          <w:sz w:val="18"/>
          <w:szCs w:val="18"/>
          <w:color w:val="auto"/>
        </w:rPr>
        <w:t>solutions. The mix of operating revenues from our major lines of business for the three months ended March 31 is reflected in the table below (in millions):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Residential</w:t>
            </w:r>
          </w:p>
        </w:tc>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collection</w:t>
            </w:r>
          </w:p>
        </w:tc>
        <w:tc>
          <w:tcPr>
            <w:tcW w:w="4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Landfill</w:t>
            </w:r>
          </w:p>
        </w:tc>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887</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Recycling</w:t>
            </w:r>
          </w:p>
        </w:tc>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Intercompany (b)</w:t>
            </w:r>
          </w:p>
        </w:tc>
        <w:tc>
          <w:tcPr>
            <w:tcW w:w="4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54"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“Other” line of business includes (i) our WMSBS business; (ii) our landfill gas-to-energy operations; (iii) certain services within our EES business,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 We have reclassified collection, landfill, transfer and recycling activity within our “Other” line of business to the appropriate line of business for purposes of presentation in this table.</w:t>
      </w:r>
    </w:p>
    <w:p>
      <w:pPr>
        <w:spacing w:after="0" w:line="194"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170"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changes in revenues and average yield (dollars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20" w:type="dxa"/>
            <w:vAlign w:val="bottom"/>
            <w:gridSpan w:val="9"/>
          </w:tcPr>
          <w:p>
            <w:pPr>
              <w:jc w:val="center"/>
              <w:ind w:right="630"/>
              <w:spacing w:after="0"/>
              <w:rPr>
                <w:sz w:val="20"/>
                <w:szCs w:val="20"/>
                <w:color w:val="auto"/>
              </w:rPr>
            </w:pPr>
            <w:r>
              <w:rPr>
                <w:rFonts w:ascii="Arial" w:cs="Arial" w:eastAsia="Arial" w:hAnsi="Arial"/>
                <w:sz w:val="14"/>
                <w:szCs w:val="14"/>
                <w:b w:val="1"/>
                <w:bCs w:val="1"/>
                <w:color w:val="auto"/>
                <w:w w:val="94"/>
              </w:rPr>
              <w:t>Period-to-Period Change for the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tcPr>
          <w:p>
            <w:pPr>
              <w:jc w:val="center"/>
              <w:ind w:left="5"/>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center"/>
              <w:ind w:left="5"/>
              <w:spacing w:after="0"/>
              <w:rPr>
                <w:sz w:val="20"/>
                <w:szCs w:val="20"/>
                <w:color w:val="auto"/>
              </w:rPr>
            </w:pPr>
            <w:r>
              <w:rPr>
                <w:rFonts w:ascii="Arial" w:cs="Arial" w:eastAsia="Arial" w:hAnsi="Arial"/>
                <w:sz w:val="14"/>
                <w:szCs w:val="14"/>
                <w:b w:val="1"/>
                <w:bCs w:val="1"/>
                <w:color w:val="auto"/>
                <w:w w:val="93"/>
              </w:rPr>
              <w:t>March 31, 2021 vs. 2020</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150"/>
              <w:spacing w:after="0" w:line="119" w:lineRule="exact"/>
              <w:rPr>
                <w:sz w:val="20"/>
                <w:szCs w:val="20"/>
                <w:color w:val="auto"/>
              </w:rPr>
            </w:pPr>
            <w:r>
              <w:rPr>
                <w:rFonts w:ascii="Arial" w:cs="Arial" w:eastAsia="Arial" w:hAnsi="Arial"/>
                <w:sz w:val="13"/>
                <w:szCs w:val="13"/>
                <w:b w:val="1"/>
                <w:bCs w:val="1"/>
                <w:color w:val="auto"/>
              </w:rPr>
              <w:t>As a % of</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92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4"/>
              </w:rPr>
              <w:t>Related</w:t>
            </w:r>
          </w:p>
        </w:tc>
        <w:tc>
          <w:tcPr>
            <w:tcW w:w="80" w:type="dxa"/>
            <w:vAlign w:val="bottom"/>
          </w:tcPr>
          <w:p>
            <w:pPr>
              <w:spacing w:after="0"/>
              <w:rPr>
                <w:sz w:val="12"/>
                <w:szCs w:val="12"/>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80" w:type="dxa"/>
            <w:vAlign w:val="bottom"/>
            <w:gridSpan w:val="3"/>
          </w:tcPr>
          <w:p>
            <w:pPr>
              <w:jc w:val="center"/>
              <w:ind w:right="10"/>
              <w:spacing w:after="0"/>
              <w:rPr>
                <w:sz w:val="20"/>
                <w:szCs w:val="20"/>
                <w:color w:val="auto"/>
              </w:rPr>
            </w:pPr>
            <w:r>
              <w:rPr>
                <w:rFonts w:ascii="Arial" w:cs="Arial" w:eastAsia="Arial" w:hAnsi="Arial"/>
                <w:sz w:val="14"/>
                <w:szCs w:val="14"/>
                <w:b w:val="1"/>
                <w:bCs w:val="1"/>
                <w:color w:val="auto"/>
                <w:w w:val="88"/>
              </w:rPr>
              <w:t>Business(a)</w:t>
            </w:r>
          </w:p>
        </w:tc>
        <w:tc>
          <w:tcPr>
            <w:tcW w:w="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96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5"/>
              </w:rPr>
              <w:t>Company(b)</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1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Recycling commodities (c)</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1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gridSpan w:val="2"/>
          </w:tcPr>
          <w:p>
            <w:pPr>
              <w:ind w:left="220"/>
              <w:spacing w:after="0"/>
              <w:rPr>
                <w:sz w:val="20"/>
                <w:szCs w:val="20"/>
                <w:color w:val="auto"/>
              </w:rPr>
            </w:pPr>
            <w:r>
              <w:rPr>
                <w:rFonts w:ascii="Arial" w:cs="Arial" w:eastAsia="Arial" w:hAnsi="Arial"/>
                <w:sz w:val="18"/>
                <w:szCs w:val="18"/>
                <w:color w:val="auto"/>
              </w:rPr>
              <w:t>Total average yield (d)</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Volume</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gridSpan w:val="2"/>
          </w:tcPr>
          <w:p>
            <w:pPr>
              <w:ind w:left="220"/>
              <w:spacing w:after="0"/>
              <w:rPr>
                <w:sz w:val="20"/>
                <w:szCs w:val="20"/>
                <w:color w:val="auto"/>
              </w:rPr>
            </w:pPr>
            <w:r>
              <w:rPr>
                <w:rFonts w:ascii="Arial" w:cs="Arial" w:eastAsia="Arial" w:hAnsi="Arial"/>
                <w:sz w:val="18"/>
                <w:szCs w:val="18"/>
                <w:color w:val="auto"/>
              </w:rPr>
              <w:t>Internal revenue growth</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220"/>
              <w:spacing w:after="0"/>
              <w:rPr>
                <w:sz w:val="20"/>
                <w:szCs w:val="20"/>
                <w:color w:val="auto"/>
              </w:rPr>
            </w:pPr>
            <w:r>
              <w:rPr>
                <w:rFonts w:ascii="Arial" w:cs="Arial" w:eastAsia="Arial" w:hAnsi="Arial"/>
                <w:sz w:val="18"/>
                <w:szCs w:val="18"/>
                <w:color w:val="auto"/>
              </w:rPr>
              <w:t>Divestitures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62"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62" w:lineRule="exact"/>
        <w:rPr>
          <w:rFonts w:ascii="Arial" w:cs="Arial" w:eastAsia="Arial" w:hAnsi="Arial"/>
          <w:sz w:val="18"/>
          <w:szCs w:val="18"/>
          <w:color w:val="auto"/>
        </w:rPr>
      </w:pPr>
    </w:p>
    <w:p>
      <w:pPr>
        <w:ind w:left="380" w:hanging="330"/>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the impact of commodity price variability and changes in fees.</w:t>
      </w:r>
    </w:p>
    <w:p>
      <w:pPr>
        <w:spacing w:after="0" w:line="117" w:lineRule="exact"/>
        <w:rPr>
          <w:rFonts w:ascii="Arial" w:cs="Arial" w:eastAsia="Arial" w:hAnsi="Arial"/>
          <w:sz w:val="18"/>
          <w:szCs w:val="18"/>
          <w:color w:val="auto"/>
        </w:rPr>
      </w:pPr>
    </w:p>
    <w:p>
      <w:pPr>
        <w:ind w:left="380" w:hanging="330"/>
        <w:spacing w:after="0"/>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amounts reported herein represent the changes in our revenue attributable to average yield for the total Company.</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7" w:name="page28"/>
    <w:bookmarkEnd w:id="27"/>
    <w:p>
      <w:pPr>
        <w:ind w:left="380"/>
        <w:spacing w:after="0"/>
        <w:rPr>
          <w:sz w:val="20"/>
          <w:szCs w:val="20"/>
          <w:color w:val="auto"/>
        </w:rPr>
      </w:pPr>
      <w:r>
        <w:rPr>
          <w:rFonts w:ascii="Arial" w:cs="Arial" w:eastAsia="Arial" w:hAnsi="Arial"/>
          <w:sz w:val="18"/>
          <w:szCs w:val="18"/>
          <w:color w:val="auto"/>
        </w:rPr>
        <w:t>The following provides further details associated with our period-to-period change in revenues: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Average Yield</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Collection and Disposal Average Yield </w:t>
      </w:r>
      <w:r>
        <w:rPr>
          <w:rFonts w:ascii="Arial" w:cs="Arial" w:eastAsia="Arial" w:hAnsi="Arial"/>
          <w:sz w:val="16"/>
          <w:szCs w:val="16"/>
          <w:color w:val="auto"/>
        </w:rPr>
        <w:t>— This measure reflects the effect on our revenue from the pricing activities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collection, transfer and landfill operations, exclusive of volume changes. Revenue growth from collection and disposal average yield includes not only base rate changes and environmental and service fee fluctuations, but also (i) certain average price changes related to the overall mix of services, which are due to the types of services provided; (ii) changes in average price from new and lost business and (iii) price decreases to retain customers.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details of our revenue growth from collection and disposal average yield are as follows (dollars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260" w:type="dxa"/>
            <w:vAlign w:val="bottom"/>
            <w:gridSpan w:val="5"/>
          </w:tcPr>
          <w:p>
            <w:pPr>
              <w:jc w:val="center"/>
              <w:ind w:right="70"/>
              <w:spacing w:after="0"/>
              <w:rPr>
                <w:sz w:val="20"/>
                <w:szCs w:val="20"/>
                <w:color w:val="auto"/>
              </w:rPr>
            </w:pPr>
            <w:r>
              <w:rPr>
                <w:rFonts w:ascii="Arial" w:cs="Arial" w:eastAsia="Arial" w:hAnsi="Arial"/>
                <w:sz w:val="14"/>
                <w:szCs w:val="14"/>
                <w:b w:val="1"/>
                <w:bCs w:val="1"/>
                <w:color w:val="auto"/>
                <w:w w:val="93"/>
              </w:rPr>
              <w:t>Period-to-Period Change for the</w:t>
            </w:r>
          </w:p>
        </w:tc>
      </w:tr>
      <w:tr>
        <w:trPr>
          <w:trHeight w:val="148"/>
        </w:trPr>
        <w:tc>
          <w:tcPr>
            <w:tcW w:w="6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4"/>
          </w:tcPr>
          <w:p>
            <w:pPr>
              <w:jc w:val="center"/>
              <w:ind w:right="210"/>
              <w:spacing w:after="0" w:line="149" w:lineRule="exact"/>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4"/>
          </w:tcPr>
          <w:p>
            <w:pPr>
              <w:jc w:val="center"/>
              <w:ind w:right="190"/>
              <w:spacing w:after="0"/>
              <w:rPr>
                <w:sz w:val="20"/>
                <w:szCs w:val="20"/>
                <w:color w:val="auto"/>
              </w:rPr>
            </w:pPr>
            <w:r>
              <w:rPr>
                <w:rFonts w:ascii="Arial" w:cs="Arial" w:eastAsia="Arial" w:hAnsi="Arial"/>
                <w:sz w:val="14"/>
                <w:szCs w:val="14"/>
                <w:b w:val="1"/>
                <w:bCs w:val="1"/>
                <w:color w:val="auto"/>
                <w:w w:val="93"/>
              </w:rPr>
              <w:t>March 31, 2021 vs. 2020</w:t>
            </w:r>
          </w:p>
        </w:tc>
      </w:tr>
      <w:tr>
        <w:trPr>
          <w:trHeight w:val="119"/>
        </w:trPr>
        <w:tc>
          <w:tcPr>
            <w:tcW w:w="66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r>
      <w:tr>
        <w:trPr>
          <w:trHeight w:val="162"/>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4"/>
              </w:rPr>
              <w:t>Related</w:t>
            </w:r>
          </w:p>
        </w:tc>
      </w:t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104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3"/>
              </w:rPr>
              <w:t>Business</w:t>
            </w: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r>
      <w:tr>
        <w:trPr>
          <w:trHeight w:val="209"/>
        </w:trPr>
        <w:tc>
          <w:tcPr>
            <w:tcW w:w="6640" w:type="dxa"/>
            <w:vAlign w:val="bottom"/>
          </w:tcPr>
          <w:p>
            <w:pPr>
              <w:ind w:left="220"/>
              <w:spacing w:after="0"/>
              <w:rPr>
                <w:sz w:val="20"/>
                <w:szCs w:val="20"/>
                <w:color w:val="auto"/>
              </w:rPr>
            </w:pPr>
            <w:r>
              <w:rPr>
                <w:rFonts w:ascii="Arial" w:cs="Arial" w:eastAsia="Arial" w:hAnsi="Arial"/>
                <w:sz w:val="18"/>
                <w:szCs w:val="18"/>
                <w:color w:val="auto"/>
              </w:rPr>
              <w:t>Total collection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Transfer</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0" w:type="dxa"/>
            <w:vAlign w:val="bottom"/>
            <w:tcBorders>
              <w:bottom w:val="single" w:sz="8" w:color="CCEEFF"/>
            </w:tcBorders>
            <w:gridSpan w:val="2"/>
          </w:tcPr>
          <w:p>
            <w:pPr>
              <w:ind w:left="920"/>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tcPr>
          <w:p>
            <w:pPr>
              <w:spacing w:after="0"/>
              <w:rPr>
                <w:sz w:val="18"/>
                <w:szCs w:val="18"/>
                <w:color w:val="auto"/>
              </w:rPr>
            </w:pPr>
          </w:p>
        </w:tc>
      </w:tr>
      <w:tr>
        <w:trPr>
          <w:trHeight w:val="209"/>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36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w w:val="91"/>
              </w:rPr>
              <w:t>2.8 %</w:t>
            </w:r>
          </w:p>
        </w:tc>
      </w:tr>
      <w:tr>
        <w:trPr>
          <w:trHeight w:val="20"/>
        </w:trPr>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Our overall strategic pricing efforts are focused on improving our average unit rate. This strategy has been most successful in our collection line of business where we experienced an average yield growth of 3.4% for the three months ended March 31, 2021 as compared with the prior year period. We are also continuing to see solid growth in our landfill and transfer businesses with our municipal solid waste business experiencing 2.6% average yield growth.</w:t>
      </w:r>
    </w:p>
    <w:p>
      <w:pPr>
        <w:spacing w:after="0" w:line="171"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i w:val="1"/>
          <w:iCs w:val="1"/>
          <w:color w:val="auto"/>
        </w:rPr>
        <w:t xml:space="preserve">Recycling Commodities </w:t>
      </w:r>
      <w:r>
        <w:rPr>
          <w:rFonts w:ascii="Arial" w:cs="Arial" w:eastAsia="Arial" w:hAnsi="Arial"/>
          <w:sz w:val="16"/>
          <w:szCs w:val="16"/>
          <w:color w:val="auto"/>
        </w:rPr>
        <w:t>— Increases in the market prices for recycling commodities resulted in revenue growth of</w:t>
      </w:r>
      <w:r>
        <w:rPr>
          <w:rFonts w:ascii="Arial" w:cs="Arial" w:eastAsia="Arial" w:hAnsi="Arial"/>
          <w:sz w:val="16"/>
          <w:szCs w:val="16"/>
          <w:i w:val="1"/>
          <w:iCs w:val="1"/>
          <w:color w:val="auto"/>
        </w:rPr>
        <w:t xml:space="preserve"> </w:t>
      </w:r>
      <w:r>
        <w:rPr>
          <w:rFonts w:ascii="Arial" w:cs="Arial" w:eastAsia="Arial" w:hAnsi="Arial"/>
          <w:sz w:val="16"/>
          <w:szCs w:val="16"/>
          <w:color w:val="auto"/>
        </w:rPr>
        <w:t>$97 million for the three months ended March 31, 2021 as compared with the prior year period. During the three months ended March 31, 2021, average market prices for recycling commodities at the Company’s facilities were 97% higher compared to the historical lows experienced during the prior year period. However, we do not expect such a significant year-over-year increase to continue for the remainder of 2021 as average market prices began to show recovery in the second half of 2020 driven by a dislocation in supply and demand dynamics for recycled materials. We continue to see the demand for recycled materials outpace supply in the first quarter of 2021, driven by the growth in e-commerce, businesses starting to re-open, and manufacturers committing to use more recycled content in their packaging. We have also maintained our focus on converting to a fee-based pricing model that ensures fees paid by customers address the cost of processing materials and the impact on our cost structure of managing contamination in the recycling stream.</w:t>
      </w:r>
    </w:p>
    <w:p>
      <w:pPr>
        <w:spacing w:after="0" w:line="16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Fuel Surcharges and Mandated Fees — </w:t>
      </w:r>
      <w:r>
        <w:rPr>
          <w:rFonts w:ascii="Arial" w:cs="Arial" w:eastAsia="Arial" w:hAnsi="Arial"/>
          <w:sz w:val="16"/>
          <w:szCs w:val="16"/>
          <w:color w:val="auto"/>
        </w:rPr>
        <w:t>These fees, which are predominantly generated by our fuel surcharge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declined $9 million for the three months ended March 31, 2021, as compared with the prior year period. These revenues are based on and fluctuate in response to changes in the national average prices for diesel fuel, and also vary with changes in our volume-based revenue activity. The mandated fees are primarily related to fees and taxes assessed by various state, county and municipal government agencies at our landfills and transfer stations. These amounts have not significantly impacted the change in revenue for the three months ended March 31, 2021, as compared with the prior year period.</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Volume</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Our revenues from volume (excluding volumes from acquisitions and divestitures) decreased $101 million, or 2.7%, for the three months ended March 31, 2021, as compared with the prior year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8" w:name="page29"/>
    <w:bookmarkEnd w:id="28"/>
    <w:p>
      <w:pPr>
        <w:jc w:val="both"/>
        <w:ind w:left="60" w:right="59" w:firstLine="324"/>
        <w:spacing w:after="0" w:line="289" w:lineRule="auto"/>
        <w:rPr>
          <w:sz w:val="20"/>
          <w:szCs w:val="20"/>
          <w:color w:val="auto"/>
        </w:rPr>
      </w:pPr>
      <w:r>
        <w:rPr>
          <w:rFonts w:ascii="Arial" w:cs="Arial" w:eastAsia="Arial" w:hAnsi="Arial"/>
          <w:sz w:val="16"/>
          <w:szCs w:val="16"/>
          <w:color w:val="auto"/>
        </w:rPr>
        <w:t>During the second half of 2020, we began to see volume recovery in our landfill and industrial and commercial businesses from the lowest levels observed in April 2020. However, our volumes for the three months ended March 31, 2021 are still below the prior year period as COVID-19 related impacts began in March 2020. Special waste volume at our landfills, project-driven work in the industrial collection business and certain commercial customer service levels were the most significant drivers of volume declines. The severe winter storms experienced across North America in February 2021 also had a negative impact on our volume results for the three months ended March 31, 2021. We continue to be optimistic about our volume recovery in 2021 as COVID-19 vaccines become more widely available to more people and states and local jurisdictions start to re-open. However, uncertainty remains with respect to the pace of business and economic recovery which could adversely impact our volume results in the near term.</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Revenues increased $302 million, or 8.1%, for the three months ended March 31, 2021, as compared with the prior year period, primarily due to our acquisition of Advanced Disposal. The revenue increase due to the Advanced Disposal acquisition was principally reported in our collection and disposal lines of business.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operating expenses for the three months ended March 31 (in millions of dollars and as a percentage of revenues):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38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Subcontractor costs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391</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371</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Fuel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CCEEFF"/>
            </w:tcBorders>
          </w:tcPr>
          <w:p>
            <w:pPr>
              <w:spacing w:after="0"/>
              <w:rPr>
                <w:sz w:val="18"/>
                <w:szCs w:val="18"/>
                <w:color w:val="auto"/>
              </w:rPr>
            </w:pPr>
          </w:p>
        </w:tc>
      </w:tr>
      <w:tr>
        <w:trPr>
          <w:trHeight w:val="425"/>
        </w:trPr>
        <w:tc>
          <w:tcPr>
            <w:tcW w:w="4380" w:type="dxa"/>
            <w:vAlign w:val="bottom"/>
            <w:shd w:val="clear" w:color="auto" w:fill="CCEEFF"/>
          </w:tcPr>
          <w:p>
            <w:pPr>
              <w:spacing w:after="0"/>
              <w:rPr>
                <w:sz w:val="24"/>
                <w:szCs w:val="24"/>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2,514</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61.1 %</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2,329</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62.5 %</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 xml:space="preserve">Our operating expenses for the three months ended March 2021 increased primarily due to the acquisition of Advanced Disposal, partially offset by the decrease in volumes discussed above in </w:t>
      </w:r>
      <w:r>
        <w:rPr>
          <w:rFonts w:ascii="Arial" w:cs="Arial" w:eastAsia="Arial" w:hAnsi="Arial"/>
          <w:sz w:val="16"/>
          <w:szCs w:val="16"/>
          <w:i w:val="1"/>
          <w:iCs w:val="1"/>
          <w:color w:val="auto"/>
        </w:rPr>
        <w:t>Operating Revenues</w:t>
      </w:r>
      <w:r>
        <w:rPr>
          <w:rFonts w:ascii="Arial" w:cs="Arial" w:eastAsia="Arial" w:hAnsi="Arial"/>
          <w:sz w:val="16"/>
          <w:szCs w:val="16"/>
          <w:color w:val="auto"/>
        </w:rPr>
        <w:t>. Additionally, we continued our proactive cost management efforts in response to a lower volume environment which have positioned us to decrease our overall operating expenses as a percentage of revenues when compared with the prior year period.</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Significant items affecting the comparability of operating expenses for the reported periods include:</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increase in labor and related benefits costs was largely driven by the addition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as a result of our acquisition of Advanced Disposal, higher incentive compensation costs and annual merit increases. These cost increases were partially offset by decreases in volume in our industrial and commercial collection businesses, due to COVID-19, the severe winter weather that parts of the country experienced, and one less workday compared to the prior year period.</w:t>
      </w:r>
    </w:p>
    <w:p>
      <w:pPr>
        <w:spacing w:after="0" w:line="18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Transfer and Disposal Costs </w:t>
      </w:r>
      <w:r>
        <w:rPr>
          <w:rFonts w:ascii="Arial" w:cs="Arial" w:eastAsia="Arial" w:hAnsi="Arial"/>
          <w:sz w:val="18"/>
          <w:szCs w:val="18"/>
          <w:color w:val="auto"/>
        </w:rPr>
        <w:t>— The decrease in transfer and disposal costs was largely driven by volume declines in</w:t>
      </w:r>
      <w:r>
        <w:rPr>
          <w:rFonts w:ascii="Arial" w:cs="Arial" w:eastAsia="Arial" w:hAnsi="Arial"/>
          <w:sz w:val="18"/>
          <w:szCs w:val="18"/>
          <w:i w:val="1"/>
          <w:iCs w:val="1"/>
          <w:color w:val="auto"/>
        </w:rPr>
        <w:t xml:space="preserve"> </w:t>
      </w:r>
      <w:r>
        <w:rPr>
          <w:rFonts w:ascii="Arial" w:cs="Arial" w:eastAsia="Arial" w:hAnsi="Arial"/>
          <w:sz w:val="18"/>
          <w:szCs w:val="18"/>
          <w:color w:val="auto"/>
        </w:rPr>
        <w:t>our industrial and commercial collection businesses as a result of COVID-19 and the severe winter weather, partially offset by additional disposal costs attributable to our acquisition of Advanced Disposal and an increase in rates charged by third-party haulers.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9" w:name="page30"/>
    <w:bookmarkEnd w:id="29"/>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Maintenance and Repairs </w:t>
      </w:r>
      <w:r>
        <w:rPr>
          <w:rFonts w:ascii="Arial" w:cs="Arial" w:eastAsia="Arial" w:hAnsi="Arial"/>
          <w:sz w:val="18"/>
          <w:szCs w:val="18"/>
          <w:color w:val="auto"/>
        </w:rPr>
        <w:t>— The increase in maintenance and repairs costs was largely driven by additional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as a part of our acquisition of Advanced Disposal, including investments in the fleet acquired. This increase was partially offset by proactive steps to optimize routes and reduce overtime hours to address the volume declines discussed above.</w:t>
      </w:r>
    </w:p>
    <w:p>
      <w:pPr>
        <w:spacing w:after="0" w:line="187"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Subcontractor Costs — </w:t>
      </w:r>
      <w:r>
        <w:rPr>
          <w:rFonts w:ascii="Arial" w:cs="Arial" w:eastAsia="Arial" w:hAnsi="Arial"/>
          <w:sz w:val="16"/>
          <w:szCs w:val="16"/>
          <w:color w:val="auto"/>
        </w:rPr>
        <w:t>The increase in subcontractor costs was largely driven by (i) the acquisition of Advanced</w:t>
      </w:r>
      <w:r>
        <w:rPr>
          <w:rFonts w:ascii="Arial" w:cs="Arial" w:eastAsia="Arial" w:hAnsi="Arial"/>
          <w:sz w:val="16"/>
          <w:szCs w:val="16"/>
          <w:i w:val="1"/>
          <w:iCs w:val="1"/>
          <w:color w:val="auto"/>
        </w:rPr>
        <w:t xml:space="preserve"> </w:t>
      </w:r>
      <w:r>
        <w:rPr>
          <w:rFonts w:ascii="Arial" w:cs="Arial" w:eastAsia="Arial" w:hAnsi="Arial"/>
          <w:sz w:val="16"/>
          <w:szCs w:val="16"/>
          <w:color w:val="auto"/>
        </w:rPr>
        <w:t>Disposal; (ii) an increase in volumes in our WMSBS business, which relies more extensively on subcontracted hauling than our collection and disposal business and (iii) an increase in rates charged by third-party haulers. The increase was partially offset by COVID-19 and severe winter weather-related volume declines in our industrial collection business.</w:t>
      </w:r>
    </w:p>
    <w:p>
      <w:pPr>
        <w:spacing w:after="0" w:line="15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 The increase in cost of goods sold was primarily driven by a 97% increase in recycling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prices compared to the prior year period.</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The increase in fuel costs was primarily due to the acquisition of Advanced Disposal. This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decreases due to volume declines from COVID-19 and the severe winter storms that occurred during 2021.</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Disposal and Franchise Fees and Taxes </w:t>
      </w:r>
      <w:r>
        <w:rPr>
          <w:rFonts w:ascii="Arial" w:cs="Arial" w:eastAsia="Arial" w:hAnsi="Arial"/>
          <w:sz w:val="18"/>
          <w:szCs w:val="18"/>
          <w:color w:val="auto"/>
        </w:rPr>
        <w:t>— The increase in disposal and franchise fees and taxes was primarily driven</w:t>
      </w:r>
      <w:r>
        <w:rPr>
          <w:rFonts w:ascii="Arial" w:cs="Arial" w:eastAsia="Arial" w:hAnsi="Arial"/>
          <w:sz w:val="18"/>
          <w:szCs w:val="18"/>
          <w:i w:val="1"/>
          <w:iCs w:val="1"/>
          <w:color w:val="auto"/>
        </w:rPr>
        <w:t xml:space="preserve"> </w:t>
      </w:r>
      <w:r>
        <w:rPr>
          <w:rFonts w:ascii="Arial" w:cs="Arial" w:eastAsia="Arial" w:hAnsi="Arial"/>
          <w:sz w:val="18"/>
          <w:szCs w:val="18"/>
          <w:color w:val="auto"/>
        </w:rPr>
        <w:t>by additional costs attributable to our acquisition of Advanced Disposal offset, in part, by volume declines due to COVID-19 and the severe winter storms.</w:t>
      </w:r>
    </w:p>
    <w:p>
      <w:pPr>
        <w:spacing w:after="0" w:line="18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Landfill Operating Costs </w:t>
      </w:r>
      <w:r>
        <w:rPr>
          <w:rFonts w:ascii="Arial" w:cs="Arial" w:eastAsia="Arial" w:hAnsi="Arial"/>
          <w:sz w:val="17"/>
          <w:szCs w:val="17"/>
          <w:color w:val="auto"/>
        </w:rPr>
        <w:t>— The decrease in landfill operating costs was primarily due to a change in the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our environmental remediation obligations and recovery assets. Our measurement of these balances includes application of a risk-free discount rate, which is based on the rate for U.S. Treasury bonds. In 2021, there was an increase in the discount rate, which resulted in a reduction in the net liability balance and a credit to expense. In 2020, there was a decrease in the discount rate, which resulted in an increase in the net liability balance and a charge to expense. Additionally, there were lower leachate management costs in the current year period when compared to the prior year period, primarily due to the cessation of certain transportation costs in our Tier 3 segment. These decreases were partially offset by additional costs attributable to our acquisition of Advanced Disposal.</w:t>
      </w:r>
    </w:p>
    <w:p>
      <w:pPr>
        <w:spacing w:after="0" w:line="17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 Risk management costs increased primarily due to our acquisition of Advanced Disposal.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were partially offset by a decrease in new claims and new claims development, as well as a reimbursement received related to older policies.</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Other decreases were driven primarily by asset sales and intentional efforts to reduce discretionary spending,</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increased spend due to our acquisition of Advanced Disposal.</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for the three months ended March 31 (in millions of dollars and as a percentage of revenues):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02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425"/>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$ 297</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7.2 %</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$ 246</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6.6 %</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Professional fees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r>
      <w:tr>
        <w:trPr>
          <w:trHeight w:val="432"/>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tcPr>
          <w:p>
            <w:pPr>
              <w:spacing w:after="0"/>
              <w:rPr>
                <w:sz w:val="24"/>
                <w:szCs w:val="24"/>
                <w:color w:val="auto"/>
              </w:rPr>
            </w:pPr>
          </w:p>
        </w:tc>
      </w:tr>
      <w:tr>
        <w:trPr>
          <w:trHeight w:val="425"/>
        </w:trPr>
        <w:tc>
          <w:tcPr>
            <w:tcW w:w="4020" w:type="dxa"/>
            <w:vAlign w:val="bottom"/>
            <w:shd w:val="clear" w:color="auto" w:fill="CCEEFF"/>
          </w:tcPr>
          <w:p>
            <w:pPr>
              <w:spacing w:after="0"/>
              <w:rPr>
                <w:sz w:val="24"/>
                <w:szCs w:val="24"/>
                <w:color w:val="auto"/>
              </w:rPr>
            </w:pP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$ 458</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11.1 %</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$ 425</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11.4 %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Selling, general and administrative expenses have increased primarily due to (i) higher incentive compensation costs;</w:t>
      </w:r>
    </w:p>
    <w:p>
      <w:pPr>
        <w:spacing w:after="0" w:line="46" w:lineRule="exact"/>
        <w:rPr>
          <w:sz w:val="20"/>
          <w:szCs w:val="20"/>
          <w:color w:val="auto"/>
        </w:rPr>
      </w:pPr>
    </w:p>
    <w:p>
      <w:pPr>
        <w:jc w:val="both"/>
        <w:ind w:left="60" w:right="59" w:hanging="10"/>
        <w:spacing w:after="0" w:line="255" w:lineRule="auto"/>
        <w:tabs>
          <w:tab w:leader="none" w:pos="3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labor and support costs related to our acquisition of Advanced Disposal and (iii) strategic investments in our digital platform. Compared with the prior year period, our acquisition of Advanced Disposal has had a positive impact on our selling, general and administrative expenses as a percentage of revenue.</w:t>
      </w:r>
    </w:p>
    <w:p>
      <w:pPr>
        <w:sectPr>
          <w:pgSz w:w="11900" w:h="16838" w:orient="portrait"/>
          <w:cols w:equalWidth="0" w:num="1">
            <w:col w:w="9019"/>
          </w:cols>
          <w:pgMar w:left="1440" w:top="881"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type w:val="continuous"/>
        </w:sectPr>
      </w:pPr>
    </w:p>
    <w:bookmarkStart w:id="30" w:name="page31"/>
    <w:bookmarkEnd w:id="30"/>
    <w:p>
      <w:pPr>
        <w:jc w:val="both"/>
        <w:ind w:left="60" w:right="59" w:firstLine="324"/>
        <w:spacing w:after="0" w:line="277" w:lineRule="auto"/>
        <w:rPr>
          <w:sz w:val="20"/>
          <w:szCs w:val="20"/>
          <w:color w:val="auto"/>
        </w:rPr>
      </w:pPr>
      <w:r>
        <w:rPr>
          <w:rFonts w:ascii="Arial" w:cs="Arial" w:eastAsia="Arial" w:hAnsi="Arial"/>
          <w:sz w:val="18"/>
          <w:szCs w:val="18"/>
          <w:color w:val="auto"/>
        </w:rPr>
        <w:t>Significant items affecting the comparison of our selling, general and administrative expenses between reported periods include:</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i w:val="1"/>
          <w:iCs w:val="1"/>
          <w:color w:val="auto"/>
        </w:rPr>
        <w:t xml:space="preserve">Labor and Related Benefits — </w:t>
      </w:r>
      <w:r>
        <w:rPr>
          <w:rFonts w:ascii="Arial" w:cs="Arial" w:eastAsia="Arial" w:hAnsi="Arial"/>
          <w:sz w:val="17"/>
          <w:szCs w:val="17"/>
          <w:color w:val="auto"/>
        </w:rPr>
        <w:t>The increase in labor and related benefits costs was primarily related to (i)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in incentive compensation costs; (ii) costs incurred in connection with our acquisition of Advanced Disposal, including additional headcount and (iii) costs associated with the strategic investments in our digital platform.</w:t>
      </w:r>
    </w:p>
    <w:p>
      <w:pPr>
        <w:spacing w:after="0" w:line="16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i w:val="1"/>
          <w:iCs w:val="1"/>
          <w:color w:val="auto"/>
        </w:rPr>
        <w:t xml:space="preserve">Professional Fees </w:t>
      </w:r>
      <w:r>
        <w:rPr>
          <w:rFonts w:ascii="Arial" w:cs="Arial" w:eastAsia="Arial" w:hAnsi="Arial"/>
          <w:sz w:val="17"/>
          <w:szCs w:val="17"/>
          <w:color w:val="auto"/>
        </w:rPr>
        <w:t>— The decrease in professional fees was primarily driven by lower consulting, advisory and legal</w:t>
      </w:r>
      <w:r>
        <w:rPr>
          <w:rFonts w:ascii="Arial" w:cs="Arial" w:eastAsia="Arial" w:hAnsi="Arial"/>
          <w:sz w:val="17"/>
          <w:szCs w:val="17"/>
          <w:i w:val="1"/>
          <w:iCs w:val="1"/>
          <w:color w:val="auto"/>
        </w:rPr>
        <w:t xml:space="preserve"> </w:t>
      </w:r>
      <w:r>
        <w:rPr>
          <w:rFonts w:ascii="Arial" w:cs="Arial" w:eastAsia="Arial" w:hAnsi="Arial"/>
          <w:sz w:val="17"/>
          <w:szCs w:val="17"/>
          <w:color w:val="auto"/>
        </w:rPr>
        <w:t>fees as we completed the acquisition of Advanced Disposal in the fourth quarter of 2020. This decrease was partially offset by an increase in professional fees incurred to support the strategic investments for our digital platform.</w:t>
      </w:r>
    </w:p>
    <w:p>
      <w:pPr>
        <w:spacing w:after="0" w:line="16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Provision for Bad Debts </w:t>
      </w:r>
      <w:r>
        <w:rPr>
          <w:rFonts w:ascii="Arial" w:cs="Arial" w:eastAsia="Arial" w:hAnsi="Arial"/>
          <w:sz w:val="18"/>
          <w:szCs w:val="18"/>
          <w:color w:val="auto"/>
        </w:rPr>
        <w:t>— The decrease in provision for bad debts was primarily due to an overall improvement in</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account collections and decreased collection risk with certain customers.</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The decrease in other expenses was primarily driven by reductions in travel and entertainment in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year period and the impact of technology-related costs incurred in the prior year period as we began to transition our back-office employees to a remote work environment due to COVID-19. These decreases were partially offset by costs associated with the acquisition of Advanced Disposal.</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summarizes the components of our depreciation and amortization expenses for the three months ended March 31 (in millions of dollars and as a percentage of revenues):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6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138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r>
      <w:tr>
        <w:trPr>
          <w:trHeight w:val="210"/>
        </w:trPr>
        <w:tc>
          <w:tcPr>
            <w:tcW w:w="4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472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11.5</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402</w:t>
            </w: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10.8</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increase in depreciation of tangible property and equipment during the three months ended March 31, 2021, compared to the prior year period, was primarily related to (i) additional depreciation attributable to our acquisition of Advanced Disposal and (ii) investments in capital assets, including trucks and facilities. The increase in amortization of landfill airspace during the three months ended March 31, 2021 was driven by our acquisition of Advanced Disposal and changes in landfill estimates. The increase in amortization of intangible assets is primarily driven by the amortization of acquired intangible assets related to the acquisition of Advanced Disposal.</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During the first quarter of 2021, we recognized net charges of $17 million consisting of charges for (i) a $19 million charge pertaining to reserves for certain loss contingencies in our Corporate and Other segment and (ii) $6 million of asset impairment charges primarily related to our WM Renewable Energy business within our Other segment; which were partially offset by an $8 million gain from divestitures of certain ancillary operations in our Other segment.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97" w:right="1440" w:bottom="1440" w:gutter="0" w:footer="0" w:header="0"/>
        </w:sectPr>
      </w:pPr>
    </w:p>
    <w:bookmarkStart w:id="31" w:name="page32"/>
    <w:bookmarkEnd w:id="31"/>
    <w:p>
      <w:pPr>
        <w:ind w:left="18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income from operations for our reportable segments for the three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(dollars in millions):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3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left="194"/>
              <w:spacing w:after="0"/>
              <w:rPr>
                <w:sz w:val="20"/>
                <w:szCs w:val="20"/>
                <w:color w:val="auto"/>
              </w:rPr>
            </w:pPr>
            <w:r>
              <w:rPr>
                <w:rFonts w:ascii="Arial" w:cs="Arial" w:eastAsia="Arial" w:hAnsi="Arial"/>
                <w:sz w:val="14"/>
                <w:szCs w:val="14"/>
                <w:b w:val="1"/>
                <w:bCs w:val="1"/>
                <w:color w:val="auto"/>
                <w:w w:val="93"/>
              </w:rPr>
              <w:t>Change</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3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220"/>
              <w:spacing w:after="0"/>
              <w:rPr>
                <w:sz w:val="20"/>
                <w:szCs w:val="20"/>
                <w:color w:val="auto"/>
              </w:rPr>
            </w:pPr>
            <w:r>
              <w:rPr>
                <w:rFonts w:ascii="Arial" w:cs="Arial" w:eastAsia="Arial" w:hAnsi="Arial"/>
                <w:sz w:val="18"/>
                <w:szCs w:val="18"/>
                <w:color w:val="auto"/>
              </w:rPr>
              <w:t>Tier 1</w:t>
            </w:r>
          </w:p>
        </w:tc>
        <w:tc>
          <w:tcPr>
            <w:tcW w:w="37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3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Tier 3</w:t>
            </w:r>
          </w:p>
        </w:tc>
        <w:tc>
          <w:tcPr>
            <w:tcW w:w="3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10.2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3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Other (a)</w:t>
            </w:r>
          </w:p>
        </w:tc>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w:t>
            </w:r>
          </w:p>
        </w:tc>
        <w:tc>
          <w:tcPr>
            <w:tcW w:w="36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(247)</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8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15.8</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2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w:t>
            </w:r>
          </w:p>
        </w:tc>
        <w:tc>
          <w:tcPr>
            <w:tcW w:w="36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92"/>
              </w:rPr>
              <w:t>13.4 %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Percentage of revenues</w:t>
            </w:r>
          </w:p>
        </w:tc>
        <w:tc>
          <w:tcPr>
            <w:tcW w:w="3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w:t>
            </w:r>
          </w:p>
        </w:tc>
        <w:tc>
          <w:tcPr>
            <w:tcW w:w="1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15.4</w:t>
            </w:r>
          </w:p>
        </w:tc>
        <w:tc>
          <w:tcPr>
            <w:tcW w:w="1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Percentage change does not provide a meaningful comparison.</w:t>
      </w:r>
    </w:p>
    <w:p>
      <w:pPr>
        <w:spacing w:after="0" w:line="117" w:lineRule="exact"/>
        <w:rPr>
          <w:sz w:val="20"/>
          <w:szCs w:val="20"/>
          <w:color w:val="auto"/>
        </w:rPr>
      </w:pPr>
    </w:p>
    <w:p>
      <w:pPr>
        <w:jc w:val="both"/>
        <w:ind w:left="380" w:right="79" w:hanging="330"/>
        <w:spacing w:after="0" w:line="296" w:lineRule="auto"/>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includes (i) our WMSBS business; (ii) those elements of our landfill gas-to-energy operations and third-party subcontract and administration revenues managed by our EES and WM Renewable Energy businesses that are not included in the operations of our reportable segments; (iii) our recycling brokerage services and (iv) certain other expanded service offerings and solutions. In addition, our “Other” segment reflects the results of non-operating entities that provide financial assurance and self-insurance support for our Solid Waste business, net of intercompany activity.</w:t>
      </w:r>
    </w:p>
    <w:p>
      <w:pPr>
        <w:spacing w:after="0" w:line="53" w:lineRule="exact"/>
        <w:rPr>
          <w:rFonts w:ascii="Arial" w:cs="Arial" w:eastAsia="Arial" w:hAnsi="Arial"/>
          <w:sz w:val="16"/>
          <w:szCs w:val="16"/>
          <w:color w:val="auto"/>
        </w:rPr>
      </w:pPr>
    </w:p>
    <w:p>
      <w:pPr>
        <w:jc w:val="both"/>
        <w:ind w:left="380" w:right="79" w:hanging="330"/>
        <w:spacing w:after="0" w:line="255"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“Corporate and Other” operating results reflect certain costs incurred for various support services that are not allocated to our reportable segments.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any administrative expenses or revisions to our estimated obligations associated with divested operations.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significant  items  affecting  income  from  operations  for  our  segments  during  the  three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2021, as compared with the prior year period, are summarized below:</w:t>
      </w:r>
    </w:p>
    <w:p>
      <w:pPr>
        <w:spacing w:after="0" w:line="103" w:lineRule="exact"/>
        <w:rPr>
          <w:sz w:val="20"/>
          <w:szCs w:val="20"/>
          <w:color w:val="auto"/>
        </w:rPr>
      </w:pPr>
    </w:p>
    <w:p>
      <w:pPr>
        <w:jc w:val="both"/>
        <w:ind w:left="720" w:right="79" w:hanging="319"/>
        <w:spacing w:after="0" w:line="25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Solid Waste </w:t>
      </w:r>
      <w:r>
        <w:rPr>
          <w:rFonts w:ascii="Arial" w:cs="Arial" w:eastAsia="Arial" w:hAnsi="Arial"/>
          <w:sz w:val="18"/>
          <w:szCs w:val="18"/>
          <w:color w:val="auto"/>
        </w:rPr>
        <w:t>— Income from operations in our Solid Waste business increased primarily due to (i) revenue growth</w:t>
      </w:r>
      <w:r>
        <w:rPr>
          <w:rFonts w:ascii="Arial" w:cs="Arial" w:eastAsia="Arial" w:hAnsi="Arial"/>
          <w:sz w:val="18"/>
          <w:szCs w:val="18"/>
          <w:i w:val="1"/>
          <w:iCs w:val="1"/>
          <w:color w:val="auto"/>
        </w:rPr>
        <w:t xml:space="preserve"> </w:t>
      </w:r>
      <w:r>
        <w:rPr>
          <w:rFonts w:ascii="Arial" w:cs="Arial" w:eastAsia="Arial" w:hAnsi="Arial"/>
          <w:sz w:val="18"/>
          <w:szCs w:val="18"/>
          <w:color w:val="auto"/>
        </w:rPr>
        <w:t>from yield in our collection and disposal businesses; (ii) controlling our operating costs and margins with volume declines and (iii) higher recycling commodity prices. During the three months ended March 31, 2021, the contribution of Advanced Disposal to income from operations was offset by elevated depreciation and amortization of acquired assets.</w:t>
      </w:r>
    </w:p>
    <w:p>
      <w:pPr>
        <w:spacing w:after="0" w:line="79" w:lineRule="exact"/>
        <w:rPr>
          <w:rFonts w:ascii="Arial" w:cs="Arial" w:eastAsia="Arial" w:hAnsi="Arial"/>
          <w:sz w:val="18"/>
          <w:szCs w:val="18"/>
          <w:color w:val="auto"/>
        </w:rPr>
      </w:pPr>
    </w:p>
    <w:p>
      <w:pPr>
        <w:jc w:val="both"/>
        <w:ind w:left="720" w:right="79" w:hanging="319"/>
        <w:spacing w:after="0" w:line="286"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 The increase in income from operations was primarily driven by (i) increased market values for</w:t>
      </w:r>
      <w:r>
        <w:rPr>
          <w:rFonts w:ascii="Arial" w:cs="Arial" w:eastAsia="Arial" w:hAnsi="Arial"/>
          <w:sz w:val="17"/>
          <w:szCs w:val="17"/>
          <w:i w:val="1"/>
          <w:iCs w:val="1"/>
          <w:color w:val="auto"/>
        </w:rPr>
        <w:t xml:space="preserve"> </w:t>
      </w:r>
      <w:r>
        <w:rPr>
          <w:rFonts w:ascii="Arial" w:cs="Arial" w:eastAsia="Arial" w:hAnsi="Arial"/>
          <w:sz w:val="17"/>
          <w:szCs w:val="17"/>
          <w:color w:val="auto"/>
        </w:rPr>
        <w:t>renewable energy credits generated by our WM Renewable Energy business; (ii) a gain from the divestitures of certain ancillary operations and (iii) higher commodity prices benefiting our recycling brokerage services.</w:t>
      </w:r>
    </w:p>
    <w:p>
      <w:pPr>
        <w:spacing w:after="0" w:line="165" w:lineRule="exact"/>
        <w:rPr>
          <w:rFonts w:ascii="Arial" w:cs="Arial" w:eastAsia="Arial" w:hAnsi="Arial"/>
          <w:sz w:val="17"/>
          <w:szCs w:val="17"/>
          <w:color w:val="auto"/>
        </w:rPr>
      </w:pPr>
    </w:p>
    <w:p>
      <w:pPr>
        <w:jc w:val="both"/>
        <w:ind w:left="720" w:right="79" w:hanging="319"/>
        <w:spacing w:after="0" w:line="291"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Corporate and Other </w:t>
      </w:r>
      <w:r>
        <w:rPr>
          <w:rFonts w:ascii="Arial" w:cs="Arial" w:eastAsia="Arial" w:hAnsi="Arial"/>
          <w:sz w:val="16"/>
          <w:szCs w:val="16"/>
          <w:color w:val="auto"/>
        </w:rPr>
        <w:t>— The decrease in income from operations was primarily driven by increased expenses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(i) higher incentive compensation; (ii) a charge pertaining to reserves for certain loss contingencies and</w:t>
      </w:r>
    </w:p>
    <w:p>
      <w:pPr>
        <w:jc w:val="both"/>
        <w:ind w:left="720" w:right="79" w:firstLine="5"/>
        <w:spacing w:after="0" w:line="295" w:lineRule="auto"/>
        <w:tabs>
          <w:tab w:leader="none" w:pos="1057"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investments we are making in our digital platform. The decrease in income from operations was partially offset by a decrease in landfill operating costs primarily due to a change in the measurement of our environmental remediation obligations and recovery assets. Our measurement of these balances includes application of a risk-free discount rate, which is based on the rate for U.S. Treasury bonds. In 2021, there was an increase in the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2" w:name="page33"/>
    <w:bookmarkEnd w:id="32"/>
    <w:p>
      <w:pPr>
        <w:ind w:left="720" w:right="79"/>
        <w:spacing w:after="0" w:line="342" w:lineRule="auto"/>
        <w:rPr>
          <w:sz w:val="20"/>
          <w:szCs w:val="20"/>
          <w:color w:val="auto"/>
        </w:rPr>
      </w:pPr>
      <w:r>
        <w:rPr>
          <w:rFonts w:ascii="Arial" w:cs="Arial" w:eastAsia="Arial" w:hAnsi="Arial"/>
          <w:sz w:val="16"/>
          <w:szCs w:val="16"/>
          <w:color w:val="auto"/>
        </w:rPr>
        <w:t>discount rate, which resulted in a reduction in the net liability balance and a credit to expense. In 2020, there was a decrease in the discount rate, which resulted in an increase in the net liability balance and a charge to expense.</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left="60" w:right="59" w:firstLine="259"/>
        <w:spacing w:after="0" w:line="284" w:lineRule="auto"/>
        <w:rPr>
          <w:sz w:val="20"/>
          <w:szCs w:val="20"/>
          <w:color w:val="auto"/>
        </w:rPr>
      </w:pPr>
      <w:r>
        <w:rPr>
          <w:rFonts w:ascii="Arial" w:cs="Arial" w:eastAsia="Arial" w:hAnsi="Arial"/>
          <w:sz w:val="16"/>
          <w:szCs w:val="16"/>
          <w:color w:val="auto"/>
        </w:rPr>
        <w:t>Our interest expense, net was $97 million and $112 million during the three months ended March 31, 2021 and 2020, respectively. The decrease is primarily due to certain refinancing activities, including the redemption of $3.0 billion of senior notes in July 2020 and the issuance of $2.5 billion of senior notes in November 2020 at lower rates. This decrease was partially offset by decreases in interest income as a result of lower cash and cash equivalents balances in 2021.</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recognized equity in net losses of unconsolidated entities of $9 million and $26 million during the three months ended March 31, 2021 and 2020, respectively. The losses for each period were primarily related to our noncontrolling interests in entities established to invest in and manage low-income housing properties. We generate tax benefits, including tax credits, from the losses incurred from these investments. During the three months ended March 31, 2020, the entity that held and managed our ownership interest in a refined coal facility sold a majority of its assets resulting in a $7 million non-cash impairment charge at that time. Refer to Note 4 to the Condensed Consolidated Financial Statements.</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Our income tax expense and effective income tax rates were $124 million, or 22.7%, and $74 million, or 17.0%, for the three months ended March 31, 2021 and 2020, respectively.</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increase in our income tax expense and effective income tax rate when comparing the three months ended March 31, 2021 with the prior year period are primarily driven by (i) a decrease in excess tax benefits associated with equity-based compensation; (ii) lower federal tax credits and (iii) favorable adjustments to accruals and related deferred taxes recorded in 2020. See Note 4 to the Condensed Consolidated Financial Statements for more information related to income taxes.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Company consistently generates cash flow from operations that meets and exceeds our working capital needs, payment of our dividends and investment in the business through capital expenditures and tuck-in acquisitions. We continually monitor our actual and forecasted cash flows, our liquidity and our capital resources, enabling us to plan for our present needs and fund unbudgeted business requirements that may arise during the year. The Company believes that its investment grade credit ratings, large value of unencumbered assets and modest leverage enable it to obtain adequate financing to meet its ongoing capital, operating, strategic and other liquidity requirements.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3" w:name="page34"/>
    <w:bookmarkEnd w:id="33"/>
    <w:p>
      <w:pPr>
        <w:ind w:left="18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225"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ind w:left="20"/>
              <w:spacing w:after="0"/>
              <w:rPr>
                <w:sz w:val="20"/>
                <w:szCs w:val="20"/>
                <w:color w:val="auto"/>
              </w:rPr>
            </w:pPr>
            <w:r>
              <w:rPr>
                <w:rFonts w:ascii="Arial" w:cs="Arial" w:eastAsia="Arial" w:hAnsi="Arial"/>
                <w:sz w:val="18"/>
                <w:szCs w:val="18"/>
                <w:color w:val="auto"/>
              </w:rPr>
              <w:t>Restricted trust and escrow accounts:</w:t>
            </w: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Insurance reserves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2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restricted trust and escrow accounts (a)</w:t>
            </w: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20"/>
              <w:spacing w:after="0"/>
              <w:rPr>
                <w:sz w:val="20"/>
                <w:szCs w:val="20"/>
                <w:color w:val="auto"/>
              </w:rPr>
            </w:pPr>
            <w:r>
              <w:rPr>
                <w:rFonts w:ascii="Arial" w:cs="Arial" w:eastAsia="Arial" w:hAnsi="Arial"/>
                <w:sz w:val="18"/>
                <w:szCs w:val="18"/>
                <w:color w:val="auto"/>
              </w:rPr>
              <w:t>Current portion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tcPr>
          <w:p>
            <w:pPr>
              <w:ind w:left="320"/>
              <w:spacing w:after="0"/>
              <w:rPr>
                <w:sz w:val="20"/>
                <w:szCs w:val="20"/>
                <w:color w:val="auto"/>
              </w:rPr>
            </w:pPr>
            <w:r>
              <w:rPr>
                <w:rFonts w:ascii="Arial" w:cs="Arial" w:eastAsia="Arial" w:hAnsi="Arial"/>
                <w:sz w:val="18"/>
                <w:szCs w:val="18"/>
                <w:color w:val="auto"/>
              </w:rPr>
              <w:t>Total debt</w:t>
            </w:r>
          </w:p>
        </w:tc>
        <w:tc>
          <w:tcPr>
            <w:tcW w:w="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March 31, 2021 and December 31, 2020, $75 million of these account balances was included in other current assets in our Condensed Consolidated Balance Sheets.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March 31, 2021, we had approximately $3.0 billion of debt maturing within the next 12 months, including</w:t>
      </w:r>
    </w:p>
    <w:p>
      <w:pPr>
        <w:spacing w:after="0" w:line="35" w:lineRule="exact"/>
        <w:rPr>
          <w:sz w:val="20"/>
          <w:szCs w:val="20"/>
          <w:color w:val="auto"/>
        </w:rPr>
      </w:pPr>
    </w:p>
    <w:p>
      <w:pPr>
        <w:jc w:val="both"/>
        <w:ind w:left="60" w:right="59" w:hanging="10"/>
        <w:spacing w:after="0" w:line="265" w:lineRule="auto"/>
        <w:tabs>
          <w:tab w:leader="none" w:pos="286" w:val="left"/>
        </w:tabs>
        <w:numPr>
          <w:ilvl w:val="0"/>
          <w:numId w:val="26"/>
        </w:numPr>
        <w:rPr>
          <w:rFonts w:ascii="Arial" w:cs="Arial" w:eastAsia="Arial" w:hAnsi="Arial"/>
          <w:sz w:val="17"/>
          <w:szCs w:val="17"/>
          <w:color w:val="auto"/>
        </w:rPr>
      </w:pPr>
      <w:r>
        <w:rPr>
          <w:rFonts w:ascii="Arial" w:cs="Arial" w:eastAsia="Arial" w:hAnsi="Arial"/>
          <w:sz w:val="17"/>
          <w:szCs w:val="17"/>
          <w:color w:val="auto"/>
        </w:rPr>
        <w:t>$1.5 billion of short-term borrowings under our commercial paper program; (ii) $1.2 billion of tax-exempt bonds with term interest rate periods that expire within the next 12 months, which is prior to their scheduled maturities, and</w:t>
      </w:r>
    </w:p>
    <w:p>
      <w:pPr>
        <w:jc w:val="both"/>
        <w:ind w:left="60" w:right="59" w:hanging="10"/>
        <w:spacing w:after="0" w:line="271" w:lineRule="auto"/>
        <w:tabs>
          <w:tab w:leader="none" w:pos="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$213 million of other debt with scheduled maturities within the next 12 months, including $103 million of tax-exempt bonds. As of March 31, 2021, we have classified $2.7 billion of debt maturing in the next 12 months as long-term because we have the intent and ability to refinance these borrowings on a long-term basis as supported by the forecasted available capacity under our $3.5 billion long-term U.S. and Canadian revolving credit facility. The remaining $244 million of debt maturing in the next 12 months is classified as current obligations.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4" w:name="page35"/>
    <w:bookmarkEnd w:id="34"/>
    <w:p>
      <w:pPr>
        <w:ind w:left="180"/>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In lieu of providing separate financial statements for the subsidiary issuer and guarantor (WM and WM Holdings), we have presented the accompanying supplemental summarized balance sheet and income statement information for WM and WM Holdings on a combined basis after elimination of intercompany transactions between WM and WM Holdings and amounts related to investments in any subsidiary that is a non-guarantor (in millions):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r>
      <w:tr>
        <w:trPr>
          <w:trHeight w:val="20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Information:</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Advances due to affiliates</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17,202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16,505</w:t>
            </w: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w:t>
            </w:r>
          </w:p>
        </w:tc>
      </w:tr>
      <w:tr>
        <w:trPr>
          <w:trHeight w:val="355"/>
        </w:trPr>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Three Months Ended</w:t>
            </w:r>
          </w:p>
        </w:tc>
      </w:tr>
      <w:tr>
        <w:trPr>
          <w:trHeight w:val="171"/>
        </w:trPr>
        <w:tc>
          <w:tcPr>
            <w:tcW w:w="6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rPr>
              <w:t>March 31, 2021</w:t>
            </w:r>
          </w:p>
        </w:tc>
      </w:tr>
      <w:tr>
        <w:trPr>
          <w:trHeight w:val="20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Statement Information:</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18"/>
                <w:szCs w:val="18"/>
                <w:color w:val="auto"/>
              </w:rPr>
            </w:pPr>
          </w:p>
        </w:tc>
        <w:tc>
          <w:tcPr>
            <w:tcW w:w="78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our cash flows for the three months ended March 31 (in millions):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9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(334)</w:t>
            </w:r>
          </w:p>
        </w:tc>
        <w:tc>
          <w:tcPr>
            <w:tcW w:w="2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197"/>
        </w:trPr>
        <w:tc>
          <w:tcPr>
            <w:tcW w:w="69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(830)</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Net Cash Provided by Operating Activities — </w:t>
      </w:r>
      <w:r>
        <w:rPr>
          <w:rFonts w:ascii="Arial" w:cs="Arial" w:eastAsia="Arial" w:hAnsi="Arial"/>
          <w:sz w:val="16"/>
          <w:szCs w:val="16"/>
          <w:color w:val="auto"/>
        </w:rPr>
        <w:t>Our operating cash flows increased by $355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2021, as compared with the prior year period, as a result of (i) an increase in earnings attributable to our collection and disposal and recycling lines of business; (ii) strong collections of our trade receivables; (iii) lower annual incentive compensation payments in the current year and (iv) a decrease in interest payments in the current year.</w:t>
      </w:r>
    </w:p>
    <w:p>
      <w:pPr>
        <w:spacing w:after="0" w:line="4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The most significant items included in our investing cash flows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2021 and 2020 are summarized below:</w:t>
      </w:r>
    </w:p>
    <w:p>
      <w:pPr>
        <w:spacing w:after="0" w:line="170" w:lineRule="exact"/>
        <w:rPr>
          <w:sz w:val="20"/>
          <w:szCs w:val="20"/>
          <w:color w:val="auto"/>
        </w:rPr>
      </w:pPr>
    </w:p>
    <w:p>
      <w:pPr>
        <w:jc w:val="both"/>
        <w:ind w:left="720" w:right="79" w:hanging="319"/>
        <w:spacing w:after="0" w:line="296" w:lineRule="auto"/>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Capital Expenditures — </w:t>
      </w:r>
      <w:r>
        <w:rPr>
          <w:rFonts w:ascii="Arial" w:cs="Arial" w:eastAsia="Arial" w:hAnsi="Arial"/>
          <w:sz w:val="16"/>
          <w:szCs w:val="16"/>
          <w:color w:val="auto"/>
        </w:rPr>
        <w:t>We used $270 million and $459 million of cash for capital expenditures during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2021 and 2020, respectively. The decrease in capital spending was primarily driven by differences in the timing of fleet purchases and the Company’s acceleration of certain capital expenditures into the fourth quarter of 2020. The Company continues to maintain a disciplined focus on capital management to prioritize investments in the long-term growth of our business and for the replacement of aging assets.</w:t>
      </w:r>
    </w:p>
    <w:p>
      <w:pPr>
        <w:spacing w:after="0" w:line="161" w:lineRule="exact"/>
        <w:rPr>
          <w:rFonts w:ascii="Arial" w:cs="Arial" w:eastAsia="Arial" w:hAnsi="Arial"/>
          <w:sz w:val="16"/>
          <w:szCs w:val="16"/>
          <w:color w:val="auto"/>
        </w:rPr>
      </w:pPr>
    </w:p>
    <w:p>
      <w:pPr>
        <w:jc w:val="both"/>
        <w:ind w:left="720" w:right="79" w:hanging="319"/>
        <w:spacing w:after="0" w:line="259"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Other, Net — </w:t>
      </w:r>
      <w:r>
        <w:rPr>
          <w:rFonts w:ascii="Arial" w:cs="Arial" w:eastAsia="Arial" w:hAnsi="Arial"/>
          <w:sz w:val="18"/>
          <w:szCs w:val="18"/>
          <w:color w:val="auto"/>
        </w:rPr>
        <w:t>The year-over-year changes in other investing activities were primarily driven by changes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portfolio associated with a wholly-owned insurance captive. During the three months ended March 31, 2021 and 2020, we used $73 million and $53 million, respectively, of cash from restricted cash and cash equivalents to invest in available-for-sale securities.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5" w:name="page36"/>
    <w:bookmarkEnd w:id="35"/>
    <w:p>
      <w:pPr>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Financing Activities — </w:t>
      </w:r>
      <w:r>
        <w:rPr>
          <w:rFonts w:ascii="Arial" w:cs="Arial" w:eastAsia="Arial" w:hAnsi="Arial"/>
          <w:sz w:val="18"/>
          <w:szCs w:val="18"/>
          <w:color w:val="auto"/>
        </w:rPr>
        <w:t>The most significant items affecting the comparison of our financing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for the three months ended March 31, 2021 and 2020 are summarized below:</w:t>
      </w:r>
    </w:p>
    <w:p>
      <w:pPr>
        <w:spacing w:after="0" w:line="62" w:lineRule="exact"/>
        <w:rPr>
          <w:sz w:val="20"/>
          <w:szCs w:val="20"/>
          <w:color w:val="auto"/>
        </w:rPr>
      </w:pPr>
    </w:p>
    <w:p>
      <w:pPr>
        <w:jc w:val="both"/>
        <w:ind w:left="720" w:right="79" w:hanging="319"/>
        <w:spacing w:after="0" w:line="259"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Debt Repayments and Borrowings — </w:t>
      </w:r>
      <w:r>
        <w:rPr>
          <w:rFonts w:ascii="Arial" w:cs="Arial" w:eastAsia="Arial" w:hAnsi="Arial"/>
          <w:sz w:val="18"/>
          <w:szCs w:val="18"/>
          <w:color w:val="auto"/>
        </w:rPr>
        <w:t>We did not have any cash borrowings for either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2021 or the three months ended March 31, 2020. The following summarizes our cash repayments of debt (excluding our commercial paper program discussed below) for the three months ended March 31 (in millions):</w:t>
      </w:r>
    </w:p>
    <w:p>
      <w:pPr>
        <w:spacing w:after="0" w:line="84"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5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Tax-exempt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debt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9"/>
        </w:trPr>
        <w:tc>
          <w:tcPr>
            <w:tcW w:w="5660" w:type="dxa"/>
            <w:vAlign w:val="bottom"/>
          </w:tcPr>
          <w:p>
            <w:pPr>
              <w:ind w:left="100"/>
              <w:spacing w:after="0"/>
              <w:rPr>
                <w:sz w:val="20"/>
                <w:szCs w:val="20"/>
                <w:color w:val="auto"/>
              </w:rPr>
            </w:pPr>
            <w:r>
              <w:rPr>
                <w:rFonts w:ascii="Arial" w:cs="Arial" w:eastAsia="Arial" w:hAnsi="Arial"/>
                <w:sz w:val="18"/>
                <w:szCs w:val="18"/>
                <w:i w:val="1"/>
                <w:iCs w:val="1"/>
                <w:color w:val="auto"/>
              </w:rPr>
              <w:t>Cash repayments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Refer to Note 3 to the Condensed Consolidated Financial Statements for additional information related to our debt borrowings and repayments.</w:t>
      </w:r>
    </w:p>
    <w:p>
      <w:pPr>
        <w:spacing w:after="0" w:line="62" w:lineRule="exact"/>
        <w:rPr>
          <w:sz w:val="20"/>
          <w:szCs w:val="20"/>
          <w:color w:val="auto"/>
        </w:rPr>
      </w:pPr>
    </w:p>
    <w:p>
      <w:pPr>
        <w:jc w:val="both"/>
        <w:ind w:left="720" w:right="79" w:hanging="319"/>
        <w:spacing w:after="0" w:line="263"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Commercial Paper Program — </w:t>
      </w:r>
      <w:r>
        <w:rPr>
          <w:rFonts w:ascii="Arial" w:cs="Arial" w:eastAsia="Arial" w:hAnsi="Arial"/>
          <w:sz w:val="18"/>
          <w:szCs w:val="18"/>
          <w:color w:val="auto"/>
        </w:rPr>
        <w:t>During the three months ended March 31, 2021 we made cash repayments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$280 million under our commercial paper program. We had no commercial paper borrowings or repayments during the three months ended March 31, 2020.</w:t>
      </w:r>
    </w:p>
    <w:p>
      <w:pPr>
        <w:spacing w:after="0" w:line="75" w:lineRule="exact"/>
        <w:rPr>
          <w:rFonts w:ascii="Arial" w:cs="Arial" w:eastAsia="Arial" w:hAnsi="Arial"/>
          <w:sz w:val="18"/>
          <w:szCs w:val="18"/>
          <w:color w:val="auto"/>
        </w:rPr>
      </w:pPr>
    </w:p>
    <w:p>
      <w:pPr>
        <w:jc w:val="both"/>
        <w:ind w:left="720" w:right="79" w:hanging="319"/>
        <w:spacing w:after="0" w:line="275"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Common Stock Repurchase Program — </w:t>
      </w:r>
      <w:r>
        <w:rPr>
          <w:rFonts w:ascii="Arial" w:cs="Arial" w:eastAsia="Arial" w:hAnsi="Arial"/>
          <w:sz w:val="17"/>
          <w:szCs w:val="17"/>
          <w:color w:val="auto"/>
        </w:rPr>
        <w:t>During the three months ended March 31, 2021, we used $250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cash for a February 2021 accelerated share repurchase (“ASR”) agreement. During the three months ended March 31, 2020, we repurchased $402 million of our common stock, which includes $313 million related to a February 2020 ASR agreement and $89 million in open market transactions. See Note 11 to the Condensed Consolidated Financial Statements for additional information.</w:t>
      </w:r>
    </w:p>
    <w:p>
      <w:pPr>
        <w:spacing w:after="0" w:line="68" w:lineRule="exact"/>
        <w:rPr>
          <w:rFonts w:ascii="Arial" w:cs="Arial" w:eastAsia="Arial" w:hAnsi="Arial"/>
          <w:sz w:val="17"/>
          <w:szCs w:val="17"/>
          <w:color w:val="auto"/>
        </w:rPr>
      </w:pPr>
    </w:p>
    <w:p>
      <w:pPr>
        <w:ind w:left="720" w:hanging="319"/>
        <w:spacing w:after="0"/>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Cash Dividends — </w:t>
      </w:r>
      <w:r>
        <w:rPr>
          <w:rFonts w:ascii="Arial" w:cs="Arial" w:eastAsia="Arial" w:hAnsi="Arial"/>
          <w:sz w:val="17"/>
          <w:szCs w:val="17"/>
          <w:color w:val="auto"/>
        </w:rPr>
        <w:t>For the periods presented, all dividends have been declared by our Board of Directors.</w:t>
      </w:r>
    </w:p>
    <w:p>
      <w:pPr>
        <w:spacing w:after="0" w:line="129"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We paid cash dividends of $247 million and $236 million during the three months ended March 31, 2021 and 2020, respectively. The increase in dividend payments is primarily due to our quarterly per share dividend increasing from $0.545 in 2020 to $0.575 in 2021 which was offset, in part, by a reduction in our common stock outstanding as a result of our common stock repurchase program.</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1"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Our calculation of free cash flow and reconciliation to net cash provided by operating activities for the three months ended March 31 is shown in the table below (in millions), and may not be calculated the same as similarly-titled measures presented by other companies: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Capital expenditures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w w:val="97"/>
              </w:rPr>
              <w:t>Proceeds from divestitures of businesses and other assets (net of cash divested)</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Free cash flow</w:t>
            </w:r>
          </w:p>
        </w:tc>
        <w:tc>
          <w:tcPr>
            <w:tcW w:w="6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jc w:val="right"/>
              <w:ind w:right="1650"/>
              <w:spacing w:after="0"/>
              <w:rPr>
                <w:sz w:val="20"/>
                <w:szCs w:val="20"/>
                <w:color w:val="auto"/>
              </w:rPr>
            </w:pPr>
            <w:r>
              <w:rPr>
                <w:rFonts w:ascii="Arial" w:cs="Arial" w:eastAsia="Arial" w:hAnsi="Arial"/>
                <w:sz w:val="18"/>
                <w:szCs w:val="18"/>
                <w:color w:val="auto"/>
              </w:rPr>
              <w:t>36</w:t>
            </w: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3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81"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the fair value of assets and liabilities acquired in business combinations or as asset acquisitions and reserves associated with our insured and self-insured claims, as described in Item 7 of our Annual Report on Form 10-K for the year ended December 31, 2020. Actual results could differ materially from the estimates and assumptions that we use in the preparation of our financial statements.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 xml:space="preserve">We have financial interests in unconsolidated variable interest entities as discussed in Note 13 to the Condensed Consolidated Financial Statements. Additionally, we are party to guarantee arrangements with unconsolidated entities as discussed in the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section of Note 6 to the Condensed Consolidated Financial Statements. These arrangements have not materially affected our financial position, results of operations or liquidity during the three months ended March 31, 2021, nor are they expected to have a material impact on our future financial position, results of operations or liquidity.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 Trends</w:t>
      </w:r>
    </w:p>
    <w:p>
      <w:pPr>
        <w:spacing w:after="0" w:line="229"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Service disruptions caused by severe storms, extended periods of inclement weather or climate events can significantly affect the operating results of the Areas impacted. On the other hand, certain destructive weather and climate conditions, such as wildfires in the Western U.S. and hurricanes that most often impact our operations in the Southern and Eastern U.S. during the second half of the year, can increase our revenues in the Areas affected as a result of the waste volumes generated by these events. While weather-related and other event driven special projects can boost revenues through additional work for a limited time, as a result of significant start-up costs and other factors, such revenue can generate earnings at comparatively lower margins.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While inflationary increases in costs can affect our income from operations margins,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5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Information about market risks as of March 31, 2021 does not differ materially from that discussed under Item 7A in our Annual Report on Form 10-K for the year ended December 31,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7" w:name="page38"/>
    <w:bookmarkEnd w:id="37"/>
    <w:p>
      <w:pPr>
        <w:ind w:left="60"/>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March 31, 2021 (the end of the period covered by this Quarterly Report on Form 10-Q).</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March 31, 2021. We determined that there were no changes in our internal control over financial reporting during the quarter ended March 31, 2021 that have materially affected, or are reasonably likely to materially affect, our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6 to the Condensed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r>
        <w:rPr>
          <w:rFonts w:ascii="Arial" w:cs="Arial" w:eastAsia="Arial" w:hAnsi="Arial"/>
          <w:sz w:val="18"/>
          <w:szCs w:val="18"/>
          <w:i w:val="1"/>
          <w:iCs w:val="1"/>
          <w:color w:val="auto"/>
        </w:rPr>
        <w:t>.</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Part I, Item 1A of our Annual Report on Form 10-K for the year ended December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The following table summarizes common stock repurchases made during the first quarter of 2021 (shares in millions):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Approximate Maximum</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820" w:type="dxa"/>
            <w:vAlign w:val="bottom"/>
            <w:gridSpan w:val="2"/>
          </w:tcPr>
          <w:p>
            <w:pPr>
              <w:jc w:val="center"/>
              <w:ind w:left="39"/>
              <w:spacing w:after="0" w:line="149" w:lineRule="exact"/>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Dollar Value of Shares that</w:t>
            </w: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6"/>
                <w:szCs w:val="16"/>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Price Paid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Announced Plans or</w:t>
            </w:r>
          </w:p>
        </w:tc>
        <w:tc>
          <w:tcPr>
            <w:tcW w:w="280" w:type="dxa"/>
            <w:vAlign w:val="bottom"/>
          </w:tcPr>
          <w:p>
            <w:pPr>
              <w:spacing w:after="0"/>
              <w:rPr>
                <w:sz w:val="16"/>
                <w:szCs w:val="16"/>
                <w:color w:val="auto"/>
              </w:rPr>
            </w:pPr>
          </w:p>
        </w:tc>
        <w:tc>
          <w:tcPr>
            <w:tcW w:w="1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24"/>
                <w:szCs w:val="2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per Share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the Plans or Programs</w:t>
            </w: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 31</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 billion</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February 1 — 28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110.56</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1.1 billion</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March 1 — 31</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 billion</w:t>
            </w:r>
          </w:p>
        </w:tc>
        <w:tc>
          <w:tcPr>
            <w:tcW w:w="0" w:type="dxa"/>
            <w:vAlign w:val="bottom"/>
          </w:tcPr>
          <w:p>
            <w:pPr>
              <w:spacing w:after="0"/>
              <w:rPr>
                <w:sz w:val="1"/>
                <w:szCs w:val="1"/>
                <w:color w:val="auto"/>
              </w:rPr>
            </w:pPr>
          </w:p>
        </w:tc>
      </w:tr>
      <w:tr>
        <w:trPr>
          <w:trHeight w:val="210"/>
        </w:trPr>
        <w:tc>
          <w:tcPr>
            <w:tcW w:w="3340" w:type="dxa"/>
            <w:vAlign w:val="bottom"/>
          </w:tcPr>
          <w:p>
            <w:pPr>
              <w:ind w:left="10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February 2021, we entered into an accelerated share repurchase (“ASR”) agreement to repurchase $250 million of our common stock. At the beginning of the repurchase period, we delivered $250 million cash and received 1.8 million shares based on a stock price of $110.56. The final number of shares to be repurchased and the final average price per share under the ASR agreement will depend on the volume-weighted average price of our stock, less a discount, during the term of the agreement. Purchases under the ASR agreement are expected to be completed by April 2021.</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8" w:name="page39"/>
    <w:bookmarkEnd w:id="38"/>
    <w:p>
      <w:pPr>
        <w:jc w:val="both"/>
        <w:ind w:left="60" w:right="59" w:firstLine="324"/>
        <w:spacing w:after="0" w:line="301" w:lineRule="auto"/>
        <w:rPr>
          <w:sz w:val="20"/>
          <w:szCs w:val="20"/>
          <w:color w:val="auto"/>
        </w:rPr>
      </w:pPr>
      <w:r>
        <w:rPr>
          <w:rFonts w:ascii="Arial" w:cs="Arial" w:eastAsia="Arial" w:hAnsi="Arial"/>
          <w:sz w:val="16"/>
          <w:szCs w:val="16"/>
          <w:color w:val="auto"/>
        </w:rPr>
        <w:t>As of March 31, 2021, the Company has authorization for $1.1 billion of future share repurchases.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b w:val="1"/>
          <w:bCs w:val="1"/>
          <w:i w:val="1"/>
          <w:iCs w:val="1"/>
          <w:color w:val="auto"/>
        </w:rPr>
        <w:t>Exhibits.</w:t>
      </w:r>
    </w:p>
    <w:p>
      <w:pPr>
        <w:spacing w:after="0" w:line="26" w:lineRule="exact"/>
        <w:rPr>
          <w:sz w:val="20"/>
          <w:szCs w:val="20"/>
          <w:color w:val="auto"/>
        </w:rPr>
      </w:pPr>
    </w:p>
    <w:p>
      <w:pPr>
        <w:ind w:left="60"/>
        <w:spacing w:after="0"/>
        <w:tabs>
          <w:tab w:leader="none" w:pos="46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1270</wp:posOffset>
            </wp:positionV>
            <wp:extent cx="49206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20615" cy="8890"/>
                    </a:xfrm>
                    <a:prstGeom prst="rect">
                      <a:avLst/>
                    </a:prstGeom>
                    <a:noFill/>
                  </pic:spPr>
                </pic:pic>
              </a:graphicData>
            </a:graphic>
          </wp:anchor>
        </w:drawing>
      </w:r>
    </w:p>
    <w:p>
      <w:pPr>
        <w:spacing w:after="0" w:line="8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7740" w:type="dxa"/>
            <w:vAlign w:val="bottom"/>
            <w:tcBorders>
              <w:bottom w:val="single" w:sz="8" w:color="0000EE"/>
            </w:tcBorders>
            <w:gridSpan w:val="8"/>
          </w:tcPr>
          <w:p>
            <w:pPr>
              <w:spacing w:after="0"/>
              <w:rPr>
                <w:rFonts w:ascii="Arial" w:cs="Arial" w:eastAsia="Arial" w:hAnsi="Arial"/>
                <w:sz w:val="18"/>
                <w:szCs w:val="18"/>
                <w:color w:val="0000EE"/>
                <w:w w:val="99"/>
              </w:rPr>
            </w:pPr>
            <w:hyperlink r:id="rId52">
              <w:r>
                <w:rPr>
                  <w:rFonts w:ascii="Arial" w:cs="Arial" w:eastAsia="Arial" w:hAnsi="Arial"/>
                  <w:sz w:val="18"/>
                  <w:szCs w:val="18"/>
                  <w:color w:val="0000EE"/>
                  <w:w w:val="99"/>
                </w:rPr>
                <w:t>Form of 2021 Long Term Incentive Compensation Award Agreement for Senior Leadership Team</w:t>
              </w:r>
            </w:hyperlink>
          </w:p>
        </w:tc>
      </w:tr>
      <w:tr>
        <w:trPr>
          <w:trHeight w:val="196"/>
        </w:trPr>
        <w:tc>
          <w:tcPr>
            <w:tcW w:w="1140" w:type="dxa"/>
            <w:vAlign w:val="bottom"/>
          </w:tcPr>
          <w:p>
            <w:pPr>
              <w:spacing w:after="0"/>
              <w:rPr>
                <w:sz w:val="17"/>
                <w:szCs w:val="17"/>
                <w:color w:val="auto"/>
              </w:rPr>
            </w:pPr>
          </w:p>
        </w:tc>
        <w:tc>
          <w:tcPr>
            <w:tcW w:w="7740" w:type="dxa"/>
            <w:vAlign w:val="bottom"/>
            <w:gridSpan w:val="8"/>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[Incorporated by reference to Exhibit 10.1 to Form 8-K filed March 1, 2021].</w:t>
              </w:r>
            </w:hyperlink>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22.1*</w:t>
            </w:r>
          </w:p>
        </w:tc>
        <w:tc>
          <w:tcPr>
            <w:tcW w:w="5560" w:type="dxa"/>
            <w:vAlign w:val="bottom"/>
            <w:tcBorders>
              <w:top w:val="single" w:sz="8" w:color="0000EE"/>
            </w:tcBorders>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Guarantor Subsidiary.</w:t>
              </w:r>
            </w:hyperlink>
          </w:p>
        </w:tc>
        <w:tc>
          <w:tcPr>
            <w:tcW w:w="2180" w:type="dxa"/>
            <w:vAlign w:val="bottom"/>
            <w:gridSpan w:val="3"/>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774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42">
              <w:r>
                <w:rPr>
                  <w:rFonts w:ascii="Arial" w:cs="Arial" w:eastAsia="Arial" w:hAnsi="Arial"/>
                  <w:sz w:val="18"/>
                  <w:szCs w:val="18"/>
                  <w:color w:val="0000EE"/>
                  <w:w w:val="94"/>
                </w:rPr>
                <w:t>Certification Pursuant to Rules 13a-14(a) and 15d-14(a) under the Securities Exchange Act of 1934, as</w:t>
              </w:r>
            </w:hyperlink>
          </w:p>
        </w:tc>
      </w:tr>
      <w:tr>
        <w:trPr>
          <w:trHeight w:val="196"/>
        </w:trPr>
        <w:tc>
          <w:tcPr>
            <w:tcW w:w="1140" w:type="dxa"/>
            <w:vAlign w:val="bottom"/>
          </w:tcPr>
          <w:p>
            <w:pPr>
              <w:spacing w:after="0"/>
              <w:rPr>
                <w:sz w:val="17"/>
                <w:szCs w:val="17"/>
                <w:color w:val="auto"/>
              </w:rPr>
            </w:pPr>
          </w:p>
        </w:tc>
        <w:tc>
          <w:tcPr>
            <w:tcW w:w="7740" w:type="dxa"/>
            <w:vAlign w:val="bottom"/>
            <w:gridSpan w:val="8"/>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amended, of James C. Fish, Jr., President and Chief Executive Officer.</w:t>
              </w:r>
            </w:hyperlink>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774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Certification Pursuant to Rules 13a-14(a) and 15d-14(a) under the Securities Exchange Act of 1934, as</w:t>
              </w:r>
            </w:hyperlink>
          </w:p>
        </w:tc>
      </w:tr>
      <w:tr>
        <w:trPr>
          <w:trHeight w:val="196"/>
        </w:trPr>
        <w:tc>
          <w:tcPr>
            <w:tcW w:w="1140" w:type="dxa"/>
            <w:vAlign w:val="bottom"/>
          </w:tcPr>
          <w:p>
            <w:pPr>
              <w:spacing w:after="0"/>
              <w:rPr>
                <w:sz w:val="17"/>
                <w:szCs w:val="17"/>
                <w:color w:val="auto"/>
              </w:rPr>
            </w:pPr>
          </w:p>
        </w:tc>
        <w:tc>
          <w:tcPr>
            <w:tcW w:w="62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amended, of Devina A. Rankin, Executive Vice President and Chief Financial Officer.</w:t>
              </w:r>
            </w:hyperlink>
          </w:p>
        </w:tc>
        <w:tc>
          <w:tcPr>
            <w:tcW w:w="1540" w:type="dxa"/>
            <w:vAlign w:val="bottom"/>
            <w:gridSpan w:val="2"/>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74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Certification Pursuant to 18 U.S.C. §1350 of James C. Fish, Jr., President and Chief Executive Officer.</w:t>
              </w:r>
            </w:hyperlink>
          </w:p>
        </w:tc>
        <w:tc>
          <w:tcPr>
            <w:tcW w:w="34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774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Certification Pursuant to 18 U.S.C. §1350 of Devina A. Rankin, Executive Vice President and Chief</w:t>
              </w:r>
            </w:hyperlink>
          </w:p>
        </w:tc>
      </w:tr>
      <w:tr>
        <w:trPr>
          <w:trHeight w:val="196"/>
        </w:trPr>
        <w:tc>
          <w:tcPr>
            <w:tcW w:w="1140" w:type="dxa"/>
            <w:vAlign w:val="bottom"/>
          </w:tcPr>
          <w:p>
            <w:pPr>
              <w:spacing w:after="0"/>
              <w:rPr>
                <w:sz w:val="17"/>
                <w:szCs w:val="17"/>
                <w:color w:val="auto"/>
              </w:rPr>
            </w:pPr>
          </w:p>
        </w:tc>
        <w:tc>
          <w:tcPr>
            <w:tcW w:w="7740" w:type="dxa"/>
            <w:vAlign w:val="bottom"/>
            <w:gridSpan w:val="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Financial Officer.</w:t>
              </w:r>
            </w:hyperlink>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920" w:type="dxa"/>
            <w:vAlign w:val="bottom"/>
            <w:gridSpan w:val="5"/>
          </w:tcPr>
          <w:p>
            <w:pPr>
              <w:spacing w:after="0" w:line="20" w:lineRule="exact"/>
              <w:rPr>
                <w:sz w:val="1"/>
                <w:szCs w:val="1"/>
                <w:color w:val="auto"/>
              </w:rPr>
            </w:pPr>
          </w:p>
        </w:tc>
      </w:tr>
      <w:tr>
        <w:trPr>
          <w:trHeight w:val="317"/>
        </w:trPr>
        <w:tc>
          <w:tcPr>
            <w:tcW w:w="1140" w:type="dxa"/>
            <w:vAlign w:val="bottom"/>
          </w:tcPr>
          <w:p>
            <w:pPr>
              <w:spacing w:after="0"/>
              <w:rPr>
                <w:sz w:val="20"/>
                <w:szCs w:val="20"/>
                <w:color w:val="auto"/>
              </w:rPr>
            </w:pPr>
            <w:r>
              <w:rPr>
                <w:rFonts w:ascii="Arial" w:cs="Arial" w:eastAsia="Arial" w:hAnsi="Arial"/>
                <w:sz w:val="18"/>
                <w:szCs w:val="18"/>
                <w:color w:val="auto"/>
              </w:rPr>
              <w:t>95*</w:t>
            </w:r>
          </w:p>
        </w:tc>
        <w:tc>
          <w:tcPr>
            <w:tcW w:w="18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Mine Safety Disclosures.</w:t>
              </w:r>
            </w:hyperlink>
          </w:p>
        </w:tc>
        <w:tc>
          <w:tcPr>
            <w:tcW w:w="5920" w:type="dxa"/>
            <w:vAlign w:val="bottom"/>
            <w:gridSpan w:val="5"/>
          </w:tcPr>
          <w:p>
            <w:pPr>
              <w:spacing w:after="0"/>
              <w:rPr>
                <w:sz w:val="24"/>
                <w:szCs w:val="24"/>
                <w:color w:val="auto"/>
              </w:rPr>
            </w:pPr>
          </w:p>
        </w:tc>
      </w:tr>
      <w:tr>
        <w:trPr>
          <w:trHeight w:val="358"/>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7740" w:type="dxa"/>
            <w:vAlign w:val="bottom"/>
            <w:gridSpan w:val="8"/>
          </w:tcPr>
          <w:p>
            <w:pPr>
              <w:spacing w:after="0"/>
              <w:rPr>
                <w:sz w:val="20"/>
                <w:szCs w:val="20"/>
                <w:color w:val="auto"/>
              </w:rPr>
            </w:pPr>
            <w:r>
              <w:rPr>
                <w:rFonts w:ascii="Arial" w:cs="Arial" w:eastAsia="Arial" w:hAnsi="Arial"/>
                <w:sz w:val="18"/>
                <w:szCs w:val="18"/>
                <w:color w:val="auto"/>
              </w:rPr>
              <w:t>Inline XBRL Instance.</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774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774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7740" w:type="dxa"/>
            <w:vAlign w:val="bottom"/>
            <w:gridSpan w:val="8"/>
          </w:tcPr>
          <w:p>
            <w:pPr>
              <w:spacing w:after="0"/>
              <w:rPr>
                <w:sz w:val="20"/>
                <w:szCs w:val="20"/>
                <w:color w:val="auto"/>
              </w:rPr>
            </w:pPr>
            <w:r>
              <w:rPr>
                <w:rFonts w:ascii="Arial" w:cs="Arial" w:eastAsia="Arial" w:hAnsi="Arial"/>
                <w:sz w:val="18"/>
                <w:szCs w:val="18"/>
                <w:color w:val="auto"/>
              </w:rPr>
              <w:t>Inline XBRL Taxonomy Extension Labels.</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774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774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774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76835</wp:posOffset>
            </wp:positionV>
            <wp:extent cx="1414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91" w:lineRule="exact"/>
        <w:rPr>
          <w:sz w:val="20"/>
          <w:szCs w:val="20"/>
          <w:color w:val="auto"/>
        </w:rPr>
      </w:pPr>
    </w:p>
    <w:p>
      <w:pPr>
        <w:ind w:left="280" w:hanging="230"/>
        <w:spacing w:after="0"/>
        <w:tabs>
          <w:tab w:leader="none" w:pos="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Filed herewith.</w:t>
      </w:r>
    </w:p>
    <w:p>
      <w:pPr>
        <w:ind w:left="60"/>
        <w:spacing w:after="0"/>
        <w:rPr>
          <w:sz w:val="20"/>
          <w:szCs w:val="20"/>
          <w:color w:val="auto"/>
        </w:rPr>
      </w:pPr>
      <w:r>
        <w:rPr>
          <w:rFonts w:ascii="Arial" w:cs="Arial" w:eastAsia="Arial" w:hAnsi="Arial"/>
          <w:sz w:val="13"/>
          <w:szCs w:val="13"/>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34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WASTE MANAGEMENT, INC.</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LESLIE K. NAGY</w:t>
            </w:r>
          </w:p>
        </w:tc>
      </w:tr>
      <w:tr>
        <w:trPr>
          <w:trHeight w:val="211"/>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4"/>
              </w:rPr>
              <w:t>Leslie K. Nagy</w:t>
            </w:r>
          </w:p>
        </w:tc>
      </w:tr>
    </w:tbl>
    <w:p>
      <w:pPr>
        <w:jc w:val="center"/>
        <w:ind w:left="4840"/>
        <w:spacing w:after="0"/>
        <w:rPr>
          <w:sz w:val="20"/>
          <w:szCs w:val="20"/>
          <w:color w:val="auto"/>
        </w:rPr>
      </w:pPr>
      <w:r>
        <w:rPr>
          <w:rFonts w:ascii="Arial" w:cs="Arial" w:eastAsia="Arial" w:hAnsi="Arial"/>
          <w:sz w:val="18"/>
          <w:szCs w:val="18"/>
          <w:i w:val="1"/>
          <w:iCs w:val="1"/>
          <w:color w:val="auto"/>
        </w:rPr>
        <w:t>Vice President and</w:t>
      </w:r>
    </w:p>
    <w:p>
      <w:pPr>
        <w:spacing w:after="0" w:line="7" w:lineRule="exact"/>
        <w:rPr>
          <w:sz w:val="20"/>
          <w:szCs w:val="20"/>
          <w:color w:val="auto"/>
        </w:rPr>
      </w:pPr>
    </w:p>
    <w:p>
      <w:pPr>
        <w:jc w:val="center"/>
        <w:ind w:left="48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484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GUARANTOR SUBSIDIARY</w:t>
      </w:r>
    </w:p>
    <w:p>
      <w:pPr>
        <w:spacing w:after="0" w:line="20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March 31, 2021,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8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7"/>
              </w:rPr>
              <w:t>Principal</w:t>
            </w:r>
          </w:p>
        </w:tc>
        <w:tc>
          <w:tcPr>
            <w:tcW w:w="26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Interest Rate</w:t>
            </w:r>
          </w:p>
        </w:tc>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38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94"/>
              </w:rPr>
              <w:t>Amount</w:t>
            </w:r>
          </w:p>
        </w:tc>
        <w:tc>
          <w:tcPr>
            <w:tcW w:w="2680" w:type="dxa"/>
            <w:vAlign w:val="bottom"/>
            <w:gridSpan w:val="2"/>
            <w:vMerge w:val="continue"/>
          </w:tcPr>
          <w:p>
            <w:pPr>
              <w:spacing w:after="0"/>
              <w:rPr>
                <w:sz w:val="12"/>
                <w:szCs w:val="12"/>
                <w:color w:val="auto"/>
              </w:rPr>
            </w:pPr>
          </w:p>
        </w:tc>
        <w:tc>
          <w:tcPr>
            <w:tcW w:w="18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Issue Date</w:t>
            </w:r>
          </w:p>
        </w:tc>
        <w:tc>
          <w:tcPr>
            <w:tcW w:w="860" w:type="dxa"/>
            <w:vAlign w:val="bottom"/>
            <w:vMerge w:val="restart"/>
          </w:tcPr>
          <w:p>
            <w:pPr>
              <w:spacing w:after="0"/>
              <w:rPr>
                <w:sz w:val="12"/>
                <w:szCs w:val="12"/>
                <w:color w:val="auto"/>
              </w:rPr>
            </w:pPr>
          </w:p>
        </w:tc>
        <w:tc>
          <w:tcPr>
            <w:tcW w:w="18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5"/>
              </w:rPr>
              <w:t>Issued</w:t>
            </w:r>
          </w:p>
        </w:tc>
        <w:tc>
          <w:tcPr>
            <w:tcW w:w="8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(per annum)</w:t>
            </w:r>
          </w:p>
        </w:tc>
        <w:tc>
          <w:tcPr>
            <w:tcW w:w="8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CCEEFF"/>
            </w:tcBorders>
            <w:vMerge w:val="continue"/>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million</w:t>
            </w:r>
          </w:p>
        </w:tc>
        <w:tc>
          <w:tcPr>
            <w:tcW w:w="8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7/17/1998</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250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7.375%</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12/21/1999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7.75%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5/21/2002</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600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6.125%</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11/12/2009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9/12/2012</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9/15/2022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350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3.50%</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5/8/2014</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5/15/2024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3.125%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450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3.90%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3/1/2035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4.10%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3/1/2045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2.40%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5/16/2016</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5/15/2023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3.150%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11/8/2017</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11/15/2027</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1 billion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4.150%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6/15/2049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0.750%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11/15/2025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1.150%</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3/15/2028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1.500%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3/15/2031</w:t>
            </w:r>
          </w:p>
        </w:tc>
        <w:tc>
          <w:tcPr>
            <w:tcW w:w="0" w:type="dxa"/>
            <w:vAlign w:val="bottom"/>
          </w:tcPr>
          <w:p>
            <w:pPr>
              <w:spacing w:after="0"/>
              <w:rPr>
                <w:sz w:val="1"/>
                <w:szCs w:val="1"/>
                <w:color w:val="auto"/>
              </w:rPr>
            </w:pPr>
          </w:p>
        </w:tc>
      </w:tr>
      <w:tr>
        <w:trPr>
          <w:trHeight w:val="23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2.500%</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11/15/2050</w:t>
            </w:r>
          </w:p>
        </w:tc>
        <w:tc>
          <w:tcPr>
            <w:tcW w:w="0" w:type="dxa"/>
            <w:vAlign w:val="bottom"/>
          </w:tcPr>
          <w:p>
            <w:pPr>
              <w:spacing w:after="0"/>
              <w:rPr>
                <w:sz w:val="1"/>
                <w:szCs w:val="1"/>
                <w:color w:val="auto"/>
              </w:rPr>
            </w:pPr>
          </w:p>
        </w:tc>
      </w:tr>
      <w:tr>
        <w:trPr>
          <w:trHeight w:val="749"/>
        </w:trPr>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41" w:name="page42"/>
    <w:bookmarkEnd w:id="41"/>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James C. Fish, Jr., certify that:</w:t>
      </w:r>
    </w:p>
    <w:p>
      <w:pPr>
        <w:spacing w:after="0" w:line="185" w:lineRule="exact"/>
        <w:rPr>
          <w:sz w:val="20"/>
          <w:szCs w:val="20"/>
          <w:color w:val="auto"/>
        </w:rPr>
      </w:pPr>
    </w:p>
    <w:p>
      <w:pPr>
        <w:ind w:left="720" w:hanging="22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84" w:lineRule="exact"/>
        <w:rPr>
          <w:rFonts w:ascii="Arial" w:cs="Arial" w:eastAsia="Arial" w:hAnsi="Arial"/>
          <w:sz w:val="18"/>
          <w:szCs w:val="18"/>
          <w:color w:val="auto"/>
        </w:rPr>
      </w:pPr>
    </w:p>
    <w:p>
      <w:pPr>
        <w:jc w:val="both"/>
        <w:ind w:left="60" w:right="59" w:firstLine="431"/>
        <w:spacing w:after="0" w:line="263" w:lineRule="auto"/>
        <w:tabs>
          <w:tab w:leader="none" w:pos="7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jc w:val="both"/>
        <w:ind w:left="60" w:right="59" w:firstLine="431"/>
        <w:spacing w:after="0" w:line="263" w:lineRule="auto"/>
        <w:tabs>
          <w:tab w:leader="none" w:pos="7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60" w:right="79" w:firstLine="431"/>
        <w:spacing w:after="0" w:line="286" w:lineRule="auto"/>
        <w:tabs>
          <w:tab w:leader="none" w:pos="75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4" w:lineRule="exact"/>
        <w:rPr>
          <w:rFonts w:ascii="Arial" w:cs="Arial" w:eastAsia="Arial" w:hAnsi="Arial"/>
          <w:sz w:val="17"/>
          <w:szCs w:val="17"/>
          <w:color w:val="auto"/>
        </w:rPr>
      </w:pPr>
    </w:p>
    <w:p>
      <w:pPr>
        <w:jc w:val="both"/>
        <w:ind w:left="500" w:right="59" w:firstLine="431"/>
        <w:spacing w:after="0" w:line="259" w:lineRule="auto"/>
        <w:tabs>
          <w:tab w:leader="none" w:pos="1216"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500" w:right="59" w:firstLine="431"/>
        <w:spacing w:after="0" w:line="259" w:lineRule="auto"/>
        <w:tabs>
          <w:tab w:leader="none" w:pos="126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500" w:right="59" w:firstLine="431"/>
        <w:spacing w:after="0" w:line="263" w:lineRule="auto"/>
        <w:tabs>
          <w:tab w:leader="none" w:pos="1254"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left="500" w:right="59" w:firstLine="431"/>
        <w:spacing w:after="0" w:line="259" w:lineRule="auto"/>
        <w:tabs>
          <w:tab w:leader="none" w:pos="121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60" w:right="79" w:firstLine="431"/>
        <w:spacing w:after="0" w:line="263" w:lineRule="auto"/>
        <w:tabs>
          <w:tab w:leader="none" w:pos="74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rFonts w:ascii="Arial" w:cs="Arial" w:eastAsia="Arial" w:hAnsi="Arial"/>
          <w:sz w:val="18"/>
          <w:szCs w:val="18"/>
          <w:color w:val="auto"/>
        </w:rPr>
      </w:pPr>
    </w:p>
    <w:p>
      <w:pPr>
        <w:jc w:val="both"/>
        <w:ind w:left="500" w:right="59" w:firstLine="431"/>
        <w:spacing w:after="0" w:line="263" w:lineRule="auto"/>
        <w:tabs>
          <w:tab w:leader="none" w:pos="123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500" w:right="79" w:firstLine="431"/>
        <w:spacing w:after="0" w:line="277" w:lineRule="auto"/>
        <w:tabs>
          <w:tab w:leader="none" w:pos="120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JAMES C. FISH, JR.</w:t>
            </w:r>
          </w:p>
        </w:tc>
      </w:tr>
      <w:tr>
        <w:trPr>
          <w:trHeight w:val="195"/>
        </w:trPr>
        <w:tc>
          <w:tcPr>
            <w:tcW w:w="360" w:type="dxa"/>
            <w:vAlign w:val="bottom"/>
          </w:tcPr>
          <w:p>
            <w:pPr>
              <w:spacing w:after="0"/>
              <w:rPr>
                <w:sz w:val="16"/>
                <w:szCs w:val="16"/>
                <w:color w:val="auto"/>
              </w:rPr>
            </w:pPr>
          </w:p>
        </w:tc>
        <w:tc>
          <w:tcPr>
            <w:tcW w:w="406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6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42" w:name="page43"/>
    <w:bookmarkEnd w:id="42"/>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Devina A. Rankin, certify that:</w:t>
      </w:r>
    </w:p>
    <w:p>
      <w:pPr>
        <w:spacing w:after="0" w:line="185" w:lineRule="exact"/>
        <w:rPr>
          <w:sz w:val="20"/>
          <w:szCs w:val="20"/>
          <w:color w:val="auto"/>
        </w:rPr>
      </w:pPr>
    </w:p>
    <w:p>
      <w:pPr>
        <w:ind w:left="720" w:hanging="22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84" w:lineRule="exact"/>
        <w:rPr>
          <w:rFonts w:ascii="Arial" w:cs="Arial" w:eastAsia="Arial" w:hAnsi="Arial"/>
          <w:sz w:val="18"/>
          <w:szCs w:val="18"/>
          <w:color w:val="auto"/>
        </w:rPr>
      </w:pPr>
    </w:p>
    <w:p>
      <w:pPr>
        <w:jc w:val="both"/>
        <w:ind w:left="60" w:right="59" w:firstLine="431"/>
        <w:spacing w:after="0" w:line="263" w:lineRule="auto"/>
        <w:tabs>
          <w:tab w:leader="none" w:pos="767"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jc w:val="both"/>
        <w:ind w:left="60" w:right="59" w:firstLine="431"/>
        <w:spacing w:after="0" w:line="263" w:lineRule="auto"/>
        <w:tabs>
          <w:tab w:leader="none" w:pos="7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60" w:right="79" w:firstLine="431"/>
        <w:spacing w:after="0" w:line="286" w:lineRule="auto"/>
        <w:tabs>
          <w:tab w:leader="none" w:pos="75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4" w:lineRule="exact"/>
        <w:rPr>
          <w:rFonts w:ascii="Arial" w:cs="Arial" w:eastAsia="Arial" w:hAnsi="Arial"/>
          <w:sz w:val="17"/>
          <w:szCs w:val="17"/>
          <w:color w:val="auto"/>
        </w:rPr>
      </w:pPr>
    </w:p>
    <w:p>
      <w:pPr>
        <w:jc w:val="both"/>
        <w:ind w:left="500" w:right="59" w:firstLine="431"/>
        <w:spacing w:after="0" w:line="259" w:lineRule="auto"/>
        <w:tabs>
          <w:tab w:leader="none" w:pos="1216"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500" w:right="59" w:firstLine="431"/>
        <w:spacing w:after="0" w:line="259" w:lineRule="auto"/>
        <w:tabs>
          <w:tab w:leader="none" w:pos="126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500" w:right="59" w:firstLine="431"/>
        <w:spacing w:after="0" w:line="263" w:lineRule="auto"/>
        <w:tabs>
          <w:tab w:leader="none" w:pos="1254"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left="500" w:right="59" w:firstLine="431"/>
        <w:spacing w:after="0" w:line="259" w:lineRule="auto"/>
        <w:tabs>
          <w:tab w:leader="none" w:pos="121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60" w:right="79" w:firstLine="431"/>
        <w:spacing w:after="0" w:line="263" w:lineRule="auto"/>
        <w:tabs>
          <w:tab w:leader="none" w:pos="74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rFonts w:ascii="Arial" w:cs="Arial" w:eastAsia="Arial" w:hAnsi="Arial"/>
          <w:sz w:val="18"/>
          <w:szCs w:val="18"/>
          <w:color w:val="auto"/>
        </w:rPr>
      </w:pPr>
    </w:p>
    <w:p>
      <w:pPr>
        <w:jc w:val="both"/>
        <w:ind w:left="500" w:right="59" w:firstLine="431"/>
        <w:spacing w:after="0" w:line="263" w:lineRule="auto"/>
        <w:tabs>
          <w:tab w:leader="none" w:pos="123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500" w:right="79" w:firstLine="431"/>
        <w:spacing w:after="0" w:line="277" w:lineRule="auto"/>
        <w:tabs>
          <w:tab w:leader="none" w:pos="120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80" w:type="dxa"/>
            <w:vAlign w:val="bottom"/>
          </w:tcPr>
          <w:p>
            <w:pPr>
              <w:spacing w:after="0"/>
              <w:rPr>
                <w:sz w:val="16"/>
                <w:szCs w:val="16"/>
                <w:color w:val="auto"/>
              </w:rPr>
            </w:pPr>
          </w:p>
        </w:tc>
        <w:tc>
          <w:tcPr>
            <w:tcW w:w="406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16"/>
        </w:trPr>
        <w:tc>
          <w:tcPr>
            <w:tcW w:w="38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30"/>
        </w:trPr>
        <w:tc>
          <w:tcPr>
            <w:tcW w:w="38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 w:name="page44"/>
    <w:bookmarkEnd w:id="43"/>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2021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7" w:lineRule="exact"/>
        <w:rPr>
          <w:sz w:val="20"/>
          <w:szCs w:val="20"/>
          <w:color w:val="auto"/>
        </w:rPr>
      </w:pPr>
    </w:p>
    <w:p>
      <w:pPr>
        <w:ind w:left="500" w:right="59" w:firstLine="431"/>
        <w:spacing w:after="0" w:line="277" w:lineRule="auto"/>
        <w:tabs>
          <w:tab w:leader="none" w:pos="12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500" w:right="79" w:firstLine="431"/>
        <w:spacing w:after="0" w:line="277" w:lineRule="auto"/>
        <w:tabs>
          <w:tab w:leader="none" w:pos="119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JAMES C. FISH, JR.</w:t>
            </w:r>
          </w:p>
        </w:tc>
      </w:tr>
      <w:tr>
        <w:trPr>
          <w:trHeight w:val="195"/>
        </w:trPr>
        <w:tc>
          <w:tcPr>
            <w:tcW w:w="3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April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44" w:name="page45"/>
    <w:bookmarkEnd w:id="44"/>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2021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7" w:lineRule="exact"/>
        <w:rPr>
          <w:sz w:val="20"/>
          <w:szCs w:val="20"/>
          <w:color w:val="auto"/>
        </w:rPr>
      </w:pPr>
    </w:p>
    <w:p>
      <w:pPr>
        <w:ind w:left="500" w:right="59" w:firstLine="431"/>
        <w:spacing w:after="0" w:line="277" w:lineRule="auto"/>
        <w:tabs>
          <w:tab w:leader="none" w:pos="12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500" w:right="79" w:firstLine="431"/>
        <w:spacing w:after="0" w:line="277" w:lineRule="auto"/>
        <w:tabs>
          <w:tab w:leader="none" w:pos="119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00" w:type="dxa"/>
            <w:vAlign w:val="bottom"/>
          </w:tcPr>
          <w:p>
            <w:pPr>
              <w:spacing w:after="0"/>
              <w:rPr>
                <w:sz w:val="16"/>
                <w:szCs w:val="16"/>
                <w:color w:val="auto"/>
              </w:rPr>
            </w:pPr>
          </w:p>
        </w:tc>
        <w:tc>
          <w:tcPr>
            <w:tcW w:w="4140" w:type="dxa"/>
            <w:vAlign w:val="bottom"/>
          </w:tcPr>
          <w:p>
            <w:pPr>
              <w:ind w:left="1480"/>
              <w:spacing w:after="0" w:line="195" w:lineRule="exact"/>
              <w:rPr>
                <w:sz w:val="20"/>
                <w:szCs w:val="20"/>
                <w:color w:val="auto"/>
              </w:rPr>
            </w:pPr>
            <w:r>
              <w:rPr>
                <w:rFonts w:ascii="Arial" w:cs="Arial" w:eastAsia="Arial" w:hAnsi="Arial"/>
                <w:sz w:val="18"/>
                <w:szCs w:val="18"/>
                <w:color w:val="auto"/>
              </w:rPr>
              <w:t>Devina A. Rankin</w:t>
            </w:r>
          </w:p>
        </w:tc>
      </w:tr>
      <w:tr>
        <w:trPr>
          <w:trHeight w:val="216"/>
        </w:trPr>
        <w:tc>
          <w:tcPr>
            <w:tcW w:w="30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30"/>
        </w:trPr>
        <w:tc>
          <w:tcPr>
            <w:tcW w:w="30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April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 w:name="page46"/>
    <w:bookmarkEnd w:id="45"/>
    <w:p>
      <w:pPr>
        <w:jc w:val="right"/>
        <w:ind w:right="59"/>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65"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During the quarter ended March 31, 2021,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92"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In addition, during the quarter ended March 31, 2021,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2"/>
    </w:lvl>
  </w:abstractNum>
  <w:abstractNum w:abstractNumId="3">
    <w:nsid w:val="257130A3"/>
    <w:multiLevelType w:val="hybridMultilevel"/>
    <w:lvl w:ilvl="0">
      <w:lvlJc w:val="left"/>
      <w:lvlText w:val="%1."/>
      <w:numFmt w:val="decimal"/>
      <w:start w:val="3"/>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Roman"/>
      <w:start w:val="1"/>
    </w:lvl>
  </w:abstractNum>
  <w:abstractNum w:abstractNumId="6">
    <w:nsid w:val="628C895D"/>
    <w:multiLevelType w:val="hybridMultilevel"/>
    <w:lvl w:ilvl="0">
      <w:lvlJc w:val="left"/>
      <w:lvlText w:val="(%1)"/>
      <w:numFmt w:val="lowerRoman"/>
      <w:start w:val="3"/>
    </w:lvl>
  </w:abstractNum>
  <w:abstractNum w:abstractNumId="7">
    <w:nsid w:val="333AB105"/>
    <w:multiLevelType w:val="hybridMultilevel"/>
    <w:lvl w:ilvl="0">
      <w:lvlJc w:val="left"/>
      <w:lvlText w:val="%1."/>
      <w:numFmt w:val="decimal"/>
      <w:start w:val="4"/>
    </w:lvl>
  </w:abstractNum>
  <w:abstractNum w:abstractNumId="8">
    <w:nsid w:val="721DA317"/>
    <w:multiLevelType w:val="hybridMultilevel"/>
    <w:lvl w:ilvl="0">
      <w:lvlJc w:val="left"/>
      <w:lvlText w:val="%1."/>
      <w:numFmt w:val="decimal"/>
      <w:start w:val="5"/>
    </w:lvl>
  </w:abstractNum>
  <w:abstractNum w:abstractNumId="9">
    <w:nsid w:val="2443A858"/>
    <w:multiLevelType w:val="hybridMultilevel"/>
    <w:lvl w:ilvl="0">
      <w:lvlJc w:val="left"/>
      <w:lvlText w:val="%1."/>
      <w:numFmt w:val="decimal"/>
      <w:start w:val="6"/>
    </w:lvl>
  </w:abstractNum>
  <w:abstractNum w:abstractNumId="10">
    <w:nsid w:val="2D1D5AE9"/>
    <w:multiLevelType w:val="hybridMultilevel"/>
    <w:lvl w:ilvl="0">
      <w:lvlJc w:val="left"/>
      <w:lvlText w:val="%1."/>
      <w:numFmt w:val="decimal"/>
      <w:start w:val="7"/>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4"/>
    </w:lvl>
  </w:abstractNum>
  <w:abstractNum w:abstractNumId="13">
    <w:nsid w:val="8EDBDAB"/>
    <w:multiLevelType w:val="hybridMultilevel"/>
    <w:lvl w:ilvl="0">
      <w:lvlJc w:val="left"/>
      <w:lvlText w:val="(%1)"/>
      <w:numFmt w:val="lowerRoman"/>
      <w:start w:val="3"/>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lvl w:ilvl="1">
      <w:lvlJc w:val="left"/>
      <w:lvlText w:val="(%2)"/>
      <w:numFmt w:val="lowerRoman"/>
      <w:start w:val="1"/>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lowerLetter"/>
      <w:start w:val="1"/>
    </w:lvl>
  </w:abstractNum>
  <w:abstractNum w:abstractNumId="21">
    <w:nsid w:val="836C40E"/>
    <w:multiLevelType w:val="hybridMultilevel"/>
    <w:lvl w:ilvl="0">
      <w:lvlJc w:val="left"/>
      <w:lvlText w:val="(%1)"/>
      <w:numFmt w:val="lowerRoman"/>
      <w:start w:val="2"/>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
      <w:numFmt w:val="bullet"/>
      <w:start w:val="1"/>
    </w:lvl>
    <w:lvl w:ilvl="1">
      <w:lvlJc w:val="left"/>
      <w:lvlText w:val="(%2)"/>
      <w:numFmt w:val="lowerRoman"/>
      <w:start w:val="3"/>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Roman"/>
      <w:start w:val="1"/>
    </w:lvl>
  </w:abstractNum>
  <w:abstractNum w:abstractNumId="26">
    <w:nsid w:val="7C3DBD3D"/>
    <w:multiLevelType w:val="hybridMultilevel"/>
    <w:lvl w:ilvl="0">
      <w:lvlJc w:val="left"/>
      <w:lvlText w:val="(%1)"/>
      <w:numFmt w:val="lowerRoman"/>
      <w:start w:val="3"/>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lowerRoman"/>
      <w:start w:val="1"/>
    </w:lvl>
    <w:lvl w:ilvl="1">
      <w:lvlJc w:val="left"/>
      <w:lvlText w:val="%2."/>
      <w:numFmt w:val="upperLetter"/>
      <w:start w:val="1"/>
    </w:lvl>
  </w:abstractNum>
  <w:abstractNum w:abstractNumId="32">
    <w:nsid w:val="614FD4A1"/>
    <w:multiLevelType w:val="hybridMultilevel"/>
    <w:lvl w:ilvl="0">
      <w:lvlJc w:val="left"/>
      <w:lvlText w:val="%1."/>
      <w:numFmt w:val="lowerRoman"/>
      <w:start w:val="1"/>
    </w:lvl>
    <w:lvl w:ilvl="1">
      <w:lvlJc w:val="left"/>
      <w:lvlText w:val="%2."/>
      <w:numFmt w:val="upp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52" Type="http://schemas.openxmlformats.org/officeDocument/2006/relationships/hyperlink" Target="https://www.sec.gov/Archives/edgar/data/0000823768/000110465921029723/tm216945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2021-04-27T10:03:50Z</dcterms:created>
  <dcterms:modified xsi:type="dcterms:W3CDTF">2021-04-27T10:03:50Z</dcterms:modified>
</cp:coreProperties>
</file>