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December 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4260" w:type="dxa"/>
            <w:vAlign w:val="bottom"/>
          </w:tcPr>
          <w:p>
            <w:pPr>
              <w:jc w:val="center"/>
              <w:ind w:right="2564"/>
              <w:spacing w:after="0"/>
              <w:rPr>
                <w:sz w:val="20"/>
                <w:szCs w:val="20"/>
                <w:color w:val="auto"/>
              </w:rPr>
            </w:pPr>
            <w:r>
              <w:rPr>
                <w:rFonts w:ascii="Arial" w:cs="Arial" w:eastAsia="Arial" w:hAnsi="Arial"/>
                <w:sz w:val="18"/>
                <w:szCs w:val="18"/>
                <w:b w:val="1"/>
                <w:bCs w:val="1"/>
                <w:color w:val="auto"/>
                <w:w w:val="88"/>
              </w:rPr>
              <w:t>Delaware</w:t>
            </w:r>
          </w:p>
        </w:tc>
        <w:tc>
          <w:tcPr>
            <w:tcW w:w="2240" w:type="dxa"/>
            <w:vAlign w:val="bottom"/>
          </w:tcPr>
          <w:p>
            <w:pPr>
              <w:jc w:val="center"/>
              <w:ind w:right="1286"/>
              <w:spacing w:after="0"/>
              <w:rPr>
                <w:sz w:val="20"/>
                <w:szCs w:val="20"/>
                <w:color w:val="auto"/>
              </w:rPr>
            </w:pPr>
            <w:r>
              <w:rPr>
                <w:rFonts w:ascii="Arial" w:cs="Arial" w:eastAsia="Arial" w:hAnsi="Arial"/>
                <w:sz w:val="18"/>
                <w:szCs w:val="18"/>
                <w:b w:val="1"/>
                <w:bCs w:val="1"/>
                <w:color w:val="auto"/>
                <w:w w:val="90"/>
              </w:rPr>
              <w:t>1-12154</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260" w:type="dxa"/>
            <w:vAlign w:val="bottom"/>
          </w:tcPr>
          <w:p>
            <w:pPr>
              <w:jc w:val="center"/>
              <w:ind w:right="258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40" w:type="dxa"/>
            <w:vAlign w:val="bottom"/>
          </w:tcPr>
          <w:p>
            <w:pPr>
              <w:jc w:val="center"/>
              <w:ind w:right="128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260" w:type="dxa"/>
            <w:vAlign w:val="bottom"/>
          </w:tcPr>
          <w:p>
            <w:pPr>
              <w:jc w:val="center"/>
              <w:ind w:right="2584"/>
              <w:spacing w:after="0"/>
              <w:rPr>
                <w:sz w:val="20"/>
                <w:szCs w:val="20"/>
                <w:color w:val="auto"/>
              </w:rPr>
            </w:pPr>
            <w:r>
              <w:rPr>
                <w:rFonts w:ascii="Arial" w:cs="Arial" w:eastAsia="Arial" w:hAnsi="Arial"/>
                <w:sz w:val="14"/>
                <w:szCs w:val="14"/>
                <w:b w:val="1"/>
                <w:bCs w:val="1"/>
                <w:color w:val="auto"/>
                <w:w w:val="89"/>
              </w:rPr>
              <w:t>of Incorporation)</w:t>
            </w:r>
          </w:p>
        </w:tc>
        <w:tc>
          <w:tcPr>
            <w:tcW w:w="2240" w:type="dxa"/>
            <w:vAlign w:val="bottom"/>
          </w:tcPr>
          <w:p>
            <w:pPr>
              <w:jc w:val="center"/>
              <w:ind w:right="126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4260" w:type="dxa"/>
            <w:vAlign w:val="bottom"/>
          </w:tcPr>
          <w:p>
            <w:pPr>
              <w:jc w:val="center"/>
              <w:ind w:left="1044"/>
              <w:spacing w:after="0"/>
              <w:rPr>
                <w:sz w:val="20"/>
                <w:szCs w:val="20"/>
                <w:color w:val="auto"/>
              </w:rPr>
            </w:pPr>
            <w:r>
              <w:rPr>
                <w:rFonts w:ascii="Arial" w:cs="Arial" w:eastAsia="Arial" w:hAnsi="Arial"/>
                <w:sz w:val="18"/>
                <w:szCs w:val="18"/>
                <w:b w:val="1"/>
                <w:bCs w:val="1"/>
                <w:color w:val="auto"/>
                <w:w w:val="87"/>
              </w:rPr>
              <w:t>1001 Fannin, Suite 4000 Houston, Texas</w:t>
            </w:r>
          </w:p>
        </w:tc>
        <w:tc>
          <w:tcPr>
            <w:tcW w:w="224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77002</w:t>
            </w:r>
          </w:p>
        </w:tc>
      </w:tr>
      <w:tr>
        <w:trPr>
          <w:trHeight w:val="174"/>
        </w:trPr>
        <w:tc>
          <w:tcPr>
            <w:tcW w:w="4260" w:type="dxa"/>
            <w:vAlign w:val="bottom"/>
          </w:tcPr>
          <w:p>
            <w:pPr>
              <w:jc w:val="center"/>
              <w:ind w:left="1064"/>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224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3"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 Amendments to Articles of Incorporation or Bylaws; Change in Fiscal Year.</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December 6, 2012, the Board of Directors of Waste Management, Inc. (the “Company”) adopted amendments to the Company’s By-Laws. The amendments include, among other things, clarifying the process by which stockholder lists will be made available in the event of a stockholder meeting held solely by means of remote communication, clarifying documentation requirements for a stockholder to request a special meeting, establishing procedures to address aggregation of multiple special meeting requests from stockholders, clarifying procedures for determining who will preside at meetings of the Board of Directors in the absence of the Chairman of the Board of Directors and requiring that any person requesting an advancement of expenses must execute an undertaking providing that he or she undertakes to repay the advance to the extent that it is ultimately determined that he or she is not entitled to be indemnified by the Company. The amendments to the By-Laws include other changes intended to clarify and conform various provisions of the By-Laws. The above description of the amendments is qualified in its entirety by reference to the Company’s Amended and Restated By-Laws, as currently in effect, a copy of which is filed as Exhibit 3.2 to this report and is incorporated herein by reference.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ectPr>
          <w:pgSz w:w="11900" w:h="16838" w:orient="portrait"/>
          <w:cols w:equalWidth="0" w:num="1">
            <w:col w:w="11280"/>
          </w:cols>
          <w:pgMar w:left="240" w:top="274" w:right="37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No.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123" w:lineRule="exact"/>
        <w:rPr>
          <w:sz w:val="20"/>
          <w:szCs w:val="20"/>
          <w:color w:val="auto"/>
        </w:rPr>
      </w:pPr>
    </w:p>
    <w:p>
      <w:pPr>
        <w:sectPr>
          <w:pgSz w:w="11900" w:h="16838" w:orient="portrait"/>
          <w:cols w:equalWidth="0" w:num="2">
            <w:col w:w="820" w:space="720"/>
            <w:col w:w="9740"/>
          </w:cols>
          <w:pgMar w:left="240" w:top="274" w:right="379" w:bottom="1440" w:gutter="0" w:footer="0" w:header="0"/>
          <w:type w:val="continuous"/>
        </w:sectPr>
      </w:pPr>
    </w:p>
    <w:p>
      <w:pP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Amended and Restated By-Laws of Waste Management, Inc. as of December 6, 2012</w:t>
      </w:r>
    </w:p>
    <w:p>
      <w:pPr>
        <w:spacing w:after="0" w:line="192" w:lineRule="exact"/>
        <w:rPr>
          <w:sz w:val="20"/>
          <w:szCs w:val="20"/>
          <w:color w:val="auto"/>
        </w:rPr>
      </w:pPr>
    </w:p>
    <w:p>
      <w:pPr>
        <w:sectPr>
          <w:pgSz w:w="11900" w:h="16838" w:orient="portrait"/>
          <w:cols w:equalWidth="0" w:num="2">
            <w:col w:w="820" w:space="720"/>
            <w:col w:w="9740"/>
          </w:cols>
          <w:pgMar w:left="240" w:top="274" w:right="379" w:bottom="1440" w:gutter="0" w:footer="0" w:header="0"/>
          <w:type w:val="continuous"/>
        </w:sectPr>
      </w:pPr>
    </w:p>
    <w:p>
      <w:pPr>
        <w:jc w:val="center"/>
        <w:ind w:right="-15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80"/>
          </w:cols>
          <w:pgMar w:left="240" w:top="274" w:right="3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40" w:type="dxa"/>
            <w:vAlign w:val="bottom"/>
          </w:tcPr>
          <w:p>
            <w:pPr>
              <w:spacing w:after="0"/>
              <w:rPr>
                <w:sz w:val="19"/>
                <w:szCs w:val="19"/>
                <w:color w:val="auto"/>
              </w:rPr>
            </w:pPr>
          </w:p>
        </w:tc>
        <w:tc>
          <w:tcPr>
            <w:tcW w:w="7680" w:type="dxa"/>
            <w:vAlign w:val="bottom"/>
            <w:gridSpan w:val="2"/>
          </w:tcPr>
          <w:p>
            <w:pPr>
              <w:ind w:left="2180"/>
              <w:spacing w:after="0"/>
              <w:rPr>
                <w:sz w:val="20"/>
                <w:szCs w:val="20"/>
                <w:color w:val="auto"/>
              </w:rPr>
            </w:pPr>
            <w:r>
              <w:rPr>
                <w:rFonts w:ascii="Arial" w:cs="Arial" w:eastAsia="Arial" w:hAnsi="Arial"/>
                <w:sz w:val="18"/>
                <w:szCs w:val="18"/>
                <w:color w:val="auto"/>
              </w:rPr>
              <w:t>WASTE MANAGEMENT, INC.</w:t>
            </w:r>
          </w:p>
        </w:tc>
      </w:tr>
      <w:tr>
        <w:trPr>
          <w:trHeight w:val="433"/>
        </w:trPr>
        <w:tc>
          <w:tcPr>
            <w:tcW w:w="3740" w:type="dxa"/>
            <w:vAlign w:val="bottom"/>
          </w:tcPr>
          <w:p>
            <w:pPr>
              <w:spacing w:after="0"/>
              <w:rPr>
                <w:sz w:val="20"/>
                <w:szCs w:val="20"/>
                <w:color w:val="auto"/>
              </w:rPr>
            </w:pPr>
            <w:r>
              <w:rPr>
                <w:rFonts w:ascii="Arial" w:cs="Arial" w:eastAsia="Arial" w:hAnsi="Arial"/>
                <w:sz w:val="18"/>
                <w:szCs w:val="18"/>
                <w:color w:val="auto"/>
              </w:rPr>
              <w:t>Date: December 12, 2012</w:t>
            </w:r>
          </w:p>
        </w:tc>
        <w:tc>
          <w:tcPr>
            <w:tcW w:w="76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Rick L Wittenbraker</w:t>
            </w:r>
          </w:p>
        </w:tc>
      </w:tr>
      <w:tr>
        <w:trPr>
          <w:trHeight w:val="202"/>
        </w:trPr>
        <w:tc>
          <w:tcPr>
            <w:tcW w:w="37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Rick L Wittenbraker</w:t>
            </w:r>
          </w:p>
        </w:tc>
      </w:tr>
      <w:tr>
        <w:trPr>
          <w:trHeight w:val="222"/>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 and General Counsel</w:t>
            </w:r>
          </w:p>
        </w:tc>
      </w:tr>
      <w:tr>
        <w:trPr>
          <w:trHeight w:val="365"/>
        </w:trPr>
        <w:tc>
          <w:tcPr>
            <w:tcW w:w="3740" w:type="dxa"/>
            <w:vAlign w:val="bottom"/>
          </w:tcPr>
          <w:p>
            <w:pPr>
              <w:spacing w:after="0"/>
              <w:rPr>
                <w:sz w:val="24"/>
                <w:szCs w:val="24"/>
                <w:color w:val="auto"/>
              </w:rPr>
            </w:pPr>
          </w:p>
        </w:tc>
        <w:tc>
          <w:tcPr>
            <w:tcW w:w="2440" w:type="dxa"/>
            <w:vAlign w:val="bottom"/>
          </w:tcPr>
          <w:p>
            <w:pPr>
              <w:jc w:val="right"/>
              <w:ind w:right="332"/>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6220" w:type="dxa"/>
            <w:vAlign w:val="bottom"/>
            <w:gridSpan w:val="2"/>
          </w:tcPr>
          <w:p>
            <w:pPr>
              <w:jc w:val="center"/>
              <w:ind w:right="5200"/>
              <w:spacing w:after="0"/>
              <w:rPr>
                <w:sz w:val="20"/>
                <w:szCs w:val="20"/>
                <w:color w:val="auto"/>
              </w:rPr>
            </w:pPr>
            <w:r>
              <w:rPr>
                <w:rFonts w:ascii="Arial" w:cs="Arial" w:eastAsia="Arial" w:hAnsi="Arial"/>
                <w:sz w:val="18"/>
                <w:szCs w:val="18"/>
                <w:b w:val="1"/>
                <w:bCs w:val="1"/>
                <w:color w:val="auto"/>
                <w:w w:val="91"/>
              </w:rPr>
              <w:t>Exhibit Index</w:t>
            </w:r>
          </w:p>
        </w:tc>
      </w:tr>
      <w:tr>
        <w:trPr>
          <w:trHeight w:val="39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4480" w:type="dxa"/>
            <w:vAlign w:val="bottom"/>
            <w:gridSpan w:val="2"/>
          </w:tcPr>
          <w:p>
            <w:pPr>
              <w:ind w:left="860"/>
              <w:spacing w:after="0"/>
              <w:rPr>
                <w:sz w:val="20"/>
                <w:szCs w:val="20"/>
                <w:color w:val="auto"/>
              </w:rPr>
            </w:pPr>
            <w:r>
              <w:rPr>
                <w:rFonts w:ascii="Arial" w:cs="Arial" w:eastAsia="Arial" w:hAnsi="Arial"/>
                <w:sz w:val="14"/>
                <w:szCs w:val="14"/>
                <w:b w:val="1"/>
                <w:bCs w:val="1"/>
                <w:color w:val="auto"/>
              </w:rPr>
              <w:t>Description of Exhibit</w:t>
            </w:r>
          </w:p>
        </w:tc>
        <w:tc>
          <w:tcPr>
            <w:tcW w:w="1020" w:type="dxa"/>
            <w:vAlign w:val="bottom"/>
            <w:tcBorders>
              <w:top w:val="single" w:sz="8" w:color="auto"/>
            </w:tcBorders>
          </w:tcPr>
          <w:p>
            <w:pPr>
              <w:spacing w:after="0"/>
              <w:rPr>
                <w:sz w:val="24"/>
                <w:szCs w:val="24"/>
                <w:color w:val="auto"/>
              </w:rPr>
            </w:pPr>
          </w:p>
        </w:tc>
        <w:tc>
          <w:tcPr>
            <w:tcW w:w="5200" w:type="dxa"/>
            <w:vAlign w:val="bottom"/>
          </w:tcPr>
          <w:p>
            <w:pPr>
              <w:spacing w:after="0"/>
              <w:rPr>
                <w:sz w:val="24"/>
                <w:szCs w:val="24"/>
                <w:color w:val="auto"/>
              </w:rPr>
            </w:pPr>
          </w:p>
        </w:tc>
      </w:tr>
      <w:tr>
        <w:trPr>
          <w:trHeight w:val="209"/>
        </w:trPr>
        <w:tc>
          <w:tcPr>
            <w:tcW w:w="720" w:type="dxa"/>
            <w:vAlign w:val="bottom"/>
          </w:tcPr>
          <w:p>
            <w:pPr>
              <w:spacing w:after="0" w:line="202" w:lineRule="exact"/>
              <w:rPr>
                <w:sz w:val="20"/>
                <w:szCs w:val="20"/>
                <w:color w:val="auto"/>
              </w:rPr>
            </w:pPr>
            <w:r>
              <w:rPr>
                <w:rFonts w:ascii="Arial" w:cs="Arial" w:eastAsia="Arial" w:hAnsi="Arial"/>
                <w:sz w:val="18"/>
                <w:szCs w:val="18"/>
                <w:color w:val="auto"/>
              </w:rPr>
              <w:t>3.2</w:t>
            </w:r>
          </w:p>
        </w:tc>
        <w:tc>
          <w:tcPr>
            <w:tcW w:w="860" w:type="dxa"/>
            <w:vAlign w:val="bottom"/>
          </w:tcPr>
          <w:p>
            <w:pPr>
              <w:spacing w:after="0"/>
              <w:rPr>
                <w:sz w:val="18"/>
                <w:szCs w:val="18"/>
                <w:color w:val="auto"/>
              </w:rPr>
            </w:pPr>
          </w:p>
        </w:tc>
        <w:tc>
          <w:tcPr>
            <w:tcW w:w="98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Amended and Restated By-Laws of Waste Management, Inc. as of December 6, 2012</w:t>
            </w:r>
          </w:p>
        </w:tc>
      </w:tr>
      <w:tr>
        <w:trPr>
          <w:trHeight w:val="356"/>
        </w:trPr>
        <w:tc>
          <w:tcPr>
            <w:tcW w:w="720" w:type="dxa"/>
            <w:vAlign w:val="bottom"/>
          </w:tcPr>
          <w:p>
            <w:pPr>
              <w:spacing w:after="0"/>
              <w:rPr>
                <w:sz w:val="24"/>
                <w:szCs w:val="24"/>
                <w:color w:val="auto"/>
              </w:rPr>
            </w:pPr>
          </w:p>
        </w:tc>
        <w:tc>
          <w:tcPr>
            <w:tcW w:w="5500" w:type="dxa"/>
            <w:vAlign w:val="bottom"/>
            <w:gridSpan w:val="3"/>
          </w:tcPr>
          <w:p>
            <w:pPr>
              <w:jc w:val="right"/>
              <w:ind w:right="372"/>
              <w:spacing w:after="0"/>
              <w:rPr>
                <w:sz w:val="20"/>
                <w:szCs w:val="20"/>
                <w:color w:val="auto"/>
              </w:rPr>
            </w:pPr>
            <w:r>
              <w:rPr>
                <w:rFonts w:ascii="Arial" w:cs="Arial" w:eastAsia="Arial" w:hAnsi="Arial"/>
                <w:sz w:val="18"/>
                <w:szCs w:val="18"/>
                <w:color w:val="auto"/>
              </w:rPr>
              <w:t>4</w:t>
            </w:r>
          </w:p>
        </w:tc>
        <w:tc>
          <w:tcPr>
            <w:tcW w:w="5200" w:type="dxa"/>
            <w:vAlign w:val="bottom"/>
          </w:tcPr>
          <w:p>
            <w:pPr>
              <w:spacing w:after="0"/>
              <w:rPr>
                <w:sz w:val="24"/>
                <w:szCs w:val="24"/>
                <w:color w:val="auto"/>
              </w:rPr>
            </w:pPr>
          </w:p>
        </w:tc>
      </w:tr>
    </w:tbl>
    <w:p>
      <w:pPr>
        <w:sectPr>
          <w:pgSz w:w="11900" w:h="16838" w:orient="portrait"/>
          <w:cols w:equalWidth="0" w:num="1">
            <w:col w:w="11420"/>
          </w:cols>
          <w:pgMar w:left="240" w:top="2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EXHIBT 3.2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OF DECEMBER 6, 2012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Offices</w:t>
      </w:r>
      <w:r>
        <w:rPr>
          <w:rFonts w:ascii="Arial" w:cs="Arial" w:eastAsia="Arial" w:hAnsi="Arial"/>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MEETINGS OF STOCKHOLDERS</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Meetings</w:t>
      </w:r>
      <w:r>
        <w:rPr>
          <w:rFonts w:ascii="Arial" w:cs="Arial" w:eastAsia="Arial" w:hAnsi="Arial"/>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List of Stockholders Entitled to Vote</w:t>
      </w:r>
      <w:r>
        <w:rPr>
          <w:rFonts w:ascii="Arial" w:cs="Arial" w:eastAsia="Arial" w:hAnsi="Arial"/>
          <w:sz w:val="18"/>
          <w:szCs w:val="18"/>
          <w:color w:val="auto"/>
        </w:rPr>
        <w:t>. The officer who has charge of the stock ledger of the Corporation shall prepare and make, at least 10 days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at least 10 days prior to the meeting (i) on a reasonably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accessible electronic network, provided that the information required to gain access to such list is provided with the notice of meeting or (ii) 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Annual Meetings</w:t>
      </w:r>
      <w:r>
        <w:rPr>
          <w:rFonts w:ascii="Arial" w:cs="Arial" w:eastAsia="Arial" w:hAnsi="Arial"/>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Board of Directors may postpone, reschedule or cancel any annual meeting of stockholder previously scheduled by the Board of Directors.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Special Meetings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5" w:lineRule="auto"/>
        <w:tabs>
          <w:tab w:leader="none" w:pos="695"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General. Special meetings of the stockholders, for any purpose or purposes, unless otherwise prescribed by the General Corporation Law of the State of Delaware, may be called by the Chairman of the Board (if any), the Chief Executive Officer, or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left="-20" w:right="20" w:firstLine="464"/>
        <w:spacing w:after="0" w:line="284" w:lineRule="auto"/>
        <w:tabs>
          <w:tab w:leader="none" w:pos="685" w:val="left"/>
        </w:tabs>
        <w:numPr>
          <w:ilvl w:val="0"/>
          <w:numId w:val="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Requested Special Meetings. In order for a Stockholder Requested Special Meeting to be called, one or more requests for a special meeting (each, a “Stockholder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 (ii) 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or series, if applicable, and the number of shares of common stock of the Corporation that are owned of record and beneficially by each such stockholder as to which such stockholder has a “net long position” and (C) include documentary evidence of the fact and duration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(v) contain the information required by Section 2.13 of these by-laws and (vi) an acknowledgment by each stockholder (and any duly authorized agent) that any disposition of shares of common stock of the Corporation as to which such stockholder has a net long position as of the date of delivery of the Stockholder Special Meeting Request and prior to the record date for the proposed meeting requested by such stockholder shall constitute a revocation of such request with respect to such shares. In addition, the stockholder (and any duly authorized agent) shall promptly provide any other information reasonably requested by the Corporation to allow it to satisfy its obligations under applicable law.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132" w:lineRule="exact"/>
        <w:rPr>
          <w:rFonts w:ascii="Arial" w:cs="Arial" w:eastAsia="Arial" w:hAnsi="Arial"/>
          <w:sz w:val="16"/>
          <w:szCs w:val="16"/>
          <w:color w:val="auto"/>
        </w:rPr>
      </w:pPr>
    </w:p>
    <w:p>
      <w:pPr>
        <w:ind w:left="-20" w:firstLine="464"/>
        <w:spacing w:after="0" w:line="290" w:lineRule="auto"/>
        <w:tabs>
          <w:tab w:leader="none" w:pos="675" w:val="left"/>
        </w:tabs>
        <w:numPr>
          <w:ilvl w:val="0"/>
          <w:numId w:val="3"/>
        </w:numPr>
        <w:rPr>
          <w:rFonts w:ascii="Arial" w:cs="Arial" w:eastAsia="Arial" w:hAnsi="Arial"/>
          <w:sz w:val="16"/>
          <w:szCs w:val="16"/>
          <w:color w:val="auto"/>
        </w:rPr>
      </w:pPr>
      <w:r>
        <w:rPr>
          <w:rFonts w:ascii="Arial" w:cs="Arial" w:eastAsia="Arial" w:hAnsi="Arial"/>
          <w:sz w:val="16"/>
          <w:szCs w:val="16"/>
          <w:color w:val="auto"/>
        </w:rPr>
        <w:t>Calling of a Special Meeting. Notwithstanding the foregoing, the Secretary shall not be required to call a special meeting of stockholders if (i) the Board of Directors has called or calls an annual or special meeting of stockholders to be held not later than sixty (60) days after the date on which a valid Special Meeting Request or Stockholder Special Meeting Request(s) have been delivered to the Secretary (the “Delivery Date”); or (ii) 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80" w:right="239" w:bottom="1440" w:gutter="0" w:footer="0" w:header="0"/>
        </w:sectPr>
      </w:pPr>
    </w:p>
    <w:bookmarkStart w:id="7" w:name="page8"/>
    <w:bookmarkEnd w:id="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directors); (C) relates to an item of business that is not a proper subject for action by the party requesting the special meeting under applicable law; (D) was made in a manner that involved a violation of Regulation 14A under the Exchange Act or other applicable law; or (E) does not comply with the provisions of this Section 2.4.</w:t>
      </w:r>
    </w:p>
    <w:p>
      <w:pPr>
        <w:spacing w:after="0" w:line="140" w:lineRule="exact"/>
        <w:rPr>
          <w:sz w:val="20"/>
          <w:szCs w:val="20"/>
          <w:color w:val="auto"/>
        </w:rPr>
      </w:pPr>
    </w:p>
    <w:p>
      <w:pPr>
        <w:ind w:firstLine="464"/>
        <w:spacing w:after="0" w:line="286" w:lineRule="auto"/>
        <w:tabs>
          <w:tab w:leader="none" w:pos="705" w:val="left"/>
        </w:tabs>
        <w:numPr>
          <w:ilvl w:val="0"/>
          <w:numId w:val="4"/>
        </w:numPr>
        <w:rPr>
          <w:rFonts w:ascii="Arial" w:cs="Arial" w:eastAsia="Arial" w:hAnsi="Arial"/>
          <w:sz w:val="16"/>
          <w:szCs w:val="16"/>
          <w:color w:val="auto"/>
        </w:rPr>
      </w:pPr>
      <w:r>
        <w:rPr>
          <w:rFonts w:ascii="Arial" w:cs="Arial" w:eastAsia="Arial" w:hAnsi="Arial"/>
          <w:sz w:val="16"/>
          <w:szCs w:val="16"/>
          <w:color w:val="auto"/>
        </w:rPr>
        <w:t>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 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127" w:lineRule="exact"/>
        <w:rPr>
          <w:rFonts w:ascii="Arial" w:cs="Arial" w:eastAsia="Arial" w:hAnsi="Arial"/>
          <w:sz w:val="16"/>
          <w:szCs w:val="16"/>
          <w:color w:val="auto"/>
        </w:rPr>
      </w:pPr>
    </w:p>
    <w:p>
      <w:pPr>
        <w:ind w:firstLine="464"/>
        <w:spacing w:after="0" w:line="255"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 The Board of Directors may postpone, reschedule or cancel any special meeting of stockholders previously scheduled by the Board of Directors.</w:t>
      </w:r>
    </w:p>
    <w:p>
      <w:pPr>
        <w:spacing w:after="0" w:line="142" w:lineRule="exact"/>
        <w:rPr>
          <w:rFonts w:ascii="Arial" w:cs="Arial" w:eastAsia="Arial" w:hAnsi="Arial"/>
          <w:sz w:val="18"/>
          <w:szCs w:val="18"/>
          <w:color w:val="auto"/>
        </w:rPr>
      </w:pPr>
    </w:p>
    <w:p>
      <w:pPr>
        <w:ind w:right="40" w:firstLine="464"/>
        <w:spacing w:after="0" w:line="318" w:lineRule="auto"/>
        <w:tabs>
          <w:tab w:leader="none" w:pos="676"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determining whether a special meeting of stockholders has been requested by the record holders of shares with net long position of at least the same amount of securities owned by such record holders for at least one year as of the date of such request and representing the Requisite Percent as of the date of such written request to the Secretary, multiple special meeting requests delivered to the Secretary will be considered together only if (i) each request identifies substantially the same purpose or purposes of the proposed special meeting and substantially the same matter proposed to be acted on at the proposed special meeting, and (iii) such request(s) have been dated and delivered to the Secretary within sixty (60) days of the earliest dated Special Meeting Request.</w:t>
      </w:r>
    </w:p>
    <w:p>
      <w:pPr>
        <w:spacing w:after="0" w:line="10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Notice of Meeting</w:t>
      </w:r>
      <w:r>
        <w:rPr>
          <w:rFonts w:ascii="Arial" w:cs="Arial" w:eastAsia="Arial" w:hAnsi="Arial"/>
          <w:sz w:val="18"/>
          <w:szCs w:val="18"/>
          <w:color w:val="auto"/>
        </w:rPr>
        <w:t>. Whenever stockholders are required or permitted to take any action at a meeting, notice of the meeting stating the place, if any, date and time of the meeting, the means of remote communication, if any, the record date for determining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8" w:name="page9"/>
    <w:bookmarkEnd w:id="8"/>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stockholders entitled to vote at the meeting (if such date is different from the record date for determining the stockholders entitled to notice of the meeting) and, in the case of a special 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inadvertent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w:t>
      </w:r>
    </w:p>
    <w:p>
      <w:pPr>
        <w:spacing w:after="0" w:line="12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Quorum; Adjournment</w:t>
      </w:r>
      <w:r>
        <w:rPr>
          <w:rFonts w:ascii="Arial" w:cs="Arial" w:eastAsia="Arial" w:hAnsi="Arial"/>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9" w:name="page10"/>
    <w:bookmarkEnd w:id="9"/>
    <w:p>
      <w:pPr>
        <w:ind w:right="4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other provisions of the Certificate of Incorporation or these by-laws, the chairman of the meeting or the holders of a majority in voting power of the shares of the stock issued and outstanding and entitled to vote, present in person or represented by 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Voting</w:t>
      </w:r>
      <w:r>
        <w:rPr>
          <w:rFonts w:ascii="Arial" w:cs="Arial" w:eastAsia="Arial" w:hAnsi="Arial"/>
          <w:sz w:val="16"/>
          <w:szCs w:val="16"/>
          <w:color w:val="auto"/>
        </w:rPr>
        <w:t>. When a quorum is present at any meeting of the stockholders, the vote of the holders of a majority of the stock having voting power, present in person or represented by proxy, and entitled to vote thereon shall decide any question brought before such meeting, unless the question is one upon which, by express provision of the statutes, of the rules and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Where a separate vote by class is required and when a quorum is present, the affirmative vote of the majority of shares of such class present in person or represented by proxy at the meeting shall be the act of such class. Except as otherwise provided by or pursuant to the provisions of the Certificate of Incorporation, each stockholder having the right to vote at a meeting of stockholders or to express consent or dissent to a corporate action in writing without a meeting shall be entitled to vote in person, or may authorize another person to act for such stockholder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 A stockholder may revoke a proxy that is not irrevocable by attending the meeting and voting in person or by delivering to the Secretary of the Corporation a revocation of the proxy or a new proxy bearing a later date.</w:t>
      </w:r>
    </w:p>
    <w:p>
      <w:pPr>
        <w:spacing w:after="0" w:line="124" w:lineRule="exact"/>
        <w:rPr>
          <w:sz w:val="20"/>
          <w:szCs w:val="20"/>
          <w:color w:val="auto"/>
        </w:rPr>
      </w:pPr>
    </w:p>
    <w:p>
      <w:pPr>
        <w:ind w:right="220" w:firstLine="456"/>
        <w:spacing w:after="0" w:line="318" w:lineRule="auto"/>
        <w:rPr>
          <w:sz w:val="20"/>
          <w:szCs w:val="20"/>
          <w:color w:val="auto"/>
        </w:rPr>
      </w:pPr>
      <w:r>
        <w:rPr>
          <w:rFonts w:ascii="Arial" w:cs="Arial" w:eastAsia="Arial" w:hAnsi="Arial"/>
          <w:sz w:val="15"/>
          <w:szCs w:val="15"/>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with respect to the portion of shares for which he was appointed to act as proxy.</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0" w:name="page11"/>
    <w:bookmarkEnd w:id="10"/>
    <w:p>
      <w:pPr>
        <w:ind w:right="4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2.8. </w:t>
      </w:r>
      <w:r>
        <w:rPr>
          <w:rFonts w:ascii="Arial" w:cs="Arial" w:eastAsia="Arial" w:hAnsi="Arial"/>
          <w:sz w:val="16"/>
          <w:szCs w:val="16"/>
          <w:u w:val="single" w:color="auto"/>
          <w:color w:val="auto"/>
        </w:rPr>
        <w:t>Voting of Stock of Certain Holders; Elections; Inspectors</w:t>
      </w:r>
      <w:r>
        <w:rPr>
          <w:rFonts w:ascii="Arial" w:cs="Arial" w:eastAsia="Arial" w:hAnsi="Arial"/>
          <w:sz w:val="16"/>
          <w:szCs w:val="16"/>
          <w:color w:val="auto"/>
        </w:rPr>
        <w:t>. Shares held in the name of another entity, domestic or foreign, may be voted by such officer, agent, 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118"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32" w:lineRule="exact"/>
        <w:rPr>
          <w:sz w:val="20"/>
          <w:szCs w:val="20"/>
          <w:color w:val="auto"/>
        </w:rPr>
      </w:pPr>
    </w:p>
    <w:p>
      <w:pPr>
        <w:ind w:left="1140" w:hanging="237"/>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only one votes, his act binds all;</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more than one vote, the act of the majority so voting binds all; or</w:t>
      </w:r>
    </w:p>
    <w:p>
      <w:pPr>
        <w:spacing w:after="0" w:line="90" w:lineRule="exact"/>
        <w:rPr>
          <w:rFonts w:ascii="Arial" w:cs="Arial" w:eastAsia="Arial" w:hAnsi="Arial"/>
          <w:sz w:val="18"/>
          <w:szCs w:val="18"/>
          <w:color w:val="auto"/>
        </w:rPr>
      </w:pPr>
    </w:p>
    <w:p>
      <w:pPr>
        <w:ind w:left="460" w:firstLine="443"/>
        <w:spacing w:after="0" w:line="255" w:lineRule="auto"/>
        <w:tabs>
          <w:tab w:leader="none" w:pos="1137"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All voting of stockholders shall be conducted as may be required under any procedures established for the meeting. All proxies submitted to management may be voted by a master ballot.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provided in the Certificate of Incorporation, cumulative voting for the election of directors shall be prohibited.</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Inspector of Elections</w:t>
      </w:r>
      <w:r>
        <w:rPr>
          <w:rFonts w:ascii="Arial" w:cs="Arial" w:eastAsia="Arial" w:hAnsi="Arial"/>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80" w:right="299" w:bottom="1440" w:gutter="0" w:footer="0" w:header="0"/>
        </w:sectPr>
      </w:pPr>
    </w:p>
    <w:bookmarkStart w:id="11" w:name="page12"/>
    <w:bookmarkEnd w:id="11"/>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Conduct of Meeting</w:t>
      </w:r>
      <w:r>
        <w:rPr>
          <w:rFonts w:ascii="Arial" w:cs="Arial" w:eastAsia="Arial" w:hAnsi="Arial"/>
          <w:sz w:val="16"/>
          <w:szCs w:val="16"/>
          <w:color w:val="auto"/>
        </w:rPr>
        <w:t>. The meetings of the stockholders shall be presided over by the Chairman of the Board (if any), or if he is not present, by the Vice Chairman of the Board (if any, but if there is more than one, the Vice Chairman who is senior in terms of time as such), or if neither the Chairman of the Board (if any) nor the Vice Chairman of the Board (if any)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the order of business and the procedure at the meeting, including such regulation of the manner of voting and the conduct of discussion as seem to him in order. Unless the chairman of the meeting of stockholders shall otherwise determine, the order of business shall be as follows:</w:t>
      </w:r>
    </w:p>
    <w:p>
      <w:pPr>
        <w:spacing w:after="0" w:line="39" w:lineRule="exact"/>
        <w:rPr>
          <w:sz w:val="20"/>
          <w:szCs w:val="20"/>
          <w:color w:val="auto"/>
        </w:rPr>
      </w:pPr>
    </w:p>
    <w:p>
      <w:pPr>
        <w:ind w:left="1140" w:hanging="237"/>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Calling of meeting to order.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Appointment of a secretary if necessary.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Presentation of proof of the due calling of the meeting.</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Presentation and examination of proxies and determination of a quorum.</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Reading and settlement of the minutes of the previous meeting.</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Reports of officers and committees.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directors if an annual meeting, or a meeting called for that purpose.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Unfinished business.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business.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Adjournment.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2" w:name="page13"/>
    <w:bookmarkEnd w:id="12"/>
    <w:p>
      <w:pPr>
        <w:ind w:right="140" w:firstLine="456"/>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limiting the foregoing, except to the extent inconsistent with such rules and regulations as adopted by the Board of Directors, the chairman of the meeting shall have the right and authority to convene and (for any or no reason) to recess and/or adjourn the meting,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w:t>
      </w:r>
    </w:p>
    <w:p>
      <w:pPr>
        <w:spacing w:after="0" w:line="3" w:lineRule="exact"/>
        <w:rPr>
          <w:sz w:val="20"/>
          <w:szCs w:val="20"/>
          <w:color w:val="auto"/>
        </w:rPr>
      </w:pPr>
    </w:p>
    <w:p>
      <w:pPr>
        <w:ind w:right="120" w:firstLine="8"/>
        <w:spacing w:after="0" w:line="292" w:lineRule="auto"/>
        <w:tabs>
          <w:tab w:leader="none" w:pos="21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1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Treasury Stock</w:t>
      </w:r>
      <w:r>
        <w:rPr>
          <w:rFonts w:ascii="Arial" w:cs="Arial" w:eastAsia="Arial" w:hAnsi="Arial"/>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Fixing Record Date; Action by Written Consent</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 (1) the record date for determining stockholders entitled to notice of or to vote at a meeting of stockholders shall be at the close of business on the day next preceding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day on which notice is given, or, if notice is waived, at the close of business on the day next preceding the day on which the meeting is held; and (2) the record date for determining stockholders for any other purpose (other than action by consent in writing without a meeting) shall be at the close of business on the day on which the Board of Directors adopts the resolution relating thereto.</w:t>
      </w:r>
    </w:p>
    <w:p>
      <w:pPr>
        <w:spacing w:after="0" w:line="140" w:lineRule="exact"/>
        <w:rPr>
          <w:sz w:val="20"/>
          <w:szCs w:val="20"/>
          <w:color w:val="auto"/>
        </w:rPr>
      </w:pPr>
    </w:p>
    <w:p>
      <w:pPr>
        <w:ind w:firstLine="464"/>
        <w:spacing w:after="0" w:line="285" w:lineRule="auto"/>
        <w:tabs>
          <w:tab w:leader="none" w:pos="70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10 day time period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of Directors pursuant to the first sentence of this Section 2.12(b), the record date for determining stockholders entitled to consent to corporate action in writing without a meeting if prior action by the Board of Directors is required by applicable law shall be at the close of business on the date on which the Board of Directors adopts the resolution taking such prior action.</w:t>
      </w:r>
    </w:p>
    <w:p>
      <w:pPr>
        <w:spacing w:after="0" w:line="128" w:lineRule="exact"/>
        <w:rPr>
          <w:rFonts w:ascii="Arial" w:cs="Arial" w:eastAsia="Arial" w:hAnsi="Arial"/>
          <w:sz w:val="16"/>
          <w:szCs w:val="16"/>
          <w:color w:val="auto"/>
        </w:rPr>
      </w:pPr>
    </w:p>
    <w:p>
      <w:pPr>
        <w:ind w:right="260" w:firstLine="464"/>
        <w:spacing w:after="0" w:line="287" w:lineRule="auto"/>
        <w:tabs>
          <w:tab w:leader="none" w:pos="695"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4" w:name="page15"/>
    <w:bookmarkEnd w:id="14"/>
    <w:p>
      <w:pPr>
        <w:jc w:val="both"/>
        <w:ind w:right="240" w:firstLine="464"/>
        <w:spacing w:after="0" w:line="256"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Every written consent shall bear the date of signature of each stockholder who signs the consent and no written consent shall be effective to take the corporate action referred to therein unless, within 60 days after the earliest dated written consent received in accordance with this Section 2.12, a valid written consent or valid written consents signed by a sufficient number of stockholders to take such action are delivered to the Corporation in the manner prescribed in this Section 2.12 and applicable law, and not revoked.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Stockholder Proposals</w:t>
      </w:r>
      <w:r>
        <w:rPr>
          <w:rFonts w:ascii="Arial" w:cs="Arial" w:eastAsia="Arial" w:hAnsi="Arial"/>
          <w:sz w:val="16"/>
          <w:szCs w:val="16"/>
          <w:color w:val="auto"/>
        </w:rPr>
        <w:t>. At an annual or special meeting of the stockholders, only such business (other than nominations of persons for election to the Board of Directors) shall be conducted as shall have been properly brought before the meeting. To be properly brought before an annual or special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 (b) 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or special meeting of stockholders pursuant to clause (c) above of this paragraph, the proposed business must constitute a proper matter for stockholder action.</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No proposal (other than nominations of persons for election to the Board of Directors) by a stockholder shall be presented at an annual or special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 (b) 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 w:name="page16"/>
    <w:bookmarkEnd w:id="1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(including the text of any resolutions proposed for consideration and in the event that such business includes a proposal to amend these by-laws, the language of the proposed amendment), (f) a statement in support of the proposal, (g) any material interest of the stockholder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 (2) 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timely, a stockholder’s notice (other than for the nominations of persons for election to the Board of Directors) with respect to a special meeting of stockholders must be delivered to or mailed and received at the principal executive offices of the Corporation, not less than 90 days nor more than 120 days prior to the meeting; provided, however, that in the event that less than 70 days’ notice or prior public announcement of the date of the meeting is given or made to stockholders, notice by the stockholder to be timely must be so received not later than the close of business on the fifth (5</w:t>
      </w:r>
      <w:r>
        <w:rPr>
          <w:rFonts w:ascii="Arial" w:cs="Arial" w:eastAsia="Arial" w:hAnsi="Arial"/>
          <w:sz w:val="10"/>
          <w:szCs w:val="10"/>
          <w:color w:val="auto"/>
        </w:rPr>
        <w:t>th</w:t>
      </w:r>
      <w:r>
        <w:rPr>
          <w:rFonts w:ascii="Arial" w:cs="Arial" w:eastAsia="Arial" w:hAnsi="Arial"/>
          <w:sz w:val="16"/>
          <w:szCs w:val="16"/>
          <w:color w:val="auto"/>
        </w:rPr>
        <w:t>) day following the day on which such notice of the date of the special meeting was mailed or such public announcement was made.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provision shall not prevent the consideration and approval or disapproval at a meeting of stockholders of reports of officers, directors, and committees; but in connection with such reports, no new business shall be acted upon at such meeting unless stated and filed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6" w:name="page17"/>
    <w:bookmarkEnd w:id="16"/>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in this Section 2.13. Notwithstanding anything in these by-laws to the contrary, no business (other than nominations of persons for election to the Board of Directors) shall be conducted at any annual or special meeting of stockholders except in accordance with the procedures set forth in this Section 2.13 and no nominations shall be considered at an annual or special meeting of stockholders except in accordance with Section 2.14 below. The chairman of the annual meeting or a special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or special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Nothing in this Section 2.13 shall be deemed to affect any rights of stockholders to request inclusion of proposals in the Corporation’s proxy statement pursuant to applicable rules and regulations promulgated under the Exchange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7" w:name="page18"/>
    <w:bookmarkEnd w:id="17"/>
    <w:p>
      <w:pPr>
        <w:ind w:firstLine="456"/>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2.14. </w:t>
      </w:r>
      <w:r>
        <w:rPr>
          <w:rFonts w:ascii="Arial" w:cs="Arial" w:eastAsia="Arial" w:hAnsi="Arial"/>
          <w:sz w:val="15"/>
          <w:szCs w:val="15"/>
          <w:u w:val="single" w:color="auto"/>
          <w:color w:val="auto"/>
        </w:rPr>
        <w:t>Nomination of Directors</w:t>
      </w:r>
      <w:r>
        <w:rPr>
          <w:rFonts w:ascii="Arial" w:cs="Arial" w:eastAsia="Arial" w:hAnsi="Arial"/>
          <w:sz w:val="15"/>
          <w:szCs w:val="15"/>
          <w:color w:val="auto"/>
        </w:rPr>
        <w:t>. Only persons who are nominated in accordance with the procedures of this Section 2.14 shall be eligible for election as directors. Subject to the rights of holders of any class or series of stock having a preference over the common stock as to dividends or upon liquidation, nominations for the election of directors may be made (a) pursuant to the Corporation’s notice of meeting (or any supplement thereto), (b) by or at the direction of the Board of Directors or any committee thereof, or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Such stockholder may nominate one or more persons for election as a director at an annual or special meeting of stockholders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108" w:lineRule="exact"/>
        <w:rPr>
          <w:sz w:val="20"/>
          <w:szCs w:val="20"/>
          <w:color w:val="auto"/>
        </w:rPr>
      </w:pPr>
    </w:p>
    <w:p>
      <w:pPr>
        <w:ind w:right="100" w:firstLine="456"/>
        <w:spacing w:after="0" w:line="301" w:lineRule="auto"/>
        <w:rPr>
          <w:sz w:val="20"/>
          <w:szCs w:val="20"/>
          <w:color w:val="auto"/>
        </w:rPr>
      </w:pPr>
      <w:r>
        <w:rPr>
          <w:rFonts w:ascii="Arial" w:cs="Arial" w:eastAsia="Arial" w:hAnsi="Arial"/>
          <w:sz w:val="15"/>
          <w:szCs w:val="15"/>
          <w:color w:val="auto"/>
        </w:rPr>
        <w:t>To be timely, a stockholder’s notice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Arial" w:cs="Arial" w:eastAsia="Arial" w:hAnsi="Arial"/>
          <w:sz w:val="10"/>
          <w:szCs w:val="10"/>
          <w:color w:val="auto"/>
        </w:rPr>
        <w:t>th</w:t>
      </w:r>
      <w:r>
        <w:rPr>
          <w:rFonts w:ascii="Arial" w:cs="Arial" w:eastAsia="Arial" w:hAnsi="Arial"/>
          <w:sz w:val="15"/>
          <w:szCs w:val="15"/>
          <w:color w:val="auto"/>
        </w:rPr>
        <w:t xml:space="preserve"> day prior to such annual meeting or the 10</w:t>
      </w:r>
      <w:r>
        <w:rPr>
          <w:rFonts w:ascii="Arial" w:cs="Arial" w:eastAsia="Arial" w:hAnsi="Arial"/>
          <w:sz w:val="10"/>
          <w:szCs w:val="10"/>
          <w:color w:val="auto"/>
        </w:rPr>
        <w:t>th</w:t>
      </w:r>
      <w:r>
        <w:rPr>
          <w:rFonts w:ascii="Arial" w:cs="Arial" w:eastAsia="Arial" w:hAnsi="Arial"/>
          <w:sz w:val="15"/>
          <w:szCs w:val="15"/>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 (ii) such person’s written consent to being named in the proxy statement as a nominee and to serving as a director if elected; and (b) as to the stockholder giving the notice and the beneficial owner, if any, on whose behalf the nomination is made (i) the name and address of such stockholder, as they appear on the Corporation’s books, and of such beneficial owner,</w:t>
      </w:r>
    </w:p>
    <w:p>
      <w:pPr>
        <w:spacing w:after="0" w:line="4" w:lineRule="exact"/>
        <w:rPr>
          <w:sz w:val="20"/>
          <w:szCs w:val="20"/>
          <w:color w:val="auto"/>
        </w:rPr>
      </w:pPr>
    </w:p>
    <w:p>
      <w:pPr>
        <w:ind w:right="20" w:firstLine="8"/>
        <w:spacing w:after="0" w:line="287" w:lineRule="auto"/>
        <w:tabs>
          <w:tab w:leader="none" w:pos="2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including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8" w:name="page19"/>
    <w:bookmarkEnd w:id="1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is a holder of record of stock of the Corporation entitled to vote at such meeting and intends to appear in person or by proxy at the meeting to propose such nomination, (vi) a representation whether the stockholder or the beneficial owner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The Corporation may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is increased effective after the time period for which nominations would otherwise be due under this Section 2.14 and there is no public announcement by the Corporation naming the nominees for the additional directorships at least one hundred (100)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 the Corporation not later than the close of business on the tenth (10</w:t>
      </w:r>
      <w:r>
        <w:rPr>
          <w:rFonts w:ascii="Arial" w:cs="Arial" w:eastAsia="Arial" w:hAnsi="Arial"/>
          <w:sz w:val="10"/>
          <w:szCs w:val="10"/>
          <w:color w:val="auto"/>
        </w:rPr>
        <w:t>th</w:t>
      </w:r>
      <w:r>
        <w:rPr>
          <w:rFonts w:ascii="Arial" w:cs="Arial" w:eastAsia="Arial" w:hAnsi="Arial"/>
          <w:sz w:val="16"/>
          <w:szCs w:val="16"/>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12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 procedures set forth in this Section 2.14.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2.14 shall be delivered to the Secretary at the principal executive offices of the Corporation not earlier than the close of business on the one hundred fiftieth (150</w:t>
      </w:r>
      <w:r>
        <w:rPr>
          <w:rFonts w:ascii="Arial" w:cs="Arial" w:eastAsia="Arial" w:hAnsi="Arial"/>
          <w:sz w:val="10"/>
          <w:szCs w:val="10"/>
          <w:color w:val="auto"/>
        </w:rPr>
        <w:t>th</w:t>
      </w:r>
      <w:r>
        <w:rPr>
          <w:rFonts w:ascii="Arial" w:cs="Arial" w:eastAsia="Arial" w:hAnsi="Arial"/>
          <w:sz w:val="16"/>
          <w:szCs w:val="16"/>
          <w:color w:val="auto"/>
        </w:rPr>
        <w:t>) day prior to such special meeting and not later than the close of business on the later of the one hundred twentieth (120</w:t>
      </w:r>
      <w:r>
        <w:rPr>
          <w:rFonts w:ascii="Arial" w:cs="Arial" w:eastAsia="Arial" w:hAnsi="Arial"/>
          <w:sz w:val="10"/>
          <w:szCs w:val="10"/>
          <w:color w:val="auto"/>
        </w:rPr>
        <w:t>th</w:t>
      </w:r>
      <w:r>
        <w:rPr>
          <w:rFonts w:ascii="Arial" w:cs="Arial" w:eastAsia="Arial" w:hAnsi="Arial"/>
          <w:sz w:val="16"/>
          <w:szCs w:val="16"/>
          <w:color w:val="auto"/>
        </w:rPr>
        <w:t>) day prior to such special meeting, or the tenth (10</w:t>
      </w:r>
      <w:r>
        <w:rPr>
          <w:rFonts w:ascii="Arial" w:cs="Arial" w:eastAsia="Arial" w:hAnsi="Arial"/>
          <w:sz w:val="10"/>
          <w:szCs w:val="10"/>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80" w:right="279" w:bottom="1440" w:gutter="0" w:footer="0" w:header="0"/>
        </w:sectPr>
      </w:pPr>
    </w:p>
    <w:bookmarkStart w:id="19" w:name="page20"/>
    <w:bookmarkEnd w:id="19"/>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Only such persons who are nominated in accordance with the procedures set forth in this Section 2.14 shall be eligible to be elected at an annual or special meeting of stockholders of the Corporation to serve as directors.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Except as otherwise provided by law, the chairman of the meeting shall have the power and duty (a) to determine whether a nomination brought before the meeting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2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BOARD OF DIRECTORS</w:t>
      </w:r>
    </w:p>
    <w:p>
      <w:pPr>
        <w:spacing w:after="0" w:line="171"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20" w:name="page21"/>
    <w:bookmarkEnd w:id="20"/>
    <w:p>
      <w:pPr>
        <w:ind w:right="2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3.2. </w:t>
      </w:r>
      <w:r>
        <w:rPr>
          <w:rFonts w:ascii="Arial" w:cs="Arial" w:eastAsia="Arial" w:hAnsi="Arial"/>
          <w:sz w:val="16"/>
          <w:szCs w:val="16"/>
          <w:u w:val="single" w:color="auto"/>
          <w:color w:val="auto"/>
        </w:rPr>
        <w:t>Number, Election and Term</w:t>
      </w:r>
      <w:r>
        <w:rPr>
          <w:rFonts w:ascii="Arial" w:cs="Arial" w:eastAsia="Arial" w:hAnsi="Arial"/>
          <w:sz w:val="16"/>
          <w:szCs w:val="16"/>
          <w:color w:val="auto"/>
        </w:rPr>
        <w:t>. Except as otherwise provided in the Certificate of Incorporation relating to the rights of the holders of any class or series of Preferred 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director, other than those who may be elected by the holders of any class or series of Preferred Stock, voting separately by class or series, shall be elected by the vote of the majority of the votes cast with respect to the director’s election at any meeting for the election of directors at which a quorum is present, provided that if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an incumbent director fails to receive a majority of the votes cast in an election where the number of nominees does not exceed the number of directors to be elected, such director shall tender his or her resignation to the Board contingent on acceptance of such resignation by the Board. The Nominating and Governance Committee will make a recommendation to the Board on whether to accept or reject the resignation, or whether other action should be taken. The Board will act on the resignation, taking into account the Committee’s recommendation, and publicly disclose its decision and the rationale behind it within 90 days from the date of the certification of the election results. The director who tenders his or her resignation will not participate in the Committee’s recommendation or the Board’s decision with respect to such resignation.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12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Vacancies, Additional Directors and Removal From Office</w:t>
      </w:r>
      <w:r>
        <w:rPr>
          <w:rFonts w:ascii="Arial" w:cs="Arial" w:eastAsia="Arial" w:hAnsi="Arial"/>
          <w:sz w:val="16"/>
          <w:szCs w:val="16"/>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 filled solely by the vote of a majority of the remaining members of the Board of Directors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21" w:name="page22"/>
    <w:bookmarkEnd w:id="21"/>
    <w:p>
      <w:pPr>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07"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Regular Meeting</w:t>
      </w:r>
      <w:r>
        <w:rPr>
          <w:rFonts w:ascii="Arial" w:cs="Arial" w:eastAsia="Arial" w:hAnsi="Arial"/>
          <w:sz w:val="16"/>
          <w:szCs w:val="16"/>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Special Meeting</w:t>
      </w:r>
      <w:r>
        <w:rPr>
          <w:rFonts w:ascii="Arial" w:cs="Arial" w:eastAsia="Arial" w:hAnsi="Arial"/>
          <w:sz w:val="16"/>
          <w:szCs w:val="16"/>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Notice of Special Meeting</w:t>
      </w:r>
      <w:r>
        <w:rPr>
          <w:rFonts w:ascii="Arial" w:cs="Arial" w:eastAsia="Arial" w:hAnsi="Arial"/>
          <w:sz w:val="16"/>
          <w:szCs w:val="16"/>
          <w:color w:val="auto"/>
        </w:rPr>
        <w:t>. Notice of special meetings of the Board of Directors shall be given to each director at least 24 hours prior to the time of such meeting by mail, personal delivery, facsimile, telephone or other means of electronic communication. Any director may waive notice of any meeting, whether before or after the time specified therein. The attendance of a director at any meeting shall constitute a waiver of notice of such meeting, except where a director attends a meeting for the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3.7. </w:t>
      </w:r>
      <w:r>
        <w:rPr>
          <w:rFonts w:ascii="Arial" w:cs="Arial" w:eastAsia="Arial" w:hAnsi="Arial"/>
          <w:sz w:val="16"/>
          <w:szCs w:val="16"/>
          <w:u w:val="single" w:color="auto"/>
          <w:color w:val="auto"/>
        </w:rPr>
        <w:t>Place of Meetings; Order of Business</w:t>
      </w:r>
      <w:r>
        <w:rPr>
          <w:rFonts w:ascii="Arial" w:cs="Arial" w:eastAsia="Arial" w:hAnsi="Arial"/>
          <w:sz w:val="16"/>
          <w:szCs w:val="16"/>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1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Quorum and Participation; Telephonic Meeting</w:t>
      </w:r>
      <w:r>
        <w:rPr>
          <w:rFonts w:ascii="Arial" w:cs="Arial" w:eastAsia="Arial" w:hAnsi="Arial"/>
          <w:sz w:val="16"/>
          <w:szCs w:val="16"/>
          <w:color w:val="auto"/>
        </w:rPr>
        <w:t>. A majority of the Board of Directors shall constitute a quorum for the transaction of business at any meeting of the Board of Directors, and the act of a majority of the directors present at any meeting at which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22" w:name="page23"/>
    <w:bookmarkEnd w:id="22"/>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Members of the Board of Directors, or any committee designated by the Board of Directors, may participate in a meeting of the Board of Directors or such committee, as the case may be, by means of conference telephone or similar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at the beginning of the meeting, to the transaction of any business on the ground that the meeting is not lawfully called or convened.</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Presumption of Assent</w:t>
      </w:r>
      <w:r>
        <w:rPr>
          <w:rFonts w:ascii="Arial" w:cs="Arial" w:eastAsia="Arial" w:hAnsi="Arial"/>
          <w:sz w:val="16"/>
          <w:szCs w:val="16"/>
          <w:color w:val="auto"/>
        </w:rPr>
        <w:t>. A director who is present at a meeting of the Board of Directors at which action on any corporate matter is taken shall be presumed to have assented to the action unless (i) he objects at the beginning of the meeting to the transaction of any business on the ground that the meeting is not lawfully called or convened, (ii) his dissent shall be entered in the minutes of the meeting or (iii) he shall file his written dissent to such action with the person acting as secretary of the meeting before the adjournment thereof. Such right to dissent shall not apply to a director who voted in favor of such action.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Action By Unanimous Consent of Directors</w:t>
      </w:r>
      <w:r>
        <w:rPr>
          <w:rFonts w:ascii="Arial" w:cs="Arial" w:eastAsia="Arial" w:hAnsi="Arial"/>
          <w:sz w:val="16"/>
          <w:szCs w:val="16"/>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Compensation</w:t>
      </w:r>
      <w:r>
        <w:rPr>
          <w:rFonts w:ascii="Arial" w:cs="Arial" w:eastAsia="Arial" w:hAnsi="Arial"/>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Approval, Adoption or Ratification of Acts or Agreements by Stockholders</w:t>
      </w:r>
      <w:r>
        <w:rPr>
          <w:rFonts w:ascii="Arial" w:cs="Arial" w:eastAsia="Arial" w:hAnsi="Arial"/>
          <w:sz w:val="18"/>
          <w:szCs w:val="18"/>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shall be approved, adopted or ratified by the vote of the stockholders holding a majority in voting power of the issued and outstanding shares of stock of the Corporation entitled to vote and present in person or by proxy at such meeting (provided that a quorum is present), shall be as valid and as binding upon the Corporation and upon all the stockholders as if it has been approved, adopted or ratified by every stockholder of the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3" w:name="page24"/>
    <w:bookmarkEnd w:id="23"/>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and such consent shall be as valid and as binding upon the Corporation and upon all the stockholders as if it had been approved or ratified by every stockholder of the Corporation.</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COMMITTEES OF DIRECTORS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Designation, Powers and Name</w:t>
      </w:r>
      <w:r>
        <w:rPr>
          <w:rFonts w:ascii="Arial" w:cs="Arial" w:eastAsia="Arial" w:hAnsi="Arial"/>
          <w:sz w:val="16"/>
          <w:szCs w:val="16"/>
          <w:color w:val="auto"/>
        </w:rPr>
        <w:t>.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12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Procedure; Meetings; Quorum</w:t>
      </w:r>
      <w:r>
        <w:rPr>
          <w:rFonts w:ascii="Arial" w:cs="Arial" w:eastAsia="Arial" w:hAnsi="Arial"/>
          <w:sz w:val="18"/>
          <w:szCs w:val="18"/>
          <w:color w:val="auto"/>
        </w:rPr>
        <w:t>. Any committee designated pursuant to Section 4.1 shall keep regular minutes of its proceedings and report the same to the Board of Directors when requested, shall fix its own rules or procedures to the extent not otherwise set forth in the Charter or resolution with respect to such committee adopted by the Board of Directors, and shall meet at such times and at such place or places as may be provided by such rules, by the Charter for such committee adopted by the Board of Directors, or by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4" w:name="page25"/>
    <w:bookmarkEnd w:id="24"/>
    <w:p>
      <w:pPr>
        <w:ind w:right="3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w:t>
      </w:r>
    </w:p>
    <w:p>
      <w:pPr>
        <w:spacing w:after="0" w:line="85"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Compensation</w:t>
      </w:r>
      <w:r>
        <w:rPr>
          <w:rFonts w:ascii="Arial" w:cs="Arial" w:eastAsia="Arial" w:hAnsi="Arial"/>
          <w:sz w:val="16"/>
          <w:szCs w:val="16"/>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WAIVER OF NOTICE</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Methods of Giving Notice</w:t>
      </w:r>
      <w:r>
        <w:rPr>
          <w:rFonts w:ascii="Arial" w:cs="Arial" w:eastAsia="Arial" w:hAnsi="Arial"/>
          <w:sz w:val="16"/>
          <w:szCs w:val="16"/>
          <w:color w:val="auto"/>
        </w:rPr>
        <w:t>. Except as otherwise provided herein,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In the case of notice given by electronic or facsimile transmission, such notice shall be deemed to have been given on the date such transmission is sent or as otherwise determined in accordance with applicable law.</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Written Waiver</w:t>
      </w:r>
      <w:r>
        <w:rPr>
          <w:rFonts w:ascii="Arial" w:cs="Arial" w:eastAsia="Arial" w:hAnsi="Arial"/>
          <w:sz w:val="16"/>
          <w:szCs w:val="16"/>
          <w:color w:val="auto"/>
        </w:rPr>
        <w:t>. Whenever any notice is required to be given under the Certificate of Incorporation, these by-laws or applicable law, a waiver thereof in writing, signed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written waiver of notice unless so required by the Certificate of Incorporation or these by-laws.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OFFICERS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Officers</w:t>
      </w:r>
      <w:r>
        <w:rPr>
          <w:rFonts w:ascii="Arial" w:cs="Arial" w:eastAsia="Arial" w:hAnsi="Arial"/>
          <w:sz w:val="16"/>
          <w:szCs w:val="16"/>
          <w:color w:val="auto"/>
        </w:rPr>
        <w:t>. The Board of Directors shall elect such officers of the Corporation with the titles and duties that it designates. The Chairman of the Board, and any Vice Chairmen of the Board, may, but need not, be officers of the Corporation or employed in an 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Chief Accounting Officer,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12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Term of Office</w:t>
      </w:r>
      <w:r>
        <w:rPr>
          <w:rFonts w:ascii="Arial" w:cs="Arial" w:eastAsia="Arial" w:hAnsi="Arial"/>
          <w:sz w:val="18"/>
          <w:szCs w:val="18"/>
          <w:color w:val="auto"/>
        </w:rPr>
        <w:t>. Each officer shall hold office until his successor shall have been chosen and shall have qualified or until his death or the effective date of his resignation or removal.</w:t>
      </w:r>
    </w:p>
    <w:p>
      <w:pPr>
        <w:spacing w:after="0" w:line="132"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Removal and Resignation</w:t>
      </w:r>
      <w:r>
        <w:rPr>
          <w:rFonts w:ascii="Arial" w:cs="Arial" w:eastAsia="Arial" w:hAnsi="Arial"/>
          <w:sz w:val="16"/>
          <w:szCs w:val="16"/>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but such resignation shall be without prejudice to the contractual rights, if any, of the person so removed. Any such resignation shall take effect at the date of the receipt of such notice or at any later time specified therein, and unless otherwise specified therein, the acceptance of such resignation shall not be necessary to make it effective.</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any office of the Corporation by death, resignation, removal or otherwise, may be filled solely by the Board of Directors for the unexpired portion of the term.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6" w:name="page27"/>
    <w:bookmarkEnd w:id="26"/>
    <w:p>
      <w:pPr>
        <w:ind w:right="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6.5.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of the Corporation’s executive officers (as determined in accordance with the Securities Exchange Act of 1934, as amended) and all members of the Corporation’s Senior Leadership Team or other designated group of officers elected or appointed by the Board of Directors shall be fixed by the Management Development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any,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6.7. </w:t>
      </w:r>
      <w:r>
        <w:rPr>
          <w:rFonts w:ascii="Arial" w:cs="Arial" w:eastAsia="Arial" w:hAnsi="Arial"/>
          <w:sz w:val="16"/>
          <w:szCs w:val="16"/>
          <w:u w:val="single" w:color="auto"/>
          <w:color w:val="auto"/>
        </w:rPr>
        <w:t>Substitute for Chairman of the Board</w:t>
      </w:r>
      <w:r>
        <w:rPr>
          <w:rFonts w:ascii="Arial" w:cs="Arial" w:eastAsia="Arial" w:hAnsi="Arial"/>
          <w:sz w:val="16"/>
          <w:szCs w:val="16"/>
          <w:color w:val="auto"/>
        </w:rPr>
        <w:t>. In the absence of the Chairman of the Board, or in the event of his inability or refusal to act, the Chairman of the Nominating and Governance Committee will preside and shall perform the duties and exercise the powers of the Chairman of the Board, and when acting shall have all the powers of and be subject to all the restriction upon the Chairman of the Board. If both the Chairman of the Board and the Chairman of the Nominating and Governance Committee are absent or unable to act as chairman, a chairman shall be elected from the directors present.</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any Vice Chairman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the President, General Counsel, Chief Financial Officer, Chief Accounting Officer or Vice President of Internal Audit without the approval of the Board of Directors.</w:t>
      </w:r>
    </w:p>
    <w:p>
      <w:pPr>
        <w:spacing w:after="0" w:line="12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stockholders, the Board of Directors or the Executive Committee (if any) from time to time.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7" w:name="page28"/>
    <w:bookmarkEnd w:id="27"/>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6.9. </w:t>
      </w:r>
      <w:r>
        <w:rPr>
          <w:rFonts w:ascii="Arial" w:cs="Arial" w:eastAsia="Arial" w:hAnsi="Arial"/>
          <w:sz w:val="16"/>
          <w:szCs w:val="16"/>
          <w:u w:val="single" w:color="auto"/>
          <w:color w:val="auto"/>
        </w:rPr>
        <w:t>President</w:t>
      </w:r>
      <w:r>
        <w:rPr>
          <w:rFonts w:ascii="Arial" w:cs="Arial" w:eastAsia="Arial" w:hAnsi="Arial"/>
          <w:sz w:val="16"/>
          <w:szCs w:val="16"/>
          <w:color w:val="auto"/>
        </w:rPr>
        <w:t>. The Board of Directors may appoint a President who shall serve subject to the control of the Chief Executive Officer and the Board of Directors. In the absence of the Chief Executive Officer, or in the event of his inability or refusal to act, the President shall perform the duties and exercise the powers of the Chief Executive Officer. 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the General Counsel, Chief Financial Officer, Chief Accounting Officer or Vice President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may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12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Chief Financial Officer</w:t>
      </w:r>
      <w:r>
        <w:rPr>
          <w:rFonts w:ascii="Arial" w:cs="Arial" w:eastAsia="Arial" w:hAnsi="Arial"/>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Vice Presidents</w:t>
      </w:r>
      <w:r>
        <w:rPr>
          <w:rFonts w:ascii="Arial" w:cs="Arial" w:eastAsia="Arial" w:hAnsi="Arial"/>
          <w:sz w:val="18"/>
          <w:szCs w:val="18"/>
          <w:color w:val="auto"/>
        </w:rPr>
        <w:t>. The Board of Directors may appoint such Vice Presidents, including Executive or Senior Vice Presidents, as it may determine to be in the best interests of the Corporation. Any Vice President may sign, with the Secretary or Assistant Secretary,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Chief Operating Officer, the Board of Directors, or the Executive Committee (if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8" w:name="page29"/>
    <w:bookmarkEnd w:id="28"/>
    <w:p>
      <w:pPr>
        <w:ind w:right="4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may also designate the President or any Vice President as Chief Operating Officer of the Corporation. The Chief Operating Officer, subject to the control of the Chief Executive Officer, the President, and the Board of Directors, shall in general manage, supervise and control the properties, business and day-to-day affairs of the Corporation with all such powers as may be reasonably incident to such responsibilities and shall have such other powers and perform such other duties as may be prescribed by these by-laws, or by the Chief Executive Officer, the President, the Board of Directors, or the Executive Committee (if any) from time to time. Unless the Board of Directors otherwise determines, the Chief Operating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Chief Operating Officer shall keep the Board of Directors, the Executive Committee (if any), the President, and the Chief Executive Officer fully informed and shall consult them concerning the business of the Corporation. He may vote, or give a proxy to any other officer of the Corporation to vote, all shares of stock of any other corporation standing in the name of the Corporation and shall exercise any and all rights and powers which this Corporation may possess by reason of its ownership of securities in such other corporation; provided that the Board of Directors may from time to time, by resolution, confer like powers upon any other person or persons.</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General Counsel</w:t>
      </w:r>
      <w:r>
        <w:rPr>
          <w:rFonts w:ascii="Arial" w:cs="Arial" w:eastAsia="Arial" w:hAnsi="Arial"/>
          <w:sz w:val="18"/>
          <w:szCs w:val="18"/>
          <w:color w:val="auto"/>
        </w:rPr>
        <w:t>. The General Counsel shall be the chief legal advisor of the Corporation and shall have responsibility for the management of the legal affairs and litigation of the Corporation; and, in general, he shall perform the duties incident to the office of general counsel of a corporation and such other duties as may be assigned to him by these by-laws or by the Chief Executive Officer, the President, the Board of Directors, or the Executive Committee (if any).</w:t>
      </w:r>
    </w:p>
    <w:p>
      <w:pPr>
        <w:spacing w:after="0" w:line="14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have authority to sign with the Chairman of the Board, the President, or any Vice President,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9" w:name="page30"/>
    <w:bookmarkEnd w:id="29"/>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6.14. </w:t>
      </w:r>
      <w:r>
        <w:rPr>
          <w:rFonts w:ascii="Arial" w:cs="Arial" w:eastAsia="Arial" w:hAnsi="Arial"/>
          <w:sz w:val="16"/>
          <w:szCs w:val="16"/>
          <w:u w:val="single" w:color="auto"/>
          <w:color w:val="auto"/>
        </w:rPr>
        <w:t>Chief Accounting Officer</w:t>
      </w:r>
      <w:r>
        <w:rPr>
          <w:rFonts w:ascii="Arial" w:cs="Arial" w:eastAsia="Arial" w:hAnsi="Arial"/>
          <w:sz w:val="16"/>
          <w:szCs w:val="16"/>
          <w:color w:val="auto"/>
        </w:rPr>
        <w:t>. The Chief Accounting Officer shall be the principal accounting officer of the Corporation and may also be the controller of the Corporation. He shall keep full and accurate accounts of the assets, liabilities, commitments, receipts, disbursements and other financial transactions of the Corporation; shall cause regular 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6.16. </w:t>
      </w:r>
      <w:r>
        <w:rPr>
          <w:rFonts w:ascii="Arial" w:cs="Arial" w:eastAsia="Arial" w:hAnsi="Arial"/>
          <w:sz w:val="16"/>
          <w:szCs w:val="16"/>
          <w:u w:val="single" w:color="auto"/>
          <w:color w:val="auto"/>
        </w:rPr>
        <w:t>Assistant Secretary, Assistant Treasurer or Assistant Controller</w:t>
      </w:r>
      <w:r>
        <w:rPr>
          <w:rFonts w:ascii="Arial" w:cs="Arial" w:eastAsia="Arial" w:hAnsi="Arial"/>
          <w:sz w:val="16"/>
          <w:szCs w:val="16"/>
          <w:color w:val="auto"/>
        </w:rPr>
        <w:t>. The Assistant Secretaries, Assistant Treasurers and Assistant Controllers shall, in general, perform such duties and have such powers as shall be assigned to them by the Secretary, the Treasurer or the Chief Accounting Officer,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may sign, with the Chairman of the Board, the President or a Vice President,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80" w:right="2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CONTRACTS, CHECKS AND DEPOSITS</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Contracts</w:t>
      </w:r>
      <w:r>
        <w:rPr>
          <w:rFonts w:ascii="Arial" w:cs="Arial" w:eastAsia="Arial" w:hAnsi="Arial"/>
          <w:sz w:val="16"/>
          <w:szCs w:val="16"/>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the Chief Operating Officer, or the President or, if designated by the Board of Directors the Chief Executive Officer, the Chief Operating Officer, or the President, then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Checks, Etc.</w:t>
      </w:r>
      <w:r>
        <w:rPr>
          <w:rFonts w:ascii="Arial" w:cs="Arial" w:eastAsia="Arial" w:hAnsi="Arial"/>
          <w:sz w:val="18"/>
          <w:szCs w:val="18"/>
          <w:color w:val="auto"/>
        </w:rPr>
        <w:t xml:space="preserve">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Deposits</w:t>
      </w:r>
      <w:r>
        <w:rPr>
          <w:rFonts w:ascii="Arial" w:cs="Arial" w:eastAsia="Arial" w:hAnsi="Arial"/>
          <w:sz w:val="16"/>
          <w:szCs w:val="16"/>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11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 xml:space="preserve">SECTION 7.4. </w:t>
      </w:r>
      <w:r>
        <w:rPr>
          <w:rFonts w:ascii="Arial" w:cs="Arial" w:eastAsia="Arial" w:hAnsi="Arial"/>
          <w:sz w:val="15"/>
          <w:szCs w:val="15"/>
          <w:u w:val="single" w:color="auto"/>
          <w:color w:val="auto"/>
        </w:rPr>
        <w:t>Loans</w:t>
      </w:r>
      <w:r>
        <w:rPr>
          <w:rFonts w:ascii="Arial" w:cs="Arial" w:eastAsia="Arial" w:hAnsi="Arial"/>
          <w:sz w:val="15"/>
          <w:szCs w:val="15"/>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CERTIFICATES OF STOCK</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Issuance</w:t>
      </w:r>
      <w:r>
        <w:rPr>
          <w:rFonts w:ascii="Arial" w:cs="Arial" w:eastAsia="Arial" w:hAnsi="Arial"/>
          <w:sz w:val="16"/>
          <w:szCs w:val="16"/>
          <w:color w:val="auto"/>
        </w:rPr>
        <w:t>. The shares of the Corporation shall be represented by certificates or, if provided by the Board of Directors by resolution or resolutions, shall be uncertificated shares evidenced by a book-entry system maintained by the registrar of such stock, or a combination of both. Every holder of stock represented by certificates shall be entitled to a certificate signed by, or in the name of the Corporation by, the Chairman or Vice Chairman of the Board of Directors, or the President or Vice-President, and by the Treasurer or an Assistant Treasurer, or the Secretary and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officers identified in this Section 8.1.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2" w:name="page33"/>
    <w:bookmarkEnd w:id="32"/>
    <w:p>
      <w:pPr>
        <w:ind w:right="24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Lost, Stolen or Destroyed; Issuance of New Certificates</w:t>
      </w:r>
      <w:r>
        <w:rPr>
          <w:rFonts w:ascii="Arial" w:cs="Arial" w:eastAsia="Arial" w:hAnsi="Arial"/>
          <w:sz w:val="16"/>
          <w:szCs w:val="16"/>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118"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Transfers</w:t>
      </w:r>
      <w:r>
        <w:rPr>
          <w:rFonts w:ascii="Arial" w:cs="Arial" w:eastAsia="Arial" w:hAnsi="Arial"/>
          <w:sz w:val="16"/>
          <w:szCs w:val="16"/>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Registered Stockholders</w:t>
      </w:r>
      <w:r>
        <w:rPr>
          <w:rFonts w:ascii="Arial" w:cs="Arial" w:eastAsia="Arial" w:hAnsi="Arial"/>
          <w:sz w:val="16"/>
          <w:szCs w:val="16"/>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0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8.5. </w:t>
      </w:r>
      <w:r>
        <w:rPr>
          <w:rFonts w:ascii="Arial" w:cs="Arial" w:eastAsia="Arial" w:hAnsi="Arial"/>
          <w:sz w:val="18"/>
          <w:szCs w:val="18"/>
          <w:u w:val="single" w:color="auto"/>
          <w:color w:val="auto"/>
        </w:rPr>
        <w:t>Regulations Regarding Certificates</w:t>
      </w:r>
      <w:r>
        <w:rPr>
          <w:rFonts w:ascii="Arial" w:cs="Arial" w:eastAsia="Arial" w:hAnsi="Arial"/>
          <w:sz w:val="18"/>
          <w:szCs w:val="18"/>
          <w:color w:val="auto"/>
        </w:rPr>
        <w:t>. Subject to the requirements of applicable law,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33" w:name="page34"/>
    <w:bookmarkEnd w:id="33"/>
    <w:p>
      <w:pPr>
        <w:ind w:left="52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IX</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DIVIDENDS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Declaration</w:t>
      </w:r>
      <w:r>
        <w:rPr>
          <w:rFonts w:ascii="Arial" w:cs="Arial" w:eastAsia="Arial" w:hAnsi="Arial"/>
          <w:sz w:val="16"/>
          <w:szCs w:val="16"/>
          <w:color w:val="auto"/>
        </w:rPr>
        <w:t>. Dividends upon the capital stock of the Corporation, subject to the provisions of the Certificate of Incorporation, if any, may be declared by the Board of Directors at any regular or special meeting, pursuant to and in accordance with applicable law. Dividends may be paid in the form of cash, in property or in shares of capital stock, subject to the provisions of the Certificate of Incorporation.</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SECTION 9.2. </w:t>
      </w:r>
      <w:r>
        <w:rPr>
          <w:rFonts w:ascii="Arial" w:cs="Arial" w:eastAsia="Arial" w:hAnsi="Arial"/>
          <w:sz w:val="16"/>
          <w:szCs w:val="16"/>
          <w:u w:val="single" w:color="auto"/>
          <w:color w:val="auto"/>
        </w:rPr>
        <w:t>Reserve</w:t>
      </w:r>
      <w:r>
        <w:rPr>
          <w:rFonts w:ascii="Arial" w:cs="Arial" w:eastAsia="Arial" w:hAnsi="Arial"/>
          <w:sz w:val="16"/>
          <w:szCs w:val="16"/>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INDEMNIFICATION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Third Party Actions</w:t>
      </w:r>
      <w:r>
        <w:rPr>
          <w:rFonts w:ascii="Arial" w:cs="Arial" w:eastAsia="Arial" w:hAnsi="Arial"/>
          <w:sz w:val="16"/>
          <w:szCs w:val="16"/>
          <w:color w:val="auto"/>
        </w:rPr>
        <w:t>. This Corporation shall, to the maximum extent permitted from time to time under the law of the State of Delaware as it presently exists or may hereafter be amended,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Prior to receiving any advance of expenses, such person must execute an undertaking providing that he or she undertakes to repay the advance to the extent that it is ultimately determined that he or she is not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4" w:name="page35"/>
    <w:bookmarkEnd w:id="34"/>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Actions By or in the Right of the Corporation</w:t>
      </w:r>
      <w:r>
        <w:rPr>
          <w:rFonts w:ascii="Arial" w:cs="Arial" w:eastAsia="Arial" w:hAnsi="Arial"/>
          <w:sz w:val="16"/>
          <w:szCs w:val="16"/>
          <w:color w:val="auto"/>
        </w:rPr>
        <w:t>. This Corporation shall, to the maximum extent permitted from time to time under the law of the State of Delaware as it presently exists or may hereafter by amended, indemnify and upon request shall advance expenses to any person who was or is a party or is threatened to be made a party to any 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2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Successful Defense</w:t>
      </w:r>
      <w:r>
        <w:rPr>
          <w:rFonts w:ascii="Arial" w:cs="Arial" w:eastAsia="Arial" w:hAnsi="Arial"/>
          <w:sz w:val="18"/>
          <w:szCs w:val="18"/>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4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Claims</w:t>
      </w:r>
      <w:r>
        <w:rPr>
          <w:rFonts w:ascii="Arial" w:cs="Arial" w:eastAsia="Arial" w:hAnsi="Arial"/>
          <w:sz w:val="16"/>
          <w:szCs w:val="16"/>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thereupon (but not before) file suit to recover the unpaid amount of such claim and, if successful in whole or in part, shall be entitled to be paid the expense of prosecuting such claim to the maximum extent permitted by law. In any such action the Corporation shall have the burden of proving that such indemnitee is not entitled to the requested indemnification or advancement of expenses under applicable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5" w:name="page36"/>
    <w:bookmarkEnd w:id="35"/>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10.5.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14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Survival; Preservation of Other Rights</w:t>
      </w:r>
      <w:r>
        <w:rPr>
          <w:rFonts w:ascii="Arial" w:cs="Arial" w:eastAsia="Arial" w:hAnsi="Arial"/>
          <w:sz w:val="16"/>
          <w:szCs w:val="16"/>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provision of the Certificate of Incorporation, statutes,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12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SECTION 10.8. </w:t>
      </w:r>
      <w:r>
        <w:rPr>
          <w:rFonts w:ascii="Arial" w:cs="Arial" w:eastAsia="Arial" w:hAnsi="Arial"/>
          <w:sz w:val="16"/>
          <w:szCs w:val="16"/>
          <w:u w:val="single" w:color="auto"/>
          <w:color w:val="auto"/>
        </w:rPr>
        <w:t>Amendment or Repeal</w:t>
      </w:r>
      <w:r>
        <w:rPr>
          <w:rFonts w:ascii="Arial" w:cs="Arial" w:eastAsia="Arial" w:hAnsi="Arial"/>
          <w:sz w:val="16"/>
          <w:szCs w:val="16"/>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36" w:name="page37"/>
    <w:bookmarkEnd w:id="36"/>
    <w:p>
      <w:pPr>
        <w:ind w:right="2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10.9. </w:t>
      </w:r>
      <w:r>
        <w:rPr>
          <w:rFonts w:ascii="Arial" w:cs="Arial" w:eastAsia="Arial" w:hAnsi="Arial"/>
          <w:sz w:val="16"/>
          <w:szCs w:val="16"/>
          <w:u w:val="single" w:color="auto"/>
          <w:color w:val="auto"/>
        </w:rPr>
        <w:t>Other Sources</w:t>
      </w:r>
      <w:r>
        <w:rPr>
          <w:rFonts w:ascii="Arial" w:cs="Arial" w:eastAsia="Arial" w:hAnsi="Arial"/>
          <w:sz w:val="16"/>
          <w:szCs w:val="16"/>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u w:val="single" w:color="auto"/>
          <w:color w:val="auto"/>
        </w:rPr>
        <w:t>Other Indemnification and Advancement of Expenses</w:t>
      </w:r>
      <w:r>
        <w:rPr>
          <w:rFonts w:ascii="Arial" w:cs="Arial" w:eastAsia="Arial" w:hAnsi="Arial"/>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11.2. </w:t>
      </w:r>
      <w:r>
        <w:rPr>
          <w:rFonts w:ascii="Arial" w:cs="Arial" w:eastAsia="Arial" w:hAnsi="Arial"/>
          <w:sz w:val="18"/>
          <w:szCs w:val="18"/>
          <w:u w:val="single" w:color="auto"/>
          <w:color w:val="auto"/>
        </w:rPr>
        <w:t>Books</w:t>
      </w:r>
      <w:r>
        <w:rPr>
          <w:rFonts w:ascii="Arial" w:cs="Arial" w:eastAsia="Arial" w:hAnsi="Arial"/>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such as established from time to time by the Board of Directors.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Resignations</w:t>
      </w:r>
      <w:r>
        <w:rPr>
          <w:rFonts w:ascii="Arial" w:cs="Arial" w:eastAsia="Arial" w:hAnsi="Arial"/>
          <w:sz w:val="16"/>
          <w:szCs w:val="16"/>
          <w:color w:val="auto"/>
        </w:rPr>
        <w:t>. Any director or member of a committee may resign at any time. Such resignation shall be made in writing and shall take effect at the time specified therein, or if no time be specified, at the time of its receipt by the Chairman of the Board or Secretary if the resignation is from a director or committee member. The acceptance of a resignation shall not be necessary to make it effective, unless expressly so provided in the resignation.</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Facsimile Signatures</w:t>
      </w:r>
      <w:r>
        <w:rPr>
          <w:rFonts w:ascii="Arial" w:cs="Arial" w:eastAsia="Arial" w:hAnsi="Arial"/>
          <w:sz w:val="16"/>
          <w:szCs w:val="16"/>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Reliance upon Books, Reports and Records</w:t>
      </w:r>
      <w:r>
        <w:rPr>
          <w:rFonts w:ascii="Arial" w:cs="Arial" w:eastAsia="Arial" w:hAnsi="Arial"/>
          <w:sz w:val="16"/>
          <w:szCs w:val="16"/>
          <w:color w:val="auto"/>
        </w:rPr>
        <w:t>. Each director and each member of any committee designated by the Board of Directors shall, in the performance of his duties, be fully protected in relying in good faith upon the records of the Corporation and upon such information, opinions, reports or statements made to the Corporation by any of its officers or employees, or by any other person as to matters the director reasonably believes are within such person’s professional or expert competence who has been selected with reasonable care by or on behalf of the Corporation.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80" w:right="27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AMENDMENT</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provided in the Certificate of Incorporation of the Corporation and subject to the provisions set forth therein,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1)"/>
      <w:numFmt w:val="lowerLetter"/>
      <w:start w:val="4"/>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Roman"/>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2019-12-09T09:24:37Z</dcterms:created>
  <dcterms:modified xsi:type="dcterms:W3CDTF">2019-12-09T09:24:37Z</dcterms:modified>
</cp:coreProperties>
</file>