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June 21, 2011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(Commission File</w:t>
      </w:r>
    </w:p>
    <w:p>
      <w:pPr>
        <w:spacing w:after="0" w:line="32"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(IRS Employer Identification</w:t>
      </w:r>
    </w:p>
    <w:p>
      <w:pPr>
        <w:spacing w:after="0" w:line="3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w:t>
      </w:r>
    </w:p>
    <w:p>
      <w:pPr>
        <w:spacing w:after="0" w:line="200" w:lineRule="exact"/>
        <w:rPr>
          <w:sz w:val="20"/>
          <w:szCs w:val="20"/>
          <w:color w:val="auto"/>
        </w:rPr>
      </w:pPr>
    </w:p>
    <w:p>
      <w:pPr>
        <w:sectPr>
          <w:pgSz w:w="11900" w:h="16838" w:orient="portrait"/>
          <w:cols w:equalWidth="0" w:num="3">
            <w:col w:w="4340" w:space="720"/>
            <w:col w:w="2800" w:space="720"/>
            <w:col w:w="2720"/>
          </w:cols>
          <w:pgMar w:left="240" w:top="122" w:right="359" w:bottom="1440" w:gutter="0" w:footer="0" w:header="0"/>
          <w:type w:val="continuous"/>
        </w:sectPr>
      </w:pPr>
    </w:p>
    <w:p>
      <w:pPr>
        <w:spacing w:after="0" w:line="11"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17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5.03. Amendments to Articles of Incorporation or Bylaws; Change in Fiscal Year</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9.01. Financial Statements and Exhibits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SIGNATURES</w:t>
        </w:r>
      </w:hyperlink>
    </w:p>
    <w:p>
      <w:pPr>
        <w:spacing w:after="0" w:line="23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EX-3.2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On June 21, 2011, the Board of Directors of Waste Management, Inc. (the “Company”) adopted an amendment to Article II, Section 2.4 of the Company’s Amended and Restated By-laws to permit record holders who have held at least a twenty-five percent (25%) net long position in the outstanding common stock of the Company for at least one year to call a special meeting of stockholders. The text of the amendment contains various exceptions and timing mechanisms that are intended to avoid the cost and distraction that would result from multiple stockholder meetings being held in a short time period.</w:t>
      </w:r>
    </w:p>
    <w:p>
      <w:pPr>
        <w:spacing w:after="0" w:line="46"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above description of the amendment is not complete and is qualified in its entirety by reference to the Company’s Amended and Restated By-laws, as further amended, a copy of which is filed as Exhibit 3.2 to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Amended and Restated By-laws as of June 21, 2011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24, 2011</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Amended and Restated By-laws as of June 21, 2011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21, 2011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17" w:lineRule="exact"/>
        <w:rPr>
          <w:sz w:val="20"/>
          <w:szCs w:val="20"/>
          <w:color w:val="auto"/>
        </w:rPr>
      </w:pPr>
    </w:p>
    <w:p>
      <w:pPr>
        <w:ind w:right="80" w:firstLine="450"/>
        <w:spacing w:after="0" w:line="30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4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17"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73"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who has charge of the stock ledger of the Corporation shall prepare and make,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20"/>
        <w:spacing w:after="0" w:line="276" w:lineRule="auto"/>
        <w:rPr>
          <w:sz w:val="20"/>
          <w:szCs w:val="20"/>
          <w:color w:val="auto"/>
        </w:rPr>
      </w:pPr>
      <w:r>
        <w:rPr>
          <w:rFonts w:ascii="Arial" w:cs="Arial" w:eastAsia="Arial" w:hAnsi="Arial"/>
          <w:sz w:val="17"/>
          <w:szCs w:val="17"/>
          <w:color w:val="auto"/>
        </w:rPr>
        <w:t>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The list shall also be produced and kept at the time and place of the meeting during the whole time thereof, and may be inspected by any stockholder who is present.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64"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85"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General. Special meetings of the stockholders, for any purpose or purposes, unless otherwise prescribed by the General Corporation Law of the State of Delaware, may be called by the Chairman of the Board (if any), the Chief Executive Officer, or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69" w:lineRule="exact"/>
        <w:rPr>
          <w:rFonts w:ascii="Arial" w:cs="Arial" w:eastAsia="Arial" w:hAnsi="Arial"/>
          <w:sz w:val="16"/>
          <w:szCs w:val="16"/>
          <w:color w:val="auto"/>
        </w:rPr>
      </w:pPr>
    </w:p>
    <w:p>
      <w:pPr>
        <w:ind w:right="360" w:firstLine="458"/>
        <w:spacing w:after="0" w:line="277"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Stockholder Requested Special Meetings. In order for a Stockholder Requested Special Meeting to be called, one or more requests for a special meeting (each, 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220"/>
        <w:spacing w:after="0" w:line="288" w:lineRule="auto"/>
        <w:rPr>
          <w:sz w:val="20"/>
          <w:szCs w:val="20"/>
          <w:color w:val="auto"/>
        </w:rPr>
      </w:pPr>
      <w:r>
        <w:rPr>
          <w:rFonts w:ascii="Arial" w:cs="Arial" w:eastAsia="Arial" w:hAnsi="Arial"/>
          <w:sz w:val="16"/>
          <w:szCs w:val="16"/>
          <w:color w:val="auto"/>
        </w:rPr>
        <w:t>“Stockholder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w:t>
      </w:r>
    </w:p>
    <w:p>
      <w:pPr>
        <w:ind w:firstLine="8"/>
        <w:spacing w:after="0" w:line="286"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if applicable, and the number of shares of common stock of the Corporation that are owned of record and beneficially by each such stockholder and (C) include documentary evidence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and (v) contain the information required by Section 2.13 of these by-laws.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62" w:lineRule="exact"/>
        <w:rPr>
          <w:rFonts w:ascii="Arial" w:cs="Arial" w:eastAsia="Arial" w:hAnsi="Arial"/>
          <w:sz w:val="16"/>
          <w:szCs w:val="16"/>
          <w:color w:val="auto"/>
        </w:rPr>
      </w:pPr>
    </w:p>
    <w:p>
      <w:pPr>
        <w:ind w:firstLine="458"/>
        <w:spacing w:after="0" w:line="284" w:lineRule="auto"/>
        <w:tabs>
          <w:tab w:leader="none" w:pos="695" w:val="left"/>
        </w:tabs>
        <w:numPr>
          <w:ilvl w:val="1"/>
          <w:numId w:val="3"/>
        </w:numPr>
        <w:rPr>
          <w:rFonts w:ascii="Arial" w:cs="Arial" w:eastAsia="Arial" w:hAnsi="Arial"/>
          <w:sz w:val="16"/>
          <w:szCs w:val="16"/>
          <w:color w:val="auto"/>
        </w:rPr>
      </w:pPr>
      <w:r>
        <w:rPr>
          <w:rFonts w:ascii="Arial" w:cs="Arial" w:eastAsia="Arial" w:hAnsi="Arial"/>
          <w:sz w:val="16"/>
          <w:szCs w:val="16"/>
          <w:color w:val="auto"/>
        </w:rPr>
        <w:t>Calling of a Special Meeting. Notwithstanding the foregoing, the Secretary shall not be required to call a special meeting of stockholders if (i) the Board of Directors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w:t>
      </w:r>
    </w:p>
    <w:p>
      <w:pPr>
        <w:spacing w:after="0" w:line="1" w:lineRule="exact"/>
        <w:rPr>
          <w:rFonts w:ascii="Arial" w:cs="Arial" w:eastAsia="Arial" w:hAnsi="Arial"/>
          <w:sz w:val="16"/>
          <w:szCs w:val="16"/>
          <w:color w:val="auto"/>
        </w:rPr>
      </w:pPr>
    </w:p>
    <w:p>
      <w:pPr>
        <w:ind w:right="440"/>
        <w:spacing w:after="0" w:line="261" w:lineRule="auto"/>
        <w:rPr>
          <w:rFonts w:ascii="Arial" w:cs="Arial" w:eastAsia="Arial" w:hAnsi="Arial"/>
          <w:sz w:val="16"/>
          <w:szCs w:val="16"/>
          <w:color w:val="auto"/>
        </w:rPr>
      </w:pPr>
      <w:r>
        <w:rPr>
          <w:rFonts w:ascii="Arial" w:cs="Arial" w:eastAsia="Arial" w:hAnsi="Arial"/>
          <w:sz w:val="18"/>
          <w:szCs w:val="18"/>
          <w:color w:val="auto"/>
        </w:rPr>
        <w:t>(D) was made in a manner that involved a violation of Regulation 14A under the Exchange Act or other applicable law; or (E) does not comply with the provisions of this Section 2.4.</w:t>
      </w:r>
    </w:p>
    <w:p>
      <w:pPr>
        <w:spacing w:after="0" w:line="75" w:lineRule="exact"/>
        <w:rPr>
          <w:rFonts w:ascii="Arial" w:cs="Arial" w:eastAsia="Arial" w:hAnsi="Arial"/>
          <w:sz w:val="16"/>
          <w:szCs w:val="16"/>
          <w:color w:val="auto"/>
        </w:rPr>
      </w:pPr>
    </w:p>
    <w:p>
      <w:pPr>
        <w:ind w:right="100" w:firstLine="458"/>
        <w:spacing w:after="0" w:line="276" w:lineRule="auto"/>
        <w:tabs>
          <w:tab w:leader="none" w:pos="705" w:val="left"/>
        </w:tabs>
        <w:numPr>
          <w:ilvl w:val="1"/>
          <w:numId w:val="3"/>
        </w:numPr>
        <w:rPr>
          <w:rFonts w:ascii="Arial" w:cs="Arial" w:eastAsia="Arial" w:hAnsi="Arial"/>
          <w:sz w:val="17"/>
          <w:szCs w:val="17"/>
          <w:color w:val="auto"/>
        </w:rPr>
      </w:pPr>
      <w:r>
        <w:rPr>
          <w:rFonts w:ascii="Arial" w:cs="Arial" w:eastAsia="Arial" w:hAnsi="Arial"/>
          <w:sz w:val="17"/>
          <w:szCs w:val="17"/>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80"/>
        <w:spacing w:after="0" w:line="255" w:lineRule="auto"/>
        <w:rPr>
          <w:sz w:val="20"/>
          <w:szCs w:val="20"/>
          <w:color w:val="auto"/>
        </w:rPr>
      </w:pPr>
      <w:r>
        <w:rPr>
          <w:rFonts w:ascii="Arial" w:cs="Arial" w:eastAsia="Arial" w:hAnsi="Arial"/>
          <w:sz w:val="18"/>
          <w:szCs w:val="18"/>
          <w:color w:val="auto"/>
        </w:rPr>
        <w:t>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81" w:lineRule="exact"/>
        <w:rPr>
          <w:sz w:val="20"/>
          <w:szCs w:val="20"/>
          <w:color w:val="auto"/>
        </w:rPr>
      </w:pPr>
    </w:p>
    <w:p>
      <w:pPr>
        <w:ind w:right="300" w:firstLine="458"/>
        <w:spacing w:after="0" w:line="259"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w:t>
      </w:r>
    </w:p>
    <w:p>
      <w:pPr>
        <w:spacing w:after="0" w:line="79"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320"/>
        <w:spacing w:after="0" w:line="277" w:lineRule="auto"/>
        <w:rPr>
          <w:sz w:val="20"/>
          <w:szCs w:val="20"/>
          <w:color w:val="auto"/>
        </w:rPr>
      </w:pPr>
      <w:r>
        <w:rPr>
          <w:rFonts w:ascii="Arial" w:cs="Arial" w:eastAsia="Arial" w:hAnsi="Arial"/>
          <w:sz w:val="18"/>
          <w:szCs w:val="18"/>
          <w:color w:val="auto"/>
        </w:rPr>
        <w:t>communication, not directly involving the physical transmission of paper, that creates a record that may be retained, retrieved and reviewed by a recipient thereof, and that may be directly reproduced in paper form by such a recipient.</w:t>
      </w:r>
    </w:p>
    <w:p>
      <w:pPr>
        <w:spacing w:after="0" w:line="62" w:lineRule="exact"/>
        <w:rPr>
          <w:sz w:val="20"/>
          <w:szCs w:val="20"/>
          <w:color w:val="auto"/>
        </w:rPr>
      </w:pPr>
    </w:p>
    <w:p>
      <w:pPr>
        <w:ind w:right="60" w:firstLine="447"/>
        <w:spacing w:after="0" w:line="302" w:lineRule="auto"/>
        <w:rPr>
          <w:sz w:val="20"/>
          <w:szCs w:val="20"/>
          <w:color w:val="auto"/>
        </w:rPr>
      </w:pPr>
      <w:r>
        <w:rPr>
          <w:rFonts w:ascii="Arial" w:cs="Arial" w:eastAsia="Arial" w:hAnsi="Arial"/>
          <w:sz w:val="16"/>
          <w:szCs w:val="16"/>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46"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79"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59"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Voting</w:t>
      </w:r>
      <w:r>
        <w:rPr>
          <w:rFonts w:ascii="Arial" w:cs="Arial" w:eastAsia="Arial" w:hAnsi="Arial"/>
          <w:sz w:val="16"/>
          <w:szCs w:val="16"/>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right="80"/>
        <w:spacing w:after="0" w:line="264" w:lineRule="auto"/>
        <w:rPr>
          <w:sz w:val="20"/>
          <w:szCs w:val="20"/>
          <w:color w:val="auto"/>
        </w:rPr>
      </w:pPr>
      <w:r>
        <w:rPr>
          <w:rFonts w:ascii="Arial" w:cs="Arial" w:eastAsia="Arial" w:hAnsi="Arial"/>
          <w:sz w:val="18"/>
          <w:szCs w:val="18"/>
          <w:color w:val="auto"/>
        </w:rPr>
        <w:t>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73"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85"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of Stock of Certain Holders; Elections; Inspectors</w:t>
      </w:r>
      <w:r>
        <w:rPr>
          <w:rFonts w:ascii="Arial" w:cs="Arial" w:eastAsia="Arial" w:hAnsi="Arial"/>
          <w:sz w:val="17"/>
          <w:szCs w:val="17"/>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71" w:lineRule="exact"/>
        <w:rPr>
          <w:sz w:val="20"/>
          <w:szCs w:val="20"/>
          <w:color w:val="auto"/>
        </w:rPr>
      </w:pPr>
    </w:p>
    <w:p>
      <w:pPr>
        <w:ind w:right="180" w:firstLine="450"/>
        <w:spacing w:after="0" w:line="30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46" w:lineRule="exact"/>
        <w:rPr>
          <w:sz w:val="20"/>
          <w:szCs w:val="20"/>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117" w:lineRule="exact"/>
        <w:rPr>
          <w:rFonts w:ascii="Arial" w:cs="Arial" w:eastAsia="Arial" w:hAnsi="Arial"/>
          <w:sz w:val="18"/>
          <w:szCs w:val="18"/>
          <w:color w:val="auto"/>
        </w:rPr>
      </w:pPr>
    </w:p>
    <w:p>
      <w:pPr>
        <w:ind w:left="460" w:right="20" w:firstLine="229"/>
        <w:spacing w:after="0" w:line="279" w:lineRule="auto"/>
        <w:tabs>
          <w:tab w:leader="none" w:pos="93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t>unequal interests, a majority or even-split for the purpose of this subsection shall be a majority or even-split in interest.</w:t>
      </w:r>
    </w:p>
    <w:p>
      <w:pPr>
        <w:spacing w:after="0" w:line="117"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All voting of stockholders shall be taken by written ballots, each of which shall state the name of the stockholder or proxy voting and such other information as may be required under the procedure established for the meeting. All proxies submitted to management may be voted by a master ballot.</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17"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Inspector of Elections</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80"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seem to him in order. Unless the chairman of the meeting of stockholders shall otherwise determine, the order of business shall be as follows:</w:t>
      </w:r>
    </w:p>
    <w:p>
      <w:pPr>
        <w:spacing w:after="0" w:line="117" w:lineRule="exact"/>
        <w:rPr>
          <w:sz w:val="20"/>
          <w:szCs w:val="20"/>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Calling of meeting to order.</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a chairman and the appointment of a secretary if necessary.</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117" w:lineRule="exact"/>
        <w:rPr>
          <w:rFonts w:ascii="Arial" w:cs="Arial" w:eastAsia="Arial" w:hAnsi="Arial"/>
          <w:sz w:val="18"/>
          <w:szCs w:val="18"/>
          <w:color w:val="auto"/>
        </w:rPr>
      </w:pPr>
    </w:p>
    <w:p>
      <w:pPr>
        <w:ind w:left="920" w:hanging="2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17"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6"/>
          <w:szCs w:val="16"/>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2" w:lineRule="exact"/>
        <w:rPr>
          <w:sz w:val="20"/>
          <w:szCs w:val="20"/>
          <w:color w:val="auto"/>
        </w:rPr>
      </w:pPr>
    </w:p>
    <w:p>
      <w:pPr>
        <w:ind w:right="100" w:firstLine="8"/>
        <w:spacing w:after="0" w:line="253"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83"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17" w:lineRule="exact"/>
        <w:rPr>
          <w:sz w:val="20"/>
          <w:szCs w:val="20"/>
          <w:color w:val="auto"/>
        </w:rPr>
      </w:pPr>
    </w:p>
    <w:p>
      <w:pPr>
        <w:ind w:right="500" w:firstLine="458"/>
        <w:spacing w:after="0" w:line="308"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6"/>
          <w:szCs w:val="16"/>
          <w:color w:val="auto"/>
        </w:rPr>
        <w:t>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61" w:lineRule="exact"/>
        <w:rPr>
          <w:sz w:val="20"/>
          <w:szCs w:val="20"/>
          <w:color w:val="auto"/>
        </w:rPr>
      </w:pPr>
    </w:p>
    <w:p>
      <w:pPr>
        <w:ind w:right="40" w:firstLine="458"/>
        <w:spacing w:after="0" w:line="286"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10 day time period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firstLine="458"/>
        <w:spacing w:after="0" w:line="270" w:lineRule="auto"/>
        <w:tabs>
          <w:tab w:leader="none" w:pos="6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69" w:lineRule="exact"/>
        <w:rPr>
          <w:rFonts w:ascii="Arial" w:cs="Arial" w:eastAsia="Arial" w:hAnsi="Arial"/>
          <w:sz w:val="17"/>
          <w:szCs w:val="17"/>
          <w:color w:val="auto"/>
        </w:rPr>
      </w:pPr>
    </w:p>
    <w:p>
      <w:pPr>
        <w:jc w:val="both"/>
        <w:ind w:right="20" w:firstLine="458"/>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79" w:lineRule="exact"/>
        <w:rPr>
          <w:sz w:val="20"/>
          <w:szCs w:val="20"/>
          <w:color w:val="auto"/>
        </w:rPr>
      </w:pPr>
    </w:p>
    <w:p>
      <w:pPr>
        <w:ind w:right="120" w:firstLine="450"/>
        <w:spacing w:after="0" w:line="289"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or special meeting of the stockholders, only such business (other than nominations of persons for election to the Board of Directors) shall be conducted as shall have been properly brought before the meeting. To be properly brought before an annual or special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or special meeting of stockholders pursuant to clause (c) above of this paragraph, the proposed business must constitute a proper matter for stockholder action.</w:t>
      </w:r>
    </w:p>
    <w:p>
      <w:pPr>
        <w:spacing w:after="0" w:line="59"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No proposal (other than nominations of persons for election to the Board of Directors) by a stockholder shall be presented at an annual or special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8" w:firstLine="8"/>
        <w:spacing w:after="0" w:line="284" w:lineRule="auto"/>
        <w:tabs>
          <w:tab w:leader="none" w:pos="2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(other than for the nominations of persons for election to the Board of Directors) with respect to a special meeting of stockholders must be delivered to or mailed and received at the principal executive offices of the Corporation, not less than 90 days nor more than 120 days prior to the meeting; provided, however, that in the event that less than 70 days’ notice or prior public announcement of the date of the meeting is given or made to stockholders, notice by the stockholder to be timely must be so received not later than the close of business on the fifth (5</w:t>
      </w:r>
      <w:r>
        <w:rPr>
          <w:rFonts w:ascii="Arial" w:cs="Arial" w:eastAsia="Arial" w:hAnsi="Arial"/>
          <w:sz w:val="13"/>
          <w:szCs w:val="13"/>
          <w:color w:val="auto"/>
        </w:rPr>
        <w:t>th</w:t>
      </w:r>
      <w:r>
        <w:rPr>
          <w:rFonts w:ascii="Arial" w:cs="Arial" w:eastAsia="Arial" w:hAnsi="Arial"/>
          <w:sz w:val="16"/>
          <w:szCs w:val="16"/>
          <w:color w:val="auto"/>
        </w:rPr>
        <w:t>) day following the day on which such notice of the date of the special meeting was</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7" w:name="page18"/>
    <w:bookmarkEnd w:id="17"/>
    <w:p>
      <w:pPr>
        <w:ind w:right="80"/>
        <w:spacing w:after="0" w:line="272" w:lineRule="auto"/>
        <w:rPr>
          <w:sz w:val="20"/>
          <w:szCs w:val="20"/>
          <w:color w:val="auto"/>
        </w:rPr>
      </w:pPr>
      <w:r>
        <w:rPr>
          <w:rFonts w:ascii="Arial" w:cs="Arial" w:eastAsia="Arial" w:hAnsi="Arial"/>
          <w:sz w:val="17"/>
          <w:szCs w:val="17"/>
          <w:color w:val="auto"/>
        </w:rPr>
        <w:t>mailed or such public announcement was made.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70" w:lineRule="exact"/>
        <w:rPr>
          <w:sz w:val="20"/>
          <w:szCs w:val="20"/>
          <w:color w:val="auto"/>
        </w:rPr>
      </w:pPr>
    </w:p>
    <w:p>
      <w:pPr>
        <w:ind w:firstLine="447"/>
        <w:spacing w:after="0" w:line="285" w:lineRule="auto"/>
        <w:rPr>
          <w:sz w:val="20"/>
          <w:szCs w:val="20"/>
          <w:color w:val="auto"/>
        </w:rPr>
      </w:pPr>
      <w:r>
        <w:rPr>
          <w:rFonts w:ascii="Arial" w:cs="Arial" w:eastAsia="Arial" w:hAnsi="Arial"/>
          <w:sz w:val="16"/>
          <w:szCs w:val="16"/>
          <w:color w:val="auto"/>
        </w:rPr>
        <w:t>This provision shall not prevent the consideration and approval or disapproval at a meeting of stockholders of reports of officers, directors, and committees; but in connection with such reports, no new business shall be acted upon at such meeting unless stated and filed as provided in this Section 2.13. Notwithstanding anything in these by-laws to the contrary, no business (other than nominations of persons for election to the Board of Directors) shall be conducted at any annual or special meeting of stockholders except in accordance with the procedures set forth in this Section 2.13 and no nominations shall be considered at an annual or special meeting of stockholders except in accordance with Section 2.14 below. The chairman of the annual meeting or a special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or special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7" w:lineRule="exact"/>
        <w:rPr>
          <w:sz w:val="20"/>
          <w:szCs w:val="20"/>
          <w:color w:val="auto"/>
        </w:rPr>
      </w:pPr>
    </w:p>
    <w:p>
      <w:pPr>
        <w:ind w:right="60" w:firstLine="450"/>
        <w:spacing w:after="0" w:line="279" w:lineRule="auto"/>
        <w:rPr>
          <w:sz w:val="20"/>
          <w:szCs w:val="20"/>
          <w:color w:val="auto"/>
        </w:rPr>
      </w:pPr>
      <w:r>
        <w:rPr>
          <w:rFonts w:ascii="Arial" w:cs="Arial" w:eastAsia="Arial" w:hAnsi="Arial"/>
          <w:sz w:val="17"/>
          <w:szCs w:val="17"/>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420"/>
        <w:spacing w:after="0" w:line="277" w:lineRule="auto"/>
        <w:rPr>
          <w:sz w:val="20"/>
          <w:szCs w:val="20"/>
          <w:color w:val="auto"/>
        </w:rPr>
      </w:pPr>
      <w:r>
        <w:rPr>
          <w:rFonts w:ascii="Arial" w:cs="Arial" w:eastAsia="Arial" w:hAnsi="Arial"/>
          <w:sz w:val="18"/>
          <w:szCs w:val="18"/>
          <w:color w:val="auto"/>
        </w:rPr>
        <w:t>stockholder proposal not required to be included in its proxy material to stockholders in accordance with the Exchange Act and the rules and regulations promulgated thereunder.</w:t>
      </w:r>
    </w:p>
    <w:p>
      <w:pPr>
        <w:spacing w:after="0" w:line="62"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Nothing in this Section 2.13 shall be deemed to affect any rights of stockholders to request inclusion of proposals in the Corporation’s proxy statement pursuant to applicable rules and regulations promulgated under the Exchange Act.</w:t>
      </w:r>
    </w:p>
    <w:p>
      <w:pPr>
        <w:spacing w:after="0" w:line="70"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Nomination of Directors</w:t>
      </w:r>
      <w:r>
        <w:rPr>
          <w:rFonts w:ascii="Arial" w:cs="Arial" w:eastAsia="Arial" w:hAnsi="Arial"/>
          <w:sz w:val="17"/>
          <w:szCs w:val="17"/>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74" w:lineRule="exact"/>
        <w:rPr>
          <w:sz w:val="20"/>
          <w:szCs w:val="20"/>
          <w:color w:val="auto"/>
        </w:rPr>
      </w:pPr>
    </w:p>
    <w:p>
      <w:pPr>
        <w:ind w:right="40" w:firstLine="447"/>
        <w:spacing w:after="0" w:line="283"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w:t>
      </w:r>
    </w:p>
    <w:p>
      <w:pPr>
        <w:spacing w:after="0" w:line="7" w:lineRule="exact"/>
        <w:rPr>
          <w:sz w:val="20"/>
          <w:szCs w:val="20"/>
          <w:color w:val="auto"/>
        </w:rPr>
      </w:pPr>
    </w:p>
    <w:p>
      <w:pPr>
        <w:ind w:right="380" w:firstLine="8"/>
        <w:spacing w:after="0" w:line="261"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proxy statement as a nominee and to serving as a director if elected; and (b) as to the stockholder giving the notice and the beneficial owner, if any, 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whose behalf the nomination is made (i) the name and address of such stockholder, as they appear on the Corporation’s books, and of such beneficial owner,</w:t>
      </w:r>
    </w:p>
    <w:p>
      <w:pPr>
        <w:spacing w:after="0" w:line="46" w:lineRule="exact"/>
        <w:rPr>
          <w:sz w:val="20"/>
          <w:szCs w:val="20"/>
          <w:color w:val="auto"/>
        </w:rPr>
      </w:pPr>
    </w:p>
    <w:p>
      <w:pPr>
        <w:ind w:firstLine="8"/>
        <w:spacing w:after="0" w:line="283" w:lineRule="auto"/>
        <w:tabs>
          <w:tab w:leader="none" w:pos="2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The Corporation may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is increased effective at the annual meeting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91"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line="271" w:lineRule="auto"/>
        <w:rPr>
          <w:sz w:val="20"/>
          <w:szCs w:val="20"/>
          <w:color w:val="auto"/>
        </w:rPr>
      </w:pPr>
      <w:r>
        <w:rPr>
          <w:rFonts w:ascii="Arial" w:cs="Arial" w:eastAsia="Arial" w:hAnsi="Arial"/>
          <w:sz w:val="17"/>
          <w:szCs w:val="17"/>
          <w:color w:val="auto"/>
        </w:rPr>
        <w:t>procedures set forth in this Section 2.14.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shall be delivered to the Secretary at the principal executive offices of the Corporation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special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special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71"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Only such persons who are nominated in accordance with the procedures set forth in this Section 2.14 shall be eligible to be elected at an annual or special meeting of stockholders of the Corporation to serve as directors.</w:t>
      </w:r>
    </w:p>
    <w:p>
      <w:pPr>
        <w:spacing w:after="0" w:line="62" w:lineRule="exact"/>
        <w:rPr>
          <w:sz w:val="20"/>
          <w:szCs w:val="20"/>
          <w:color w:val="auto"/>
        </w:rPr>
      </w:pPr>
    </w:p>
    <w:p>
      <w:pPr>
        <w:ind w:right="100" w:firstLine="450"/>
        <w:spacing w:after="0" w:line="287" w:lineRule="auto"/>
        <w:rPr>
          <w:sz w:val="20"/>
          <w:szCs w:val="20"/>
          <w:color w:val="auto"/>
        </w:rPr>
      </w:pPr>
      <w:r>
        <w:rPr>
          <w:rFonts w:ascii="Arial" w:cs="Arial" w:eastAsia="Arial" w:hAnsi="Arial"/>
          <w:sz w:val="16"/>
          <w:szCs w:val="16"/>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5" w:lineRule="exact"/>
        <w:rPr>
          <w:sz w:val="20"/>
          <w:szCs w:val="20"/>
          <w:color w:val="auto"/>
        </w:rPr>
      </w:pPr>
    </w:p>
    <w:p>
      <w:pPr>
        <w:ind w:right="120" w:firstLine="450"/>
        <w:spacing w:after="0" w:line="276" w:lineRule="auto"/>
        <w:rPr>
          <w:sz w:val="20"/>
          <w:szCs w:val="20"/>
          <w:color w:val="auto"/>
        </w:rPr>
      </w:pPr>
      <w:r>
        <w:rPr>
          <w:rFonts w:ascii="Arial" w:cs="Arial" w:eastAsia="Arial" w:hAnsi="Arial"/>
          <w:sz w:val="17"/>
          <w:szCs w:val="17"/>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as to any other business to be considered pursuant to this Section 2.14, and compliance with this Section 2.14 shall be the exclusive means for a stockholder to make nominations. Nothing in this Section 2.14 shall be deemed to affect any rights of the holders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any series of Preferred Stock to elect directors pursuant to any applicable provision of the Certificate of Incorporation.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117"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73" w:lineRule="exact"/>
        <w:rPr>
          <w:sz w:val="20"/>
          <w:szCs w:val="20"/>
          <w:color w:val="auto"/>
        </w:rPr>
      </w:pPr>
    </w:p>
    <w:p>
      <w:pPr>
        <w:ind w:right="80" w:firstLine="450"/>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5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Each director, other than those who may be elected by the holders of any class or series of Preferred Stock, voting separately by class or series, shall be elected by the vote of the majority of the votes cast with respect to the director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 director is not elected, the director shall offer to tender his or her resignation to the Board. The Nominating and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7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7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85" w:lineRule="exact"/>
        <w:rPr>
          <w:sz w:val="20"/>
          <w:szCs w:val="20"/>
          <w:color w:val="auto"/>
        </w:rPr>
      </w:pPr>
    </w:p>
    <w:p>
      <w:pPr>
        <w:jc w:val="both"/>
        <w:ind w:firstLine="450"/>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57"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Special Meeting</w:t>
      </w:r>
      <w:r>
        <w:rPr>
          <w:rFonts w:ascii="Arial" w:cs="Arial" w:eastAsia="Arial" w:hAnsi="Arial"/>
          <w:sz w:val="16"/>
          <w:szCs w:val="16"/>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3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85"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Place of Meetings; Order of Business</w:t>
      </w:r>
      <w:r>
        <w:rPr>
          <w:rFonts w:ascii="Arial" w:cs="Arial" w:eastAsia="Arial" w:hAnsi="Arial"/>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color w:val="auto"/>
        </w:rPr>
        <w:t>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79" w:lineRule="exact"/>
        <w:rPr>
          <w:sz w:val="20"/>
          <w:szCs w:val="20"/>
          <w:color w:val="auto"/>
        </w:rPr>
      </w:pPr>
    </w:p>
    <w:p>
      <w:pPr>
        <w:ind w:right="120" w:firstLine="450"/>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80" w:lineRule="exact"/>
        <w:rPr>
          <w:sz w:val="20"/>
          <w:szCs w:val="20"/>
          <w:color w:val="auto"/>
        </w:rPr>
      </w:pPr>
    </w:p>
    <w:p>
      <w:pPr>
        <w:jc w:val="both"/>
        <w:ind w:right="120" w:firstLine="450"/>
        <w:spacing w:after="0" w:line="302" w:lineRule="auto"/>
        <w:rPr>
          <w:sz w:val="20"/>
          <w:szCs w:val="20"/>
          <w:color w:val="auto"/>
        </w:rPr>
      </w:pPr>
      <w:r>
        <w:rPr>
          <w:rFonts w:ascii="Arial" w:cs="Arial" w:eastAsia="Arial" w:hAnsi="Arial"/>
          <w:sz w:val="16"/>
          <w:szCs w:val="16"/>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46"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7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85"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20" w:firstLine="450"/>
        <w:spacing w:after="0" w:line="289"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59"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117"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Charter for such committee adopted by the Board of Directors, or by a resolution adopted by the Board of Directors.</w:t>
      </w:r>
    </w:p>
    <w:p>
      <w:pPr>
        <w:spacing w:after="0" w:line="117"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Procedure; Meetings; Quorum</w:t>
      </w:r>
      <w:r>
        <w:rPr>
          <w:rFonts w:ascii="Arial" w:cs="Arial" w:eastAsia="Arial" w:hAnsi="Arial"/>
          <w:sz w:val="17"/>
          <w:szCs w:val="17"/>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70" w:lineRule="exact"/>
        <w:rPr>
          <w:sz w:val="20"/>
          <w:szCs w:val="20"/>
          <w:color w:val="auto"/>
        </w:rPr>
      </w:pPr>
    </w:p>
    <w:p>
      <w:pPr>
        <w:ind w:right="140" w:firstLine="450"/>
        <w:spacing w:after="0" w:line="30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Compensation</w:t>
      </w:r>
      <w:r>
        <w:rPr>
          <w:rFonts w:ascii="Arial" w:cs="Arial" w:eastAsia="Arial" w:hAnsi="Arial"/>
          <w:sz w:val="17"/>
          <w:szCs w:val="17"/>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117"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59" w:lineRule="exact"/>
        <w:rPr>
          <w:sz w:val="20"/>
          <w:szCs w:val="20"/>
          <w:color w:val="auto"/>
        </w:rPr>
      </w:pPr>
    </w:p>
    <w:p>
      <w:pPr>
        <w:ind w:right="200" w:firstLine="450"/>
        <w:spacing w:after="0" w:line="29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Written Waiver</w:t>
      </w:r>
      <w:r>
        <w:rPr>
          <w:rFonts w:ascii="Arial" w:cs="Arial" w:eastAsia="Arial" w:hAnsi="Arial"/>
          <w:sz w:val="16"/>
          <w:szCs w:val="16"/>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committee of directors need be specified in any written waiver of notice unless so required by the Certificate of Incorporation or these by-laws.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117"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65"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62"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85"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right="200" w:firstLine="450"/>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Succession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8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85" w:lineRule="exact"/>
        <w:rPr>
          <w:sz w:val="20"/>
          <w:szCs w:val="20"/>
          <w:color w:val="auto"/>
        </w:rPr>
      </w:pPr>
    </w:p>
    <w:p>
      <w:pPr>
        <w:ind w:right="20" w:firstLine="450"/>
        <w:spacing w:after="0" w:line="293"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57"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8" w:name="page29"/>
    <w:bookmarkEnd w:id="28"/>
    <w:p>
      <w:pPr>
        <w:jc w:val="both"/>
        <w:ind w:right="40" w:firstLine="447"/>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39"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7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9" w:name="page30"/>
    <w:bookmarkEnd w:id="29"/>
    <w:p>
      <w:pPr>
        <w:ind w:right="200" w:firstLine="450"/>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80"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7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7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85"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80" w:lineRule="exact"/>
        <w:rPr>
          <w:sz w:val="20"/>
          <w:szCs w:val="20"/>
          <w:color w:val="auto"/>
        </w:rPr>
      </w:pPr>
    </w:p>
    <w:p>
      <w:pPr>
        <w:ind w:right="20" w:firstLine="450"/>
        <w:spacing w:after="0" w:line="290"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Assistant Secretary, Assistant Treasurer or Assistant Controller</w:t>
      </w:r>
      <w:r>
        <w:rPr>
          <w:rFonts w:ascii="Arial" w:cs="Arial" w:eastAsia="Arial" w:hAnsi="Arial"/>
          <w:sz w:val="16"/>
          <w:szCs w:val="16"/>
          <w:color w:val="auto"/>
        </w:rPr>
        <w:t>. The Assistant Secretaries, Assistant Treasurers and Assistant Controllers shall, in general, perform such duties and have such powers as shall be assigned to them by the Secretary, the Treasurer or the Controller,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CONTRACTS, CHECKS AND DEPOSITS</w:t>
      </w:r>
    </w:p>
    <w:p>
      <w:pPr>
        <w:spacing w:after="0" w:line="117"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73" w:lineRule="exact"/>
        <w:rPr>
          <w:sz w:val="20"/>
          <w:szCs w:val="20"/>
          <w:color w:val="auto"/>
        </w:rPr>
      </w:pPr>
    </w:p>
    <w:p>
      <w:pPr>
        <w:jc w:val="both"/>
        <w:ind w:right="80" w:firstLine="450"/>
        <w:spacing w:after="0" w:line="27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6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Loans</w:t>
      </w:r>
      <w:r>
        <w:rPr>
          <w:rFonts w:ascii="Arial" w:cs="Arial" w:eastAsia="Arial" w:hAnsi="Arial"/>
          <w:sz w:val="18"/>
          <w:szCs w:val="18"/>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17" w:lineRule="exact"/>
        <w:rPr>
          <w:sz w:val="20"/>
          <w:szCs w:val="20"/>
          <w:color w:val="auto"/>
        </w:rPr>
      </w:pPr>
    </w:p>
    <w:p>
      <w:pPr>
        <w:ind w:right="160" w:firstLine="450"/>
        <w:spacing w:after="0" w:line="290"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80"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80"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57" w:lineRule="exact"/>
        <w:rPr>
          <w:sz w:val="20"/>
          <w:szCs w:val="20"/>
          <w:color w:val="auto"/>
        </w:rPr>
      </w:pPr>
    </w:p>
    <w:p>
      <w:pPr>
        <w:ind w:right="160" w:firstLine="450"/>
        <w:spacing w:after="0" w:line="273"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Lost, Stolen or Destroyed; Issuance of New Certificates</w:t>
      </w:r>
      <w:r>
        <w:rPr>
          <w:rFonts w:ascii="Arial" w:cs="Arial" w:eastAsia="Arial" w:hAnsi="Arial"/>
          <w:sz w:val="17"/>
          <w:szCs w:val="17"/>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right="360"/>
        <w:spacing w:after="0" w:line="277" w:lineRule="auto"/>
        <w:rPr>
          <w:sz w:val="20"/>
          <w:szCs w:val="20"/>
          <w:color w:val="auto"/>
        </w:rPr>
      </w:pPr>
      <w:r>
        <w:rPr>
          <w:rFonts w:ascii="Arial" w:cs="Arial" w:eastAsia="Arial" w:hAnsi="Arial"/>
          <w:sz w:val="18"/>
          <w:szCs w:val="18"/>
          <w:color w:val="auto"/>
        </w:rPr>
        <w:t>against the Corporation on account of the alleged loss, theft or destruction of any such certificate or the issuance of such new certificate or uncertificated shares, or both.</w:t>
      </w:r>
    </w:p>
    <w:p>
      <w:pPr>
        <w:spacing w:after="0" w:line="62"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70"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79"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2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Declaration</w:t>
      </w:r>
      <w:r>
        <w:rPr>
          <w:rFonts w:ascii="Arial" w:cs="Arial" w:eastAsia="Arial" w:hAnsi="Arial"/>
          <w:sz w:val="17"/>
          <w:szCs w:val="17"/>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57" w:lineRule="exact"/>
        <w:rPr>
          <w:sz w:val="20"/>
          <w:szCs w:val="20"/>
          <w:color w:val="auto"/>
        </w:rPr>
      </w:pPr>
    </w:p>
    <w:p>
      <w:pPr>
        <w:ind w:right="100" w:firstLine="450"/>
        <w:spacing w:after="0" w:line="30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17"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Third Party Actions</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7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Actions By or in the Right of the Corporation</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35" w:name="page36"/>
    <w:bookmarkEnd w:id="35"/>
    <w:p>
      <w:pPr>
        <w:ind w:right="280"/>
        <w:spacing w:after="0" w:line="277" w:lineRule="auto"/>
        <w:rPr>
          <w:sz w:val="20"/>
          <w:szCs w:val="20"/>
          <w:color w:val="auto"/>
        </w:rPr>
      </w:pPr>
      <w:r>
        <w:rPr>
          <w:rFonts w:ascii="Arial" w:cs="Arial" w:eastAsia="Arial" w:hAnsi="Arial"/>
          <w:sz w:val="18"/>
          <w:szCs w:val="18"/>
          <w:color w:val="auto"/>
        </w:rPr>
        <w:t>seeking indemnification under this Section 10.2 shall be deemed to have met the standard of conduct required for such indemnification unless the contrary shall be established.</w:t>
      </w:r>
    </w:p>
    <w:p>
      <w:pPr>
        <w:spacing w:after="0" w:line="62" w:lineRule="exact"/>
        <w:rPr>
          <w:sz w:val="20"/>
          <w:szCs w:val="20"/>
          <w:color w:val="auto"/>
        </w:rPr>
      </w:pPr>
    </w:p>
    <w:p>
      <w:pPr>
        <w:ind w:right="440" w:firstLine="450"/>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Successful Defense</w:t>
      </w:r>
      <w:r>
        <w:rPr>
          <w:rFonts w:ascii="Arial" w:cs="Arial" w:eastAsia="Arial" w:hAnsi="Arial"/>
          <w:sz w:val="17"/>
          <w:szCs w:val="17"/>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57"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80"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80"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57"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79" w:lineRule="exact"/>
        <w:rPr>
          <w:sz w:val="20"/>
          <w:szCs w:val="20"/>
          <w:color w:val="auto"/>
        </w:rPr>
      </w:pPr>
    </w:p>
    <w:p>
      <w:pPr>
        <w:ind w:right="600" w:firstLine="450"/>
        <w:spacing w:after="0" w:line="342"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or officer who serves in any such capacity at any time while these provisions as well as relevant provisions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ind w:right="120"/>
        <w:spacing w:after="0" w:line="255" w:lineRule="auto"/>
        <w:rPr>
          <w:sz w:val="20"/>
          <w:szCs w:val="20"/>
          <w:color w:val="auto"/>
        </w:rPr>
      </w:pPr>
      <w:r>
        <w:rPr>
          <w:rFonts w:ascii="Arial" w:cs="Arial" w:eastAsia="Arial" w:hAnsi="Arial"/>
          <w:sz w:val="18"/>
          <w:szCs w:val="18"/>
          <w:color w:val="auto"/>
        </w:rPr>
        <w:t>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81" w:lineRule="exact"/>
        <w:rPr>
          <w:sz w:val="20"/>
          <w:szCs w:val="20"/>
          <w:color w:val="auto"/>
        </w:rPr>
      </w:pPr>
    </w:p>
    <w:p>
      <w:pPr>
        <w:ind w:right="100" w:firstLine="450"/>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57"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79"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62"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ind w:right="140" w:firstLine="450"/>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member of a committee, or officer may resign at any time. Such resignation shall be made in writing and shall take effect at the time specified therein, or if no time be specified, at the time of its receipt by (i) the Chairman of the Board or Secretary if the resignation is from a director or committee member, or (ii) the Chief Executive Officer or Secretary if the resignation is from an officer. The acceptance of a resignation shall not be necessary to make it effective, unless expressly so provided in the resignation.</w:t>
      </w:r>
    </w:p>
    <w:p>
      <w:pPr>
        <w:spacing w:after="0" w:line="79" w:lineRule="exact"/>
        <w:rPr>
          <w:sz w:val="20"/>
          <w:szCs w:val="20"/>
          <w:color w:val="auto"/>
        </w:rPr>
      </w:pPr>
    </w:p>
    <w:p>
      <w:pPr>
        <w:ind w:right="300" w:firstLine="450"/>
        <w:spacing w:after="0" w:line="30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Facsimile Signatures</w:t>
      </w:r>
      <w:r>
        <w:rPr>
          <w:rFonts w:ascii="Arial" w:cs="Arial" w:eastAsia="Arial" w:hAnsi="Arial"/>
          <w:sz w:val="17"/>
          <w:szCs w:val="17"/>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38"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9"/>
    </w:lvl>
    <w:lvl w:ilvl="1">
      <w:lvlJc w:val="left"/>
      <w:lvlText w:val="(%2)"/>
      <w:numFmt w:val="lowerLetter"/>
      <w:start w:val="3"/>
    </w:lvl>
  </w:abstractNum>
  <w:abstractNum w:abstractNumId="3">
    <w:nsid w:val="515F007C"/>
    <w:multiLevelType w:val="hybridMultilevel"/>
    <w:lvl w:ilvl="0">
      <w:lvlJc w:val="left"/>
      <w:lvlText w:val="(%1)"/>
      <w:numFmt w:val="lowerLetter"/>
      <w:start w:val="5"/>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Roman"/>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2019-12-10T08:48:11Z</dcterms:created>
  <dcterms:modified xsi:type="dcterms:W3CDTF">2019-12-10T08:48:11Z</dcterms:modified>
</cp:coreProperties>
</file>