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2"/>
        <w:spacing w:after="0"/>
        <w:rPr>
          <w:sz w:val="20"/>
          <w:szCs w:val="20"/>
          <w:color w:val="auto"/>
        </w:rPr>
      </w:pPr>
      <w:r>
        <w:rPr>
          <w:rFonts w:ascii="Courier New" w:cs="Courier New" w:eastAsia="Courier New" w:hAnsi="Courier New"/>
          <w:sz w:val="16"/>
          <w:szCs w:val="16"/>
          <w:color w:val="auto"/>
        </w:rPr>
        <w:t>AS FILED WITH THE SECURITIES AND EXCHANGE COMMISSION ON NOVEMBER 6, 2003</w:t>
      </w:r>
    </w:p>
    <w:p>
      <w:pPr>
        <w:spacing w:after="0" w:line="186" w:lineRule="exact"/>
        <w:rPr>
          <w:sz w:val="24"/>
          <w:szCs w:val="24"/>
          <w:color w:val="auto"/>
        </w:rPr>
      </w:pPr>
    </w:p>
    <w:p>
      <w:pPr>
        <w:ind w:left="5522"/>
        <w:spacing w:after="0"/>
        <w:rPr>
          <w:sz w:val="20"/>
          <w:szCs w:val="20"/>
          <w:color w:val="auto"/>
        </w:rPr>
      </w:pPr>
      <w:r>
        <w:rPr>
          <w:rFonts w:ascii="Courier New" w:cs="Courier New" w:eastAsia="Courier New" w:hAnsi="Courier New"/>
          <w:sz w:val="16"/>
          <w:szCs w:val="16"/>
          <w:color w:val="auto"/>
        </w:rPr>
        <w:t>REGISTRATION NO. 333-</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FORM S-8</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REGISTRATION STATEMENT</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UNDER THE SECURITIES ACT OF 1933</w:t>
      </w:r>
    </w:p>
    <w:p>
      <w:pPr>
        <w:spacing w:after="0" w:line="186"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522"/>
          </w:cols>
          <w:pgMar w:left="238" w:top="420" w:right="139" w:bottom="1440" w:gutter="0" w:footer="0" w:header="0"/>
        </w:sectPr>
      </w:pPr>
    </w:p>
    <w:p>
      <w:pPr>
        <w:spacing w:after="0" w:line="186" w:lineRule="exact"/>
        <w:rPr>
          <w:sz w:val="24"/>
          <w:szCs w:val="24"/>
          <w:color w:val="auto"/>
        </w:rPr>
      </w:pPr>
    </w:p>
    <w:p>
      <w:pPr>
        <w:ind w:left="1422"/>
        <w:spacing w:after="0"/>
        <w:rPr>
          <w:sz w:val="20"/>
          <w:szCs w:val="20"/>
          <w:color w:val="auto"/>
        </w:rPr>
      </w:pPr>
      <w:r>
        <w:rPr>
          <w:rFonts w:ascii="Courier New" w:cs="Courier New" w:eastAsia="Courier New" w:hAnsi="Courier New"/>
          <w:sz w:val="16"/>
          <w:szCs w:val="16"/>
          <w:color w:val="auto"/>
        </w:rPr>
        <w:t>DELAWARE</w:t>
      </w:r>
    </w:p>
    <w:p>
      <w:pPr>
        <w:spacing w:after="0" w:line="2" w:lineRule="exact"/>
        <w:rPr>
          <w:sz w:val="24"/>
          <w:szCs w:val="24"/>
          <w:color w:val="auto"/>
        </w:rPr>
      </w:pPr>
    </w:p>
    <w:p>
      <w:pPr>
        <w:ind w:left="482"/>
        <w:spacing w:after="0"/>
        <w:rPr>
          <w:sz w:val="20"/>
          <w:szCs w:val="20"/>
          <w:color w:val="auto"/>
        </w:rPr>
      </w:pPr>
      <w:r>
        <w:rPr>
          <w:rFonts w:ascii="Courier New" w:cs="Courier New" w:eastAsia="Courier New" w:hAnsi="Courier New"/>
          <w:sz w:val="16"/>
          <w:szCs w:val="16"/>
          <w:color w:val="auto"/>
        </w:rPr>
        <w:t>(State or other jurisdiction</w:t>
      </w:r>
    </w:p>
    <w:p>
      <w:pPr>
        <w:spacing w:after="0" w:line="5" w:lineRule="exact"/>
        <w:rPr>
          <w:sz w:val="24"/>
          <w:szCs w:val="24"/>
          <w:color w:val="auto"/>
        </w:rPr>
      </w:pPr>
    </w:p>
    <w:p>
      <w:pPr>
        <w:ind w:left="282"/>
        <w:spacing w:after="0"/>
        <w:rPr>
          <w:sz w:val="20"/>
          <w:szCs w:val="20"/>
          <w:color w:val="auto"/>
        </w:rPr>
      </w:pPr>
      <w:r>
        <w:rPr>
          <w:rFonts w:ascii="Courier New" w:cs="Courier New" w:eastAsia="Courier New" w:hAnsi="Courier New"/>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73-1309529</w:t>
      </w:r>
    </w:p>
    <w:p>
      <w:pPr>
        <w:spacing w:after="0" w:line="2"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200" w:lineRule="exact"/>
        <w:rPr>
          <w:sz w:val="24"/>
          <w:szCs w:val="24"/>
          <w:color w:val="auto"/>
        </w:rPr>
      </w:pPr>
    </w:p>
    <w:p>
      <w:pPr>
        <w:sectPr>
          <w:pgSz w:w="11900" w:h="16838" w:orient="portrait"/>
          <w:cols w:equalWidth="0" w:num="2">
            <w:col w:w="3862" w:space="720"/>
            <w:col w:w="6940"/>
          </w:cols>
          <w:pgMar w:left="238" w:top="420" w:right="139" w:bottom="1440" w:gutter="0" w:footer="0" w:header="0"/>
          <w:type w:val="continuous"/>
        </w:sectPr>
      </w:pPr>
    </w:p>
    <w:p>
      <w:pPr>
        <w:spacing w:after="0" w:line="177"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1001 FANNIN STREET</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SUITE 4000</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HOUSTON, TEXAS 77002</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(713) 512-6200</w:t>
      </w:r>
    </w:p>
    <w:p>
      <w:pPr>
        <w:spacing w:after="0" w:line="186" w:lineRule="exact"/>
        <w:rPr>
          <w:sz w:val="24"/>
          <w:szCs w:val="24"/>
          <w:color w:val="auto"/>
        </w:rPr>
      </w:pPr>
    </w:p>
    <w:p>
      <w:pPr>
        <w:jc w:val="center"/>
        <w:ind w:right="3798"/>
        <w:spacing w:after="0"/>
        <w:rPr>
          <w:sz w:val="20"/>
          <w:szCs w:val="20"/>
          <w:color w:val="auto"/>
        </w:rPr>
      </w:pPr>
      <w:r>
        <w:rPr>
          <w:rFonts w:ascii="Courier New" w:cs="Courier New" w:eastAsia="Courier New" w:hAnsi="Courier New"/>
          <w:sz w:val="16"/>
          <w:szCs w:val="16"/>
          <w:color w:val="auto"/>
        </w:rPr>
        <w:t>(Address, including zip code, and telephone number, including area code</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of Registrant's principal executive offices)</w:t>
      </w:r>
    </w:p>
    <w:p>
      <w:pPr>
        <w:spacing w:after="0" w:line="186"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3798"/>
        <w:spacing w:after="0"/>
        <w:rPr>
          <w:sz w:val="20"/>
          <w:szCs w:val="20"/>
          <w:color w:val="auto"/>
        </w:rPr>
      </w:pPr>
      <w:r>
        <w:rPr>
          <w:rFonts w:ascii="Courier New" w:cs="Courier New" w:eastAsia="Courier New" w:hAnsi="Courier New"/>
          <w:sz w:val="16"/>
          <w:szCs w:val="16"/>
          <w:color w:val="auto"/>
        </w:rPr>
        <w:t>2003 WASTE MANAGEMENT, INC. DIRECTORS' DEFERRED COMPENSATION PLAN</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(Full titles of the Plans)</w:t>
      </w:r>
    </w:p>
    <w:p>
      <w:pPr>
        <w:spacing w:after="0" w:line="186"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LAWRENCE O'DONNELL, III</w:t>
      </w:r>
    </w:p>
    <w:p>
      <w:pPr>
        <w:spacing w:after="0" w:line="2"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1001 FANNIN STREET</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SUITE 4000</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HOUSTON, TEXAS 77002</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(713) 512-6200</w:t>
      </w:r>
    </w:p>
    <w:p>
      <w:pPr>
        <w:spacing w:after="0" w:line="186" w:lineRule="exact"/>
        <w:rPr>
          <w:sz w:val="24"/>
          <w:szCs w:val="24"/>
          <w:color w:val="auto"/>
        </w:rPr>
      </w:pPr>
    </w:p>
    <w:p>
      <w:pPr>
        <w:jc w:val="center"/>
        <w:ind w:right="3798"/>
        <w:spacing w:after="0"/>
        <w:rPr>
          <w:sz w:val="20"/>
          <w:szCs w:val="20"/>
          <w:color w:val="auto"/>
        </w:rPr>
      </w:pPr>
      <w:r>
        <w:rPr>
          <w:rFonts w:ascii="Courier New" w:cs="Courier New" w:eastAsia="Courier New" w:hAnsi="Courier New"/>
          <w:sz w:val="16"/>
          <w:szCs w:val="16"/>
          <w:color w:val="auto"/>
        </w:rPr>
        <w:t>(Name, address, including zip code, and telephone number, including</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area code, of agent for service)</w:t>
      </w:r>
    </w:p>
    <w:p>
      <w:pPr>
        <w:spacing w:after="0" w:line="186"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w:t>
      </w:r>
    </w:p>
    <w:p>
      <w:pPr>
        <w:spacing w:after="0" w:line="369" w:lineRule="exact"/>
        <w:rPr>
          <w:sz w:val="24"/>
          <w:szCs w:val="24"/>
          <w:color w:val="auto"/>
        </w:rPr>
      </w:pPr>
    </w:p>
    <w:p>
      <w:pPr>
        <w:jc w:val="center"/>
        <w:ind w:right="-1"/>
        <w:spacing w:after="0"/>
        <w:rPr>
          <w:sz w:val="20"/>
          <w:szCs w:val="20"/>
          <w:color w:val="auto"/>
        </w:rPr>
      </w:pPr>
      <w:r>
        <w:rPr>
          <w:rFonts w:ascii="Courier New" w:cs="Courier New" w:eastAsia="Courier New" w:hAnsi="Courier New"/>
          <w:sz w:val="16"/>
          <w:szCs w:val="16"/>
          <w:color w:val="auto"/>
        </w:rPr>
        <w:t>CALCULATION OF REGISTRATION FEE</w:t>
      </w:r>
    </w:p>
    <w:p>
      <w:pPr>
        <w:spacing w:after="0" w:line="5" w:lineRule="exact"/>
        <w:rPr>
          <w:sz w:val="24"/>
          <w:szCs w:val="24"/>
          <w:color w:val="auto"/>
        </w:rPr>
      </w:pPr>
    </w:p>
    <w:p>
      <w:pPr>
        <w:jc w:val="center"/>
        <w:ind w:right="-1"/>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jc w:val="center"/>
        <w:ind w:right="-1"/>
        <w:spacing w:after="0"/>
        <w:rPr>
          <w:sz w:val="20"/>
          <w:szCs w:val="20"/>
          <w:color w:val="auto"/>
        </w:rPr>
      </w:pPr>
      <w:r>
        <w:rPr>
          <w:rFonts w:ascii="Courier New" w:cs="Courier New" w:eastAsia="Courier New" w:hAnsi="Courier New"/>
          <w:sz w:val="16"/>
          <w:szCs w:val="16"/>
          <w:color w:val="auto"/>
        </w:rPr>
        <w:t>TITLE OF SECURITIES AMOUNT TO BE PROPOSED MAXIMUM PROPOSED MAXIMUM AMOUNT OF TO BE REGISTERED REGISTERED OFFERING</w:t>
      </w:r>
    </w:p>
    <w:p>
      <w:pPr>
        <w:spacing w:after="0" w:line="2" w:lineRule="exact"/>
        <w:rPr>
          <w:sz w:val="24"/>
          <w:szCs w:val="24"/>
          <w:color w:val="auto"/>
        </w:rPr>
      </w:pPr>
    </w:p>
    <w:p>
      <w:pPr>
        <w:jc w:val="center"/>
        <w:ind w:right="-1"/>
        <w:spacing w:after="0"/>
        <w:rPr>
          <w:sz w:val="20"/>
          <w:szCs w:val="20"/>
          <w:color w:val="auto"/>
        </w:rPr>
      </w:pPr>
      <w:r>
        <w:rPr>
          <w:rFonts w:ascii="Courier New" w:cs="Courier New" w:eastAsia="Courier New" w:hAnsi="Courier New"/>
          <w:sz w:val="16"/>
          <w:szCs w:val="16"/>
          <w:color w:val="auto"/>
        </w:rPr>
        <w:t>AGGREGATE REGISTRATION (1) PRICE PER OFFERING PRICE FEE (1)(3) SHARE (1)(2) (1)(3)</w:t>
      </w:r>
    </w:p>
    <w:p>
      <w:pPr>
        <w:spacing w:after="0" w:line="2" w:lineRule="exact"/>
        <w:rPr>
          <w:sz w:val="24"/>
          <w:szCs w:val="24"/>
          <w:color w:val="auto"/>
        </w:rPr>
      </w:pPr>
    </w:p>
    <w:p>
      <w:pPr>
        <w:jc w:val="center"/>
        <w:ind w:right="-1"/>
        <w:spacing w:after="0"/>
        <w:rPr>
          <w:sz w:val="20"/>
          <w:szCs w:val="20"/>
          <w:color w:val="auto"/>
        </w:rPr>
      </w:pPr>
      <w:r>
        <w:rPr>
          <w:rFonts w:ascii="Courier New" w:cs="Courier New" w:eastAsia="Courier New" w:hAnsi="Courier New"/>
          <w:sz w:val="16"/>
          <w:szCs w:val="16"/>
          <w:color w:val="auto"/>
        </w:rPr>
        <w:t>============================================= ============== ====================== ===================</w:t>
      </w:r>
    </w:p>
    <w:p>
      <w:pPr>
        <w:spacing w:after="0" w:line="2" w:lineRule="exact"/>
        <w:rPr>
          <w:sz w:val="24"/>
          <w:szCs w:val="24"/>
          <w:color w:val="auto"/>
        </w:rPr>
      </w:pPr>
    </w:p>
    <w:p>
      <w:pPr>
        <w:ind w:left="1042"/>
        <w:spacing w:after="0"/>
        <w:rPr>
          <w:sz w:val="20"/>
          <w:szCs w:val="20"/>
          <w:color w:val="auto"/>
        </w:rPr>
      </w:pPr>
      <w:r>
        <w:rPr>
          <w:rFonts w:ascii="Courier New" w:cs="Courier New" w:eastAsia="Courier New" w:hAnsi="Courier New"/>
          <w:sz w:val="16"/>
          <w:szCs w:val="16"/>
          <w:color w:val="auto"/>
        </w:rPr>
        <w:t>================= Common Stock, par value $0.01 per share..... 500,000 $25.88 $12,940,000 $1,046.85</w:t>
      </w:r>
    </w:p>
    <w:p>
      <w:pPr>
        <w:spacing w:after="0" w:line="5" w:lineRule="exact"/>
        <w:rPr>
          <w:sz w:val="24"/>
          <w:szCs w:val="24"/>
          <w:color w:val="auto"/>
        </w:rPr>
      </w:pPr>
    </w:p>
    <w:p>
      <w:pPr>
        <w:jc w:val="center"/>
        <w:ind w:left="260" w:right="840"/>
        <w:spacing w:after="0" w:line="239" w:lineRule="auto"/>
        <w:rPr>
          <w:sz w:val="20"/>
          <w:szCs w:val="20"/>
          <w:color w:val="auto"/>
        </w:rPr>
      </w:pPr>
      <w:r>
        <w:rPr>
          <w:rFonts w:ascii="Courier New" w:cs="Courier New" w:eastAsia="Courier New" w:hAnsi="Courier New"/>
          <w:sz w:val="16"/>
          <w:szCs w:val="16"/>
          <w:color w:val="auto"/>
        </w:rPr>
        <w:t>============================================= ============== ====================== =================== =================</w:t>
      </w:r>
    </w:p>
    <w:p>
      <w:pPr>
        <w:spacing w:after="0" w:line="200" w:lineRule="exact"/>
        <w:rPr>
          <w:sz w:val="24"/>
          <w:szCs w:val="24"/>
          <w:color w:val="auto"/>
        </w:rPr>
      </w:pPr>
    </w:p>
    <w:p>
      <w:pPr>
        <w:spacing w:after="0" w:line="356" w:lineRule="exact"/>
        <w:rPr>
          <w:sz w:val="24"/>
          <w:szCs w:val="24"/>
          <w:color w:val="auto"/>
        </w:rPr>
      </w:pPr>
    </w:p>
    <w:p>
      <w:pPr>
        <w:ind w:left="862" w:right="4280" w:hanging="862"/>
        <w:spacing w:after="0" w:line="241" w:lineRule="auto"/>
        <w:tabs>
          <w:tab w:leader="none" w:pos="86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500,000 shares of Common Stock, $0.01 par value (the "Common Stock"), of Waste Management, Inc. (the "Company") issuable pursuant to the 2003 Waste Management, Inc. Directors' Deferred Compensation Plan (the "Plan").</w:t>
      </w:r>
    </w:p>
    <w:p>
      <w:pPr>
        <w:spacing w:after="0" w:line="189" w:lineRule="exact"/>
        <w:rPr>
          <w:rFonts w:ascii="Courier New" w:cs="Courier New" w:eastAsia="Courier New" w:hAnsi="Courier New"/>
          <w:sz w:val="16"/>
          <w:szCs w:val="16"/>
          <w:color w:val="auto"/>
        </w:rPr>
      </w:pPr>
    </w:p>
    <w:p>
      <w:pPr>
        <w:ind w:left="862" w:right="4080" w:hanging="862"/>
        <w:spacing w:after="0" w:line="271" w:lineRule="auto"/>
        <w:tabs>
          <w:tab w:leader="none" w:pos="86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average of the high and low prices of the Common Stock as reported on the New York Stock Exchange on October 31, 2003.</w:t>
      </w:r>
    </w:p>
    <w:p>
      <w:pPr>
        <w:spacing w:after="0" w:line="166" w:lineRule="exact"/>
        <w:rPr>
          <w:rFonts w:ascii="Courier New" w:cs="Courier New" w:eastAsia="Courier New" w:hAnsi="Courier New"/>
          <w:sz w:val="15"/>
          <w:szCs w:val="15"/>
          <w:color w:val="auto"/>
        </w:rPr>
      </w:pPr>
    </w:p>
    <w:p>
      <w:pPr>
        <w:ind w:left="862" w:right="3900" w:hanging="862"/>
        <w:spacing w:after="0" w:line="242" w:lineRule="auto"/>
        <w:tabs>
          <w:tab w:leader="none" w:pos="86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in accordance with Rules 457(c) and (h) under the Securities Act of 1933, as amended (the "Securities Act"), solely for the purpose of calculating the total registration fee. The aggregate offering price and amount of registration fee have been computed based on the average of the high and low prices of Common Stock as reported on the New York Stock Exchange on October 31, 2003.</w:t>
      </w:r>
    </w:p>
    <w:p>
      <w:pPr>
        <w:sectPr>
          <w:pgSz w:w="11900" w:h="16838" w:orient="portrait"/>
          <w:cols w:equalWidth="0" w:num="1">
            <w:col w:w="11522"/>
          </w:cols>
          <w:pgMar w:left="238" w:top="420" w:right="139" w:bottom="1440" w:gutter="0" w:footer="0" w:header="0"/>
          <w:type w:val="continuous"/>
        </w:sectPr>
      </w:pPr>
    </w:p>
    <w:bookmarkStart w:id="1" w:name="page2"/>
    <w:bookmarkEnd w:id="1"/>
    <w:p>
      <w:pPr>
        <w:ind w:left="2862"/>
        <w:spacing w:after="0"/>
        <w:rPr>
          <w:sz w:val="20"/>
          <w:szCs w:val="20"/>
          <w:color w:val="auto"/>
        </w:rPr>
      </w:pPr>
      <w:r>
        <w:rPr>
          <w:rFonts w:ascii="Courier New" w:cs="Courier New" w:eastAsia="Courier New" w:hAnsi="Courier New"/>
          <w:sz w:val="16"/>
          <w:szCs w:val="16"/>
          <w:color w:val="auto"/>
        </w:rPr>
        <w:t>EXPLANATORY STATEMENT</w:t>
      </w:r>
    </w:p>
    <w:p>
      <w:pPr>
        <w:spacing w:after="0" w:line="188" w:lineRule="exact"/>
        <w:rPr>
          <w:sz w:val="20"/>
          <w:szCs w:val="20"/>
          <w:color w:val="auto"/>
        </w:rPr>
      </w:pPr>
    </w:p>
    <w:p>
      <w:pPr>
        <w:ind w:left="2" w:right="2779" w:firstLine="858"/>
        <w:spacing w:after="0" w:line="241" w:lineRule="auto"/>
        <w:rPr>
          <w:sz w:val="20"/>
          <w:szCs w:val="20"/>
          <w:color w:val="auto"/>
        </w:rPr>
      </w:pPr>
      <w:r>
        <w:rPr>
          <w:rFonts w:ascii="Courier New" w:cs="Courier New" w:eastAsia="Courier New" w:hAnsi="Courier New"/>
          <w:sz w:val="16"/>
          <w:szCs w:val="16"/>
          <w:color w:val="auto"/>
        </w:rPr>
        <w:t>The Registrant has filed this registration statement on Form S-8 to register the issuance of 500,000 shares of Common Stock pursuant to the Plan. Upon this registration statement's effectiveness, there will be 500,000 shares of Common Stock registered for issuance under the Plan.</w:t>
      </w:r>
    </w:p>
    <w:p>
      <w:pPr>
        <w:spacing w:after="0" w:line="189" w:lineRule="exact"/>
        <w:rPr>
          <w:sz w:val="20"/>
          <w:szCs w:val="20"/>
          <w:color w:val="auto"/>
        </w:rPr>
      </w:pPr>
    </w:p>
    <w:p>
      <w:pPr>
        <w:ind w:left="2" w:right="2599" w:firstLine="858"/>
        <w:spacing w:after="0" w:line="241" w:lineRule="auto"/>
        <w:rPr>
          <w:sz w:val="20"/>
          <w:szCs w:val="20"/>
          <w:color w:val="auto"/>
        </w:rPr>
      </w:pPr>
      <w:r>
        <w:rPr>
          <w:rFonts w:ascii="Courier New" w:cs="Courier New" w:eastAsia="Courier New" w:hAnsi="Courier New"/>
          <w:sz w:val="16"/>
          <w:szCs w:val="16"/>
          <w:color w:val="auto"/>
        </w:rPr>
        <w:t>This Form S-8 includes a Reoffer Prospectus prepared in accordance with Part I of Form S-3 under the Securities Act. The Reoffer Prospectus may be utilized for reofferings and resales of shares of Common Stock acquired pursuant to the Plan.</w:t>
      </w:r>
    </w:p>
    <w:p>
      <w:pPr>
        <w:spacing w:after="0" w:line="370"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PART I</w:t>
      </w:r>
    </w:p>
    <w:p>
      <w:pPr>
        <w:spacing w:after="0" w:line="186" w:lineRule="exact"/>
        <w:rPr>
          <w:sz w:val="20"/>
          <w:szCs w:val="20"/>
          <w:color w:val="auto"/>
        </w:rPr>
      </w:pPr>
    </w:p>
    <w:p>
      <w:pPr>
        <w:ind w:left="1342"/>
        <w:spacing w:after="0"/>
        <w:rPr>
          <w:sz w:val="20"/>
          <w:szCs w:val="20"/>
          <w:color w:val="auto"/>
        </w:rPr>
      </w:pPr>
      <w:r>
        <w:rPr>
          <w:rFonts w:ascii="Courier New" w:cs="Courier New" w:eastAsia="Courier New" w:hAnsi="Courier New"/>
          <w:sz w:val="16"/>
          <w:szCs w:val="16"/>
          <w:color w:val="auto"/>
        </w:rPr>
        <w:t>INFORMATION REQUIRED IN THE SECTION 10(a) PROSPECTUS</w:t>
      </w:r>
    </w:p>
    <w:p>
      <w:pPr>
        <w:spacing w:after="0" w:line="369" w:lineRule="exact"/>
        <w:rPr>
          <w:sz w:val="20"/>
          <w:szCs w:val="20"/>
          <w:color w:val="auto"/>
        </w:rPr>
      </w:pPr>
    </w:p>
    <w:p>
      <w:pPr>
        <w:ind w:left="2"/>
        <w:spacing w:after="0"/>
        <w:tabs>
          <w:tab w:leader="none" w:pos="942"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PLAN INFORMATION. *</w:t>
      </w:r>
    </w:p>
    <w:p>
      <w:pPr>
        <w:spacing w:after="0" w:line="186" w:lineRule="exact"/>
        <w:rPr>
          <w:sz w:val="20"/>
          <w:szCs w:val="20"/>
          <w:color w:val="auto"/>
        </w:rPr>
      </w:pPr>
    </w:p>
    <w:p>
      <w:pPr>
        <w:ind w:left="2"/>
        <w:spacing w:after="0"/>
        <w:tabs>
          <w:tab w:leader="none" w:pos="942"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REGISTRANT INFORMATION AND EMPLOYEE PLAN ANNUAL INFORMATION. *</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2" w:right="2599" w:hanging="2"/>
        <w:spacing w:after="0"/>
        <w:tabs>
          <w:tab w:leader="none" w:pos="19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required by Part I to be contained in the Section 10(a) prospectus is omitted from this Registration Statement in accordance with Rule 428 under the Securities Act, and the Note to Part I of Form S-8.</w:t>
      </w:r>
    </w:p>
    <w:p>
      <w:pPr>
        <w:sectPr>
          <w:pgSz w:w="11900" w:h="16838" w:orient="portrait"/>
          <w:cols w:equalWidth="0" w:num="1">
            <w:col w:w="10221"/>
          </w:cols>
          <w:pgMar w:left="238" w:top="848" w:right="1440" w:bottom="1440" w:gutter="0" w:footer="0" w:header="0"/>
        </w:sectPr>
      </w:pPr>
    </w:p>
    <w:bookmarkStart w:id="2" w:name="page3"/>
    <w:bookmarkEnd w:id="2"/>
    <w:p>
      <w:pPr>
        <w:ind w:left="3342"/>
        <w:spacing w:after="0"/>
        <w:rPr>
          <w:sz w:val="20"/>
          <w:szCs w:val="20"/>
          <w:color w:val="auto"/>
        </w:rPr>
      </w:pPr>
      <w:r>
        <w:rPr>
          <w:rFonts w:ascii="Courier New" w:cs="Courier New" w:eastAsia="Courier New" w:hAnsi="Courier New"/>
          <w:sz w:val="16"/>
          <w:szCs w:val="16"/>
          <w:color w:val="auto"/>
        </w:rPr>
        <w:t>PROSPECTUS</w:t>
      </w:r>
    </w:p>
    <w:p>
      <w:pPr>
        <w:spacing w:after="0" w:line="186"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26,920 SHARES</w:t>
      </w:r>
    </w:p>
    <w:p>
      <w:pPr>
        <w:spacing w:after="0" w:line="2" w:lineRule="exact"/>
        <w:rPr>
          <w:sz w:val="20"/>
          <w:szCs w:val="20"/>
          <w:color w:val="auto"/>
        </w:rPr>
      </w:pPr>
    </w:p>
    <w:p>
      <w:pPr>
        <w:ind w:left="2762"/>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Common Stock ($.01 par value)</w:t>
      </w:r>
    </w:p>
    <w:p>
      <w:pPr>
        <w:spacing w:after="0" w:line="188" w:lineRule="exact"/>
        <w:rPr>
          <w:sz w:val="20"/>
          <w:szCs w:val="20"/>
          <w:color w:val="auto"/>
        </w:rPr>
      </w:pPr>
    </w:p>
    <w:p>
      <w:pPr>
        <w:ind w:left="2" w:right="2599" w:firstLine="858"/>
        <w:spacing w:after="0" w:line="242" w:lineRule="auto"/>
        <w:rPr>
          <w:sz w:val="20"/>
          <w:szCs w:val="20"/>
          <w:color w:val="auto"/>
        </w:rPr>
      </w:pPr>
      <w:r>
        <w:rPr>
          <w:rFonts w:ascii="Courier New" w:cs="Courier New" w:eastAsia="Courier New" w:hAnsi="Courier New"/>
          <w:sz w:val="16"/>
          <w:szCs w:val="16"/>
          <w:color w:val="auto"/>
        </w:rPr>
        <w:t>This prospectus relates to the offer and sale by certain stockholders (the "Selling Stockholders") from time to time of shares of our Common Stock that will be issued by us to the Selling Stockholders upon conversion of stock units granted under our 2003 Directors' Deferred Compensation Plan (the "Plan"). The shares are being offered and sold for the account of the Selling Stockholders and we will not receive any of the proceeds from the sale of the shares.</w:t>
      </w:r>
    </w:p>
    <w:p>
      <w:pPr>
        <w:spacing w:after="0" w:line="188" w:lineRule="exact"/>
        <w:rPr>
          <w:sz w:val="20"/>
          <w:szCs w:val="20"/>
          <w:color w:val="auto"/>
        </w:rPr>
      </w:pPr>
    </w:p>
    <w:p>
      <w:pPr>
        <w:ind w:left="2" w:right="2599" w:firstLine="858"/>
        <w:spacing w:after="0" w:line="241" w:lineRule="auto"/>
        <w:rPr>
          <w:sz w:val="20"/>
          <w:szCs w:val="20"/>
          <w:color w:val="auto"/>
        </w:rPr>
      </w:pPr>
      <w:r>
        <w:rPr>
          <w:rFonts w:ascii="Courier New" w:cs="Courier New" w:eastAsia="Courier New" w:hAnsi="Courier New"/>
          <w:sz w:val="16"/>
          <w:szCs w:val="16"/>
          <w:color w:val="auto"/>
        </w:rPr>
        <w:t>The Selling Stockholders may sell their shares from time to time in one or more transactions on the New York Stock Exchange (the "NYSE"), in negotiated transactions or otherwise, at market prices prevailing at the time of the sale or at prices otherwise negotiated. See "Plan of Distribution." We will bear all expenses in connection with the preparation of this prospectus.</w:t>
      </w:r>
    </w:p>
    <w:p>
      <w:pPr>
        <w:spacing w:after="0" w:line="190" w:lineRule="exact"/>
        <w:rPr>
          <w:sz w:val="20"/>
          <w:szCs w:val="20"/>
          <w:color w:val="auto"/>
        </w:rPr>
      </w:pPr>
    </w:p>
    <w:p>
      <w:pPr>
        <w:ind w:left="2" w:right="3259" w:firstLine="858"/>
        <w:spacing w:after="0" w:line="271" w:lineRule="auto"/>
        <w:rPr>
          <w:sz w:val="20"/>
          <w:szCs w:val="20"/>
          <w:color w:val="auto"/>
        </w:rPr>
      </w:pPr>
      <w:r>
        <w:rPr>
          <w:rFonts w:ascii="Courier New" w:cs="Courier New" w:eastAsia="Courier New" w:hAnsi="Courier New"/>
          <w:sz w:val="15"/>
          <w:szCs w:val="15"/>
          <w:color w:val="auto"/>
        </w:rPr>
        <w:t>Our Common Stock is listed on the NYSE. On October 31, 2003, the closing price for our Common Stock, as reported by the NYSE, was $25.92.</w:t>
      </w:r>
    </w:p>
    <w:p>
      <w:pPr>
        <w:spacing w:after="0" w:line="166" w:lineRule="exact"/>
        <w:rPr>
          <w:sz w:val="20"/>
          <w:szCs w:val="20"/>
          <w:color w:val="auto"/>
        </w:rPr>
      </w:pPr>
    </w:p>
    <w:p>
      <w:pPr>
        <w:ind w:left="182" w:hanging="182"/>
        <w:spacing w:after="0"/>
        <w:tabs>
          <w:tab w:leader="none" w:pos="1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86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This investment involves risk. See "Risk Factors" beginning at page 2.</w:t>
      </w:r>
    </w:p>
    <w:p>
      <w:pPr>
        <w:spacing w:after="0" w:line="5"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7" w:lineRule="exact"/>
        <w:rPr>
          <w:sz w:val="20"/>
          <w:szCs w:val="20"/>
          <w:color w:val="auto"/>
        </w:rPr>
      </w:pPr>
    </w:p>
    <w:p>
      <w:pPr>
        <w:ind w:left="2" w:right="2599"/>
        <w:spacing w:after="0" w:line="263"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determined whether this prospectus is truthful or complete. They have not made, nor will they make, any determination as to whether anyone should buy these securities. Any representation to the contrary is a criminal offense.</w:t>
      </w:r>
    </w:p>
    <w:p>
      <w:pPr>
        <w:spacing w:after="0" w:line="169" w:lineRule="exact"/>
        <w:rPr>
          <w:sz w:val="20"/>
          <w:szCs w:val="20"/>
          <w:color w:val="auto"/>
        </w:rPr>
      </w:pPr>
    </w:p>
    <w:p>
      <w:pPr>
        <w:ind w:left="1522"/>
        <w:spacing w:after="0"/>
        <w:rPr>
          <w:sz w:val="20"/>
          <w:szCs w:val="20"/>
          <w:color w:val="auto"/>
        </w:rPr>
      </w:pPr>
      <w:r>
        <w:rPr>
          <w:rFonts w:ascii="Courier New" w:cs="Courier New" w:eastAsia="Courier New" w:hAnsi="Courier New"/>
          <w:sz w:val="16"/>
          <w:szCs w:val="16"/>
          <w:color w:val="auto"/>
        </w:rPr>
        <w:t>The date of this Prospectus is November 6, 2003.</w:t>
      </w:r>
    </w:p>
    <w:p>
      <w:pPr>
        <w:sectPr>
          <w:pgSz w:w="11900" w:h="16838" w:orient="portrait"/>
          <w:cols w:equalWidth="0" w:num="1">
            <w:col w:w="10221"/>
          </w:cols>
          <w:pgMar w:left="238" w:top="481" w:right="1440" w:bottom="1440" w:gutter="0" w:footer="0" w:header="0"/>
        </w:sectPr>
      </w:pPr>
    </w:p>
    <w:bookmarkStart w:id="3" w:name="page4"/>
    <w:bookmarkEnd w:id="3"/>
    <w:p>
      <w:pPr>
        <w:ind w:left="304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dot" w:pos="8180" w:val="left"/>
        </w:tabs>
        <w:rPr>
          <w:sz w:val="20"/>
          <w:szCs w:val="20"/>
          <w:color w:val="auto"/>
        </w:rPr>
      </w:pPr>
      <w:r>
        <w:rPr>
          <w:rFonts w:ascii="Courier New" w:cs="Courier New" w:eastAsia="Courier New" w:hAnsi="Courier New"/>
          <w:sz w:val="16"/>
          <w:szCs w:val="16"/>
          <w:color w:val="auto"/>
        </w:rPr>
        <w:t>WHERE YOU CAN FIND MORE INFORMATION</w:t>
      </w:r>
      <w:r>
        <w:rPr>
          <w:sz w:val="20"/>
          <w:szCs w:val="20"/>
          <w:color w:val="auto"/>
        </w:rPr>
        <w:tab/>
      </w:r>
      <w:r>
        <w:rPr>
          <w:rFonts w:ascii="Courier New" w:cs="Courier New" w:eastAsia="Courier New" w:hAnsi="Courier New"/>
          <w:sz w:val="16"/>
          <w:szCs w:val="16"/>
          <w:color w:val="auto"/>
        </w:rPr>
        <w:t>1</w:t>
      </w:r>
    </w:p>
    <w:p>
      <w:pPr>
        <w:spacing w:after="0" w:line="186" w:lineRule="exact"/>
        <w:rPr>
          <w:sz w:val="20"/>
          <w:szCs w:val="20"/>
          <w:color w:val="auto"/>
        </w:rPr>
      </w:pPr>
    </w:p>
    <w:p>
      <w:pPr>
        <w:spacing w:after="0"/>
        <w:tabs>
          <w:tab w:leader="dot" w:pos="8180" w:val="left"/>
        </w:tabs>
        <w:rPr>
          <w:sz w:val="20"/>
          <w:szCs w:val="20"/>
          <w:color w:val="auto"/>
        </w:rPr>
      </w:pPr>
      <w:r>
        <w:rPr>
          <w:rFonts w:ascii="Courier New" w:cs="Courier New" w:eastAsia="Courier New" w:hAnsi="Courier New"/>
          <w:sz w:val="16"/>
          <w:szCs w:val="16"/>
          <w:color w:val="auto"/>
        </w:rPr>
        <w:t>INCORPORATION BY REFERENCE</w:t>
      </w:r>
      <w:r>
        <w:rPr>
          <w:sz w:val="20"/>
          <w:szCs w:val="20"/>
          <w:color w:val="auto"/>
        </w:rPr>
        <w:tab/>
      </w:r>
      <w:r>
        <w:rPr>
          <w:rFonts w:ascii="Courier New" w:cs="Courier New" w:eastAsia="Courier New" w:hAnsi="Courier New"/>
          <w:sz w:val="16"/>
          <w:szCs w:val="16"/>
          <w:color w:val="auto"/>
        </w:rPr>
        <w:t>1</w:t>
      </w:r>
    </w:p>
    <w:p>
      <w:pPr>
        <w:spacing w:after="0" w:line="186" w:lineRule="exact"/>
        <w:rPr>
          <w:sz w:val="20"/>
          <w:szCs w:val="20"/>
          <w:color w:val="auto"/>
        </w:rPr>
      </w:pPr>
    </w:p>
    <w:p>
      <w:pPr>
        <w:spacing w:after="0"/>
        <w:tabs>
          <w:tab w:leader="dot" w:pos="8180" w:val="left"/>
        </w:tabs>
        <w:rPr>
          <w:sz w:val="20"/>
          <w:szCs w:val="20"/>
          <w:color w:val="auto"/>
        </w:rPr>
      </w:pPr>
      <w:r>
        <w:rPr>
          <w:rFonts w:ascii="Courier New" w:cs="Courier New" w:eastAsia="Courier New" w:hAnsi="Courier New"/>
          <w:sz w:val="16"/>
          <w:szCs w:val="16"/>
          <w:color w:val="auto"/>
        </w:rPr>
        <w:t>ABOUT THIS PROSPECTUS</w:t>
      </w:r>
      <w:r>
        <w:rPr>
          <w:sz w:val="20"/>
          <w:szCs w:val="20"/>
          <w:color w:val="auto"/>
        </w:rPr>
        <w:tab/>
      </w:r>
      <w:r>
        <w:rPr>
          <w:rFonts w:ascii="Courier New" w:cs="Courier New" w:eastAsia="Courier New" w:hAnsi="Courier New"/>
          <w:sz w:val="16"/>
          <w:szCs w:val="16"/>
          <w:color w:val="auto"/>
        </w:rPr>
        <w:t>1</w:t>
      </w:r>
    </w:p>
    <w:p>
      <w:pPr>
        <w:spacing w:after="0" w:line="186" w:lineRule="exact"/>
        <w:rPr>
          <w:sz w:val="20"/>
          <w:szCs w:val="20"/>
          <w:color w:val="auto"/>
        </w:rPr>
      </w:pPr>
    </w:p>
    <w:p>
      <w:pPr>
        <w:spacing w:after="0"/>
        <w:tabs>
          <w:tab w:leader="dot" w:pos="8180" w:val="left"/>
        </w:tabs>
        <w:rPr>
          <w:sz w:val="20"/>
          <w:szCs w:val="20"/>
          <w:color w:val="auto"/>
        </w:rPr>
      </w:pPr>
      <w:r>
        <w:rPr>
          <w:rFonts w:ascii="Courier New" w:cs="Courier New" w:eastAsia="Courier New" w:hAnsi="Courier New"/>
          <w:sz w:val="16"/>
          <w:szCs w:val="16"/>
          <w:color w:val="auto"/>
        </w:rPr>
        <w:t>GENERAL INFORMATION</w:t>
      </w:r>
      <w:r>
        <w:rPr>
          <w:sz w:val="20"/>
          <w:szCs w:val="20"/>
          <w:color w:val="auto"/>
        </w:rPr>
        <w:tab/>
      </w:r>
      <w:r>
        <w:rPr>
          <w:rFonts w:ascii="Courier New" w:cs="Courier New" w:eastAsia="Courier New" w:hAnsi="Courier New"/>
          <w:sz w:val="16"/>
          <w:szCs w:val="16"/>
          <w:color w:val="auto"/>
        </w:rPr>
        <w:t>2</w:t>
      </w:r>
    </w:p>
    <w:p>
      <w:pPr>
        <w:spacing w:after="0" w:line="186" w:lineRule="exact"/>
        <w:rPr>
          <w:sz w:val="20"/>
          <w:szCs w:val="20"/>
          <w:color w:val="auto"/>
        </w:rPr>
      </w:pPr>
    </w:p>
    <w:p>
      <w:pPr>
        <w:spacing w:after="0"/>
        <w:tabs>
          <w:tab w:leader="dot" w:pos="818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6"/>
          <w:szCs w:val="16"/>
          <w:color w:val="auto"/>
        </w:rPr>
        <w:t>2</w:t>
      </w:r>
    </w:p>
    <w:p>
      <w:pPr>
        <w:spacing w:after="0" w:line="186" w:lineRule="exact"/>
        <w:rPr>
          <w:sz w:val="20"/>
          <w:szCs w:val="20"/>
          <w:color w:val="auto"/>
        </w:rPr>
      </w:pPr>
    </w:p>
    <w:p>
      <w:pPr>
        <w:spacing w:after="0"/>
        <w:tabs>
          <w:tab w:leader="dot" w:pos="8180" w:val="left"/>
        </w:tabs>
        <w:rPr>
          <w:sz w:val="20"/>
          <w:szCs w:val="20"/>
          <w:color w:val="auto"/>
        </w:rPr>
      </w:pP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6"/>
          <w:szCs w:val="16"/>
          <w:color w:val="auto"/>
        </w:rPr>
        <w:t>6</w:t>
      </w:r>
    </w:p>
    <w:p>
      <w:pPr>
        <w:spacing w:after="0" w:line="186" w:lineRule="exact"/>
        <w:rPr>
          <w:sz w:val="20"/>
          <w:szCs w:val="20"/>
          <w:color w:val="auto"/>
        </w:rPr>
      </w:pPr>
    </w:p>
    <w:p>
      <w:pPr>
        <w:spacing w:after="0"/>
        <w:tabs>
          <w:tab w:leader="dot" w:pos="8180" w:val="left"/>
        </w:tabs>
        <w:rPr>
          <w:sz w:val="20"/>
          <w:szCs w:val="20"/>
          <w:color w:val="auto"/>
        </w:rPr>
      </w:pPr>
      <w:r>
        <w:rPr>
          <w:rFonts w:ascii="Courier New" w:cs="Courier New" w:eastAsia="Courier New" w:hAnsi="Courier New"/>
          <w:sz w:val="16"/>
          <w:szCs w:val="16"/>
          <w:color w:val="auto"/>
        </w:rPr>
        <w:t>SELLING STOCKHOLDERS</w:t>
      </w:r>
      <w:r>
        <w:rPr>
          <w:sz w:val="20"/>
          <w:szCs w:val="20"/>
          <w:color w:val="auto"/>
        </w:rPr>
        <w:tab/>
      </w:r>
      <w:r>
        <w:rPr>
          <w:rFonts w:ascii="Courier New" w:cs="Courier New" w:eastAsia="Courier New" w:hAnsi="Courier New"/>
          <w:sz w:val="16"/>
          <w:szCs w:val="16"/>
          <w:color w:val="auto"/>
        </w:rPr>
        <w:t>6</w:t>
      </w:r>
    </w:p>
    <w:p>
      <w:pPr>
        <w:spacing w:after="0" w:line="186" w:lineRule="exact"/>
        <w:rPr>
          <w:sz w:val="20"/>
          <w:szCs w:val="20"/>
          <w:color w:val="auto"/>
        </w:rPr>
      </w:pPr>
    </w:p>
    <w:p>
      <w:pPr>
        <w:spacing w:after="0"/>
        <w:tabs>
          <w:tab w:leader="dot" w:pos="8180" w:val="left"/>
        </w:tabs>
        <w:rPr>
          <w:sz w:val="20"/>
          <w:szCs w:val="20"/>
          <w:color w:val="auto"/>
        </w:rPr>
      </w:pPr>
      <w:r>
        <w:rPr>
          <w:rFonts w:ascii="Courier New" w:cs="Courier New" w:eastAsia="Courier New" w:hAnsi="Courier New"/>
          <w:sz w:val="16"/>
          <w:szCs w:val="16"/>
          <w:color w:val="auto"/>
        </w:rPr>
        <w:t>PLAN OF DISTRIBUTION</w:t>
      </w:r>
      <w:r>
        <w:rPr>
          <w:sz w:val="20"/>
          <w:szCs w:val="20"/>
          <w:color w:val="auto"/>
        </w:rPr>
        <w:tab/>
      </w:r>
      <w:r>
        <w:rPr>
          <w:rFonts w:ascii="Courier New" w:cs="Courier New" w:eastAsia="Courier New" w:hAnsi="Courier New"/>
          <w:sz w:val="16"/>
          <w:szCs w:val="16"/>
          <w:color w:val="auto"/>
        </w:rPr>
        <w:t>7</w:t>
      </w:r>
    </w:p>
    <w:p>
      <w:pPr>
        <w:spacing w:after="0" w:line="186" w:lineRule="exact"/>
        <w:rPr>
          <w:sz w:val="20"/>
          <w:szCs w:val="20"/>
          <w:color w:val="auto"/>
        </w:rPr>
      </w:pPr>
    </w:p>
    <w:p>
      <w:pPr>
        <w:spacing w:after="0"/>
        <w:tabs>
          <w:tab w:leader="dot" w:pos="818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6"/>
          <w:szCs w:val="16"/>
          <w:color w:val="auto"/>
        </w:rPr>
        <w:t>8</w:t>
      </w:r>
    </w:p>
    <w:p>
      <w:pPr>
        <w:spacing w:after="0" w:line="186" w:lineRule="exact"/>
        <w:rPr>
          <w:sz w:val="20"/>
          <w:szCs w:val="20"/>
          <w:color w:val="auto"/>
        </w:rPr>
      </w:pPr>
    </w:p>
    <w:p>
      <w:pPr>
        <w:spacing w:after="0"/>
        <w:tabs>
          <w:tab w:leader="dot" w:pos="818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6"/>
          <w:szCs w:val="16"/>
          <w:color w:val="auto"/>
        </w:rPr>
        <w:t>8</w:t>
      </w:r>
    </w:p>
    <w:p>
      <w:pPr>
        <w:sectPr>
          <w:pgSz w:w="11900" w:h="16838" w:orient="portrait"/>
          <w:cols w:equalWidth="0" w:num="1">
            <w:col w:w="10219"/>
          </w:cols>
          <w:pgMar w:left="240" w:top="665" w:right="1440" w:bottom="1440" w:gutter="0" w:footer="0" w:header="0"/>
        </w:sectPr>
      </w:pPr>
    </w:p>
    <w:bookmarkStart w:id="4" w:name="page5"/>
    <w:bookmarkEnd w:id="4"/>
    <w:p>
      <w:pPr>
        <w:ind w:left="220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We file annual, quarterly and special reports, proxy statements and other information with the Securities and Exchange Commission (the "SEC"). Our SEC filings are available to the public over the Internet at the SEC's website at http://www.sec.gov. You may read and copy any document we file at:</w:t>
      </w:r>
    </w:p>
    <w:p>
      <w:pPr>
        <w:spacing w:after="0" w:line="189" w:lineRule="exact"/>
        <w:rPr>
          <w:sz w:val="20"/>
          <w:szCs w:val="20"/>
          <w:color w:val="auto"/>
        </w:rPr>
      </w:pPr>
    </w:p>
    <w:p>
      <w:pPr>
        <w:ind w:left="860" w:right="3059" w:hanging="576"/>
        <w:spacing w:after="0" w:line="239"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reference facilities maintained by the SEC at 450 Fifth Street, N.W., Washington, D.C. 20549, and</w:t>
      </w:r>
    </w:p>
    <w:p>
      <w:pPr>
        <w:spacing w:after="0" w:line="186" w:lineRule="exact"/>
        <w:rPr>
          <w:rFonts w:ascii="Courier New" w:cs="Courier New" w:eastAsia="Courier New" w:hAnsi="Courier New"/>
          <w:sz w:val="16"/>
          <w:szCs w:val="16"/>
          <w:color w:val="auto"/>
        </w:rPr>
      </w:pPr>
    </w:p>
    <w:p>
      <w:pPr>
        <w:ind w:left="860" w:hanging="576"/>
        <w:spacing w:after="0"/>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regional offices of the SEC located at:</w:t>
      </w:r>
    </w:p>
    <w:p>
      <w:pPr>
        <w:spacing w:after="0" w:line="186" w:lineRule="exact"/>
        <w:rPr>
          <w:sz w:val="20"/>
          <w:szCs w:val="20"/>
          <w:color w:val="auto"/>
        </w:rPr>
      </w:pPr>
    </w:p>
    <w:p>
      <w:pPr>
        <w:ind w:left="1720" w:hanging="482"/>
        <w:spacing w:after="0"/>
        <w:tabs>
          <w:tab w:leader="none" w:pos="17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500 Madison Street, Suite 1400, Chicago, Illinois 60661, and</w:t>
      </w:r>
    </w:p>
    <w:p>
      <w:pPr>
        <w:spacing w:after="0" w:line="185" w:lineRule="exact"/>
        <w:rPr>
          <w:rFonts w:ascii="Courier New" w:cs="Courier New" w:eastAsia="Courier New" w:hAnsi="Courier New"/>
          <w:sz w:val="16"/>
          <w:szCs w:val="16"/>
          <w:color w:val="auto"/>
        </w:rPr>
      </w:pPr>
    </w:p>
    <w:p>
      <w:pPr>
        <w:ind w:left="1720" w:hanging="482"/>
        <w:spacing w:after="0"/>
        <w:tabs>
          <w:tab w:leader="none" w:pos="17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233 Broadway, New York, New York 10279.</w:t>
      </w:r>
    </w:p>
    <w:p>
      <w:pPr>
        <w:spacing w:after="0" w:line="188" w:lineRule="exact"/>
        <w:rPr>
          <w:sz w:val="20"/>
          <w:szCs w:val="20"/>
          <w:color w:val="auto"/>
        </w:rPr>
      </w:pPr>
    </w:p>
    <w:p>
      <w:pPr>
        <w:ind w:right="2879" w:firstLine="858"/>
        <w:spacing w:after="0" w:line="239" w:lineRule="auto"/>
        <w:rPr>
          <w:sz w:val="20"/>
          <w:szCs w:val="20"/>
          <w:color w:val="auto"/>
        </w:rPr>
      </w:pPr>
      <w:r>
        <w:rPr>
          <w:rFonts w:ascii="Courier New" w:cs="Courier New" w:eastAsia="Courier New" w:hAnsi="Courier New"/>
          <w:sz w:val="16"/>
          <w:szCs w:val="16"/>
          <w:color w:val="auto"/>
        </w:rPr>
        <w:t>Please call the SEC at 1-800-SEC-0330 for more information about the public reference facilities.</w:t>
      </w:r>
    </w:p>
    <w:p>
      <w:pPr>
        <w:spacing w:after="0" w:line="189" w:lineRule="exact"/>
        <w:rPr>
          <w:sz w:val="20"/>
          <w:szCs w:val="20"/>
          <w:color w:val="auto"/>
        </w:rPr>
      </w:pPr>
    </w:p>
    <w:p>
      <w:pPr>
        <w:jc w:val="both"/>
        <w:ind w:right="2779" w:firstLine="858"/>
        <w:spacing w:after="0"/>
        <w:rPr>
          <w:sz w:val="20"/>
          <w:szCs w:val="20"/>
          <w:color w:val="auto"/>
        </w:rPr>
      </w:pPr>
      <w:r>
        <w:rPr>
          <w:rFonts w:ascii="Courier New" w:cs="Courier New" w:eastAsia="Courier New" w:hAnsi="Courier New"/>
          <w:sz w:val="16"/>
          <w:szCs w:val="16"/>
          <w:color w:val="auto"/>
        </w:rPr>
        <w:t>You can also inspect material filed by us at the offices of the NYSE, 20 Broad Street, New York, New York 10005, on which shares of our Common Stock are listed.</w:t>
      </w:r>
    </w:p>
    <w:p>
      <w:pPr>
        <w:spacing w:after="0" w:line="190" w:lineRule="exact"/>
        <w:rPr>
          <w:sz w:val="20"/>
          <w:szCs w:val="20"/>
          <w:color w:val="auto"/>
        </w:rPr>
      </w:pPr>
    </w:p>
    <w:p>
      <w:pPr>
        <w:ind w:right="2599" w:firstLine="858"/>
        <w:spacing w:after="0" w:line="241" w:lineRule="auto"/>
        <w:rPr>
          <w:sz w:val="20"/>
          <w:szCs w:val="20"/>
          <w:color w:val="auto"/>
        </w:rPr>
      </w:pPr>
      <w:r>
        <w:rPr>
          <w:rFonts w:ascii="Courier New" w:cs="Courier New" w:eastAsia="Courier New" w:hAnsi="Courier New"/>
          <w:sz w:val="16"/>
          <w:szCs w:val="16"/>
          <w:color w:val="auto"/>
        </w:rPr>
        <w:t>We maintain a website at http://www.wm.com, at which you can access our Annual Report on Form 10-K, Quarterly Reports on Form 10-Q and Current Reports on Form 8-K. We make those filings available on our website as soon as practicable.</w:t>
      </w:r>
    </w:p>
    <w:p>
      <w:pPr>
        <w:spacing w:after="0" w:line="370"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INCORPORATION BY REFERENCE</w:t>
      </w:r>
    </w:p>
    <w:p>
      <w:pPr>
        <w:spacing w:after="0" w:line="188"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The SEC allows us to "incorporate by reference" the information we file with them, which means that we can disclose important information to you by referring you to those documents. The information we incorporate by reference is considered to be a part of this prospectus and information that we file later with the SEC will automatically update and replace this information. We incorporate by reference the documents listed below and any future filings we make with the SEC under Sections 13(a), 13(c), 14 or 15(d) of the Securities Exchange Act of 1934, as amended (the "Exchange Act"):</w:t>
      </w:r>
    </w:p>
    <w:p>
      <w:pPr>
        <w:spacing w:after="0" w:line="189" w:lineRule="exact"/>
        <w:rPr>
          <w:sz w:val="20"/>
          <w:szCs w:val="20"/>
          <w:color w:val="auto"/>
        </w:rPr>
      </w:pPr>
    </w:p>
    <w:p>
      <w:pPr>
        <w:ind w:left="1720" w:right="2599" w:hanging="864"/>
        <w:spacing w:after="0" w:line="239" w:lineRule="auto"/>
        <w:tabs>
          <w:tab w:leader="none" w:pos="17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10-K for the year ended December 31, 2002;</w:t>
      </w:r>
    </w:p>
    <w:p>
      <w:pPr>
        <w:spacing w:after="0" w:line="189" w:lineRule="exact"/>
        <w:rPr>
          <w:rFonts w:ascii="Courier New" w:cs="Courier New" w:eastAsia="Courier New" w:hAnsi="Courier New"/>
          <w:sz w:val="16"/>
          <w:szCs w:val="16"/>
          <w:color w:val="auto"/>
        </w:rPr>
      </w:pPr>
    </w:p>
    <w:p>
      <w:pPr>
        <w:jc w:val="both"/>
        <w:ind w:left="1720" w:right="3059" w:hanging="864"/>
        <w:spacing w:after="0" w:line="271" w:lineRule="auto"/>
        <w:tabs>
          <w:tab w:leader="none" w:pos="17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10-Q for the quarters ended March 31, 2003, June 30, 2003 and September 30, 2003; and</w:t>
      </w:r>
    </w:p>
    <w:p>
      <w:pPr>
        <w:spacing w:after="0" w:line="166" w:lineRule="exact"/>
        <w:rPr>
          <w:rFonts w:ascii="Courier New" w:cs="Courier New" w:eastAsia="Courier New" w:hAnsi="Courier New"/>
          <w:sz w:val="15"/>
          <w:szCs w:val="15"/>
          <w:color w:val="auto"/>
        </w:rPr>
      </w:pPr>
    </w:p>
    <w:p>
      <w:pPr>
        <w:ind w:left="1720" w:right="2599" w:hanging="864"/>
        <w:spacing w:after="0" w:line="241" w:lineRule="auto"/>
        <w:tabs>
          <w:tab w:leader="none" w:pos="17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our Common Stock contained in our Registration Statement on Form 8-A filed with the SEC pursuant to Section 12 of the Exchange Act, on July 1, 1993, as amended on Form 8-B filed with the SEC on July 13, 1995.</w:t>
      </w:r>
    </w:p>
    <w:p>
      <w:pPr>
        <w:spacing w:after="0" w:line="189" w:lineRule="exact"/>
        <w:rPr>
          <w:sz w:val="20"/>
          <w:szCs w:val="20"/>
          <w:color w:val="auto"/>
        </w:rPr>
      </w:pPr>
    </w:p>
    <w:p>
      <w:pPr>
        <w:ind w:right="2599" w:firstLine="858"/>
        <w:spacing w:after="0"/>
        <w:rPr>
          <w:sz w:val="20"/>
          <w:szCs w:val="20"/>
          <w:color w:val="auto"/>
        </w:rPr>
      </w:pPr>
      <w:r>
        <w:rPr>
          <w:rFonts w:ascii="Courier New" w:cs="Courier New" w:eastAsia="Courier New" w:hAnsi="Courier New"/>
          <w:sz w:val="16"/>
          <w:szCs w:val="16"/>
          <w:color w:val="auto"/>
        </w:rPr>
        <w:t>You may request a copy of these filings, excluding the exhibits to such filings which we have not specifically incorporated by reference in such filings, at no cost, by writing or telephoning us at the following address:</w:t>
      </w:r>
    </w:p>
    <w:p>
      <w:pPr>
        <w:spacing w:after="0" w:line="187"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1001 Fannin Street, Suite 4000</w:t>
      </w:r>
    </w:p>
    <w:p>
      <w:pPr>
        <w:spacing w:after="0" w:line="2" w:lineRule="exact"/>
        <w:rPr>
          <w:sz w:val="20"/>
          <w:szCs w:val="20"/>
          <w:color w:val="auto"/>
        </w:rPr>
      </w:pPr>
    </w:p>
    <w:p>
      <w:pPr>
        <w:ind w:left="2100"/>
        <w:spacing w:after="0"/>
        <w:tabs>
          <w:tab w:leader="none" w:pos="3600" w:val="left"/>
        </w:tabs>
        <w:rPr>
          <w:sz w:val="20"/>
          <w:szCs w:val="20"/>
          <w:color w:val="auto"/>
        </w:rPr>
      </w:pPr>
      <w:r>
        <w:rPr>
          <w:rFonts w:ascii="Courier New" w:cs="Courier New" w:eastAsia="Courier New" w:hAnsi="Courier New"/>
          <w:sz w:val="16"/>
          <w:szCs w:val="16"/>
          <w:color w:val="auto"/>
        </w:rPr>
        <w:t>Houston, Texas</w:t>
        <w:tab/>
        <w:t>77002</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(713) 512-6200</w:t>
      </w:r>
    </w:p>
    <w:p>
      <w:pPr>
        <w:spacing w:after="0" w:line="2" w:lineRule="exact"/>
        <w:rPr>
          <w:sz w:val="20"/>
          <w:szCs w:val="20"/>
          <w:color w:val="auto"/>
        </w:rPr>
      </w:pPr>
    </w:p>
    <w:p>
      <w:pPr>
        <w:ind w:left="2100"/>
        <w:spacing w:after="0"/>
        <w:tabs>
          <w:tab w:leader="none" w:pos="322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5"/>
          <w:szCs w:val="15"/>
          <w:color w:val="auto"/>
        </w:rPr>
        <w:t>Corporate Secretary</w:t>
      </w:r>
    </w:p>
    <w:p>
      <w:pPr>
        <w:spacing w:after="0" w:line="369"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ABOUT THIS PROSPECTUS</w:t>
      </w:r>
    </w:p>
    <w:p>
      <w:pPr>
        <w:spacing w:after="0" w:line="188" w:lineRule="exact"/>
        <w:rPr>
          <w:sz w:val="20"/>
          <w:szCs w:val="20"/>
          <w:color w:val="auto"/>
        </w:rPr>
      </w:pPr>
    </w:p>
    <w:p>
      <w:pPr>
        <w:ind w:right="2879" w:firstLine="858"/>
        <w:spacing w:after="0"/>
        <w:rPr>
          <w:sz w:val="20"/>
          <w:szCs w:val="20"/>
          <w:color w:val="auto"/>
        </w:rPr>
      </w:pPr>
      <w:r>
        <w:rPr>
          <w:rFonts w:ascii="Courier New" w:cs="Courier New" w:eastAsia="Courier New" w:hAnsi="Courier New"/>
          <w:sz w:val="16"/>
          <w:szCs w:val="16"/>
          <w:color w:val="auto"/>
        </w:rPr>
        <w:t>In this prospectus, the terms "our," "we," "us," "Waste Management," and similar terms refer to Waste Management, Inc. and include all of our consolidated subsidiaries unless the context requires otherwise.</w:t>
      </w:r>
    </w:p>
    <w:p>
      <w:pPr>
        <w:spacing w:after="0" w:line="200" w:lineRule="exact"/>
        <w:rPr>
          <w:sz w:val="20"/>
          <w:szCs w:val="20"/>
          <w:color w:val="auto"/>
        </w:rPr>
      </w:pPr>
    </w:p>
    <w:p>
      <w:pPr>
        <w:spacing w:after="0" w:line="35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848" w:right="1440" w:bottom="1440" w:gutter="0" w:footer="0" w:header="0"/>
        </w:sectPr>
      </w:pPr>
    </w:p>
    <w:bookmarkStart w:id="5" w:name="page6"/>
    <w:bookmarkEnd w:id="5"/>
    <w:p>
      <w:pPr>
        <w:ind w:right="2679" w:firstLine="858"/>
        <w:spacing w:after="0" w:line="242" w:lineRule="auto"/>
        <w:rPr>
          <w:sz w:val="20"/>
          <w:szCs w:val="20"/>
          <w:color w:val="auto"/>
        </w:rPr>
      </w:pPr>
      <w:r>
        <w:rPr>
          <w:rFonts w:ascii="Courier New" w:cs="Courier New" w:eastAsia="Courier New" w:hAnsi="Courier New"/>
          <w:sz w:val="16"/>
          <w:szCs w:val="16"/>
          <w:color w:val="auto"/>
        </w:rPr>
        <w:t>This prospectus is part of a registration statement we filed with the SEC. You should rely only on the information provided or incorporated by reference in this prospectus or any related supplement. We have not authorized anyone else to provide you with different information. The Selling Stockholders will not make an offer of these shares in any state where the offer is not permitted. You should not assume that the information in this prospectus or any supplement is accurate as of any other date than the date on the front of those documents.</w:t>
      </w:r>
    </w:p>
    <w:p>
      <w:pPr>
        <w:spacing w:after="0" w:line="369"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GENERAL INFORMATION</w:t>
      </w:r>
    </w:p>
    <w:p>
      <w:pPr>
        <w:spacing w:after="0" w:line="188"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Waste Management is its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governmental entities and independent power market participants.</w:t>
      </w:r>
    </w:p>
    <w:p>
      <w:pPr>
        <w:spacing w:after="0" w:line="188"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Our principal executive offices are located at 1001 Fannin Street, Suite 4000, Houston, Texas 77002. Our telephone number at that address is (713) 512-6200. Our website address is http://www.wm.com.</w:t>
      </w:r>
    </w:p>
    <w:p>
      <w:pPr>
        <w:spacing w:after="0" w:line="190" w:lineRule="exact"/>
        <w:rPr>
          <w:sz w:val="20"/>
          <w:szCs w:val="20"/>
          <w:color w:val="auto"/>
        </w:rPr>
      </w:pPr>
    </w:p>
    <w:p>
      <w:pPr>
        <w:ind w:right="2599" w:firstLine="858"/>
        <w:spacing w:after="0" w:line="241" w:lineRule="auto"/>
        <w:rPr>
          <w:sz w:val="20"/>
          <w:szCs w:val="20"/>
          <w:color w:val="auto"/>
        </w:rPr>
      </w:pPr>
      <w:r>
        <w:rPr>
          <w:rFonts w:ascii="Courier New" w:cs="Courier New" w:eastAsia="Courier New" w:hAnsi="Courier New"/>
          <w:sz w:val="16"/>
          <w:szCs w:val="16"/>
          <w:color w:val="auto"/>
        </w:rPr>
        <w:t>The shares of Common Stock offered hereby will be issued to the Selling Stockholders upon conversion of stock units awarded to them under the Plan and will be sold for the account of the Selling Stockholders. For more information on the shares of Common Stock offered for sale, see Section entitled, "Selling Stockholders," included herein.</w:t>
      </w:r>
    </w:p>
    <w:p>
      <w:pPr>
        <w:spacing w:after="0" w:line="371"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RISK FACTORS</w:t>
      </w:r>
    </w:p>
    <w:p>
      <w:pPr>
        <w:spacing w:after="0" w:line="186"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Risks Relating to Our Business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INFLUENCING FUTURE RESULTS AND ACCURACY OF FORWARD-LOOKING STATEMENTS</w:t>
      </w:r>
    </w:p>
    <w:p>
      <w:pPr>
        <w:spacing w:after="0" w:line="188"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When we make statements containing projections about our accounting and finances, plans and objectives for the future, future economic performance, or when we make statements containing any other projections or estimates about our assumptions relating to these types of statements, we are making forward-looking statements. These statements usually relate to future events and anticipated revenues, earnings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have no control over. Any of these factors, either alone or taken together, could have a material adverse effect on us and could change whether any forward-looking statement ultimately turns out to be true. Additionally, we assume no obligation to update any forward-looking statements as a result of future events or developments.</w:t>
      </w:r>
    </w:p>
    <w:p>
      <w:pPr>
        <w:spacing w:after="0" w:line="194" w:lineRule="exact"/>
        <w:rPr>
          <w:sz w:val="20"/>
          <w:szCs w:val="20"/>
          <w:color w:val="auto"/>
        </w:rPr>
      </w:pPr>
    </w:p>
    <w:p>
      <w:pPr>
        <w:ind w:right="2599" w:firstLine="858"/>
        <w:spacing w:after="0" w:line="241" w:lineRule="auto"/>
        <w:rPr>
          <w:sz w:val="20"/>
          <w:szCs w:val="20"/>
          <w:color w:val="auto"/>
        </w:rPr>
      </w:pPr>
      <w:r>
        <w:rPr>
          <w:rFonts w:ascii="Courier New" w:cs="Courier New" w:eastAsia="Courier New" w:hAnsi="Courier New"/>
          <w:sz w:val="16"/>
          <w:szCs w:val="16"/>
          <w:color w:val="auto"/>
        </w:rPr>
        <w:t>Outlined below are some of the risks that we face and that could affect our business and financial statements for 2003 and beyond. However, they are not the only risks that we face. There may be additional risks that we do not presently know of or that we currently believe are immaterial which could also impair our business.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COULD BE LIABLE FOR ENVIRONMENTAL DAMAGES RESULTING FROM OUR OPERATIONS</w:t>
      </w:r>
    </w:p>
    <w:p>
      <w:pPr>
        <w:spacing w:after="0" w:line="188"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We could be liable if our operations cause environmental damage to our properties or to that of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 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37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51" w:right="1440" w:bottom="938" w:gutter="0" w:footer="0" w:header="0"/>
        </w:sectPr>
      </w:pPr>
    </w:p>
    <w:bookmarkStart w:id="6" w:name="page7"/>
    <w:bookmarkEnd w:id="6"/>
    <w:p>
      <w:pPr>
        <w:ind w:left="960" w:right="2679" w:hanging="485"/>
        <w:spacing w:after="0" w:line="241"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189" w:lineRule="exact"/>
        <w:rPr>
          <w:rFonts w:ascii="Courier New" w:cs="Courier New" w:eastAsia="Courier New" w:hAnsi="Courier New"/>
          <w:sz w:val="16"/>
          <w:szCs w:val="16"/>
          <w:color w:val="auto"/>
        </w:rPr>
      </w:pPr>
    </w:p>
    <w:p>
      <w:pPr>
        <w:ind w:left="960" w:right="2599" w:hanging="485"/>
        <w:spacing w:after="0" w:line="263" w:lineRule="auto"/>
        <w:tabs>
          <w:tab w:leader="none" w:pos="9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172" w:lineRule="exact"/>
        <w:rPr>
          <w:sz w:val="20"/>
          <w:szCs w:val="20"/>
          <w:color w:val="auto"/>
        </w:rPr>
      </w:pPr>
    </w:p>
    <w:p>
      <w:pPr>
        <w:ind w:right="2599" w:firstLine="1144"/>
        <w:spacing w:after="0" w:line="239" w:lineRule="auto"/>
        <w:rPr>
          <w:sz w:val="20"/>
          <w:szCs w:val="20"/>
          <w:color w:val="auto"/>
        </w:rPr>
      </w:pPr>
      <w:r>
        <w:rPr>
          <w:rFonts w:ascii="Courier New" w:cs="Courier New" w:eastAsia="Courier New" w:hAnsi="Courier New"/>
          <w:sz w:val="16"/>
          <w:szCs w:val="16"/>
          <w:color w:val="auto"/>
        </w:rPr>
        <w:t>The adverse outcome of one or more of these proceedings could result in, among other things, material increases in our liabilities.</w:t>
      </w:r>
    </w:p>
    <w:p>
      <w:pPr>
        <w:spacing w:after="0" w:line="189"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If we are not successful in such resolutions, we may incur fines, penalties or other sanctions that could result in material unanticipated costs or liabilities.</w:t>
      </w:r>
    </w:p>
    <w:p>
      <w:pPr>
        <w:spacing w:after="0" w:line="189" w:lineRule="exact"/>
        <w:rPr>
          <w:sz w:val="20"/>
          <w:szCs w:val="20"/>
          <w:color w:val="auto"/>
        </w:rPr>
      </w:pPr>
    </w:p>
    <w:p>
      <w:pPr>
        <w:ind w:right="2599" w:firstLine="1144"/>
        <w:spacing w:after="0" w:line="261" w:lineRule="auto"/>
        <w:rPr>
          <w:sz w:val="20"/>
          <w:szCs w:val="20"/>
          <w:color w:val="auto"/>
        </w:rPr>
      </w:pPr>
      <w:r>
        <w:rPr>
          <w:rFonts w:ascii="Courier New" w:cs="Courier New" w:eastAsia="Courier New" w:hAnsi="Courier New"/>
          <w:sz w:val="15"/>
          <w:szCs w:val="15"/>
          <w:color w:val="auto"/>
        </w:rPr>
        <w:t>The amount of insurance required to be maintained for environmental liability is governed by statutory requirements. We believe that the cost for such insurance is high relative to the coverage it would provide, and therefore, our coverages are generally maintained at the minimum statutorily required levels. We face the risk of incurring liabilities for environmental damage if our insurance coverage is ultimately inadequate to cover those damages.</w:t>
      </w:r>
    </w:p>
    <w:p>
      <w:pPr>
        <w:spacing w:after="0" w:line="175"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In addition, to fulfill our financial assurance obligations with respect to environmental closure and post-closure liabilities, we generally obtain letters of credit or surety bonds, or rely on insurance, including captive insurance. We currently have in place all necessary financial assurance instruments, and we do not anticipate any difficulties obtaining financial assurance instruments in the future, although the cost of such assurance instruments has increased and may continue to increase. However, in the event we 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 and our ability to meet our obligations as they become due.</w:t>
      </w:r>
    </w:p>
    <w:p>
      <w:pPr>
        <w:spacing w:after="0" w:line="192"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GOVERNMENTAL REGULATIONS OR LEVIES MAY RESTRICT OUR OPERATIONS OR INCREASE OUR COSTS OF OPERATIONS</w:t>
      </w:r>
    </w:p>
    <w:p>
      <w:pPr>
        <w:spacing w:after="0" w:line="189"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Stringent government regulations at the federal, state, provincial,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188" w:lineRule="exact"/>
        <w:rPr>
          <w:sz w:val="20"/>
          <w:szCs w:val="20"/>
          <w:color w:val="auto"/>
        </w:rPr>
      </w:pPr>
    </w:p>
    <w:p>
      <w:pPr>
        <w:ind w:left="960" w:right="3059" w:hanging="48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siting and construction of new waste disposal, transfer or processing facilities or the expansion of existing facilities;</w:t>
      </w:r>
    </w:p>
    <w:p>
      <w:pPr>
        <w:spacing w:after="0" w:line="189" w:lineRule="exact"/>
        <w:rPr>
          <w:rFonts w:ascii="Courier New" w:cs="Courier New" w:eastAsia="Courier New" w:hAnsi="Courier New"/>
          <w:sz w:val="16"/>
          <w:szCs w:val="16"/>
          <w:color w:val="auto"/>
        </w:rPr>
      </w:pPr>
    </w:p>
    <w:p>
      <w:pPr>
        <w:ind w:left="960" w:right="2679" w:hanging="485"/>
        <w:spacing w:after="0" w:line="239"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regulations or levies on collection and disposal prices, rates and volumes;</w:t>
      </w:r>
    </w:p>
    <w:p>
      <w:pPr>
        <w:spacing w:after="0" w:line="189" w:lineRule="exact"/>
        <w:rPr>
          <w:rFonts w:ascii="Courier New" w:cs="Courier New" w:eastAsia="Courier New" w:hAnsi="Courier New"/>
          <w:sz w:val="16"/>
          <w:szCs w:val="16"/>
          <w:color w:val="auto"/>
        </w:rPr>
      </w:pPr>
    </w:p>
    <w:p>
      <w:pPr>
        <w:ind w:left="960" w:right="3059" w:hanging="485"/>
        <w:spacing w:after="0" w:line="239"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or bans on disposal or transportation of out-of-state waste or certain categories of waste; or</w:t>
      </w:r>
    </w:p>
    <w:p>
      <w:pPr>
        <w:spacing w:after="0" w:line="186" w:lineRule="exact"/>
        <w:rPr>
          <w:rFonts w:ascii="Courier New" w:cs="Courier New" w:eastAsia="Courier New" w:hAnsi="Courier New"/>
          <w:sz w:val="16"/>
          <w:szCs w:val="16"/>
          <w:color w:val="auto"/>
        </w:rPr>
      </w:pPr>
    </w:p>
    <w:p>
      <w:pPr>
        <w:ind w:left="960" w:hanging="48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mandates regarding the disposal of solid waste.</w:t>
      </w:r>
    </w:p>
    <w:p>
      <w:pPr>
        <w:spacing w:after="0" w:line="188" w:lineRule="exact"/>
        <w:rPr>
          <w:sz w:val="20"/>
          <w:szCs w:val="20"/>
          <w:color w:val="auto"/>
        </w:rPr>
      </w:pPr>
    </w:p>
    <w:p>
      <w:pPr>
        <w:ind w:right="2679" w:firstLine="1144"/>
        <w:spacing w:after="0" w:line="262" w:lineRule="auto"/>
        <w:rPr>
          <w:sz w:val="20"/>
          <w:szCs w:val="20"/>
          <w:color w:val="auto"/>
        </w:rPr>
      </w:pPr>
      <w:r>
        <w:rPr>
          <w:rFonts w:ascii="Courier New" w:cs="Courier New" w:eastAsia="Courier New" w:hAnsi="Courier New"/>
          <w:sz w:val="15"/>
          <w:szCs w:val="15"/>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35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67" w:right="1440" w:bottom="1440" w:gutter="0" w:footer="0" w:header="0"/>
        </w:sectPr>
      </w:pPr>
    </w:p>
    <w:bookmarkStart w:id="7" w:name="page8"/>
    <w:bookmarkEnd w:id="7"/>
    <w:p>
      <w:pPr>
        <w:ind w:right="2979" w:firstLine="1144"/>
        <w:spacing w:after="0" w:line="242" w:lineRule="auto"/>
        <w:rPr>
          <w:sz w:val="20"/>
          <w:szCs w:val="20"/>
          <w:color w:val="auto"/>
        </w:rPr>
      </w:pPr>
      <w:r>
        <w:rPr>
          <w:rFonts w:ascii="Courier New" w:cs="Courier New" w:eastAsia="Courier New" w:hAnsi="Courier New"/>
          <w:sz w:val="16"/>
          <w:szCs w:val="16"/>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operations.</w:t>
      </w:r>
    </w:p>
    <w:p>
      <w:pPr>
        <w:spacing w:after="0" w:line="187"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THE POSSIBILITY OF PENDING ACQUISITIONS, DISPOSAL SITE DEVELOPMENTS OR EXPANSION PROJECTS NOT BEING COMPLETED OR CERTAIN OTHER EVENTS COULD RESULT IN A MATERIAL CHARGE AGAINST OUR EARNINGS</w:t>
      </w:r>
    </w:p>
    <w:p>
      <w:pPr>
        <w:spacing w:after="0" w:line="190"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or determined to be impaired, any pending acquisition that is not consummated and any disposal site development or expansion project that is not completed or determined to be impaired. The charge against earnings is reduced by any portion of the capitalized expenditure and advances that we estimate will be recoverable, through sale or otherwise. In future periods, we may be required to incur charges against earnings in accordance with this policy, or due to other events that cause impairments. Depending on the magnitude, any such charges could have a material adverse effect on our results of operations and possibly our financial covenants, which could negatively affect our liquidity.</w:t>
      </w:r>
    </w:p>
    <w:p>
      <w:pPr>
        <w:spacing w:after="0" w:line="194"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THE DEVELOPMENT AND ACCEPTANCE OF ALTERNATIVES TO LANDFILL DISPOSAL AND WASTE-TO-ENERGY FACILITIES COULD REDUCE OUR ABILITY TO OPERATE AT FULL CAPACITY</w:t>
      </w:r>
    </w:p>
    <w:p>
      <w:pPr>
        <w:spacing w:after="0" w:line="189"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Our customers are increasingly using alternatives to landfill disposal, such as recycling and composting. In addition, some state and local governments mandate recycling and waste reduction at the source and prohibit the disposal of certain types of wastes, such as yard wastes, at landfills or waste-to-energy facilities. Although such mandates are a useful tool to protect our environment, these developments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190"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6"/>
          <w:szCs w:val="16"/>
          <w:color w:val="auto"/>
        </w:rPr>
        <w:t>OUR BUSINESS IS SEASONAL IN NATURE AND OUR REVENUES AND RESULTS VARY FROM QUARTER-TO-QUARTER</w:t>
      </w:r>
    </w:p>
    <w:p>
      <w:pPr>
        <w:spacing w:after="0" w:line="189" w:lineRule="exact"/>
        <w:rPr>
          <w:sz w:val="20"/>
          <w:szCs w:val="20"/>
          <w:color w:val="auto"/>
        </w:rPr>
      </w:pPr>
    </w:p>
    <w:p>
      <w:pPr>
        <w:ind w:right="2679" w:firstLine="1144"/>
        <w:spacing w:after="0" w:line="242" w:lineRule="auto"/>
        <w:rPr>
          <w:sz w:val="20"/>
          <w:szCs w:val="20"/>
          <w:color w:val="auto"/>
        </w:rPr>
      </w:pPr>
      <w:r>
        <w:rPr>
          <w:rFonts w:ascii="Courier New" w:cs="Courier New" w:eastAsia="Courier New" w:hAnsi="Courier New"/>
          <w:sz w:val="16"/>
          <w:szCs w:val="16"/>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are adversely affected by this seasonality. In addition, particularly harsh weather conditions may result in the temporary suspension of certain of our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FLUCTUATIONS IN COMMODITY PRICES AFFECT OUR OPERATING REVENUES</w:t>
      </w:r>
    </w:p>
    <w:p>
      <w:pPr>
        <w:spacing w:after="0" w:line="188" w:lineRule="exact"/>
        <w:rPr>
          <w:sz w:val="20"/>
          <w:szCs w:val="20"/>
          <w:color w:val="auto"/>
        </w:rPr>
      </w:pPr>
    </w:p>
    <w:p>
      <w:pPr>
        <w:ind w:right="2679" w:firstLine="1144"/>
        <w:spacing w:after="0" w:line="260" w:lineRule="auto"/>
        <w:rPr>
          <w:sz w:val="20"/>
          <w:szCs w:val="20"/>
          <w:color w:val="auto"/>
        </w:rPr>
      </w:pPr>
      <w:r>
        <w:rPr>
          <w:rFonts w:ascii="Courier New" w:cs="Courier New" w:eastAsia="Courier New" w:hAnsi="Courier New"/>
          <w:sz w:val="15"/>
          <w:szCs w:val="15"/>
          <w:color w:val="auto"/>
        </w:rPr>
        <w:t>Our recycling operations process for sale certain recyclable materials, including fibers, aluminum and glass, all of which are subject to significant price fluctuations. The majority of the recyclables that we process for sale are fibers, including old corrugated cardboard, or ("OCC"), and old newsprint, or ("ONP"). We enter into financial swaps in an effort to mitigate some of the variability in cash flows from the sales of fibers at floating prices. In the past three years, the year-over-year changes in the quarterly average market prices for OCC ranged from a decrease of as much as 63% to an increase of as much as 109%. The same comparisons for ONP have ranged from a decrease of as much as 46% to an increase of as much as 47%. These fluctuations can affect future operating income and cash flows; for example, our operating revenues for the year ended December 31, 2002 were approximately $69 million more than the corresponding prior period due to such fluctuations.</w:t>
      </w:r>
    </w:p>
    <w:p>
      <w:pPr>
        <w:spacing w:after="0" w:line="175"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Additionally, there may be significant price fluctuations in the price of methane gas, electricity and other energy related products that are marketed and sold by our landfill gas recovery, waste-to-energy and independent power production plants operations. Our landfill gas recovery and waste-to-energy operations generally enter into long-term sales agreements. Therefore, market fluctuations do not have a significant effect on these operations in the short-term. However, revenues from our IPPs can be effected by price fluctuations. In the past two years, the year-over-year changes in the average quarterly electricity prices have ranged from increases of as much as 78% to decreases of as</w:t>
      </w:r>
    </w:p>
    <w:p>
      <w:pPr>
        <w:spacing w:after="0" w:line="200" w:lineRule="exact"/>
        <w:rPr>
          <w:sz w:val="20"/>
          <w:szCs w:val="20"/>
          <w:color w:val="auto"/>
        </w:rPr>
      </w:pPr>
    </w:p>
    <w:p>
      <w:pPr>
        <w:spacing w:after="0" w:line="35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51" w:right="1440" w:bottom="21" w:gutter="0" w:footer="0" w:header="0"/>
        </w:sectPr>
      </w:pPr>
    </w:p>
    <w:bookmarkStart w:id="8" w:name="page9"/>
    <w:bookmarkEnd w:id="8"/>
    <w:p>
      <w:pPr>
        <w:ind w:right="2679"/>
        <w:spacing w:after="0" w:line="271" w:lineRule="auto"/>
        <w:rPr>
          <w:sz w:val="20"/>
          <w:szCs w:val="20"/>
          <w:color w:val="auto"/>
        </w:rPr>
      </w:pPr>
      <w:r>
        <w:rPr>
          <w:rFonts w:ascii="Courier New" w:cs="Courier New" w:eastAsia="Courier New" w:hAnsi="Courier New"/>
          <w:sz w:val="15"/>
          <w:szCs w:val="15"/>
          <w:color w:val="auto"/>
        </w:rPr>
        <w:t>much as 52%. For the year ended December 31, 2002, our revenues decreased, when compared to the prior year, by $34 million due to lower electricity prices.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FACE UNCERTAINTIES RELATING TO PENDING LITIGATION AND INVESTIGATIONS</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We and some of our subsidiaries are currently involved in civil litigation and governmental proceedings relating to the conduct of our business. The timing of the final resolutions to these matters is uncertain. Additionally, the possible outcomes or resolutions to these matters could include judgments against us or settlements, either of which could require substantial payments by us, adversely affecting our liquidity.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INTENSE COMPETITION COULD REDUCE OUR PROFITABILITY</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We encounter intense competition from governmental, quasi-governmental and private sources in all aspects of our operations. In North America, the industry consists of large national waste management companies, and local and regional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and tax-exempt financing are available to them. Also, such governmental units may attempt to impose flow control or other restrictions that would give them a competitive advantage. In addition, competitors may reduce their prices to expand sales volume or to win competitively bid municipal contracts.</w:t>
      </w:r>
    </w:p>
    <w:p>
      <w:pPr>
        <w:spacing w:after="0" w:line="374"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6"/>
          <w:szCs w:val="16"/>
          <w:color w:val="auto"/>
        </w:rPr>
        <w:t>EFFORTS BY LABOR UNIONS TO ORGANIZE OUR EMPLOYEES COULD DIVERT MANAGEMENT ATTENTION AND INCREASE OUR OPERATING EXPENSES</w:t>
      </w:r>
    </w:p>
    <w:p>
      <w:pPr>
        <w:spacing w:after="0" w:line="189"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Labor unions constantly make attempts to organize our employees, and these efforts will likely continue in the future. Certain groups of our employees have chosen to be represented by unions, and we have negotiated collective bargaining agreements with some of the groups. Additional groups of employees may seek union representation in the future, and the negotiation of collective bargaining agreements could divert management attention and result in increased operating expenses and lower net income. If we are unable to negotiate acceptable collective bargaining agreements, we might have to wait through "cooling off" periods, which are often followed by union-initiated work stoppages, including strikes. Depending on the type and duration of any labor disruptions, our operating expenses could increase significantly, which could adversely affect our financial condition, results of operations and cash flows.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FLUCTUATIONS IN FUEL COSTS COULD AFFECT OUR OPERATING EXPENSES AND RESULTS</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The price and supply of fuel is unpredictable and fluctuates based on events outside our control, including geopolitical developments, supply and demand for oil and gas, actions by OPEC and other oil and gas producers, war and unrest in oil producing countries, regional production patterns and environmental concerns. Fuel is needed to run our collection and transfer trucks, and any price escalations or reductions in the supply could increase our operating expenses and have a negative impact on our consolidated financial condition, results of operations and cash flows. We have implemented a fuel surcharge to partially offset increased fuel costs. However, we are not always able to pass through all of the increased fuel costs due to the terms of certain customers' contracts.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FACE RISKS RELATING TO GENERAL ECONOMIC CONDITIONS</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We face risks related to general economic and market conditions, including the potential impact of the status of the economy and interest rate fluctuations. We also face risks related to other adverse external economic conditions, such as the ability of our insurers to timely meet their commitments and the effect that significant claims or litigation against insurance companies may have on such ability. Any negative general economic conditions could materially adversely affect our financial condition, results of operations and cash flows.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NEED ADDITIONAL CAPITAL</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We currently expect to meet our anticipated cash needs for capital expenditures, acquisitions and other cash expenditures with our cash flows from operations and, to the extent necessary, additional financings. However, our Board of Directors has approved a stock repurchase program pursuant to which we may, at management's discretion, repurchase up to $1 billion of our Common Stock in both 2003 and 2004. In addition, the Board of Directors recently</w:t>
      </w:r>
    </w:p>
    <w:p>
      <w:pPr>
        <w:spacing w:after="0" w:line="36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51" w:right="1440" w:bottom="938" w:gutter="0" w:footer="0" w:header="0"/>
        </w:sectPr>
      </w:pPr>
    </w:p>
    <w:bookmarkStart w:id="9" w:name="page10"/>
    <w:bookmarkEnd w:id="9"/>
    <w:p>
      <w:pPr>
        <w:ind w:right="2599"/>
        <w:spacing w:after="0" w:line="242" w:lineRule="auto"/>
        <w:rPr>
          <w:sz w:val="20"/>
          <w:szCs w:val="20"/>
          <w:color w:val="auto"/>
        </w:rPr>
      </w:pPr>
      <w:r>
        <w:rPr>
          <w:rFonts w:ascii="Courier New" w:cs="Courier New" w:eastAsia="Courier New" w:hAnsi="Courier New"/>
          <w:sz w:val="16"/>
          <w:szCs w:val="16"/>
          <w:color w:val="auto"/>
        </w:rPr>
        <w:t>approved an increase in our dividend policy to $0.75 per share annually. The dividend is expected to be paid in equal quarterly installments with the first payment anticipated to be made in March 2004. If our cash flows from operations are less than is currently expected, or our capital expenditures or acquisitions increase, we may elect to incur more indebtedness. However, there can be no assurances that we will be able to obtain additional financings on acceptable terms. In these circumstances, we would likely use our revolving credit facilities to meet our cash needs.</w:t>
      </w:r>
    </w:p>
    <w:p>
      <w:pPr>
        <w:spacing w:after="0" w:line="189"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Our credit facilities require us to comply with certain financial ratios. However, if our cash flows are less than expected, our capital requirements are more than expected or we incur additional indebtedness, we may not be in compliance with the ratios. This would result in a default under our credit facilities. If we were unable to obtain waivers or amendments to the credit facilities, the lenders could choose to declare all outstanding borrowings immediately due and payable, which we may not be able to pay in full. The default under or unavailability of our credit agreements could have a material adverse effect on our ability to meet our borrowing and bonding needs.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ENCOUNTER DIFFICULTIES DEPLOYING OUR ENTERPRISE SOFTWARE</w:t>
      </w:r>
    </w:p>
    <w:p>
      <w:pPr>
        <w:spacing w:after="0" w:line="188" w:lineRule="exact"/>
        <w:rPr>
          <w:sz w:val="20"/>
          <w:szCs w:val="20"/>
          <w:color w:val="auto"/>
        </w:rPr>
      </w:pPr>
    </w:p>
    <w:p>
      <w:pPr>
        <w:jc w:val="both"/>
        <w:ind w:right="2879" w:firstLine="1144"/>
        <w:spacing w:after="0"/>
        <w:rPr>
          <w:sz w:val="20"/>
          <w:szCs w:val="20"/>
          <w:color w:val="auto"/>
        </w:rPr>
      </w:pPr>
      <w:r>
        <w:rPr>
          <w:rFonts w:ascii="Courier New" w:cs="Courier New" w:eastAsia="Courier New" w:hAnsi="Courier New"/>
          <w:sz w:val="16"/>
          <w:szCs w:val="16"/>
          <w:color w:val="auto"/>
        </w:rPr>
        <w:t>Upon implementation of new information technology systems, we may experience problems that could adversely affect, or even temporarily disrupt, all or a portion of our operations until resolved.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CHANGES IN ACCOUNTING RULES COULD ADVERSELY AFFECT OUR OPERATING RESULTS</w:t>
      </w:r>
    </w:p>
    <w:p>
      <w:pPr>
        <w:spacing w:after="0" w:line="188" w:lineRule="exact"/>
        <w:rPr>
          <w:sz w:val="20"/>
          <w:szCs w:val="20"/>
          <w:color w:val="auto"/>
        </w:rPr>
      </w:pPr>
    </w:p>
    <w:p>
      <w:pPr>
        <w:ind w:right="3059" w:firstLine="1144"/>
        <w:spacing w:after="0"/>
        <w:rPr>
          <w:sz w:val="20"/>
          <w:szCs w:val="20"/>
          <w:color w:val="auto"/>
        </w:rPr>
      </w:pPr>
      <w:r>
        <w:rPr>
          <w:rFonts w:ascii="Courier New" w:cs="Courier New" w:eastAsia="Courier New" w:hAnsi="Courier New"/>
          <w:sz w:val="16"/>
          <w:szCs w:val="16"/>
          <w:color w:val="auto"/>
        </w:rPr>
        <w:t>Changes in accounting rules, including new accounting rules and interpretations, could adversely affect our operating results or cause unanticipated fluctuations in our operating results in future periods.</w:t>
      </w:r>
    </w:p>
    <w:p>
      <w:pPr>
        <w:spacing w:after="0" w:line="187"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RISKS RELATING TO AN INVESTMENT IN COMMON STOCK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EFFECT OF CERTAIN ANTI-TAKEOVER PROVISIONS</w:t>
      </w:r>
    </w:p>
    <w:p>
      <w:pPr>
        <w:spacing w:after="0" w:line="188" w:lineRule="exact"/>
        <w:rPr>
          <w:sz w:val="20"/>
          <w:szCs w:val="20"/>
          <w:color w:val="auto"/>
        </w:rPr>
      </w:pPr>
    </w:p>
    <w:p>
      <w:pPr>
        <w:ind w:right="2599" w:firstLine="1144"/>
        <w:spacing w:after="0" w:line="242" w:lineRule="auto"/>
        <w:rPr>
          <w:sz w:val="20"/>
          <w:szCs w:val="20"/>
          <w:color w:val="auto"/>
        </w:rPr>
      </w:pPr>
      <w:r>
        <w:rPr>
          <w:rFonts w:ascii="Courier New" w:cs="Courier New" w:eastAsia="Courier New" w:hAnsi="Courier New"/>
          <w:sz w:val="16"/>
          <w:szCs w:val="16"/>
          <w:color w:val="auto"/>
        </w:rPr>
        <w:t>Certain provisions of our Certificate of Incorporation and Bylaws may make it more difficult for a third party to acquire us in a transaction that is not approved by our Board of Directors. For example, our Board of Directors has the power to issue up to 10,000,000 shares of preferred stock in one or more series, and to fix the rights and preferences of any series, without further authorization by the holders of our Common Stock. This provision is designed to permit us to develop our businesses and foster our long-term growth without the disruption caused by the threat of a takeover that our Board of Directors does not think is in our best interests or in the best interests of our stockholders. Also, third parties may be discouraged from making a tender offer or otherwise attempting to gain control of us even though the attempt might be beneficial economically to us and our stockholders.</w:t>
      </w:r>
    </w:p>
    <w:p>
      <w:pPr>
        <w:spacing w:after="0" w:line="37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USE OF PROCEEDS</w:t>
      </w:r>
    </w:p>
    <w:p>
      <w:pPr>
        <w:spacing w:after="0" w:line="188" w:lineRule="exact"/>
        <w:rPr>
          <w:sz w:val="20"/>
          <w:szCs w:val="20"/>
          <w:color w:val="auto"/>
        </w:rPr>
      </w:pPr>
    </w:p>
    <w:p>
      <w:pPr>
        <w:ind w:right="2979" w:firstLine="858"/>
        <w:spacing w:after="0" w:line="239" w:lineRule="auto"/>
        <w:rPr>
          <w:sz w:val="20"/>
          <w:szCs w:val="20"/>
          <w:color w:val="auto"/>
        </w:rPr>
      </w:pPr>
      <w:r>
        <w:rPr>
          <w:rFonts w:ascii="Courier New" w:cs="Courier New" w:eastAsia="Courier New" w:hAnsi="Courier New"/>
          <w:sz w:val="16"/>
          <w:szCs w:val="16"/>
          <w:color w:val="auto"/>
        </w:rPr>
        <w:t>The Company will not receive any of the proceeds from the offer and sale of the shares of our Common Stock by the Selling Stockholders.</w:t>
      </w:r>
    </w:p>
    <w:p>
      <w:pPr>
        <w:spacing w:after="0" w:line="370"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SELLING STOCKHOLDERS</w:t>
      </w:r>
    </w:p>
    <w:p>
      <w:pPr>
        <w:spacing w:after="0" w:line="188"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This prospectus relates to the offer and sale of shares of our Common Stock by the Selling Stockholders. The Selling Stockholders are all members, or former members, of our Board of Directors. They will acquire the shares they are offering hereby pursuant to the Plan. Under the Plan, certain of the compensation payable to the directors is credited to an account for each director in the form of stock units that are equal in value to shares of Common Stock. The stock units are paid out in shares following termination of the directors' service.</w:t>
      </w:r>
    </w:p>
    <w:p>
      <w:pPr>
        <w:spacing w:after="0" w:line="189"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The following table sets forth (i) the number of shares of Common Stock beneficially owned by each Selling Stockholder at October 31, 2003, (ii) the number of shares of Common Stock to be offered hereby by each Selling Stockholder and (iii) the number of shares of Common Stock to be held by each Selling Stockholder after completion of the offering, assuming all of the Selling Stockholders sell all of the shares offered hereby:</w:t>
      </w:r>
    </w:p>
    <w:p>
      <w:pPr>
        <w:spacing w:after="0" w:line="200" w:lineRule="exact"/>
        <w:rPr>
          <w:sz w:val="20"/>
          <w:szCs w:val="20"/>
          <w:color w:val="auto"/>
        </w:rPr>
      </w:pPr>
    </w:p>
    <w:p>
      <w:pPr>
        <w:spacing w:after="0" w:line="35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7" w:right="1440" w:bottom="1440" w:gutter="0" w:footer="0" w:header="0"/>
        </w:sectPr>
      </w:pPr>
    </w:p>
    <w:bookmarkStart w:id="10" w:name="page11"/>
    <w:bookmarkEnd w:id="10"/>
    <w:p>
      <w:pPr>
        <w:jc w:val="center"/>
        <w:ind w:right="9079"/>
        <w:spacing w:after="0"/>
        <w:rPr>
          <w:sz w:val="20"/>
          <w:szCs w:val="20"/>
          <w:color w:val="auto"/>
        </w:rPr>
      </w:pPr>
      <w:r>
        <w:rPr>
          <w:rFonts w:ascii="Courier New" w:cs="Courier New" w:eastAsia="Courier New" w:hAnsi="Courier New"/>
          <w:sz w:val="16"/>
          <w:szCs w:val="16"/>
          <w:color w:val="auto"/>
        </w:rPr>
        <w:t>NAME NUMBER</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OF SHARES</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OF COMMON</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NUMBER OF</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NUMBER OF</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STOCK HELD</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AS OF STOCK</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TO BE</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OFFERED FOR</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SALE STOCK</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TO BE OWNED</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AFTER</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OCTOBER 31,</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2003 (1)</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COMPLETION</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OF OFFERING</w:t>
      </w:r>
    </w:p>
    <w:p>
      <w:pPr>
        <w:spacing w:after="0" w:line="2" w:lineRule="exact"/>
        <w:rPr>
          <w:sz w:val="20"/>
          <w:szCs w:val="20"/>
          <w:color w:val="auto"/>
        </w:rPr>
      </w:pPr>
    </w:p>
    <w:p>
      <w:pPr>
        <w:ind w:left="420" w:hanging="378"/>
        <w:spacing w:after="0"/>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H. Jesse</w:t>
      </w:r>
    </w:p>
    <w:p>
      <w:pPr>
        <w:spacing w:after="0" w:line="2"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Arnelle</w:t>
      </w:r>
    </w:p>
    <w:p>
      <w:pPr>
        <w:spacing w:after="0" w:line="2"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37,243(3)</w:t>
      </w:r>
    </w:p>
    <w:p>
      <w:pPr>
        <w:spacing w:after="0" w:line="2"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1,724</w:t>
      </w:r>
    </w:p>
    <w:p>
      <w:pPr>
        <w:spacing w:after="0" w:line="2"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35,519</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Pastora San</w:t>
      </w:r>
    </w:p>
    <w:p>
      <w:pPr>
        <w:spacing w:after="0" w:line="2"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Juan</w:t>
      </w:r>
    </w:p>
    <w:p>
      <w:pPr>
        <w:spacing w:after="0" w:line="2"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Cafferty</w:t>
      </w:r>
    </w:p>
    <w:p>
      <w:pPr>
        <w:spacing w:after="0" w:line="2"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57,660(4)</w:t>
      </w:r>
    </w:p>
    <w:p>
      <w:pPr>
        <w:spacing w:after="0" w:line="2"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3,160</w:t>
      </w:r>
    </w:p>
    <w:p>
      <w:pPr>
        <w:spacing w:after="0" w:line="2"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54,500</w:t>
      </w:r>
    </w:p>
    <w:p>
      <w:pPr>
        <w:spacing w:after="0" w:line="2"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Frank M.</w:t>
      </w:r>
    </w:p>
    <w:p>
      <w:pPr>
        <w:spacing w:after="0" w:line="2"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Clark, Jr</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4,160 3,160</w:t>
      </w:r>
    </w:p>
    <w:p>
      <w:pPr>
        <w:spacing w:after="0" w:line="2"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1,000</w:t>
      </w:r>
    </w:p>
    <w:p>
      <w:pPr>
        <w:spacing w:after="0" w:line="2"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 S.</w:t>
      </w:r>
    </w:p>
    <w:p>
      <w:pPr>
        <w:spacing w:after="0" w:line="2"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Miller</w:t>
      </w:r>
    </w:p>
    <w:p>
      <w:pPr>
        <w:spacing w:after="0" w:line="2"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472,235(5)</w:t>
      </w:r>
    </w:p>
    <w:p>
      <w:pPr>
        <w:spacing w:after="0" w:line="2"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4,801</w:t>
      </w:r>
    </w:p>
    <w:p>
      <w:pPr>
        <w:spacing w:after="0" w:line="4" w:lineRule="exact"/>
        <w:rPr>
          <w:rFonts w:ascii="Courier New" w:cs="Courier New" w:eastAsia="Courier New" w:hAnsi="Courier New"/>
          <w:sz w:val="16"/>
          <w:szCs w:val="16"/>
          <w:color w:val="auto"/>
        </w:rPr>
      </w:pPr>
    </w:p>
    <w:p>
      <w:pPr>
        <w:jc w:val="both"/>
        <w:ind w:left="240" w:right="931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467,434 John C.</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Pope</w:t>
      </w:r>
    </w:p>
    <w:p>
      <w:pPr>
        <w:spacing w:after="0" w:line="2"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49,673(6)</w:t>
      </w:r>
    </w:p>
    <w:p>
      <w:pPr>
        <w:spacing w:after="0" w:line="2"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3,160</w:t>
      </w:r>
    </w:p>
    <w:p>
      <w:pPr>
        <w:spacing w:after="0" w:line="2"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46,513 W.</w:t>
      </w:r>
    </w:p>
    <w:p>
      <w:pPr>
        <w:spacing w:after="0" w:line="5" w:lineRule="exact"/>
        <w:rPr>
          <w:rFonts w:ascii="Courier New" w:cs="Courier New" w:eastAsia="Courier New" w:hAnsi="Courier New"/>
          <w:sz w:val="16"/>
          <w:szCs w:val="16"/>
          <w:color w:val="auto"/>
        </w:rPr>
      </w:pPr>
    </w:p>
    <w:p>
      <w:pPr>
        <w:jc w:val="center"/>
        <w:ind w:left="40" w:right="91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Robert Reum 1,435 1,435 0 Steven G. Rothmeier 48,749(7) 3,160 45,589 Carl W. Vogt 69,615(8) 3,160 66,455 Ralph V. Whitworth</w:t>
      </w:r>
    </w:p>
    <w:p>
      <w:pPr>
        <w:spacing w:after="0" w:line="8"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7,634,360(9)</w:t>
      </w:r>
    </w:p>
    <w:p>
      <w:pPr>
        <w:spacing w:after="0" w:line="1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3,160</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7,631,200</w:t>
      </w:r>
    </w:p>
    <w:p>
      <w:pPr>
        <w:spacing w:after="0" w:line="200" w:lineRule="exact"/>
        <w:rPr>
          <w:sz w:val="20"/>
          <w:szCs w:val="20"/>
          <w:color w:val="auto"/>
        </w:rPr>
      </w:pPr>
    </w:p>
    <w:p>
      <w:pPr>
        <w:spacing w:after="0" w:line="355" w:lineRule="exact"/>
        <w:rPr>
          <w:sz w:val="20"/>
          <w:szCs w:val="20"/>
          <w:color w:val="auto"/>
        </w:rPr>
      </w:pPr>
    </w:p>
    <w:p>
      <w:pPr>
        <w:ind w:left="960" w:right="3459" w:hanging="485"/>
        <w:spacing w:after="0" w:line="239"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stock units to be paid out in shares of Common Stock following termination of the directors' service.</w:t>
      </w:r>
    </w:p>
    <w:p>
      <w:pPr>
        <w:spacing w:after="0" w:line="189" w:lineRule="exact"/>
        <w:rPr>
          <w:rFonts w:ascii="Courier New" w:cs="Courier New" w:eastAsia="Courier New" w:hAnsi="Courier New"/>
          <w:sz w:val="16"/>
          <w:szCs w:val="16"/>
          <w:color w:val="auto"/>
        </w:rPr>
      </w:pPr>
    </w:p>
    <w:p>
      <w:pPr>
        <w:ind w:left="960" w:right="2679" w:hanging="485"/>
        <w:spacing w:after="0"/>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these individuals own more than 1% of our outstanding shares, except for Mr. Whitworth, who owns 1.3%, as described in Footnote 9 below.</w:t>
      </w:r>
    </w:p>
    <w:p>
      <w:pPr>
        <w:spacing w:after="0" w:line="189" w:lineRule="exact"/>
        <w:rPr>
          <w:rFonts w:ascii="Courier New" w:cs="Courier New" w:eastAsia="Courier New" w:hAnsi="Courier New"/>
          <w:sz w:val="16"/>
          <w:szCs w:val="16"/>
          <w:color w:val="auto"/>
        </w:rPr>
      </w:pPr>
    </w:p>
    <w:p>
      <w:pPr>
        <w:ind w:left="960" w:right="2599" w:hanging="485"/>
        <w:spacing w:after="0" w:line="239"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35,000 options to purchase Common Stock exercisable within 60 days.</w:t>
      </w:r>
    </w:p>
    <w:p>
      <w:pPr>
        <w:spacing w:after="0" w:line="189" w:lineRule="exact"/>
        <w:rPr>
          <w:rFonts w:ascii="Courier New" w:cs="Courier New" w:eastAsia="Courier New" w:hAnsi="Courier New"/>
          <w:sz w:val="16"/>
          <w:szCs w:val="16"/>
          <w:color w:val="auto"/>
        </w:rPr>
      </w:pPr>
    </w:p>
    <w:p>
      <w:pPr>
        <w:ind w:left="960" w:right="2599" w:hanging="485"/>
        <w:spacing w:after="0" w:line="239"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50,875 options to purchase Common Stock exercisable within 60 days.</w:t>
      </w:r>
    </w:p>
    <w:p>
      <w:pPr>
        <w:spacing w:after="0" w:line="189" w:lineRule="exact"/>
        <w:rPr>
          <w:rFonts w:ascii="Courier New" w:cs="Courier New" w:eastAsia="Courier New" w:hAnsi="Courier New"/>
          <w:sz w:val="16"/>
          <w:szCs w:val="16"/>
          <w:color w:val="auto"/>
        </w:rPr>
      </w:pPr>
    </w:p>
    <w:p>
      <w:pPr>
        <w:ind w:left="960" w:right="2779" w:hanging="485"/>
        <w:spacing w:after="0" w:line="239"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452,708 options to purchase Common Stock exercisable within 60 days.</w:t>
      </w:r>
    </w:p>
    <w:p>
      <w:pPr>
        <w:sectPr>
          <w:pgSz w:w="11900" w:h="16838" w:orient="portrait"/>
          <w:cols w:equalWidth="0" w:num="1">
            <w:col w:w="10219"/>
          </w:cols>
          <w:pgMar w:left="240" w:top="481" w:right="1440" w:bottom="0" w:gutter="0" w:footer="0" w:header="0"/>
        </w:sectPr>
      </w:pPr>
    </w:p>
    <w:bookmarkStart w:id="11" w:name="page12"/>
    <w:bookmarkEnd w:id="11"/>
    <w:p>
      <w:pPr>
        <w:ind w:left="960" w:right="2599" w:hanging="485"/>
        <w:spacing w:after="0"/>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42,175 options to purchase Common Stock exercisable within 60 days; and also includes 435 shares held in a trust for the benefit of Mr. Pope's children.</w:t>
      </w:r>
    </w:p>
    <w:p>
      <w:pPr>
        <w:spacing w:after="0" w:line="189" w:lineRule="exact"/>
        <w:rPr>
          <w:rFonts w:ascii="Courier New" w:cs="Courier New" w:eastAsia="Courier New" w:hAnsi="Courier New"/>
          <w:sz w:val="16"/>
          <w:szCs w:val="16"/>
          <w:color w:val="auto"/>
        </w:rPr>
      </w:pPr>
    </w:p>
    <w:p>
      <w:pPr>
        <w:ind w:left="960" w:right="2599" w:hanging="485"/>
        <w:spacing w:after="0" w:line="239"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44,350 options to purchase Common Stock exercisable within 60 days.</w:t>
      </w:r>
    </w:p>
    <w:p>
      <w:pPr>
        <w:spacing w:after="0" w:line="189" w:lineRule="exact"/>
        <w:rPr>
          <w:rFonts w:ascii="Courier New" w:cs="Courier New" w:eastAsia="Courier New" w:hAnsi="Courier New"/>
          <w:sz w:val="16"/>
          <w:szCs w:val="16"/>
          <w:color w:val="auto"/>
        </w:rPr>
      </w:pPr>
    </w:p>
    <w:p>
      <w:pPr>
        <w:ind w:left="960" w:right="2599" w:hanging="485"/>
        <w:spacing w:after="0" w:line="239"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10,000 options to purchase Common Stock exercisable within 60 days.</w:t>
      </w:r>
    </w:p>
    <w:p>
      <w:pPr>
        <w:spacing w:after="0" w:line="189" w:lineRule="exact"/>
        <w:rPr>
          <w:rFonts w:ascii="Courier New" w:cs="Courier New" w:eastAsia="Courier New" w:hAnsi="Courier New"/>
          <w:sz w:val="16"/>
          <w:szCs w:val="16"/>
          <w:color w:val="auto"/>
        </w:rPr>
      </w:pPr>
    </w:p>
    <w:p>
      <w:pPr>
        <w:ind w:left="960" w:right="2779" w:hanging="485"/>
        <w:spacing w:after="0" w:line="242"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315,000 options to purchase Common Stock exercisable within 60 days. The number of shares listed for Mr. Whitworth includes 7,316,200 shares held by limited partnerships and managed accounts controlled by Relational Investors LLC, of which Mr. Whitworth is a principal. Mr. Whitworth disclaims beneficial ownership of these shares.</w:t>
      </w:r>
    </w:p>
    <w:p>
      <w:pPr>
        <w:spacing w:after="0" w:line="36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PLAN OF DISTRIBUTION</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Selling Stockholders may sell the shares of Common Stock from time to time in the open market, either directly or through brokers or agents, or in privately negotiated transactions. The shares may be sold at then prevailing market prices, prices relating to the current market price or other negotiated prices. The Selling Stockholders, brokers executing selling orders on behalf of the Selling Stockholders and dealers to whom the Selling Stockholders may sell may be deemed to be "underwriters" within the meaning of the Securities Act, in which event any profit represented by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142" w:right="1440" w:bottom="1440" w:gutter="0" w:footer="0" w:header="0"/>
        </w:sectPr>
      </w:pPr>
    </w:p>
    <w:bookmarkStart w:id="12" w:name="page13"/>
    <w:bookmarkEnd w:id="12"/>
    <w:p>
      <w:pPr>
        <w:ind w:right="2679"/>
        <w:spacing w:after="0"/>
        <w:rPr>
          <w:sz w:val="20"/>
          <w:szCs w:val="20"/>
          <w:color w:val="auto"/>
        </w:rPr>
      </w:pPr>
      <w:r>
        <w:rPr>
          <w:rFonts w:ascii="Courier New" w:cs="Courier New" w:eastAsia="Courier New" w:hAnsi="Courier New"/>
          <w:sz w:val="16"/>
          <w:szCs w:val="16"/>
          <w:color w:val="auto"/>
        </w:rPr>
        <w:t>the excess of the selling price over the cost of the shares sold, and any commission, discount or concession received may be deemed to be an underwriting discount or commission under the Securities Act.</w:t>
      </w:r>
    </w:p>
    <w:p>
      <w:pPr>
        <w:spacing w:after="0" w:line="370"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LEGAL MATTERS</w:t>
      </w:r>
    </w:p>
    <w:p>
      <w:pPr>
        <w:spacing w:after="0" w:line="188" w:lineRule="exact"/>
        <w:rPr>
          <w:sz w:val="20"/>
          <w:szCs w:val="20"/>
          <w:color w:val="auto"/>
        </w:rPr>
      </w:pPr>
    </w:p>
    <w:p>
      <w:pPr>
        <w:ind w:right="2879" w:firstLine="858"/>
        <w:spacing w:after="0"/>
        <w:rPr>
          <w:sz w:val="20"/>
          <w:szCs w:val="20"/>
          <w:color w:val="auto"/>
        </w:rPr>
      </w:pPr>
      <w:r>
        <w:rPr>
          <w:rFonts w:ascii="Courier New" w:cs="Courier New" w:eastAsia="Courier New" w:hAnsi="Courier New"/>
          <w:sz w:val="16"/>
          <w:szCs w:val="16"/>
          <w:color w:val="auto"/>
        </w:rPr>
        <w:t>The validity of the shares of Common Stock offered pursuant to this prospectus will be passed upon for us by John S. Tsai, our Vice President and Assistant General Counsel - Corporate &amp; Securities.</w:t>
      </w:r>
    </w:p>
    <w:p>
      <w:pPr>
        <w:spacing w:after="0" w:line="370"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EXPERTS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audited consolidated financial statements as of December 31, 2001 and for the years ended December 31, 2001 and 2000 appearing in Waste Management's Annual Report on Form 10-K for the year ended December 31, 2002 incorporated by reference in this prospectus have been audited by Arthur Andersen LLP, independent public accountants, as set forth in their report. Arthur Andersen has not consented to the inclusion of their report in this prospectus, and we have dispensed with the requirement to file their report in reliance upon Rule 437a of the Securities Act. Because Arthur Andersen has not consented to the inclusion of their report in this prospectus, you will not be able to recover against Arthur Andersen under Section 11 of the Securities Act for any untrue statements of a material fact contained in the financial statements audited by Arthur Andersen or any omissions to state a material fact required to be stated therein.</w:t>
      </w:r>
    </w:p>
    <w:p>
      <w:pPr>
        <w:spacing w:after="0" w:line="192"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The consolidated financial statements of Waste Management, Inc. appearing in Waste Management, Inc.'s Annual Report (Form 10-K) for the year ended December 31, 2002, have been audited by Ernst &amp; Young LLP, independent auditors,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7" w:right="1440" w:bottom="1440" w:gutter="0" w:footer="0" w:header="0"/>
        </w:sectPr>
      </w:pPr>
    </w:p>
    <w:bookmarkStart w:id="13" w:name="page14"/>
    <w:bookmarkEnd w:id="13"/>
    <w:p>
      <w:pPr>
        <w:jc w:val="center"/>
        <w:ind w:right="2499"/>
        <w:spacing w:after="0"/>
        <w:rPr>
          <w:sz w:val="20"/>
          <w:szCs w:val="20"/>
          <w:color w:val="auto"/>
        </w:rPr>
      </w:pPr>
      <w:r>
        <w:rPr>
          <w:rFonts w:ascii="Courier New" w:cs="Courier New" w:eastAsia="Courier New" w:hAnsi="Courier New"/>
          <w:sz w:val="16"/>
          <w:szCs w:val="16"/>
          <w:color w:val="auto"/>
        </w:rPr>
        <w:t>PART II</w:t>
      </w:r>
    </w:p>
    <w:p>
      <w:pPr>
        <w:spacing w:after="0" w:line="186"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3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INCORPORATION OF DOCUMENTS BY REFERENCE.</w:t>
      </w:r>
    </w:p>
    <w:p>
      <w:pPr>
        <w:spacing w:after="0" w:line="188" w:lineRule="exact"/>
        <w:rPr>
          <w:sz w:val="20"/>
          <w:szCs w:val="20"/>
          <w:color w:val="auto"/>
        </w:rPr>
      </w:pPr>
    </w:p>
    <w:p>
      <w:pPr>
        <w:ind w:right="2879" w:firstLine="858"/>
        <w:spacing w:after="0"/>
        <w:rPr>
          <w:sz w:val="20"/>
          <w:szCs w:val="20"/>
          <w:color w:val="auto"/>
        </w:rPr>
      </w:pPr>
      <w:r>
        <w:rPr>
          <w:rFonts w:ascii="Courier New" w:cs="Courier New" w:eastAsia="Courier New" w:hAnsi="Courier New"/>
          <w:sz w:val="16"/>
          <w:szCs w:val="16"/>
          <w:color w:val="auto"/>
        </w:rPr>
        <w:t>The following documents filed with the Securities and Exchange Commission (the "SEC") by the Registrant are hereby incorporated by reference into this Registration Statement:</w:t>
      </w:r>
    </w:p>
    <w:p>
      <w:pPr>
        <w:spacing w:after="0" w:line="190" w:lineRule="exact"/>
        <w:rPr>
          <w:sz w:val="20"/>
          <w:szCs w:val="20"/>
          <w:color w:val="auto"/>
        </w:rPr>
      </w:pPr>
    </w:p>
    <w:p>
      <w:pPr>
        <w:ind w:left="1720" w:right="2679" w:hanging="864"/>
        <w:spacing w:after="0" w:line="239" w:lineRule="auto"/>
        <w:tabs>
          <w:tab w:leader="none" w:pos="17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 for the fiscal year ended December 31, 2002.</w:t>
      </w:r>
    </w:p>
    <w:p>
      <w:pPr>
        <w:spacing w:after="0" w:line="189" w:lineRule="exact"/>
        <w:rPr>
          <w:rFonts w:ascii="Courier New" w:cs="Courier New" w:eastAsia="Courier New" w:hAnsi="Courier New"/>
          <w:sz w:val="16"/>
          <w:szCs w:val="16"/>
          <w:color w:val="auto"/>
        </w:rPr>
      </w:pPr>
    </w:p>
    <w:p>
      <w:pPr>
        <w:ind w:left="1720" w:right="2879" w:hanging="864"/>
        <w:spacing w:after="0" w:line="239" w:lineRule="auto"/>
        <w:tabs>
          <w:tab w:leader="none" w:pos="17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Reports on Form 10-Q for the quarters ended March 31, 2003, June 30, 2003 and September 30, 2003.</w:t>
      </w:r>
    </w:p>
    <w:p>
      <w:pPr>
        <w:spacing w:after="0" w:line="189" w:lineRule="exact"/>
        <w:rPr>
          <w:rFonts w:ascii="Courier New" w:cs="Courier New" w:eastAsia="Courier New" w:hAnsi="Courier New"/>
          <w:sz w:val="16"/>
          <w:szCs w:val="16"/>
          <w:color w:val="auto"/>
        </w:rPr>
      </w:pPr>
    </w:p>
    <w:p>
      <w:pPr>
        <w:ind w:left="1720" w:right="2599" w:hanging="864"/>
        <w:spacing w:after="0" w:line="262" w:lineRule="auto"/>
        <w:tabs>
          <w:tab w:leader="none" w:pos="17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Registrant's Common Stock contained in the Registrant's Registration Statement on Form 8-A filed with the SEC pursuant to Section 12 of the Securities Exchange Act of 1934, as amended (the "Exchange Act"), on July 1, 1993, as amended on Form 8-B filed with the SEC on July 13, 1995.</w:t>
      </w:r>
    </w:p>
    <w:p>
      <w:pPr>
        <w:spacing w:after="0" w:line="173"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All documents subsequently filed by the Registrant pursuant to Sections 13(a), 13(c), 14 and 15(d) of the Exchange Act, prior to the filing of a post-effective amendment which indicates that all of the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36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DESCRIPTION OF SECURITIES.</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Not applicable.</w:t>
      </w:r>
    </w:p>
    <w:p>
      <w:pPr>
        <w:spacing w:after="0" w:line="3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INTERESTS OF NAMED EXPERTS AND COUNSEL.</w:t>
      </w:r>
    </w:p>
    <w:p>
      <w:pPr>
        <w:spacing w:after="0" w:line="188"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Certain legal matters in connection with the issuance of the shares of Common Stock offered hereby have been passed upon for us by John S. Tsai, our Vice President and Assistant General Counsel - Corporate &amp; Securities.</w:t>
      </w:r>
    </w:p>
    <w:p>
      <w:pPr>
        <w:spacing w:after="0" w:line="37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Certificate of Incorporation (the "Charter") and the Bylaws of the Registrant provide in effect that the Registrant shall indemnify its directors, officers, employees and agents (as well as persons serving as a director, officer, employee or agent of any of the Registrant's direct or indirect subsidiaries) to the extent permitted by the General Corporation Law of the State of Delaware (the "DGCL"). Sections 102 and 145 of the DGCL provide that a Delaware corporation has the power to indemnify its directors, officers, employees and agents in certain circumstances, as described below.</w:t>
      </w:r>
    </w:p>
    <w:p>
      <w:pPr>
        <w:spacing w:after="0" w:line="189"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In accordance with Section 102 of the DGCL, the Registrant's Charter contains a provision that eliminates the personal liability of directors of the Registrant or its stockholders for monetary damages for breach of fiduciary duty as a director, except in cases where the director breached his duty of loyalty to the Registrant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w:t>
      </w:r>
    </w:p>
    <w:p>
      <w:pPr>
        <w:spacing w:after="0" w:line="189" w:lineRule="exact"/>
        <w:rPr>
          <w:sz w:val="20"/>
          <w:szCs w:val="20"/>
          <w:color w:val="auto"/>
        </w:rPr>
      </w:pPr>
    </w:p>
    <w:p>
      <w:pPr>
        <w:ind w:right="2599" w:firstLine="858"/>
        <w:spacing w:after="0" w:line="241" w:lineRule="auto"/>
        <w:rPr>
          <w:sz w:val="20"/>
          <w:szCs w:val="20"/>
          <w:color w:val="auto"/>
        </w:rPr>
      </w:pPr>
      <w:r>
        <w:rPr>
          <w:rFonts w:ascii="Courier New" w:cs="Courier New" w:eastAsia="Courier New" w:hAnsi="Courier New"/>
          <w:sz w:val="16"/>
          <w:szCs w:val="16"/>
          <w:color w:val="auto"/>
        </w:rPr>
        <w:t>Pursuant to Subsection (a) of Section 145 of the DGCL, the Registrant's Bylaws provide that the Registrant shall indemnify any director, officer, employee or agent, or former director, officer, employee or agent who was or is a</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48" w:right="1440" w:bottom="1440" w:gutter="0" w:footer="0" w:header="0"/>
        </w:sectPr>
      </w:pPr>
    </w:p>
    <w:bookmarkStart w:id="14" w:name="page15"/>
    <w:bookmarkEnd w:id="14"/>
    <w:p>
      <w:pPr>
        <w:ind w:right="2599"/>
        <w:spacing w:after="0" w:line="260" w:lineRule="auto"/>
        <w:rPr>
          <w:sz w:val="20"/>
          <w:szCs w:val="20"/>
          <w:color w:val="auto"/>
        </w:rPr>
      </w:pPr>
      <w:r>
        <w:rPr>
          <w:rFonts w:ascii="Courier New" w:cs="Courier New" w:eastAsia="Courier New" w:hAnsi="Courier New"/>
          <w:sz w:val="15"/>
          <w:szCs w:val="15"/>
          <w:color w:val="auto"/>
        </w:rPr>
        <w:t>party or is threatened to be made a party to any threatened, pending or completed action, suit or proceeding, whether civil, criminal, administrative or investigative (other than an action by or in the right of the Registrant), against expenses (including attorney's fees), judgments, fines and amounts paid in settlement actually and reasonably incurred in connection with such action, suit or proceeding provided that such director, officer, employee or agent acted in good faith and in a manner 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177"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Pursuant to Subsection (b) of Section 145 of the DGCL, the Registrant's Bylaws provide that the Registrant shall indemnify any director, officer, employee or agent, or former director, officer, employee or agent, who was or is a party or is threatened to be made a party to any threatened, pending or completed action or suit by or in the right of the Registrant to procure a judgment in its favor by reason of the fact that such person acted in any of the capacities set forth above, against expenses (including attorney's fees), judgments, fines, penalties and amounts paid in settlement actually and reasonably incurred in connection with the investigation, preparation to defend or defense of such action or suit provided that such person acted in good faith and in a manner he reasonably believed to be in or not opposed to the best interest of the Registrant, except that no indemnification may be made in respect of any claim, issue or matter as to which such person shall have been adjudged to be liable to the Registrant unless and only to the extent that the Court of Chancery (or such other court in which such action or suit has been brought) shall determine that despite the adjudication of liability such person is fairly and reasonably entitled to indemnity for such expenses which the court shall deem proper.</w:t>
      </w:r>
    </w:p>
    <w:p>
      <w:pPr>
        <w:spacing w:after="0" w:line="195" w:lineRule="exact"/>
        <w:rPr>
          <w:sz w:val="20"/>
          <w:szCs w:val="20"/>
          <w:color w:val="auto"/>
        </w:rPr>
      </w:pPr>
    </w:p>
    <w:p>
      <w:pPr>
        <w:ind w:right="2599" w:firstLine="858"/>
        <w:spacing w:after="0" w:line="260" w:lineRule="auto"/>
        <w:rPr>
          <w:sz w:val="20"/>
          <w:szCs w:val="20"/>
          <w:color w:val="auto"/>
        </w:rPr>
      </w:pPr>
      <w:r>
        <w:rPr>
          <w:rFonts w:ascii="Courier New" w:cs="Courier New" w:eastAsia="Courier New" w:hAnsi="Courier New"/>
          <w:sz w:val="15"/>
          <w:szCs w:val="15"/>
          <w:color w:val="auto"/>
        </w:rPr>
        <w:t>The Registrant's Bylaws further provide that, to the extent that a director, officer, employee or agent has been successful in the defense of any action, suit or proceeding referred to in subsections (a) and (b) of Section 145 of the DGCL or in the defense of any claim, issue or matter therein, he shall be indemnified against expenses (including attorneys' fees) actually and reasonably incurred by him in connection therewith. Any person seeking indemnification as described above shall be deemed to have met the standard of conduct required for such indemnification unless the contrary shall be established. The indemnification provided by Section 145 of the DGCL shall not be exclusive of any other rights to which the party seeking indemnification may be entitled.</w:t>
      </w:r>
    </w:p>
    <w:p>
      <w:pPr>
        <w:spacing w:after="0" w:line="177"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Section 145 of the DGCL also provides that a corporation is empowered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 of the DGCL. The Registrant has purchased certain liability insurance for its officers and directors.</w:t>
      </w:r>
    </w:p>
    <w:p>
      <w:pPr>
        <w:spacing w:after="0" w:line="188" w:lineRule="exact"/>
        <w:rPr>
          <w:sz w:val="20"/>
          <w:szCs w:val="20"/>
          <w:color w:val="auto"/>
        </w:rPr>
      </w:pPr>
    </w:p>
    <w:p>
      <w:pPr>
        <w:ind w:right="2599" w:firstLine="858"/>
        <w:spacing w:after="0" w:line="241" w:lineRule="auto"/>
        <w:rPr>
          <w:sz w:val="20"/>
          <w:szCs w:val="20"/>
          <w:color w:val="auto"/>
        </w:rPr>
      </w:pPr>
      <w:r>
        <w:rPr>
          <w:rFonts w:ascii="Courier New" w:cs="Courier New" w:eastAsia="Courier New" w:hAnsi="Courier New"/>
          <w:sz w:val="16"/>
          <w:szCs w:val="16"/>
          <w:color w:val="auto"/>
        </w:rPr>
        <w:t>The Registrant has entered into indemnification agreements with certain of its executive officers and certain of its executive officers' employment agreements contain indemnification provisions. Such agreements and provisions generally provide that such persons will be indemnified and held harmless to the fullest extent of Delaware law.</w:t>
      </w:r>
    </w:p>
    <w:p>
      <w:pPr>
        <w:spacing w:after="0" w:line="37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EXEMPTION FROM REGISTRATION CLAIMED.</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35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7" w:right="1440" w:bottom="1440" w:gutter="0" w:footer="0" w:header="0"/>
        </w:sectPr>
      </w:pPr>
    </w:p>
    <w:bookmarkStart w:id="15" w:name="page16"/>
    <w:bookmarkEnd w:id="15"/>
    <w:p>
      <w:pPr>
        <w:spacing w:after="0"/>
        <w:tabs>
          <w:tab w:leader="none" w:pos="84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5"/>
          <w:szCs w:val="15"/>
          <w:color w:val="auto"/>
        </w:rPr>
        <w:t>EXHIBITS.</w:t>
      </w:r>
    </w:p>
    <w:p>
      <w:pPr>
        <w:spacing w:after="0" w:line="188" w:lineRule="exact"/>
        <w:rPr>
          <w:sz w:val="20"/>
          <w:szCs w:val="20"/>
          <w:color w:val="auto"/>
        </w:rPr>
      </w:pPr>
    </w:p>
    <w:p>
      <w:pPr>
        <w:ind w:right="4480" w:firstLine="858"/>
        <w:spacing w:after="0" w:line="239" w:lineRule="auto"/>
        <w:rPr>
          <w:sz w:val="20"/>
          <w:szCs w:val="20"/>
          <w:color w:val="auto"/>
        </w:rPr>
      </w:pPr>
      <w:r>
        <w:rPr>
          <w:rFonts w:ascii="Courier New" w:cs="Courier New" w:eastAsia="Courier New" w:hAnsi="Courier New"/>
          <w:sz w:val="16"/>
          <w:szCs w:val="16"/>
          <w:color w:val="auto"/>
        </w:rPr>
        <w:t>The following exhibits are filed as part of this Registration Statement:</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2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Certificate of Incorporation (Incorporated by reference to Exhibit 3.1 to the Registrant's Quarterly</w:t>
            </w:r>
          </w:p>
        </w:tc>
      </w:tr>
      <w:tr>
        <w:trPr>
          <w:trHeight w:val="183"/>
        </w:trPr>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Report on Form 10-Q for</w:t>
            </w:r>
          </w:p>
        </w:tc>
        <w:tc>
          <w:tcPr>
            <w:tcW w:w="7580" w:type="dxa"/>
            <w:vAlign w:val="bottom"/>
          </w:tcPr>
          <w:p>
            <w:pPr>
              <w:ind w:left="40"/>
              <w:spacing w:after="0"/>
              <w:rPr>
                <w:sz w:val="20"/>
                <w:szCs w:val="20"/>
                <w:color w:val="auto"/>
              </w:rPr>
            </w:pPr>
            <w:r>
              <w:rPr>
                <w:rFonts w:ascii="Courier New" w:cs="Courier New" w:eastAsia="Courier New" w:hAnsi="Courier New"/>
                <w:sz w:val="16"/>
                <w:szCs w:val="16"/>
                <w:color w:val="auto"/>
              </w:rPr>
              <w:t>the quarter ended June 30, 2002).</w:t>
            </w: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Bylaws (Incorporated by</w:t>
            </w:r>
          </w:p>
        </w:tc>
        <w:tc>
          <w:tcPr>
            <w:tcW w:w="7580" w:type="dxa"/>
            <w:vAlign w:val="bottom"/>
          </w:tcPr>
          <w:p>
            <w:pPr>
              <w:ind w:left="40"/>
              <w:spacing w:after="0"/>
              <w:rPr>
                <w:sz w:val="20"/>
                <w:szCs w:val="20"/>
                <w:color w:val="auto"/>
              </w:rPr>
            </w:pPr>
            <w:r>
              <w:rPr>
                <w:rFonts w:ascii="Courier New" w:cs="Courier New" w:eastAsia="Courier New" w:hAnsi="Courier New"/>
                <w:sz w:val="16"/>
                <w:szCs w:val="16"/>
                <w:color w:val="auto"/>
              </w:rPr>
              <w:t>reference to Exhibit 3.2 to the Registrant's Quarterly Report on Form 10-Q for</w:t>
            </w:r>
          </w:p>
        </w:tc>
      </w:tr>
      <w:tr>
        <w:trPr>
          <w:trHeight w:val="183"/>
        </w:trPr>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2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the quarter ended June 30, 2002).</w:t>
            </w: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4.3</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200"/>
              <w:spacing w:after="0"/>
              <w:rPr>
                <w:sz w:val="20"/>
                <w:szCs w:val="20"/>
                <w:color w:val="auto"/>
              </w:rPr>
            </w:pPr>
            <w:r>
              <w:rPr>
                <w:rFonts w:ascii="Courier New" w:cs="Courier New" w:eastAsia="Courier New" w:hAnsi="Courier New"/>
                <w:sz w:val="16"/>
                <w:szCs w:val="16"/>
                <w:color w:val="auto"/>
              </w:rPr>
              <w:t>2003 Waste</w:t>
            </w:r>
          </w:p>
        </w:tc>
        <w:tc>
          <w:tcPr>
            <w:tcW w:w="88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Management, Inc. Directors' Deferred Compensation Plan (Incorporated by reference to Exhibit</w:t>
            </w:r>
          </w:p>
        </w:tc>
      </w:tr>
      <w:tr>
        <w:trPr>
          <w:trHeight w:val="183"/>
        </w:trPr>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2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10.5 to the Registrant's Quarterly Report on Form 10-Q for the quarter ended June 30, 2003).</w:t>
            </w: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200"/>
              <w:spacing w:after="0"/>
              <w:rPr>
                <w:sz w:val="20"/>
                <w:szCs w:val="20"/>
                <w:color w:val="auto"/>
              </w:rPr>
            </w:pPr>
            <w:r>
              <w:rPr>
                <w:rFonts w:ascii="Courier New" w:cs="Courier New" w:eastAsia="Courier New" w:hAnsi="Courier New"/>
                <w:sz w:val="16"/>
                <w:szCs w:val="16"/>
                <w:color w:val="auto"/>
              </w:rPr>
              <w:t>Opinion of</w:t>
            </w: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John S. Tsai</w:t>
            </w:r>
          </w:p>
        </w:tc>
        <w:tc>
          <w:tcPr>
            <w:tcW w:w="7580" w:type="dxa"/>
            <w:vAlign w:val="bottom"/>
          </w:tcPr>
          <w:p>
            <w:pPr>
              <w:ind w:left="40"/>
              <w:spacing w:after="0"/>
              <w:rPr>
                <w:sz w:val="20"/>
                <w:szCs w:val="20"/>
                <w:color w:val="auto"/>
              </w:rPr>
            </w:pPr>
            <w:r>
              <w:rPr>
                <w:rFonts w:ascii="Courier New" w:cs="Courier New" w:eastAsia="Courier New" w:hAnsi="Courier New"/>
                <w:sz w:val="16"/>
                <w:szCs w:val="16"/>
                <w:color w:val="auto"/>
              </w:rPr>
              <w:t>with respect to the legality of the securities.</w:t>
            </w: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200"/>
              <w:spacing w:after="0"/>
              <w:rPr>
                <w:sz w:val="20"/>
                <w:szCs w:val="20"/>
                <w:color w:val="auto"/>
              </w:rPr>
            </w:pPr>
            <w:r>
              <w:rPr>
                <w:rFonts w:ascii="Courier New" w:cs="Courier New" w:eastAsia="Courier New" w:hAnsi="Courier New"/>
                <w:sz w:val="16"/>
                <w:szCs w:val="16"/>
                <w:color w:val="auto"/>
              </w:rPr>
              <w:t>Consent of</w:t>
            </w:r>
          </w:p>
        </w:tc>
        <w:tc>
          <w:tcPr>
            <w:tcW w:w="88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Ernst &amp; Young LLP.</w:t>
            </w: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2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Explanatory Statement Concerning Absence of Current Written Consent of Arthur Andersen LLP.</w:t>
            </w: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200"/>
              <w:spacing w:after="0"/>
              <w:rPr>
                <w:sz w:val="20"/>
                <w:szCs w:val="20"/>
                <w:color w:val="auto"/>
              </w:rPr>
            </w:pPr>
            <w:r>
              <w:rPr>
                <w:rFonts w:ascii="Courier New" w:cs="Courier New" w:eastAsia="Courier New" w:hAnsi="Courier New"/>
                <w:sz w:val="16"/>
                <w:szCs w:val="16"/>
                <w:color w:val="auto"/>
              </w:rPr>
              <w:t>Consent of</w:t>
            </w: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John S. Tsai</w:t>
            </w:r>
          </w:p>
        </w:tc>
        <w:tc>
          <w:tcPr>
            <w:tcW w:w="7580" w:type="dxa"/>
            <w:vAlign w:val="bottom"/>
          </w:tcPr>
          <w:p>
            <w:pPr>
              <w:ind w:left="40"/>
              <w:spacing w:after="0"/>
              <w:rPr>
                <w:sz w:val="20"/>
                <w:szCs w:val="20"/>
                <w:color w:val="auto"/>
              </w:rPr>
            </w:pPr>
            <w:r>
              <w:rPr>
                <w:rFonts w:ascii="Courier New" w:cs="Courier New" w:eastAsia="Courier New" w:hAnsi="Courier New"/>
                <w:sz w:val="16"/>
                <w:szCs w:val="16"/>
                <w:color w:val="auto"/>
              </w:rPr>
              <w:t>(included in Exhibit 5.1).</w:t>
            </w: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2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Powers of Attorney (included on the signature page of this Registration Statement).</w:t>
            </w:r>
          </w:p>
        </w:tc>
      </w:tr>
    </w:tbl>
    <w:p>
      <w:pPr>
        <w:spacing w:after="0" w:line="200" w:lineRule="exact"/>
        <w:rPr>
          <w:sz w:val="20"/>
          <w:szCs w:val="20"/>
          <w:color w:val="auto"/>
        </w:rPr>
      </w:pPr>
    </w:p>
    <w:p>
      <w:pPr>
        <w:spacing w:after="0" w:line="35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5"/>
          <w:szCs w:val="15"/>
          <w:color w:val="auto"/>
        </w:rPr>
        <w:t>UNDERTAKINGS.</w:t>
      </w:r>
    </w:p>
    <w:p>
      <w:pPr>
        <w:spacing w:after="0" w:line="186" w:lineRule="exact"/>
        <w:rPr>
          <w:sz w:val="20"/>
          <w:szCs w:val="20"/>
          <w:color w:val="auto"/>
        </w:rPr>
      </w:pPr>
    </w:p>
    <w:p>
      <w:pPr>
        <w:ind w:left="1720" w:hanging="864"/>
        <w:spacing w:after="0"/>
        <w:tabs>
          <w:tab w:leader="none" w:pos="17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8" w:lineRule="exact"/>
        <w:rPr>
          <w:sz w:val="20"/>
          <w:szCs w:val="20"/>
          <w:color w:val="auto"/>
        </w:rPr>
      </w:pPr>
    </w:p>
    <w:p>
      <w:pPr>
        <w:ind w:left="1720" w:right="3620" w:hanging="864"/>
        <w:spacing w:after="0"/>
        <w:tabs>
          <w:tab w:leader="none" w:pos="17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9" w:lineRule="exact"/>
        <w:rPr>
          <w:rFonts w:ascii="Courier New" w:cs="Courier New" w:eastAsia="Courier New" w:hAnsi="Courier New"/>
          <w:sz w:val="16"/>
          <w:szCs w:val="16"/>
          <w:color w:val="auto"/>
        </w:rPr>
      </w:pPr>
    </w:p>
    <w:p>
      <w:pPr>
        <w:ind w:left="2580" w:right="4300" w:hanging="865"/>
        <w:spacing w:after="0" w:line="239" w:lineRule="auto"/>
        <w:tabs>
          <w:tab w:leader="none" w:pos="25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w:t>
      </w:r>
    </w:p>
    <w:p>
      <w:pPr>
        <w:spacing w:after="0" w:line="189" w:lineRule="exact"/>
        <w:rPr>
          <w:rFonts w:ascii="Courier New" w:cs="Courier New" w:eastAsia="Courier New" w:hAnsi="Courier New"/>
          <w:sz w:val="16"/>
          <w:szCs w:val="16"/>
          <w:color w:val="auto"/>
        </w:rPr>
      </w:pPr>
    </w:p>
    <w:p>
      <w:pPr>
        <w:ind w:left="2580" w:right="3540" w:hanging="865"/>
        <w:spacing w:after="0" w:line="241" w:lineRule="auto"/>
        <w:tabs>
          <w:tab w:leader="none" w:pos="25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which represent a fundamental change in the information set forth in the Registration Statement; and</w:t>
      </w:r>
    </w:p>
    <w:p>
      <w:pPr>
        <w:spacing w:after="0" w:line="190" w:lineRule="exact"/>
        <w:rPr>
          <w:rFonts w:ascii="Courier New" w:cs="Courier New" w:eastAsia="Courier New" w:hAnsi="Courier New"/>
          <w:sz w:val="16"/>
          <w:szCs w:val="16"/>
          <w:color w:val="auto"/>
        </w:rPr>
      </w:pPr>
    </w:p>
    <w:p>
      <w:pPr>
        <w:ind w:left="2580" w:right="3620" w:hanging="865"/>
        <w:spacing w:after="0" w:line="263" w:lineRule="auto"/>
        <w:tabs>
          <w:tab w:leader="none" w:pos="258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2" w:lineRule="exact"/>
        <w:rPr>
          <w:sz w:val="20"/>
          <w:szCs w:val="20"/>
          <w:color w:val="auto"/>
        </w:rPr>
      </w:pPr>
    </w:p>
    <w:p>
      <w:pPr>
        <w:ind w:left="860" w:right="3540"/>
        <w:spacing w:after="0" w:line="242" w:lineRule="auto"/>
        <w:rPr>
          <w:sz w:val="20"/>
          <w:szCs w:val="20"/>
          <w:color w:val="auto"/>
        </w:rPr>
      </w:pPr>
      <w:r>
        <w:rPr>
          <w:rFonts w:ascii="Courier New" w:cs="Courier New" w:eastAsia="Courier New" w:hAnsi="Courier New"/>
          <w:sz w:val="16"/>
          <w:szCs w:val="16"/>
          <w:color w:val="auto"/>
        </w:rPr>
        <w:t>Provided, however, that the undertakings set forth in paragraphs (a)(1)(i) and (a)(1)(ii)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187" w:lineRule="exact"/>
        <w:rPr>
          <w:sz w:val="20"/>
          <w:szCs w:val="20"/>
          <w:color w:val="auto"/>
        </w:rPr>
      </w:pPr>
    </w:p>
    <w:p>
      <w:pPr>
        <w:ind w:left="1720" w:right="3540" w:hanging="864"/>
        <w:spacing w:after="0" w:line="242" w:lineRule="auto"/>
        <w:tabs>
          <w:tab w:leader="none" w:pos="17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87" w:lineRule="exact"/>
        <w:rPr>
          <w:rFonts w:ascii="Courier New" w:cs="Courier New" w:eastAsia="Courier New" w:hAnsi="Courier New"/>
          <w:sz w:val="16"/>
          <w:szCs w:val="16"/>
          <w:color w:val="auto"/>
        </w:rPr>
      </w:pPr>
    </w:p>
    <w:p>
      <w:pPr>
        <w:ind w:left="1720" w:right="3720" w:hanging="864"/>
        <w:spacing w:after="0"/>
        <w:tabs>
          <w:tab w:leader="none" w:pos="17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that remain unsold at the termination of the offering.</w:t>
      </w:r>
    </w:p>
    <w:p>
      <w:pPr>
        <w:spacing w:after="0" w:line="190" w:lineRule="exact"/>
        <w:rPr>
          <w:sz w:val="20"/>
          <w:szCs w:val="20"/>
          <w:color w:val="auto"/>
        </w:rPr>
      </w:pPr>
    </w:p>
    <w:p>
      <w:pPr>
        <w:ind w:right="3720" w:firstLine="856"/>
        <w:spacing w:after="0" w:line="242" w:lineRule="auto"/>
        <w:tabs>
          <w:tab w:leader="none" w:pos="12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further undertakes 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6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1160"/>
          </w:cols>
          <w:pgMar w:left="240" w:top="665" w:right="499" w:bottom="1440" w:gutter="0" w:footer="0" w:header="0"/>
        </w:sectPr>
      </w:pPr>
    </w:p>
    <w:bookmarkStart w:id="16" w:name="page17"/>
    <w:bookmarkEnd w:id="16"/>
    <w:p>
      <w:pPr>
        <w:ind w:left="-856" w:right="2599" w:firstLine="856"/>
        <w:spacing w:after="0" w:line="242" w:lineRule="auto"/>
        <w:tabs>
          <w:tab w:leader="none" w:pos="38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0" w:lineRule="exact"/>
        <w:rPr>
          <w:sz w:val="20"/>
          <w:szCs w:val="20"/>
          <w:color w:val="auto"/>
        </w:rPr>
      </w:pPr>
    </w:p>
    <w:p>
      <w:pPr>
        <w:ind w:left="2864"/>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363"/>
          </w:cols>
          <w:pgMar w:left="1096" w:top="851" w:right="1440" w:bottom="1440" w:gutter="0" w:footer="0" w:header="0"/>
        </w:sectPr>
      </w:pPr>
    </w:p>
    <w:bookmarkStart w:id="17" w:name="page18"/>
    <w:bookmarkEnd w:id="17"/>
    <w:p>
      <w:pPr>
        <w:spacing w:after="0" w:line="3" w:lineRule="exact"/>
        <w:rPr>
          <w:sz w:val="20"/>
          <w:szCs w:val="20"/>
          <w:color w:val="auto"/>
        </w:rPr>
      </w:pPr>
    </w:p>
    <w:p>
      <w:pPr>
        <w:jc w:val="center"/>
        <w:ind w:right="2497"/>
        <w:spacing w:after="0"/>
        <w:rPr>
          <w:sz w:val="20"/>
          <w:szCs w:val="20"/>
          <w:color w:val="auto"/>
        </w:rPr>
      </w:pPr>
      <w:r>
        <w:rPr>
          <w:rFonts w:ascii="Courier New" w:cs="Courier New" w:eastAsia="Courier New" w:hAnsi="Courier New"/>
          <w:sz w:val="16"/>
          <w:szCs w:val="16"/>
          <w:color w:val="auto"/>
        </w:rPr>
        <w:t>POWER OF ATTORNEY</w:t>
      </w:r>
    </w:p>
    <w:p>
      <w:pPr>
        <w:spacing w:after="0" w:line="188" w:lineRule="exact"/>
        <w:rPr>
          <w:sz w:val="20"/>
          <w:szCs w:val="20"/>
          <w:color w:val="auto"/>
        </w:rPr>
      </w:pPr>
    </w:p>
    <w:p>
      <w:pPr>
        <w:ind w:left="2" w:right="2599" w:firstLine="858"/>
        <w:spacing w:after="0" w:line="242"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A. Maurice Myers, David P. Steiner and Lawrence O'Donnell, III,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this Registration Statement, including without limitation any registration statement of the type contemplated by Rule 462(b) under the Securities Act,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pacing w:after="0" w:line="374"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ind w:left="2" w:right="2779" w:firstLine="858"/>
        <w:spacing w:after="0" w:line="242" w:lineRule="auto"/>
        <w:rPr>
          <w:sz w:val="20"/>
          <w:szCs w:val="20"/>
          <w:color w:val="auto"/>
        </w:rPr>
      </w:pPr>
      <w:r>
        <w:rPr>
          <w:rFonts w:ascii="Courier New" w:cs="Courier New" w:eastAsia="Courier New" w:hAnsi="Courier New"/>
          <w:sz w:val="16"/>
          <w:szCs w:val="16"/>
          <w:color w:val="auto"/>
        </w:rPr>
        <w:t>Pursuant to the requirements of the Securities Act,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3rd day of November, 2003.</w:t>
      </w:r>
    </w:p>
    <w:p>
      <w:pPr>
        <w:spacing w:after="0" w:line="368"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WASTE MANAGEMENT, INC.</w:t>
      </w:r>
    </w:p>
    <w:p>
      <w:pPr>
        <w:spacing w:after="0" w:line="369"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/s/ A. Maurice Myers</w:t>
      </w:r>
    </w:p>
    <w:p>
      <w:pPr>
        <w:spacing w:after="0" w:line="2"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142"/>
        <w:spacing w:after="0"/>
        <w:tabs>
          <w:tab w:leader="none" w:pos="3602" w:val="left"/>
        </w:tabs>
        <w:rPr>
          <w:sz w:val="20"/>
          <w:szCs w:val="20"/>
          <w:color w:val="auto"/>
        </w:rPr>
      </w:pPr>
      <w:r>
        <w:rPr>
          <w:rFonts w:ascii="Courier New" w:cs="Courier New" w:eastAsia="Courier New" w:hAnsi="Courier New"/>
          <w:sz w:val="16"/>
          <w:szCs w:val="16"/>
          <w:color w:val="auto"/>
        </w:rPr>
        <w:t>By:</w:t>
        <w:tab/>
        <w:t>A. Maurice Myers</w:t>
      </w:r>
    </w:p>
    <w:p>
      <w:pPr>
        <w:spacing w:after="0" w:line="2"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355" w:lineRule="exact"/>
        <w:rPr>
          <w:sz w:val="20"/>
          <w:szCs w:val="20"/>
          <w:color w:val="auto"/>
        </w:rPr>
      </w:pPr>
    </w:p>
    <w:p>
      <w:pPr>
        <w:ind w:left="2" w:right="2599" w:firstLine="858"/>
        <w:spacing w:after="0"/>
        <w:rPr>
          <w:sz w:val="20"/>
          <w:szCs w:val="20"/>
          <w:color w:val="auto"/>
        </w:rPr>
      </w:pPr>
      <w:r>
        <w:rPr>
          <w:rFonts w:ascii="Courier New" w:cs="Courier New" w:eastAsia="Courier New" w:hAnsi="Courier New"/>
          <w:sz w:val="16"/>
          <w:szCs w:val="16"/>
          <w:color w:val="auto"/>
        </w:rPr>
        <w:t>Pursuant to the requirements of the Securities Act, this Registration Statement on Form S-8 has been signed by the following persons in the capacities indicated on the 3rd day of November, 2003.</w:t>
      </w:r>
    </w:p>
    <w:p>
      <w:pPr>
        <w:spacing w:after="0" w:line="370"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SIGNATURE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TITLE ----</w:t>
      </w:r>
    </w:p>
    <w:p>
      <w:pPr>
        <w:spacing w:after="0" w:line="2" w:lineRule="exact"/>
        <w:rPr>
          <w:sz w:val="20"/>
          <w:szCs w:val="20"/>
          <w:color w:val="auto"/>
        </w:rPr>
      </w:pPr>
    </w:p>
    <w:p>
      <w:pPr>
        <w:ind w:left="582" w:hanging="582"/>
        <w:spacing w:after="0"/>
        <w:tabs>
          <w:tab w:leader="none" w:pos="5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0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/s/ A.</w:t>
      </w:r>
    </w:p>
    <w:p>
      <w:pPr>
        <w:spacing w:after="0" w:line="2" w:lineRule="exact"/>
        <w:rPr>
          <w:rFonts w:ascii="Courier New" w:cs="Courier New" w:eastAsia="Courier New" w:hAnsi="Courier New"/>
          <w:sz w:val="16"/>
          <w:szCs w:val="16"/>
          <w:color w:val="auto"/>
        </w:rPr>
      </w:pPr>
    </w:p>
    <w:p>
      <w:pPr>
        <w:ind w:left="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Maurice</w:t>
      </w:r>
    </w:p>
    <w:p>
      <w:pPr>
        <w:spacing w:after="0" w:line="2" w:lineRule="exact"/>
        <w:rPr>
          <w:rFonts w:ascii="Courier New" w:cs="Courier New" w:eastAsia="Courier New" w:hAnsi="Courier New"/>
          <w:sz w:val="16"/>
          <w:szCs w:val="16"/>
          <w:color w:val="auto"/>
        </w:rPr>
      </w:pPr>
    </w:p>
    <w:p>
      <w:pPr>
        <w:ind w:left="2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Myers</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President,</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Chief</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Executive</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Officer</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and</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Chairman</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of the</w:t>
      </w:r>
    </w:p>
    <w:p>
      <w:pPr>
        <w:spacing w:after="0" w:line="5"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5"/>
          <w:szCs w:val="15"/>
          <w:color w:val="auto"/>
        </w:rPr>
        <w:t>Board - --</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(Principal</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Executive</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Officer)</w:t>
      </w:r>
    </w:p>
    <w:p>
      <w:pPr>
        <w:spacing w:after="0" w:line="5" w:lineRule="exact"/>
        <w:rPr>
          <w:sz w:val="20"/>
          <w:szCs w:val="20"/>
          <w:color w:val="auto"/>
        </w:rPr>
      </w:pPr>
    </w:p>
    <w:p>
      <w:pPr>
        <w:jc w:val="both"/>
        <w:ind w:left="42" w:right="9259" w:hanging="42"/>
        <w:spacing w:after="0"/>
        <w:tabs>
          <w:tab w:leader="none" w:pos="2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Maurice Myers /s/ David P.</w:t>
      </w:r>
    </w:p>
    <w:p>
      <w:pPr>
        <w:spacing w:after="0" w:line="3" w:lineRule="exact"/>
        <w:rPr>
          <w:rFonts w:ascii="Courier New" w:cs="Courier New" w:eastAsia="Courier New" w:hAnsi="Courier New"/>
          <w:sz w:val="16"/>
          <w:szCs w:val="16"/>
          <w:color w:val="auto"/>
        </w:rPr>
      </w:pPr>
    </w:p>
    <w:p>
      <w:pPr>
        <w:ind w:left="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Steiner</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w:t>
      </w:r>
    </w:p>
    <w:p>
      <w:pPr>
        <w:spacing w:after="0" w:line="2" w:lineRule="exact"/>
        <w:rPr>
          <w:rFonts w:ascii="Courier New" w:cs="Courier New" w:eastAsia="Courier New" w:hAnsi="Courier New"/>
          <w:sz w:val="16"/>
          <w:szCs w:val="16"/>
          <w:color w:val="auto"/>
        </w:rPr>
      </w:pPr>
    </w:p>
    <w:p>
      <w:pPr>
        <w:ind w:left="2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Vice</w:t>
      </w:r>
    </w:p>
    <w:p>
      <w:pPr>
        <w:spacing w:after="0" w:line="4" w:lineRule="exact"/>
        <w:rPr>
          <w:rFonts w:ascii="Courier New" w:cs="Courier New" w:eastAsia="Courier New" w:hAnsi="Courier New"/>
          <w:sz w:val="16"/>
          <w:szCs w:val="16"/>
          <w:color w:val="auto"/>
        </w:rPr>
      </w:pPr>
    </w:p>
    <w:p>
      <w:pPr>
        <w:jc w:val="both"/>
        <w:ind w:left="42" w:right="931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President and Chief Financial Officer -</w:t>
      </w: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0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w:t>
      </w:r>
    </w:p>
    <w:p>
      <w:pPr>
        <w:spacing w:after="0" w:line="4" w:lineRule="exact"/>
        <w:rPr>
          <w:rFonts w:ascii="Courier New" w:cs="Courier New" w:eastAsia="Courier New" w:hAnsi="Courier New"/>
          <w:sz w:val="16"/>
          <w:szCs w:val="16"/>
          <w:color w:val="auto"/>
        </w:rPr>
      </w:pPr>
    </w:p>
    <w:p>
      <w:pPr>
        <w:jc w:val="both"/>
        <w:ind w:left="102" w:right="935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Officer) David P.</w:t>
      </w:r>
    </w:p>
    <w:p>
      <w:pPr>
        <w:sectPr>
          <w:pgSz w:w="11900" w:h="16841" w:orient="portrait"/>
          <w:cols w:equalWidth="0" w:num="1">
            <w:col w:w="10221"/>
          </w:cols>
          <w:pgMar w:left="238" w:top="848" w:right="1440" w:bottom="0" w:gutter="0" w:footer="0" w:header="0"/>
        </w:sectPr>
      </w:pPr>
    </w:p>
    <w:bookmarkStart w:id="18" w:name="page19"/>
    <w:bookmarkEnd w:id="18"/>
    <w:p>
      <w:pPr>
        <w:jc w:val="center"/>
        <w:ind w:right="9257"/>
        <w:spacing w:after="0"/>
        <w:rPr>
          <w:sz w:val="20"/>
          <w:szCs w:val="20"/>
          <w:color w:val="auto"/>
        </w:rPr>
      </w:pPr>
      <w:r>
        <w:rPr>
          <w:rFonts w:ascii="Courier New" w:cs="Courier New" w:eastAsia="Courier New" w:hAnsi="Courier New"/>
          <w:sz w:val="16"/>
          <w:szCs w:val="16"/>
          <w:color w:val="auto"/>
        </w:rPr>
        <w:t>Steiner</w:t>
      </w:r>
    </w:p>
    <w:p>
      <w:pPr>
        <w:spacing w:after="0" w:line="5"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5"/>
          <w:szCs w:val="15"/>
          <w:color w:val="auto"/>
        </w:rPr>
        <w:t>/s/ Robert</w:t>
      </w:r>
    </w:p>
    <w:p>
      <w:pPr>
        <w:spacing w:after="0" w:line="13" w:lineRule="exact"/>
        <w:rPr>
          <w:sz w:val="20"/>
          <w:szCs w:val="20"/>
          <w:color w:val="auto"/>
        </w:rPr>
      </w:pPr>
    </w:p>
    <w:p>
      <w:pPr>
        <w:ind w:left="182" w:right="9259" w:hanging="182"/>
        <w:spacing w:after="0" w:line="239" w:lineRule="auto"/>
        <w:tabs>
          <w:tab w:leader="none" w:pos="27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Simpson Senior</w:t>
      </w:r>
    </w:p>
    <w:p>
      <w:pPr>
        <w:spacing w:after="0" w:line="2" w:lineRule="exact"/>
        <w:rPr>
          <w:rFonts w:ascii="Courier New" w:cs="Courier New" w:eastAsia="Courier New" w:hAnsi="Courier New"/>
          <w:sz w:val="16"/>
          <w:szCs w:val="16"/>
          <w:color w:val="auto"/>
        </w:rPr>
      </w:pPr>
    </w:p>
    <w:p>
      <w:pPr>
        <w:ind w:left="2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Vice</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President</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and Chief</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Accounting</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Officer -</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(Principal</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Accounting</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Officer)</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Robert G.</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Simpson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8" w:top="139"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/s/ Pastora San Juan Cafferty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Pastora San Juan Cafferty</w:t>
      </w:r>
    </w:p>
    <w:p>
      <w:pPr>
        <w:spacing w:after="0" w:line="20" w:lineRule="exact"/>
        <w:rPr>
          <w:sz w:val="20"/>
          <w:szCs w:val="20"/>
          <w:color w:val="auto"/>
        </w:rPr>
      </w:pPr>
      <w:r>
        <w:rPr>
          <w:sz w:val="20"/>
          <w:szCs w:val="20"/>
          <w:color w:val="auto"/>
        </w:rPr>
        <w:br w:type="column"/>
      </w:r>
    </w:p>
    <w:p>
      <w:pPr>
        <w:jc w:val="center"/>
        <w:ind w:right="2299"/>
        <w:spacing w:after="0"/>
        <w:rPr>
          <w:sz w:val="20"/>
          <w:szCs w:val="20"/>
          <w:color w:val="auto"/>
        </w:rPr>
      </w:pPr>
      <w:r>
        <w:rPr>
          <w:rFonts w:ascii="Courier New" w:cs="Courier New" w:eastAsia="Courier New" w:hAnsi="Courier New"/>
          <w:sz w:val="15"/>
          <w:szCs w:val="15"/>
          <w:color w:val="auto"/>
        </w:rPr>
        <w:t>Director</w:t>
      </w:r>
    </w:p>
    <w:p>
      <w:pPr>
        <w:spacing w:after="0" w:line="575" w:lineRule="exact"/>
        <w:rPr>
          <w:sz w:val="20"/>
          <w:szCs w:val="20"/>
          <w:color w:val="auto"/>
        </w:rPr>
      </w:pPr>
    </w:p>
    <w:p>
      <w:pPr>
        <w:sectPr>
          <w:pgSz w:w="11900" w:h="16838" w:orient="portrait"/>
          <w:cols w:equalWidth="0" w:num="2">
            <w:col w:w="6440" w:space="720"/>
            <w:col w:w="3059"/>
          </w:cols>
          <w:pgMar w:left="240" w:top="13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Frank M. Clark,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Frank M. Clark,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5"/>
          <w:szCs w:val="15"/>
          <w:color w:val="auto"/>
        </w:rPr>
        <w:t>Director</w:t>
      </w:r>
    </w:p>
    <w:p>
      <w:pPr>
        <w:spacing w:after="0" w:line="575" w:lineRule="exact"/>
        <w:rPr>
          <w:sz w:val="20"/>
          <w:szCs w:val="20"/>
          <w:color w:val="auto"/>
        </w:rPr>
      </w:pPr>
    </w:p>
    <w:p>
      <w:pPr>
        <w:sectPr>
          <w:pgSz w:w="11900" w:h="16838" w:orient="portrait"/>
          <w:cols w:equalWidth="0" w:num="2">
            <w:col w:w="6440" w:space="720"/>
            <w:col w:w="3059"/>
          </w:cols>
          <w:pgMar w:left="240" w:top="13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Robert S. Miller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S. Miller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5"/>
          <w:szCs w:val="15"/>
          <w:color w:val="auto"/>
        </w:rPr>
        <w:t>Director</w:t>
      </w:r>
    </w:p>
    <w:p>
      <w:pPr>
        <w:spacing w:after="0" w:line="575" w:lineRule="exact"/>
        <w:rPr>
          <w:sz w:val="20"/>
          <w:szCs w:val="20"/>
          <w:color w:val="auto"/>
        </w:rPr>
      </w:pPr>
    </w:p>
    <w:p>
      <w:pPr>
        <w:sectPr>
          <w:pgSz w:w="11900" w:h="16838" w:orient="portrait"/>
          <w:cols w:equalWidth="0" w:num="2">
            <w:col w:w="6440" w:space="720"/>
            <w:col w:w="3059"/>
          </w:cols>
          <w:pgMar w:left="240" w:top="1398" w:right="1440"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C. Pope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C. Pope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 Robert Reum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 Robert Reum</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Steven G. Rothmeier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Steven G. Rothmeier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575" w:lineRule="exact"/>
        <w:rPr>
          <w:sz w:val="20"/>
          <w:szCs w:val="20"/>
          <w:color w:val="auto"/>
        </w:rPr>
      </w:pPr>
    </w:p>
    <w:p>
      <w:pPr>
        <w:sectPr>
          <w:pgSz w:w="11900" w:h="16838" w:orient="portrait"/>
          <w:cols w:equalWidth="0" w:num="2">
            <w:col w:w="6440" w:space="720"/>
            <w:col w:w="3059"/>
          </w:cols>
          <w:pgMar w:left="240" w:top="1398" w:right="1440"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Carl W. Vogt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Carl W. Vogt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Ralph V. Whitworth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Ralph V. Whitworth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575" w:lineRule="exact"/>
        <w:rPr>
          <w:sz w:val="20"/>
          <w:szCs w:val="20"/>
          <w:color w:val="auto"/>
        </w:rPr>
      </w:pPr>
    </w:p>
    <w:p>
      <w:pPr>
        <w:sectPr>
          <w:pgSz w:w="11900" w:h="16838" w:orient="portrait"/>
          <w:cols w:equalWidth="0" w:num="2">
            <w:col w:w="6440" w:space="720"/>
            <w:col w:w="3059"/>
          </w:cols>
          <w:pgMar w:left="240" w:top="13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1398" w:right="1440" w:bottom="1440" w:gutter="0" w:footer="0" w:header="0"/>
          <w:type w:val="continuous"/>
        </w:sectPr>
      </w:pPr>
    </w:p>
    <w:bookmarkStart w:id="20" w:name="page21"/>
    <w:bookmarkEnd w:id="20"/>
    <w:p>
      <w:pPr>
        <w:ind w:left="3040"/>
        <w:spacing w:after="0"/>
        <w:rPr>
          <w:sz w:val="20"/>
          <w:szCs w:val="20"/>
          <w:color w:val="auto"/>
        </w:rPr>
      </w:pPr>
      <w:r>
        <w:rPr>
          <w:rFonts w:ascii="Courier New" w:cs="Courier New" w:eastAsia="Courier New" w:hAnsi="Courier New"/>
          <w:sz w:val="16"/>
          <w:szCs w:val="16"/>
          <w:color w:val="auto"/>
        </w:rPr>
        <w:t>INDEX TO EXHIBITS</w:t>
      </w:r>
    </w:p>
    <w:p>
      <w:pPr>
        <w:spacing w:after="0" w:line="200" w:lineRule="exact"/>
        <w:rPr>
          <w:sz w:val="20"/>
          <w:szCs w:val="20"/>
          <w:color w:val="auto"/>
        </w:rPr>
      </w:pPr>
    </w:p>
    <w:p>
      <w:pPr>
        <w:spacing w:after="0" w:line="355" w:lineRule="exact"/>
        <w:rPr>
          <w:sz w:val="20"/>
          <w:szCs w:val="20"/>
          <w:color w:val="auto"/>
        </w:rPr>
      </w:pPr>
    </w:p>
    <w:p>
      <w:pPr>
        <w:ind w:left="1040" w:right="280" w:hanging="1334"/>
        <w:spacing w:after="0" w:line="239" w:lineRule="auto"/>
        <w:tabs>
          <w:tab w:leader="none" w:pos="102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 Certificate of Incorporation (Incorporated by reference to Exhibit 3.1 to the Registrant's Quarterly Report on Form 10-Q for the Quarter ended June 30, 2002).</w:t>
      </w:r>
    </w:p>
    <w:p>
      <w:pPr>
        <w:spacing w:after="0" w:line="189" w:lineRule="exact"/>
        <w:rPr>
          <w:sz w:val="20"/>
          <w:szCs w:val="20"/>
          <w:color w:val="auto"/>
        </w:rPr>
      </w:pPr>
    </w:p>
    <w:p>
      <w:pPr>
        <w:ind w:left="1040" w:right="100" w:hanging="1334"/>
        <w:spacing w:after="0" w:line="239" w:lineRule="auto"/>
        <w:tabs>
          <w:tab w:leader="none" w:pos="102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 Bylaws (Incorporated by reference to Exhibit 3.2 to the Registrant's Quarterly Report on Form 10-Q for the Quarter ended June 30, 2002).</w:t>
      </w:r>
    </w:p>
    <w:p>
      <w:pPr>
        <w:spacing w:after="0" w:line="186" w:lineRule="exact"/>
        <w:rPr>
          <w:sz w:val="20"/>
          <w:szCs w:val="20"/>
          <w:color w:val="auto"/>
        </w:rPr>
      </w:pPr>
    </w:p>
    <w:p>
      <w:pPr>
        <w:jc w:val="center"/>
        <w:spacing w:after="0"/>
        <w:tabs>
          <w:tab w:leader="none" w:pos="740" w:val="left"/>
          <w:tab w:leader="none" w:pos="18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2003 Waste Management, Inc. Directors' Deferred Compensation Plan (Incorporated by reference to Exhibit</w:t>
      </w:r>
    </w:p>
    <w:p>
      <w:pPr>
        <w:spacing w:after="0" w:line="2"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10.5 to Registrant's Quarterly Report on Form 10-Q for the quarter ended June 30, 2003).</w:t>
      </w:r>
    </w:p>
    <w:p>
      <w:pPr>
        <w:spacing w:after="0" w:line="186" w:lineRule="exact"/>
        <w:rPr>
          <w:sz w:val="20"/>
          <w:szCs w:val="20"/>
          <w:color w:val="auto"/>
        </w:rPr>
      </w:pPr>
    </w:p>
    <w:p>
      <w:pPr>
        <w:spacing w:after="0"/>
        <w:tabs>
          <w:tab w:leader="none" w:pos="1020" w:val="left"/>
          <w:tab w:leader="none" w:pos="132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Opinion of John S. Tsai with respect to the legality of the securities.</w:t>
      </w:r>
    </w:p>
    <w:p>
      <w:pPr>
        <w:spacing w:after="0" w:line="186" w:lineRule="exact"/>
        <w:rPr>
          <w:sz w:val="20"/>
          <w:szCs w:val="20"/>
          <w:color w:val="auto"/>
        </w:rPr>
      </w:pPr>
    </w:p>
    <w:p>
      <w:pPr>
        <w:spacing w:after="0"/>
        <w:tabs>
          <w:tab w:leader="none" w:pos="1020" w:val="left"/>
          <w:tab w:leader="none" w:pos="132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Consent of Ernst &amp; Young LLP.</w:t>
      </w:r>
    </w:p>
    <w:p>
      <w:pPr>
        <w:spacing w:after="0" w:line="186" w:lineRule="exact"/>
        <w:rPr>
          <w:sz w:val="20"/>
          <w:szCs w:val="20"/>
          <w:color w:val="auto"/>
        </w:rPr>
      </w:pPr>
    </w:p>
    <w:p>
      <w:pPr>
        <w:spacing w:after="0"/>
        <w:tabs>
          <w:tab w:leader="none" w:pos="1020" w:val="left"/>
          <w:tab w:leader="none" w:pos="132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Explanatory Statement Concerning Absence of Current Written Consent of Arthur Andersen LLP.</w:t>
      </w:r>
    </w:p>
    <w:p>
      <w:pPr>
        <w:spacing w:after="0" w:line="186" w:lineRule="exact"/>
        <w:rPr>
          <w:sz w:val="20"/>
          <w:szCs w:val="20"/>
          <w:color w:val="auto"/>
        </w:rPr>
      </w:pPr>
    </w:p>
    <w:p>
      <w:pPr>
        <w:spacing w:after="0"/>
        <w:tabs>
          <w:tab w:leader="none" w:pos="1020" w:val="left"/>
          <w:tab w:leader="none" w:pos="1320" w:val="left"/>
        </w:tabs>
        <w:rPr>
          <w:sz w:val="20"/>
          <w:szCs w:val="20"/>
          <w:color w:val="auto"/>
        </w:rPr>
      </w:pPr>
      <w:r>
        <w:rPr>
          <w:rFonts w:ascii="Courier New" w:cs="Courier New" w:eastAsia="Courier New" w:hAnsi="Courier New"/>
          <w:sz w:val="16"/>
          <w:szCs w:val="16"/>
          <w:color w:val="auto"/>
        </w:rPr>
        <w:t>23.3</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Consent of John S. Tsai (included in Exhibit 5.1).</w:t>
      </w:r>
    </w:p>
    <w:p>
      <w:pPr>
        <w:spacing w:after="0" w:line="186" w:lineRule="exact"/>
        <w:rPr>
          <w:sz w:val="20"/>
          <w:szCs w:val="20"/>
          <w:color w:val="auto"/>
        </w:rPr>
      </w:pPr>
    </w:p>
    <w:p>
      <w:pPr>
        <w:spacing w:after="0"/>
        <w:tabs>
          <w:tab w:leader="none" w:pos="1020" w:val="left"/>
          <w:tab w:leader="none" w:pos="132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Powers of Attorney (included on the signature page of this Registration Statement).</w:t>
      </w:r>
    </w:p>
    <w:p>
      <w:pPr>
        <w:spacing w:after="0" w:line="200" w:lineRule="exact"/>
        <w:rPr>
          <w:sz w:val="20"/>
          <w:szCs w:val="20"/>
          <w:color w:val="auto"/>
        </w:rPr>
      </w:pPr>
    </w:p>
    <w:p>
      <w:pPr>
        <w:spacing w:after="0" w:line="35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1160"/>
          </w:cols>
          <w:pgMar w:left="240" w:top="664" w:right="499" w:bottom="1440" w:gutter="0" w:footer="0" w:header="0"/>
        </w:sectPr>
      </w:pPr>
    </w:p>
    <w:bookmarkStart w:id="21" w:name="page22"/>
    <w:bookmarkEnd w:id="21"/>
    <w:p>
      <w:pPr>
        <w:jc w:val="right"/>
        <w:ind w:right="2599"/>
        <w:spacing w:after="0"/>
        <w:rPr>
          <w:sz w:val="20"/>
          <w:szCs w:val="20"/>
          <w:color w:val="auto"/>
        </w:rPr>
      </w:pPr>
      <w:r>
        <w:rPr>
          <w:rFonts w:ascii="Courier New" w:cs="Courier New" w:eastAsia="Courier New" w:hAnsi="Courier New"/>
          <w:sz w:val="16"/>
          <w:szCs w:val="16"/>
          <w:color w:val="auto"/>
        </w:rPr>
        <w:t>EXHIBIT 5.1</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[WMI LETTERHEAD]</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November 6, 2003</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1001 Fannin Street, Suite 4000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 77002</w:t>
      </w:r>
    </w:p>
    <w:p>
      <w:pPr>
        <w:spacing w:after="0" w:line="186" w:lineRule="exact"/>
        <w:rPr>
          <w:sz w:val="20"/>
          <w:szCs w:val="20"/>
          <w:color w:val="auto"/>
        </w:rPr>
      </w:pPr>
    </w:p>
    <w:p>
      <w:pPr>
        <w:ind w:left="2580"/>
        <w:spacing w:after="0"/>
        <w:tabs>
          <w:tab w:leader="none" w:pos="342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6"/>
          <w:szCs w:val="16"/>
          <w:color w:val="auto"/>
        </w:rPr>
        <w:t>Registration Statement on Form S-8</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w:t>
      </w:r>
    </w:p>
    <w:p>
      <w:pPr>
        <w:spacing w:after="0" w:line="188"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I am Vice President and Assistant General Counsel - Corporate &amp; Securities for Waste Management, Inc., a Delaware corporation (the "Company"), and have acted in such capacity in connection with the registration under the Securities Act of 1933, as amended (the "Act"), of 500,000 shares of the Company's common stock, $0.01 par value (the "Common Stock"), to be offered upon the terms and subject to the conditions set forth in the Registration Statement on Form S-8 (the "Registration Statement") relating thereto to be filed with the Securities and Exchange Commission on November 6, 2003.</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connection therewith, I have examined originals or copies certified or otherwise identified to my satisfaction of the Certificate of Incorporation of the Company, the By-laws of the Company, the corporate proceedings with respect to the offering of the shares and such other documents and instruments as I have deemed necessary or appropriate for the expression of the opinions contained herein.</w:t>
      </w:r>
    </w:p>
    <w:p>
      <w:pPr>
        <w:spacing w:after="0" w:line="187"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I have assumed the authenticity and completeness of all records, certificates and other instruments submitted to me as originals, the conformity to original documents of all records, certificates and other instruments submitted to me as copies, the authenticity and completeness of the originals of those records, certificates and other instruments submitted to me as copies and the correctness of all statements of fact contained in all records, certificates and other instruments that I have examined.</w:t>
      </w:r>
    </w:p>
    <w:p>
      <w:pPr>
        <w:spacing w:after="0" w:line="188" w:lineRule="exact"/>
        <w:rPr>
          <w:sz w:val="20"/>
          <w:szCs w:val="20"/>
          <w:color w:val="auto"/>
        </w:rPr>
      </w:pPr>
    </w:p>
    <w:p>
      <w:pPr>
        <w:jc w:val="both"/>
        <w:ind w:right="3839" w:firstLine="858"/>
        <w:spacing w:after="0" w:line="271" w:lineRule="auto"/>
        <w:rPr>
          <w:sz w:val="20"/>
          <w:szCs w:val="20"/>
          <w:color w:val="auto"/>
        </w:rPr>
      </w:pPr>
      <w:r>
        <w:rPr>
          <w:rFonts w:ascii="Courier New" w:cs="Courier New" w:eastAsia="Courier New" w:hAnsi="Courier New"/>
          <w:sz w:val="15"/>
          <w:szCs w:val="15"/>
          <w:color w:val="auto"/>
        </w:rPr>
        <w:t>Based on the foregoing, and having a regard for such legal considerations as I have deemed relevant, I am of the opinion that:</w:t>
      </w:r>
    </w:p>
    <w:p>
      <w:pPr>
        <w:spacing w:after="0" w:line="166" w:lineRule="exact"/>
        <w:rPr>
          <w:sz w:val="20"/>
          <w:szCs w:val="20"/>
          <w:color w:val="auto"/>
        </w:rPr>
      </w:pPr>
    </w:p>
    <w:p>
      <w:pPr>
        <w:ind w:left="1720" w:right="2599" w:hanging="864"/>
        <w:spacing w:after="0" w:line="271" w:lineRule="auto"/>
        <w:tabs>
          <w:tab w:leader="none" w:pos="17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and is validly existing in good standing under the laws of the State of Delaware.</w:t>
      </w:r>
    </w:p>
    <w:p>
      <w:pPr>
        <w:sectPr>
          <w:pgSz w:w="11900" w:h="16838" w:orient="portrait"/>
          <w:cols w:equalWidth="0" w:num="1">
            <w:col w:w="10219"/>
          </w:cols>
          <w:pgMar w:left="240" w:top="506" w:right="1440" w:bottom="1440" w:gutter="0" w:footer="0" w:header="0"/>
        </w:sectPr>
      </w:pPr>
    </w:p>
    <w:bookmarkStart w:id="22" w:name="page23"/>
    <w:bookmarkEnd w:id="22"/>
    <w:p>
      <w:pPr>
        <w:ind w:left="1720" w:right="2599" w:hanging="864"/>
        <w:spacing w:after="0" w:line="242" w:lineRule="auto"/>
        <w:tabs>
          <w:tab w:leader="none" w:pos="17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Common Stock proposed to be sold by the Company have been duly and validly authorized for issuance and, when issued and paid for in accordance with the 2003 Waste Management Inc. Directors' Deferred Compensation Plan, and subject to the Registration Statement becoming effective under the Act and to compliance with such state securities rules, regulations and laws as may be applicable, will be duly and validly issued, fully paid and nonassessable.</w:t>
      </w:r>
    </w:p>
    <w:p>
      <w:pPr>
        <w:spacing w:after="0" w:line="189" w:lineRule="exact"/>
        <w:rPr>
          <w:sz w:val="20"/>
          <w:szCs w:val="20"/>
          <w:color w:val="auto"/>
        </w:rPr>
      </w:pPr>
    </w:p>
    <w:p>
      <w:pPr>
        <w:ind w:right="2979" w:firstLine="858"/>
        <w:spacing w:after="0" w:line="239" w:lineRule="auto"/>
        <w:rPr>
          <w:sz w:val="20"/>
          <w:szCs w:val="20"/>
          <w:color w:val="auto"/>
        </w:rPr>
      </w:pPr>
      <w:r>
        <w:rPr>
          <w:rFonts w:ascii="Courier New" w:cs="Courier New" w:eastAsia="Courier New" w:hAnsi="Courier New"/>
          <w:sz w:val="16"/>
          <w:szCs w:val="16"/>
          <w:color w:val="auto"/>
        </w:rPr>
        <w:t>I hereby consent to the filing of this opinion as an exhibit to the Registration Statement.</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/s/ John S. Tsai</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John S. Tsai</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Vice President and Assistant General Counsel</w:t>
      </w:r>
    </w:p>
    <w:p>
      <w:pPr>
        <w:spacing w:after="0" w:line="1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Corporate &amp; Securities</w:t>
      </w:r>
    </w:p>
    <w:p>
      <w:pPr>
        <w:sectPr>
          <w:pgSz w:w="11900" w:h="16838" w:orient="portrait"/>
          <w:cols w:equalWidth="0" w:num="1">
            <w:col w:w="10219"/>
          </w:cols>
          <w:pgMar w:left="240" w:top="667" w:right="1440" w:bottom="1440" w:gutter="0" w:footer="0" w:header="0"/>
        </w:sectPr>
      </w:pPr>
    </w:p>
    <w:bookmarkStart w:id="23" w:name="page24"/>
    <w:bookmarkEnd w:id="23"/>
    <w:p>
      <w:pPr>
        <w:jc w:val="right"/>
        <w:ind w:right="2599"/>
        <w:spacing w:after="0"/>
        <w:rPr>
          <w:sz w:val="20"/>
          <w:szCs w:val="20"/>
          <w:color w:val="auto"/>
        </w:rPr>
      </w:pPr>
      <w:r>
        <w:rPr>
          <w:rFonts w:ascii="Courier New" w:cs="Courier New" w:eastAsia="Courier New" w:hAnsi="Courier New"/>
          <w:sz w:val="16"/>
          <w:szCs w:val="16"/>
          <w:color w:val="auto"/>
        </w:rPr>
        <w:t>EXHIBIT 23.1</w:t>
      </w:r>
    </w:p>
    <w:p>
      <w:pPr>
        <w:spacing w:after="0" w:line="200" w:lineRule="exact"/>
        <w:rPr>
          <w:sz w:val="20"/>
          <w:szCs w:val="20"/>
          <w:color w:val="auto"/>
        </w:rPr>
      </w:pPr>
    </w:p>
    <w:p>
      <w:pPr>
        <w:spacing w:after="0" w:line="35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CONSENT OF INDEPENDENT AUDITORS</w:t>
      </w:r>
    </w:p>
    <w:p>
      <w:pPr>
        <w:spacing w:after="0" w:line="372"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We consent to the reference to our firm under the caption "Experts" in the Registration Statement (Form S-8) pertaining to the 2003 Directors' Deferred Compensation Plan of Waste Management, Inc. and to the incorporation by reference therein of our report dated February 14, 2003, with respect to the consolidated financial statements and schedule of Waste Management, Inc. incorporated by reference in its Annual Report (Form 10-K) for the year ended December 31, 2002,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/s/ ERNST &amp; YOUNG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6, 2003</w:t>
      </w:r>
    </w:p>
    <w:p>
      <w:pPr>
        <w:sectPr>
          <w:pgSz w:w="11900" w:h="16838" w:orient="portrait"/>
          <w:cols w:equalWidth="0" w:num="1">
            <w:col w:w="10219"/>
          </w:cols>
          <w:pgMar w:left="240" w:top="689" w:right="1440" w:bottom="1440" w:gutter="0" w:footer="0" w:header="0"/>
        </w:sectPr>
      </w:pPr>
    </w:p>
    <w:bookmarkStart w:id="24" w:name="page25"/>
    <w:bookmarkEnd w:id="24"/>
    <w:p>
      <w:pPr>
        <w:jc w:val="right"/>
        <w:ind w:right="2599"/>
        <w:spacing w:after="0"/>
        <w:rPr>
          <w:sz w:val="20"/>
          <w:szCs w:val="20"/>
          <w:color w:val="auto"/>
        </w:rPr>
      </w:pPr>
      <w:r>
        <w:rPr>
          <w:rFonts w:ascii="Courier New" w:cs="Courier New" w:eastAsia="Courier New" w:hAnsi="Courier New"/>
          <w:sz w:val="16"/>
          <w:szCs w:val="16"/>
          <w:color w:val="auto"/>
        </w:rPr>
        <w:t>EXHIBIT 23.2</w:t>
      </w:r>
    </w:p>
    <w:p>
      <w:pPr>
        <w:spacing w:after="0" w:line="369"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EXPLANATION CONCERNING ABSENCE OF</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CURRENT WRITTEN CONSENT OF ARTHUR ANDERSEN LLP</w:t>
      </w:r>
    </w:p>
    <w:p>
      <w:pPr>
        <w:spacing w:after="0" w:line="372"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On March 25, 2002, Waste Management, Inc. (the "Company") announced that it had appointed Ernst &amp; Young LLP to replace Arthur Andersen LLP ("Arthur Andersen") as its independent public accountants. Representatives of Arthur Andersen are not available to provide an updated written consent required for the incorporation by reference of Arthur Andersen's audit report with respect to the Company's financial statements as of December 31, 2001 and for the years ended December 31, 2001 and December 31, 2000 included in the Company's Annual Report on Form 10-K for its fiscal year ended December 31, 2002 into this Registration Statement on Form S-8. Because, after reasonable effort, the Company is unable to obtain Arthur Andersen's written consent to such incorporation by reference of their report, Rule 437a under the Securities Act of 1933, as amended (the "Securities Act"), permits the Company to omit Arthur Andersen's updated written consent from this filing.</w:t>
      </w:r>
    </w:p>
    <w:p>
      <w:pPr>
        <w:spacing w:after="0" w:line="192"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Section 11(a) of the Securities Act provides that if any part of a registration statement at the time it becomes effective contains an untrue statement of a material fact or an omission to state a material fact required to be stated therein or necessary to make the statements therein not misleading, any person acquiring a security pursuant to such registration statement (unless it is proved that at the time of such acquisition such person knew of such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such registration statement, report or valuation which purports to have been prepared or certified by the accountant.</w:t>
      </w:r>
    </w:p>
    <w:p>
      <w:pPr>
        <w:spacing w:after="0" w:line="191"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As noted above, Arthur Andersen has not consented to the incorporation by reference of its audit report contained in the Company's Annual Report on Form 10-K for its fiscal year ended December 31, 2002 into this Registration Statement on Form S-8. As a result, with respect to this Registration Statement on Form S-8, the Company's investors may not be able to recover against Arthur Andersen under Section 11(a) of the Securities Act or the lack of a currently dated consent may limit the time in which any liability under Section 11(a) could be asserted against Arthur Andersen.</w:t>
      </w:r>
    </w:p>
    <w:sectPr>
      <w:pgSz w:w="11900" w:h="16838" w:orient="portrait"/>
      <w:cols w:equalWidth="0" w:num="1">
        <w:col w:w="10219"/>
      </w:cols>
      <w:pgMar w:left="240" w:top="6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o"/>
      <w:numFmt w:val="bullet"/>
      <w:start w:val="1"/>
    </w:lvl>
  </w:abstractNum>
  <w:abstractNum w:abstractNumId="4">
    <w:nsid w:val="109CF92E"/>
    <w:multiLevelType w:val="hybridMultilevel"/>
    <w:lvl w:ilvl="0">
      <w:lvlJc w:val="left"/>
      <w:lvlText w:val="o"/>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o"/>
      <w:numFmt w:val="bullet"/>
      <w:start w:val="1"/>
    </w:lvl>
  </w:abstractNum>
  <w:abstractNum w:abstractNumId="7">
    <w:nsid w:val="1BEFD79F"/>
    <w:multiLevelType w:val="hybridMultilevel"/>
    <w:lvl w:ilvl="0">
      <w:lvlJc w:val="left"/>
      <w:lvlText w:val="o"/>
      <w:numFmt w:val="bullet"/>
      <w:start w:val="1"/>
    </w:lvl>
  </w:abstractNum>
  <w:abstractNum w:abstractNumId="8">
    <w:nsid w:val="41A7C4C9"/>
    <w:multiLevelType w:val="hybridMultilevel"/>
    <w:lvl w:ilvl="0">
      <w:lvlJc w:val="left"/>
      <w:lvlText w:val="(%1)"/>
      <w:numFmt w:val="decimal"/>
      <w:start w:val="2"/>
    </w:lvl>
    <w:lvl w:ilvl="1">
      <w:lvlJc w:val="left"/>
      <w:lvlText w:val="%2"/>
      <w:numFmt w:val="upperLetter"/>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6"/>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decimal"/>
      <w:start w:val="1"/>
    </w:lvl>
    <w:lvl w:ilvl="1">
      <w:lvlJc w:val="left"/>
      <w:lvlText w:val="(%2)"/>
      <w:numFmt w:val="lowerRoman"/>
      <w:start w:val="1"/>
    </w:lvl>
  </w:abstractNum>
  <w:abstractNum w:abstractNumId="14">
    <w:nsid w:val="3F2DBA31"/>
    <w:multiLevelType w:val="hybridMultilevel"/>
    <w:lvl w:ilvl="0">
      <w:lvlJc w:val="left"/>
      <w:lvlText w:val="(%1)"/>
      <w:numFmt w:val="decimal"/>
      <w:start w:val="2"/>
    </w:lvl>
  </w:abstractNum>
  <w:abstractNum w:abstractNumId="15">
    <w:nsid w:val="7C83E458"/>
    <w:multiLevelType w:val="hybridMultilevel"/>
    <w:lvl w:ilvl="0">
      <w:lvlJc w:val="left"/>
      <w:lvlText w:val="(%1)"/>
      <w:numFmt w:val="lowerLetter"/>
      <w:start w:val="2"/>
    </w:lvl>
  </w:abstractNum>
  <w:abstractNum w:abstractNumId="16">
    <w:nsid w:val="257130A3"/>
    <w:multiLevelType w:val="hybridMultilevel"/>
    <w:lvl w:ilvl="0">
      <w:lvlJc w:val="left"/>
      <w:lvlText w:val="(%1)"/>
      <w:numFmt w:val="lowerLetter"/>
      <w:start w:val="3"/>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upperLetter"/>
      <w:start w:val="1"/>
    </w:lvl>
  </w:abstractNum>
  <w:abstractNum w:abstractNumId="19">
    <w:nsid w:val="628C895D"/>
    <w:multiLevelType w:val="hybridMultilevel"/>
    <w:lvl w:ilvl="0">
      <w:lvlJc w:val="left"/>
      <w:lvlText w:val="%1."/>
      <w:numFmt w:val="upperLetter"/>
      <w:start w:val="7"/>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2019-12-12T11:08:26Z</dcterms:created>
  <dcterms:modified xsi:type="dcterms:W3CDTF">2019-12-12T11:08:26Z</dcterms:modified>
</cp:coreProperties>
</file>