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1</w:t>
      </w:r>
    </w:p>
    <w:p>
      <w:pPr>
        <w:spacing w:after="0" w:line="173" w:lineRule="exact"/>
        <w:rPr>
          <w:sz w:val="24"/>
          <w:szCs w:val="24"/>
          <w:color w:val="auto"/>
        </w:rPr>
      </w:pPr>
    </w:p>
    <w:p>
      <w:pPr>
        <w:ind w:left="4640" w:right="3759" w:hanging="4110"/>
        <w:spacing w:after="0" w:line="254" w:lineRule="auto"/>
        <w:rPr>
          <w:sz w:val="20"/>
          <w:szCs w:val="20"/>
          <w:color w:val="auto"/>
        </w:rPr>
      </w:pPr>
      <w:r>
        <w:rPr>
          <w:rFonts w:ascii="Courier New" w:cs="Courier New" w:eastAsia="Courier New" w:hAnsi="Courier New"/>
          <w:sz w:val="14"/>
          <w:szCs w:val="14"/>
          <w:color w:val="auto"/>
        </w:rPr>
        <w:t>AS FILED WITH THE SECURITIES AND EXCHANGE COMMISSION ON JUNE 4, 1999 REGISTRATION NO. 333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UNITED STATES 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ind w:left="2540"/>
        <w:spacing w:after="0" w:line="238" w:lineRule="auto"/>
        <w:rPr>
          <w:sz w:val="20"/>
          <w:szCs w:val="20"/>
          <w:color w:val="auto"/>
        </w:rPr>
      </w:pPr>
      <w:r>
        <w:rPr>
          <w:rFonts w:ascii="Courier New" w:cs="Courier New" w:eastAsia="Courier New" w:hAnsi="Courier New"/>
          <w:sz w:val="15"/>
          <w:szCs w:val="15"/>
          <w:color w:val="auto"/>
        </w:rPr>
        <w:t>---------------------</w:t>
      </w:r>
    </w:p>
    <w:p>
      <w:pPr>
        <w:ind w:left="3160"/>
        <w:spacing w:after="0" w:line="237" w:lineRule="auto"/>
        <w:rPr>
          <w:sz w:val="20"/>
          <w:szCs w:val="20"/>
          <w:color w:val="auto"/>
        </w:rPr>
      </w:pPr>
      <w:r>
        <w:rPr>
          <w:rFonts w:ascii="Courier New" w:cs="Courier New" w:eastAsia="Courier New" w:hAnsi="Courier New"/>
          <w:sz w:val="15"/>
          <w:szCs w:val="15"/>
          <w:color w:val="auto"/>
        </w:rPr>
        <w:t>FORM S-3</w:t>
      </w:r>
    </w:p>
    <w:p>
      <w:pPr>
        <w:ind w:left="1060"/>
        <w:spacing w:after="0" w:line="238" w:lineRule="auto"/>
        <w:rPr>
          <w:sz w:val="20"/>
          <w:szCs w:val="20"/>
          <w:color w:val="auto"/>
        </w:rPr>
      </w:pPr>
      <w:r>
        <w:rPr>
          <w:rFonts w:ascii="Courier New" w:cs="Courier New" w:eastAsia="Courier New" w:hAnsi="Courier New"/>
          <w:sz w:val="15"/>
          <w:szCs w:val="15"/>
          <w:color w:val="auto"/>
        </w:rPr>
        <w:t>REGISTRATION STATEMENT UNDER THE SECURITIES ACT OF 1933</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ind w:left="2540"/>
        <w:spacing w:after="0" w:line="238" w:lineRule="auto"/>
        <w:rPr>
          <w:sz w:val="20"/>
          <w:szCs w:val="20"/>
          <w:color w:val="auto"/>
        </w:rPr>
      </w:pPr>
      <w:r>
        <w:rPr>
          <w:rFonts w:ascii="Courier New" w:cs="Courier New" w:eastAsia="Courier New" w:hAnsi="Courier New"/>
          <w:sz w:val="15"/>
          <w:szCs w:val="15"/>
          <w:color w:val="auto"/>
        </w:rPr>
        <w:t>WASTE MANAGEMENT, INC.</w:t>
      </w:r>
    </w:p>
    <w:p>
      <w:pPr>
        <w:ind w:left="1140"/>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909" w:orient="portrait"/>
          <w:cols w:equalWidth="0" w:num="1">
            <w:col w:w="10239"/>
          </w:cols>
          <w:pgMar w:left="220" w:top="225" w:right="1440" w:bottom="0" w:gutter="0" w:footer="0" w:header="0"/>
        </w:sectPr>
      </w:pPr>
    </w:p>
    <w:p>
      <w:pPr>
        <w:spacing w:after="0" w:line="200" w:lineRule="exact"/>
        <w:rPr>
          <w:sz w:val="24"/>
          <w:szCs w:val="24"/>
          <w:color w:val="auto"/>
        </w:rPr>
      </w:pPr>
    </w:p>
    <w:p>
      <w:pPr>
        <w:spacing w:after="0" w:line="304"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(State or other jurisdiction of incorporation or</w:t>
      </w:r>
    </w:p>
    <w:p>
      <w:pPr>
        <w:spacing w:after="0" w:line="3"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jc w:val="center"/>
        <w:ind w:right="699"/>
        <w:spacing w:after="0"/>
        <w:rPr>
          <w:sz w:val="20"/>
          <w:szCs w:val="20"/>
          <w:color w:val="auto"/>
        </w:rPr>
      </w:pPr>
      <w:r>
        <w:rPr>
          <w:rFonts w:ascii="Courier New" w:cs="Courier New" w:eastAsia="Courier New" w:hAnsi="Courier New"/>
          <w:sz w:val="15"/>
          <w:szCs w:val="15"/>
          <w:color w:val="auto"/>
        </w:rPr>
        <w:t>73-1309529</w:t>
      </w:r>
    </w:p>
    <w:p>
      <w:pPr>
        <w:spacing w:after="0" w:line="5" w:lineRule="exact"/>
        <w:rPr>
          <w:sz w:val="24"/>
          <w:szCs w:val="24"/>
          <w:color w:val="auto"/>
        </w:rPr>
      </w:pPr>
    </w:p>
    <w:p>
      <w:pPr>
        <w:jc w:val="center"/>
        <w:ind w:right="699"/>
        <w:spacing w:after="0"/>
        <w:rPr>
          <w:sz w:val="20"/>
          <w:szCs w:val="20"/>
          <w:color w:val="auto"/>
        </w:rPr>
      </w:pPr>
      <w:r>
        <w:rPr>
          <w:rFonts w:ascii="Courier New" w:cs="Courier New" w:eastAsia="Courier New" w:hAnsi="Courier New"/>
          <w:sz w:val="14"/>
          <w:szCs w:val="14"/>
          <w:color w:val="auto"/>
        </w:rPr>
        <w:t>(I.R.S. Employer Identification No.)</w:t>
      </w:r>
    </w:p>
    <w:p>
      <w:pPr>
        <w:spacing w:after="0" w:line="373" w:lineRule="exact"/>
        <w:rPr>
          <w:sz w:val="24"/>
          <w:szCs w:val="24"/>
          <w:color w:val="auto"/>
        </w:rPr>
      </w:pPr>
    </w:p>
    <w:p>
      <w:pPr>
        <w:sectPr>
          <w:pgSz w:w="11900" w:h="16909" w:orient="portrait"/>
          <w:cols w:equalWidth="0" w:num="2">
            <w:col w:w="5680" w:space="720"/>
            <w:col w:w="3839"/>
          </w:cols>
          <w:pgMar w:left="220" w:top="225" w:right="1440" w:bottom="0" w:gutter="0" w:footer="0" w:header="0"/>
          <w:type w:val="continuous"/>
        </w:sectPr>
      </w:pPr>
    </w:p>
    <w:p>
      <w:pPr>
        <w:spacing w:after="0" w:line="135"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1001 FANNIN STREET, SUITE 4000</w:t>
      </w:r>
    </w:p>
    <w:p>
      <w:pPr>
        <w:jc w:val="center"/>
        <w:ind w:right="3219"/>
        <w:spacing w:after="0" w:line="237" w:lineRule="auto"/>
        <w:rPr>
          <w:sz w:val="20"/>
          <w:szCs w:val="20"/>
          <w:color w:val="auto"/>
        </w:rPr>
      </w:pPr>
      <w:r>
        <w:rPr>
          <w:rFonts w:ascii="Courier New" w:cs="Courier New" w:eastAsia="Courier New" w:hAnsi="Courier New"/>
          <w:sz w:val="15"/>
          <w:szCs w:val="15"/>
          <w:color w:val="auto"/>
        </w:rPr>
        <w:t>HOUSTON, TEXAS 77002</w:t>
      </w:r>
    </w:p>
    <w:p>
      <w:pPr>
        <w:jc w:val="center"/>
        <w:ind w:right="3219"/>
        <w:spacing w:after="0" w:line="238" w:lineRule="auto"/>
        <w:rPr>
          <w:sz w:val="20"/>
          <w:szCs w:val="20"/>
          <w:color w:val="auto"/>
        </w:rPr>
      </w:pPr>
      <w:r>
        <w:rPr>
          <w:rFonts w:ascii="Courier New" w:cs="Courier New" w:eastAsia="Courier New" w:hAnsi="Courier New"/>
          <w:sz w:val="15"/>
          <w:szCs w:val="15"/>
          <w:color w:val="auto"/>
        </w:rPr>
        <w:t>(713) 512-6200</w:t>
      </w:r>
    </w:p>
    <w:p>
      <w:pPr>
        <w:jc w:val="center"/>
        <w:ind w:right="3319"/>
        <w:spacing w:after="0" w:line="237" w:lineRule="auto"/>
        <w:rPr>
          <w:sz w:val="20"/>
          <w:szCs w:val="20"/>
          <w:color w:val="auto"/>
        </w:rPr>
      </w:pPr>
      <w:r>
        <w:rPr>
          <w:rFonts w:ascii="Courier New" w:cs="Courier New" w:eastAsia="Courier New" w:hAnsi="Courier New"/>
          <w:sz w:val="15"/>
          <w:szCs w:val="15"/>
          <w:color w:val="auto"/>
        </w:rPr>
        <w:t>(Address, including zip code, and telephone number, including area code,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Registrant's principal executive offices)</w:t>
      </w:r>
    </w:p>
    <w:p>
      <w:pPr>
        <w:spacing w:after="0" w:line="167"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GREGORY T. SANGALIS</w:t>
      </w:r>
    </w:p>
    <w:p>
      <w:pPr>
        <w:ind w:left="1500"/>
        <w:spacing w:after="0" w:line="237" w:lineRule="auto"/>
        <w:rPr>
          <w:sz w:val="20"/>
          <w:szCs w:val="20"/>
          <w:color w:val="auto"/>
        </w:rPr>
      </w:pPr>
      <w:r>
        <w:rPr>
          <w:rFonts w:ascii="Courier New" w:cs="Courier New" w:eastAsia="Courier New" w:hAnsi="Courier New"/>
          <w:sz w:val="15"/>
          <w:szCs w:val="15"/>
          <w:color w:val="auto"/>
        </w:rPr>
        <w:t>VICE PRESIDENT, GENERAL COUNSEL AND SECRETARY</w:t>
      </w:r>
    </w:p>
    <w:p>
      <w:pPr>
        <w:ind w:left="2200"/>
        <w:spacing w:after="0" w:line="238" w:lineRule="auto"/>
        <w:rPr>
          <w:sz w:val="20"/>
          <w:szCs w:val="20"/>
          <w:color w:val="auto"/>
        </w:rPr>
      </w:pPr>
      <w:r>
        <w:rPr>
          <w:rFonts w:ascii="Courier New" w:cs="Courier New" w:eastAsia="Courier New" w:hAnsi="Courier New"/>
          <w:sz w:val="15"/>
          <w:szCs w:val="15"/>
          <w:color w:val="auto"/>
        </w:rPr>
        <w:t>1001 FANNIN STREET, SUITE 4000</w:t>
      </w:r>
    </w:p>
    <w:p>
      <w:pPr>
        <w:ind w:left="2640"/>
        <w:spacing w:after="0" w:line="237" w:lineRule="auto"/>
        <w:rPr>
          <w:sz w:val="20"/>
          <w:szCs w:val="20"/>
          <w:color w:val="auto"/>
        </w:rPr>
      </w:pPr>
      <w:r>
        <w:rPr>
          <w:rFonts w:ascii="Courier New" w:cs="Courier New" w:eastAsia="Courier New" w:hAnsi="Courier New"/>
          <w:sz w:val="15"/>
          <w:szCs w:val="15"/>
          <w:color w:val="auto"/>
        </w:rPr>
        <w:t>HOUSTON, TEXAS 77002</w:t>
      </w:r>
    </w:p>
    <w:p>
      <w:pPr>
        <w:ind w:left="2900"/>
        <w:spacing w:after="0" w:line="238" w:lineRule="auto"/>
        <w:rPr>
          <w:sz w:val="20"/>
          <w:szCs w:val="20"/>
          <w:color w:val="auto"/>
        </w:rPr>
      </w:pPr>
      <w:r>
        <w:rPr>
          <w:rFonts w:ascii="Courier New" w:cs="Courier New" w:eastAsia="Courier New" w:hAnsi="Courier New"/>
          <w:sz w:val="15"/>
          <w:szCs w:val="15"/>
          <w:color w:val="auto"/>
        </w:rPr>
        <w:t>(713) 512-6200</w:t>
      </w:r>
    </w:p>
    <w:p>
      <w:pPr>
        <w:ind w:left="100"/>
        <w:spacing w:after="0" w:line="237" w:lineRule="auto"/>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ind w:left="2540"/>
        <w:spacing w:after="0" w:line="238" w:lineRule="auto"/>
        <w:rPr>
          <w:sz w:val="20"/>
          <w:szCs w:val="20"/>
          <w:color w:val="auto"/>
        </w:rPr>
      </w:pPr>
      <w:r>
        <w:rPr>
          <w:rFonts w:ascii="Courier New" w:cs="Courier New" w:eastAsia="Courier New" w:hAnsi="Courier New"/>
          <w:sz w:val="15"/>
          <w:szCs w:val="15"/>
          <w:color w:val="auto"/>
        </w:rPr>
        <w:t>of agent for service)</w:t>
      </w:r>
    </w:p>
    <w:p>
      <w:pPr>
        <w:spacing w:after="0" w:line="173" w:lineRule="exact"/>
        <w:rPr>
          <w:sz w:val="24"/>
          <w:szCs w:val="24"/>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this Registration Statement becomes effective.</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4" w:lineRule="exact"/>
        <w:rPr>
          <w:sz w:val="24"/>
          <w:szCs w:val="24"/>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5" w:lineRule="exact"/>
        <w:rPr>
          <w:sz w:val="24"/>
          <w:szCs w:val="24"/>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341"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40" w:type="dxa"/>
            <w:vAlign w:val="bottom"/>
          </w:tcPr>
          <w:p>
            <w:pPr>
              <w:ind w:left="780"/>
              <w:spacing w:after="0"/>
              <w:rPr>
                <w:sz w:val="20"/>
                <w:szCs w:val="20"/>
                <w:color w:val="auto"/>
              </w:rPr>
            </w:pPr>
            <w:r>
              <w:rPr>
                <w:rFonts w:ascii="Courier New" w:cs="Courier New" w:eastAsia="Courier New" w:hAnsi="Courier New"/>
                <w:sz w:val="15"/>
                <w:szCs w:val="15"/>
                <w:color w:val="auto"/>
              </w:rPr>
              <w:t>PROPOSED</w:t>
            </w:r>
          </w:p>
        </w:tc>
        <w:tc>
          <w:tcPr>
            <w:tcW w:w="18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PROPOSED</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 EACH CLASS OF SECURITIES TO BE</w:t>
            </w:r>
          </w:p>
        </w:tc>
        <w:tc>
          <w:tcPr>
            <w:tcW w:w="18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AMOUNT TO BE</w:t>
            </w:r>
          </w:p>
        </w:tc>
        <w:tc>
          <w:tcPr>
            <w:tcW w:w="2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MAXIMUM OFFERING</w:t>
            </w:r>
          </w:p>
        </w:tc>
        <w:tc>
          <w:tcPr>
            <w:tcW w:w="18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MAXIMUM AGGREGATE</w:t>
            </w:r>
          </w:p>
        </w:tc>
      </w:tr>
      <w:tr>
        <w:trPr>
          <w:trHeight w:val="168"/>
        </w:trPr>
        <w:tc>
          <w:tcPr>
            <w:tcW w:w="37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REGISTERED</w:t>
            </w:r>
          </w:p>
        </w:tc>
        <w:tc>
          <w:tcPr>
            <w:tcW w:w="18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REGISTERED</w:t>
            </w:r>
          </w:p>
        </w:tc>
        <w:tc>
          <w:tcPr>
            <w:tcW w:w="2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PRICE PER SHARE</w:t>
            </w:r>
          </w:p>
        </w:tc>
        <w:tc>
          <w:tcPr>
            <w:tcW w:w="18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6"/>
              </w:rPr>
              <w:t>OFFERING PRICE</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Debt Securities.......</w:t>
            </w:r>
          </w:p>
        </w:tc>
        <w:tc>
          <w:tcPr>
            <w:tcW w:w="1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par value $.01 per</w:t>
            </w:r>
          </w:p>
        </w:tc>
        <w:tc>
          <w:tcPr>
            <w:tcW w:w="1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19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$2,200,000,000(2)</w:t>
            </w:r>
          </w:p>
        </w:tc>
      </w:tr>
    </w:tbl>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909" w:orient="portrait"/>
          <w:cols w:equalWidth="0" w:num="1">
            <w:col w:w="10239"/>
          </w:cols>
          <w:pgMar w:left="220" w:top="225" w:right="1440" w:bottom="0" w:gutter="0" w:footer="0" w:header="0"/>
          <w:type w:val="continuous"/>
        </w:sectPr>
      </w:pPr>
    </w:p>
    <w:p>
      <w:pPr>
        <w:spacing w:after="0" w:line="346" w:lineRule="exact"/>
        <w:rPr>
          <w:sz w:val="24"/>
          <w:szCs w:val="24"/>
          <w:color w:val="auto"/>
        </w:rPr>
      </w:pPr>
    </w:p>
    <w:p>
      <w:pPr>
        <w:jc w:val="both"/>
        <w:spacing w:after="0" w:line="261" w:lineRule="auto"/>
        <w:rPr>
          <w:sz w:val="20"/>
          <w:szCs w:val="20"/>
          <w:color w:val="auto"/>
        </w:rPr>
      </w:pPr>
      <w:r>
        <w:rPr>
          <w:rFonts w:ascii="Courier New" w:cs="Courier New" w:eastAsia="Courier New" w:hAnsi="Courier New"/>
          <w:sz w:val="14"/>
          <w:szCs w:val="14"/>
          <w:color w:val="auto"/>
        </w:rPr>
        <w:t>- --------------------------------------- - ---------------------------------------</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ectPr>
          <w:pgSz w:w="11900" w:h="16909" w:orient="portrait"/>
          <w:cols w:equalWidth="0" w:num="2">
            <w:col w:w="3600" w:space="180"/>
            <w:col w:w="6459"/>
          </w:cols>
          <w:pgMar w:left="220" w:top="225"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TITLE OF EACH CLASS OF SECURITIES TO BE</w:t>
      </w:r>
    </w:p>
    <w:p>
      <w:pPr>
        <w:ind w:left="1240"/>
        <w:spacing w:after="0" w:line="237" w:lineRule="auto"/>
        <w:rPr>
          <w:sz w:val="20"/>
          <w:szCs w:val="20"/>
          <w:color w:val="auto"/>
        </w:rPr>
      </w:pPr>
      <w:r>
        <w:rPr>
          <w:rFonts w:ascii="Courier New" w:cs="Courier New" w:eastAsia="Courier New" w:hAnsi="Courier New"/>
          <w:sz w:val="15"/>
          <w:szCs w:val="15"/>
          <w:color w:val="auto"/>
        </w:rPr>
        <w:t>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ind w:left="340"/>
        <w:spacing w:after="0"/>
        <w:rPr>
          <w:sz w:val="20"/>
          <w:szCs w:val="20"/>
          <w:color w:val="auto"/>
        </w:rPr>
      </w:pPr>
      <w:r>
        <w:rPr>
          <w:rFonts w:ascii="Courier New" w:cs="Courier New" w:eastAsia="Courier New" w:hAnsi="Courier New"/>
          <w:sz w:val="15"/>
          <w:szCs w:val="15"/>
          <w:color w:val="auto"/>
        </w:rPr>
        <w:t>AMOUNT OF</w:t>
      </w:r>
    </w:p>
    <w:p>
      <w:pPr>
        <w:ind w:left="80"/>
        <w:spacing w:after="0" w:line="237" w:lineRule="auto"/>
        <w:rPr>
          <w:sz w:val="20"/>
          <w:szCs w:val="20"/>
          <w:color w:val="auto"/>
        </w:rPr>
      </w:pPr>
      <w:r>
        <w:rPr>
          <w:rFonts w:ascii="Courier New" w:cs="Courier New" w:eastAsia="Courier New" w:hAnsi="Courier New"/>
          <w:sz w:val="15"/>
          <w:szCs w:val="15"/>
          <w:color w:val="auto"/>
        </w:rPr>
        <w:t>REGISTRATION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ectPr>
          <w:pgSz w:w="11900" w:h="16909" w:orient="portrait"/>
          <w:cols w:equalWidth="0" w:num="2">
            <w:col w:w="3600" w:space="180"/>
            <w:col w:w="6459"/>
          </w:cols>
          <w:pgMar w:left="220" w:top="225"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Debt Securities.......</w:t>
      </w:r>
    </w:p>
    <w:p>
      <w:pPr>
        <w:spacing w:after="0" w:line="237" w:lineRule="auto"/>
        <w:rPr>
          <w:sz w:val="20"/>
          <w:szCs w:val="20"/>
          <w:color w:val="auto"/>
        </w:rPr>
      </w:pPr>
      <w:r>
        <w:rPr>
          <w:rFonts w:ascii="Courier New" w:cs="Courier New" w:eastAsia="Courier New" w:hAnsi="Courier New"/>
          <w:sz w:val="15"/>
          <w:szCs w:val="15"/>
          <w:color w:val="auto"/>
        </w:rPr>
        <w:t>Common Stock, par value $.01 per</w:t>
      </w:r>
    </w:p>
    <w:p>
      <w:pPr>
        <w:ind w:left="180"/>
        <w:spacing w:after="0"/>
        <w:tabs>
          <w:tab w:leader="none" w:pos="4180" w:val="left"/>
        </w:tabs>
        <w:rPr>
          <w:sz w:val="20"/>
          <w:szCs w:val="20"/>
          <w:color w:val="auto"/>
        </w:rPr>
      </w:pP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4"/>
          <w:szCs w:val="14"/>
          <w:color w:val="auto"/>
        </w:rPr>
        <w:t>$611,600</w:t>
      </w:r>
    </w:p>
    <w:p>
      <w:pPr>
        <w:sectPr>
          <w:pgSz w:w="11900" w:h="16909" w:orient="portrait"/>
          <w:cols w:equalWidth="0" w:num="1">
            <w:col w:w="10239"/>
          </w:cols>
          <w:pgMar w:left="220" w:top="225" w:right="1440" w:bottom="0" w:gutter="0" w:footer="0" w:header="0"/>
          <w:type w:val="continuous"/>
        </w:sectPr>
      </w:pP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0" w:lineRule="exact"/>
        <w:rPr>
          <w:sz w:val="24"/>
          <w:szCs w:val="24"/>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Omitted pursuant to Rule 457(o)</w:t>
      </w:r>
    </w:p>
    <w:p>
      <w:pPr>
        <w:spacing w:after="0" w:line="4" w:lineRule="exact"/>
        <w:rPr>
          <w:rFonts w:ascii="Courier New" w:cs="Courier New" w:eastAsia="Courier New" w:hAnsi="Courier New"/>
          <w:sz w:val="15"/>
          <w:szCs w:val="15"/>
          <w:color w:val="auto"/>
        </w:rPr>
      </w:pPr>
    </w:p>
    <w:p>
      <w:pPr>
        <w:ind w:left="360" w:right="3499" w:hanging="350"/>
        <w:spacing w:after="0" w:line="235"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457(o). Pursuant to Rule 429 under the Securities Act of 1933, as amended, the prospectus included herein also relates to</w:t>
      </w:r>
    </w:p>
    <w:p>
      <w:pPr>
        <w:sectPr>
          <w:pgSz w:w="11900" w:h="16909" w:orient="portrait"/>
          <w:cols w:equalWidth="0" w:num="1">
            <w:col w:w="10239"/>
          </w:cols>
          <w:pgMar w:left="220" w:top="225" w:right="1440" w:bottom="0" w:gutter="0" w:footer="0" w:header="0"/>
          <w:type w:val="continuous"/>
        </w:sectPr>
      </w:pPr>
    </w:p>
    <w:bookmarkStart w:id="1" w:name="page2"/>
    <w:bookmarkEnd w:id="1"/>
    <w:p>
      <w:pPr>
        <w:ind w:left="360" w:right="3239"/>
        <w:spacing w:after="0" w:line="255" w:lineRule="auto"/>
        <w:rPr>
          <w:sz w:val="20"/>
          <w:szCs w:val="20"/>
          <w:color w:val="auto"/>
        </w:rPr>
      </w:pPr>
      <w:r>
        <w:rPr>
          <w:rFonts w:ascii="Courier New" w:cs="Courier New" w:eastAsia="Courier New" w:hAnsi="Courier New"/>
          <w:sz w:val="14"/>
          <w:szCs w:val="14"/>
          <w:color w:val="auto"/>
        </w:rPr>
        <w:t>$800,000,000 of Securities registered under Registration Statement No. 333-52197 for which a registration fee of $236,000 was previously paid to the Commission. If any such previously registered Securities are offered prior to the effective date of this registration statement, the amount of such Securities will not be included in any prospectus hereunder. The amount of Securities being registered, together with the remaining Securities registered under Registration Statement No. 333-52197, represents the maximum amount of Securities that are expected to be offered for sale.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8"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SUBJECT TO COMPLETION, DATED JUNE 4, 1999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$3,000,000,000</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WASTE MANAGEMENT,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DEBT SECURITIES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COMMON STOCK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offer from time to time</w:t>
      </w:r>
    </w:p>
    <w:p>
      <w:pPr>
        <w:spacing w:after="0" w:line="166" w:lineRule="exact"/>
        <w:rPr>
          <w:sz w:val="20"/>
          <w:szCs w:val="20"/>
          <w:color w:val="auto"/>
        </w:rPr>
      </w:pPr>
    </w:p>
    <w:p>
      <w:pPr>
        <w:ind w:left="620" w:hanging="173"/>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securities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our common stock</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Our shares of common stock are listed on the New York Stock Exchange under the symbol "WMI."</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CONSIDER CAREFULLY THE RISK FACTORS BEGINNING ON PAGE 4.</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will provide a prospectus supplement each time we issue the securities covered by this prospectus. The prospectus supplement will provide specific information about the terms of that offering and also may add, update or change information contained in this prospectus.</w:t>
      </w:r>
    </w:p>
    <w:p>
      <w:pPr>
        <w:spacing w:after="0" w:line="175"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You should read this prospectus and the related prospectus supplement carefully before you invest in our securities. This prospectus may not be used to offer and sell our securities unless accompanied by a prospectus supplement.</w:t>
      </w:r>
    </w:p>
    <w:p>
      <w:pPr>
        <w:spacing w:after="0" w:line="16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9" w:lineRule="exact"/>
        <w:rPr>
          <w:sz w:val="20"/>
          <w:szCs w:val="20"/>
          <w:color w:val="auto"/>
        </w:rPr>
      </w:pPr>
    </w:p>
    <w:p>
      <w:pPr>
        <w:ind w:left="1580"/>
        <w:spacing w:after="0"/>
        <w:tabs>
          <w:tab w:leader="none" w:pos="4880" w:val="left"/>
        </w:tabs>
        <w:rPr>
          <w:sz w:val="20"/>
          <w:szCs w:val="20"/>
          <w:color w:val="auto"/>
        </w:rPr>
      </w:pPr>
      <w:r>
        <w:rPr>
          <w:rFonts w:ascii="Courier New" w:cs="Courier New" w:eastAsia="Courier New" w:hAnsi="Courier New"/>
          <w:sz w:val="15"/>
          <w:szCs w:val="15"/>
          <w:color w:val="auto"/>
        </w:rPr>
        <w:t>THE DATE OF THIS PROSPECTUS IS JUNE</w:t>
      </w:r>
      <w:r>
        <w:rPr>
          <w:sz w:val="20"/>
          <w:szCs w:val="20"/>
          <w:color w:val="auto"/>
        </w:rPr>
        <w:tab/>
      </w:r>
      <w:r>
        <w:rPr>
          <w:rFonts w:ascii="Courier New" w:cs="Courier New" w:eastAsia="Courier New" w:hAnsi="Courier New"/>
          <w:sz w:val="14"/>
          <w:szCs w:val="14"/>
          <w:color w:val="auto"/>
        </w:rPr>
        <w:t>, 1999</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WHERE TO FIND MORE INFORMATION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have filed with the SEC a registration statement on Form S-3 (Reg. No.</w:t>
      </w:r>
    </w:p>
    <w:p>
      <w:pPr>
        <w:spacing w:after="0" w:line="1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333- ) with respect to the securities we are offering. This prospectus does not contain all the information contained in the registration statement, including its exhibits and schedules. You should refer to the registration statement, including the exhibits and schedules, for further information about us and the securities we are offering. Statements we make in this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SEC and may be inspected without charge. We file annual, quarterly and current reports, proxy statements and other information with the SEC. Our SEC filings, including the registration statement, are available to the public over the Internet at the SEC's web site at http://www.sec.gov. You can also read and copy any document we file at:</w:t>
      </w:r>
    </w:p>
    <w:p>
      <w:pPr>
        <w:spacing w:after="0" w:line="332" w:lineRule="exact"/>
        <w:rPr>
          <w:sz w:val="20"/>
          <w:szCs w:val="20"/>
          <w:color w:val="auto"/>
        </w:rPr>
      </w:pPr>
    </w:p>
    <w:p>
      <w:pPr>
        <w:ind w:left="620" w:right="3839" w:hanging="173"/>
        <w:spacing w:after="0" w:line="234"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public reference facilities maintained by the SEC at 450 Fifth Street, N.W., Washington, D.C. 20549,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regional offices of the SEC located at:</w:t>
      </w:r>
    </w:p>
    <w:p>
      <w:pPr>
        <w:spacing w:after="0" w:line="166" w:lineRule="exact"/>
        <w:rPr>
          <w:rFonts w:ascii="Courier New" w:cs="Courier New" w:eastAsia="Courier New" w:hAnsi="Courier New"/>
          <w:sz w:val="15"/>
          <w:szCs w:val="15"/>
          <w:color w:val="auto"/>
        </w:rPr>
      </w:pPr>
    </w:p>
    <w:p>
      <w:pPr>
        <w:ind w:left="700" w:hanging="166"/>
        <w:spacing w:after="0"/>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 West Madison Street, Suite 1400, Chicago, Illinois 60661, and</w:t>
      </w:r>
    </w:p>
    <w:p>
      <w:pPr>
        <w:spacing w:after="0" w:line="166" w:lineRule="exact"/>
        <w:rPr>
          <w:rFonts w:ascii="Courier New" w:cs="Courier New" w:eastAsia="Courier New" w:hAnsi="Courier New"/>
          <w:sz w:val="15"/>
          <w:szCs w:val="15"/>
          <w:color w:val="auto"/>
        </w:rPr>
      </w:pPr>
    </w:p>
    <w:p>
      <w:pPr>
        <w:ind w:left="700" w:hanging="166"/>
        <w:spacing w:after="0"/>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World Trade Center, Suite 1300, New York, New York 10048.</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Please call the SEC at 1-800-SEC-0330 for more information about the public reference facilities.</w:t>
      </w:r>
    </w:p>
    <w:p>
      <w:pPr>
        <w:spacing w:after="0" w:line="17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You can also inspect material filed by us at the offices of the New York Stock Exchange, 20 Broad Street, New York, New York 10005, on which shares of our common stock are listed.</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are incorporating by reference in this prospectus some information we file with the SEC. This means that we are disclosing important information to you by referring you to those documents. Specifically, we incorporate by reference the documents set forth below that we have previously filed with the SEC:</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right="1480"/>
        <w:spacing w:after="0" w:line="261" w:lineRule="auto"/>
        <w:rPr>
          <w:sz w:val="20"/>
          <w:szCs w:val="20"/>
          <w:color w:val="auto"/>
        </w:rPr>
      </w:pPr>
      <w:r>
        <w:rPr>
          <w:rFonts w:ascii="Courier New" w:cs="Courier New" w:eastAsia="Courier New" w:hAnsi="Courier New"/>
          <w:sz w:val="14"/>
          <w:szCs w:val="14"/>
          <w:color w:val="auto"/>
        </w:rPr>
        <w:t>SEC FILINGS (FILE NO. 1-12154)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PERIOD/DATE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280" w:space="720"/>
            <w:col w:w="5239"/>
          </w:cols>
          <w:pgMar w:left="220" w:top="281" w:right="1440" w:bottom="1440" w:gutter="0" w:footer="0" w:header="0"/>
          <w:type w:val="continuous"/>
        </w:sectPr>
      </w:pPr>
    </w:p>
    <w:p>
      <w:pPr>
        <w:ind w:right="80"/>
        <w:spacing w:after="0"/>
        <w:rPr>
          <w:sz w:val="20"/>
          <w:szCs w:val="20"/>
          <w:color w:val="auto"/>
        </w:rPr>
      </w:pPr>
      <w:r>
        <w:rPr>
          <w:rFonts w:ascii="Courier New" w:cs="Courier New" w:eastAsia="Courier New" w:hAnsi="Courier New"/>
          <w:sz w:val="15"/>
          <w:szCs w:val="15"/>
          <w:color w:val="auto"/>
        </w:rPr>
        <w:t>- - Annual Report on Form 10-K - - Quarterly Report on Form 10-Q - - Proxy Statement for the 1999 Annual Meeting of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Year ended December 31, 1998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 ended March 31, 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5, 1999</w:t>
      </w:r>
    </w:p>
    <w:p>
      <w:pPr>
        <w:spacing w:after="0" w:line="209" w:lineRule="exact"/>
        <w:rPr>
          <w:sz w:val="20"/>
          <w:szCs w:val="20"/>
          <w:color w:val="auto"/>
        </w:rPr>
      </w:pPr>
    </w:p>
    <w:p>
      <w:pPr>
        <w:sectPr>
          <w:pgSz w:w="11900" w:h="16838" w:orient="portrait"/>
          <w:cols w:equalWidth="0" w:num="2">
            <w:col w:w="4460" w:space="720"/>
            <w:col w:w="5059"/>
          </w:cols>
          <w:pgMar w:left="220" w:top="281" w:right="1440" w:bottom="1440" w:gutter="0" w:footer="0" w:header="0"/>
          <w:type w:val="continuous"/>
        </w:sectPr>
      </w:pPr>
    </w:p>
    <w:p>
      <w:pPr>
        <w:spacing w:after="0" w:line="299"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We also incorporate by reference the information contained in any future filings made with the SEC under Sections 13(a), 13(c), 14 or 15(d) of the Securities Exchange Act until we sell all of the securities covered by this prospectus, which information will be deemed to automatically update and supersede this information.</w:t>
      </w:r>
    </w:p>
    <w:p>
      <w:pPr>
        <w:spacing w:after="0" w:line="174"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You may request a copy of these filings at no cost, by writing or telephoning us at the following address:</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Waste Management, Inc.</w:t>
      </w:r>
    </w:p>
    <w:p>
      <w:pPr>
        <w:ind w:left="700"/>
        <w:spacing w:after="0" w:line="237" w:lineRule="auto"/>
        <w:rPr>
          <w:sz w:val="20"/>
          <w:szCs w:val="20"/>
          <w:color w:val="auto"/>
        </w:rPr>
      </w:pPr>
      <w:r>
        <w:rPr>
          <w:rFonts w:ascii="Courier New" w:cs="Courier New" w:eastAsia="Courier New" w:hAnsi="Courier New"/>
          <w:sz w:val="15"/>
          <w:szCs w:val="15"/>
          <w:color w:val="auto"/>
        </w:rPr>
        <w:t>1001 Fannin Street, Suite 4000</w:t>
      </w:r>
    </w:p>
    <w:p>
      <w:pPr>
        <w:ind w:left="700"/>
        <w:spacing w:after="0" w:line="238" w:lineRule="auto"/>
        <w:rPr>
          <w:sz w:val="20"/>
          <w:szCs w:val="20"/>
          <w:color w:val="auto"/>
        </w:rPr>
      </w:pPr>
      <w:r>
        <w:rPr>
          <w:rFonts w:ascii="Courier New" w:cs="Courier New" w:eastAsia="Courier New" w:hAnsi="Courier New"/>
          <w:sz w:val="15"/>
          <w:szCs w:val="15"/>
          <w:color w:val="auto"/>
        </w:rPr>
        <w:t>Houston, Texas 77002</w:t>
      </w:r>
    </w:p>
    <w:p>
      <w:pPr>
        <w:ind w:left="1240" w:hanging="531"/>
        <w:spacing w:after="0" w:line="237" w:lineRule="auto"/>
        <w:tabs>
          <w:tab w:leader="none" w:pos="12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512-6200</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Attn: Secretary</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OUR COMPANY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a global leader in providing integrated waste management services.</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North America, where we have our principal operations, we provide solid waste collection, transfer, recycling, resource recovery and disposal services. We also are a leading operator and owner of waste-to-energy and waste-fuel powered independent power facilities in the United States. We conduct other operations in North America, including landfill disposal of hazardous wastes, additional hazardous waste management services and low-level and other radioactive waste services.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Outside of North America, we operate in Europe, the Pacific Rim, South America and other select international markets, where we provide collection and transportation services for solid, hazardous and medical wastes and collection, treatment and disposal services for recyclable materials. We also operate solid and hazardous waste landfills, municipal and hazardous waste incinerators, waste and wastewater treatment facilities and hazardous waste treatment facilities, as well as construct waste treatment or disposal facilities for third parties.</w:t>
      </w:r>
    </w:p>
    <w:p>
      <w:pPr>
        <w:spacing w:after="0" w:line="16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Our diversified customer base includes commercial, industrial, municipal and residential customers, other waste management companies, governmental entities and independent power markets.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July 16, 1998, we changed our name to "Waste Management, Inc.," from "USA Waste Services, Inc." On that date, we acquired all of the shares of Waste Management Holdings, Inc., which at the time was the largest publicly traded waste management services company in North America and which operated under the "Waste Management" name.</w:t>
      </w:r>
    </w:p>
    <w:p>
      <w:pPr>
        <w:spacing w:after="0" w:line="174"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Our executive offices are located at 1001 Fannin Street, Suite 4000, Houston, Texas 77002, and our telephone number is (713) 512-6200.</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to the information set forth in this prospectus, you should carefully consider the risks described below before making an investment in the securities offered. The risks described below are not the only ones facing us. There may be additional risks not presently known to us or that we currently deem immaterial which may also impair our business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DIFFICULTIES IN CONTINUING TO EXPAND AND MANAGE GROWTH</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grown rapidly, primarily through acquisitions. We cannot guarantee that we will be able to continue to expand and successfully manage our growth. We also cannot guarantee that our existing or acquired operations will not be adversely affected by the pace of our growth. Improving the productivity of our acquired operations and using our asset base and strategic position to operate more efficiently is very important to our financial results and prospects. In particular, whether we will ultimately achieve the anticipated benefits of acquired operations will depend on a number of factors, including our ability to effect:</w:t>
      </w:r>
    </w:p>
    <w:p>
      <w:pPr>
        <w:spacing w:after="0" w:line="172" w:lineRule="exact"/>
        <w:rPr>
          <w:sz w:val="20"/>
          <w:szCs w:val="20"/>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costs savings;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rationalization of collection routes;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and bonding cost reductions;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economies of scale.</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Moreover, our ability to continue to grow will depend on a number of factors, including:</w:t>
      </w:r>
    </w:p>
    <w:p>
      <w:pPr>
        <w:spacing w:after="0" w:line="167" w:lineRule="exact"/>
        <w:rPr>
          <w:sz w:val="20"/>
          <w:szCs w:val="20"/>
          <w:color w:val="auto"/>
        </w:rPr>
      </w:pPr>
    </w:p>
    <w:p>
      <w:pPr>
        <w:ind w:left="620" w:hanging="173"/>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from other waste management companies;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attractive acquisition opportunities;</w:t>
      </w:r>
    </w:p>
    <w:p>
      <w:pPr>
        <w:spacing w:after="0" w:line="172"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mitigate antitrust concerns related to acquisitions in several markets;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working capital;</w:t>
      </w:r>
    </w:p>
    <w:p>
      <w:pPr>
        <w:spacing w:after="0" w:line="172"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maintain margins on existing or acquired operations; and</w:t>
      </w:r>
    </w:p>
    <w:p>
      <w:pPr>
        <w:spacing w:after="0" w:line="171"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manage costs in a changing regulatory environment.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RISKS OF ACQUISITION STRATEGY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regularly pursue opportunities to expand by acquiring additional waste management businesses and operations that can be effectively integrated with our existing operations. In addition, we regularly pursue mergers and acquisition transactions, some of which are significant, in new markets where we believe that we can successfully become a provider of integrated waste management services. As one of the leading industry consolidators, we could announce transactions with either publicly or privately owned businesses at any time.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acquisition strategy involves potential risks. These risks include:</w:t>
      </w:r>
    </w:p>
    <w:p>
      <w:pPr>
        <w:spacing w:after="0" w:line="173" w:lineRule="exact"/>
        <w:rPr>
          <w:sz w:val="20"/>
          <w:szCs w:val="20"/>
          <w:color w:val="auto"/>
        </w:rPr>
      </w:pPr>
    </w:p>
    <w:p>
      <w:pPr>
        <w:ind w:left="620" w:right="3399" w:hanging="173"/>
        <w:spacing w:after="0" w:line="234"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failure to accurately assess all of the pre-existing liabilities of acquired companies;</w:t>
      </w:r>
    </w:p>
    <w:p>
      <w:pPr>
        <w:spacing w:after="0" w:line="173"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difficulties in successfully integrating the operations of acquired companies with our existing operations;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lack of attractive acquisition opportunities;</w:t>
      </w:r>
    </w:p>
    <w:p>
      <w:pPr>
        <w:spacing w:after="0" w:line="172" w:lineRule="exact"/>
        <w:rPr>
          <w:rFonts w:ascii="Courier New" w:cs="Courier New" w:eastAsia="Courier New" w:hAnsi="Courier New"/>
          <w:sz w:val="15"/>
          <w:szCs w:val="15"/>
          <w:color w:val="auto"/>
        </w:rPr>
      </w:pPr>
    </w:p>
    <w:p>
      <w:pPr>
        <w:ind w:left="620" w:right="3939" w:hanging="173"/>
        <w:spacing w:after="0" w:line="234"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inability to obtain the capital required to finance potential acquisitions on satisfactory terms;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businesses we acquire not proving profitable; and</w:t>
      </w:r>
    </w:p>
    <w:p>
      <w:pPr>
        <w:spacing w:after="0" w:line="172"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incurring additional indebtedness or issuing additional equity securities as a result of future acquisitions.</w:t>
      </w:r>
    </w:p>
    <w:p>
      <w:pPr>
        <w:ind w:left="3500"/>
        <w:spacing w:after="0" w:line="237" w:lineRule="auto"/>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SOCIAL, POLITICAL AND ECONOMIC RISKS ASSOCIATED WITH INTERNATIONAL OPERATIONS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Our operations in foreign countries generally are subject to a number of risks inherent in any business operating in foreign countries, all of which are beyond our control. These risks include:</w:t>
      </w:r>
    </w:p>
    <w:p>
      <w:pPr>
        <w:spacing w:after="0" w:line="167" w:lineRule="exact"/>
        <w:rPr>
          <w:sz w:val="20"/>
          <w:szCs w:val="20"/>
          <w:color w:val="auto"/>
        </w:rPr>
      </w:pPr>
    </w:p>
    <w:p>
      <w:pPr>
        <w:ind w:left="620" w:hanging="173"/>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social and economic instability;</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inflation;</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strikes;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nationalization of assets;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restrictions and exchange rate fluctuations;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nullification, modification or renegotiation of contracts;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regulation.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can make no prediction as to how existing or future foreign governmental regulations in any jurisdiction may affect us in particular or the waste management industry in general.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NEED FOR ADDITIONAL CAPITAL; EFFECT OF FLUCTUATING INTEREST RATES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expect to generate sufficient cash flow from our operations in 1999 to cover our anticipated cash needs for capital expenditures and acquisitions. If our cash flow from operations during 1999 is less than currently expected, or our capital requirements increase, either due to strategic decisions or otherwise, we may elect to incur indebtedness or issue equity securities to cover any additional capital needs. However, we cannot guarantee that we will be successful in obtaining additional capital in this manner on acceptable terms.</w:t>
      </w:r>
    </w:p>
    <w:p>
      <w:pPr>
        <w:spacing w:after="0" w:line="166"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We also cannot guarantee that we will be successful in renewing our existing credit facilities, or that we will be able to renew the credit facilities on terms acceptable to us. If we are unable to renew our existing credit facilities, or to obtain other financing sources, our business and operating results could be affected adversely to a material extent.</w:t>
      </w:r>
    </w:p>
    <w:p>
      <w:pPr>
        <w:spacing w:after="0" w:line="16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the past, we have used variable rate debt under revolving bank credit arrangements as one method of financing our rapid growth. Although our recent financings have reduced the amount of variable rate debt as a percentage of total indebtedness outstanding, issuing variable rate debt will continue to be an alternative for us. Fluctuations in variable interest rates, which may occur as general interest rates change, could have a material adverse effect on us.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COMPETITION ON PROFITABILITY</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We encounter intense competition from governmental, quasi-governmental and private sources in all aspects of our operations.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North America, the waste management services industry consists of large national companies and local and regional companies of varying sizes and financial resources. We compete with numerous waste management companies as well as with counties and municipalities that maintain their own waste collection and disposal operations. These counties and municipalities may have financial competitive advantages because tax revenues and tax-exempt financing are available to them. In addition, competitors may reduce their prices to expand sales volume or to win competitively bid municipal contracts. Profitability may decline because of the national emphasis on recycling, composting, and other waste reduction programs that could reduce the volume of solid waste collected or deposited in disposal facilities.</w:t>
      </w:r>
    </w:p>
    <w:p>
      <w:pPr>
        <w:spacing w:after="0" w:line="18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Outside of North America, the waste management services industry is very decentralized and highly fragmented. In some markets, however, we compete with substantial companies that hold significant market shares, particularly in Finland, Germany, the Netherlands, Sweden and the United Kingdom. Some of our international competitors may have greater financial resources and greater technical resources than</w:t>
      </w: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do with respect to specific matters. Especially in the case of larger contracts, we may be required to commit substantial resources over a long period of time during the proposal phase without any assurance that the contract will be awarded to us. Examples include contracts for city-cleaning services, contracts or bids with respect to the construction or development of water and wastewater facilities, or permitting and development of a new treatment facility, waste-to-energy facility, incinerator or landfill.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CHARGES FOR UNAMORTIZED CAPITALIZED EXPENDITURES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any pending acquisition that is not consummated, and any disposal site development or expansion project that is not completed. The charge against earnings is reduced by any portion of the capitalized expenditure and advances that we estimate will be recoverable, through sale or otherwise. In future periods, we may be required to incur a charge against earnings in accordance with our policy. Depending on its magnitude, any such charge could have a material adverse effect on our consolidated financial statements.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AND COSTS ASSOCIATED WITH GOVERNMENT REGULATION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Stringent government regulations at the federal, state and local level in the United States and in other countries have a substantial impact on our operations. A large number of complex laws, rules, orders and interpretations govern environmental protection, health and safety, land use, zoning and related matters. Among other things, they may restrict our operations and adversely affect our operating results and financial condition by imposing conditions such as:</w:t>
      </w:r>
    </w:p>
    <w:p>
      <w:pPr>
        <w:spacing w:after="0" w:line="176" w:lineRule="exact"/>
        <w:rPr>
          <w:sz w:val="20"/>
          <w:szCs w:val="20"/>
          <w:color w:val="auto"/>
        </w:rPr>
      </w:pPr>
    </w:p>
    <w:p>
      <w:pPr>
        <w:ind w:left="620" w:right="3499" w:hanging="173"/>
        <w:spacing w:after="0" w:line="234"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expansion of waste disposal, transfer or processing facilities;</w:t>
      </w:r>
    </w:p>
    <w:p>
      <w:pPr>
        <w:spacing w:after="0" w:line="173" w:lineRule="exact"/>
        <w:rPr>
          <w:rFonts w:ascii="Courier New" w:cs="Courier New" w:eastAsia="Courier New" w:hAnsi="Courier New"/>
          <w:sz w:val="15"/>
          <w:szCs w:val="15"/>
          <w:color w:val="auto"/>
        </w:rPr>
      </w:pPr>
    </w:p>
    <w:p>
      <w:pPr>
        <w:ind w:left="620" w:right="4019" w:hanging="173"/>
        <w:spacing w:after="0" w:line="234"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or bans on disposal of out-of-state waste or certain categories of waste; or</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mandates regarding the disposal of solid waste.</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order to develop, expand or operate a landfill or other waste management facility, we must have various facility permits and other governmental approvals, including those relating to zoning, environmental protection and land use. These permits and approvals are difficult, time consuming and costly to obtain, in part because of possible opposition by governmental officials or citizens. In addition, these permits and approvals may contain conditions that limit operations and our ability to change the facility or are otherwise difficult to comply with. We cannot guarantee that we will be successful in obtaining and maintaining in effect permits and approvals required for the successful operation and growth of our business, including permits and approvals for the development of additional disposal capacity needed to replace existing capacity that is exhausted.</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Courts in the United States, basing their decisions on constitutional law, have ruled that state and local governments may not use regulatory flow control laws to restrict the free movement of waste in interstate commerce. We cannot predict what impact, if any, these decisions will have on our disposal facilities.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ENVIRONMENTAL LIABILITIES AND LACK OF INSURANCE COVERAGE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could be liable if our disposal facilities or collection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operating results and financial condition.</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the ordinary course of our business, we may become involved in a variety of legal and administrative proceedings relating to land use and environmental laws and regulations. These may include proceedings in which:</w:t>
      </w:r>
    </w:p>
    <w:p>
      <w:pPr>
        <w:spacing w:after="0" w:line="174" w:lineRule="exact"/>
        <w:rPr>
          <w:sz w:val="20"/>
          <w:szCs w:val="20"/>
          <w:color w:val="auto"/>
        </w:rPr>
      </w:pPr>
    </w:p>
    <w:p>
      <w:pPr>
        <w:ind w:left="620" w:right="3399" w:hanging="173"/>
        <w:spacing w:after="0" w:line="235"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175"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 that we may be responsible for.</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adverse outcome of one or more of these proceedings could have a material adverse effect on our financial position, results of operations or cash flows.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However, we cannot guarantee that we will always be successful in this regard. Where we are not, we may incur fines, penalties or other sanctions that could have a material adverse effect on our financial position, results of operations or cash flows.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Due to the limited nature of such insurance coverage for environmental liability, if we were to incur liability for environmental damage, such liability could have a material adverse effect on our financial position, results of operations or cash flows.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ALTERNATIVES TO LANDFILL DISPOSAL AND WASTE-TO-ENERGY FACILITIES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customers are increasingly using alternatives to landfill disposal, such as recycling and composting. In addition, state and local governments are increasingly mandating recycling and waste reduction at the source and prohibiting the disposal of certain types of wastes, such as yard wastes, at landfills or waste-to-energy facilities.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KEY PERSONNEL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business is partially dependent upon the performance of certain of our executive officers. We are particularly dependent upon John E. Drury, our Chief Executive Officer, because of his knowledge of our operations as well as his industry experience. We have entered into employment agreements with our executive officers, but cannot guarantee that we will be able to retain their services or that, in the event of</w:t>
      </w: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their departure, we will be able to enforce non-competition provisions in the employment agreements. The loss of the services of our management could have a material adverse effect upon us. We are in the process of establishing a formalized management succession plan to prepare ourselves in the event of an unexpected departure.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RECYCLABLE MATERIALS PRICE FLUCTUATIONS</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Recyclable materials that we process for sale, including paper, plastics, aluminum and other commodities, are subject to significant price fluctuations. These fluctuations will affect our future operating revenues and income.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RELATED TO ACCOUNTING PRACTICES OF WASTE MANAGEMENT HOLDINGS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SEC has commenced a formal investigation with respect to the previously filed financial statements (which were subsequently restated) and the related accounting policies, procedures and system of internal controls of Waste Management Holdings, Inc., or "WM Holdings," which we acquired through a merger in July 1998. Several lawsuits and claims have been filed against WM Holdings and some of its former officers and directors in connection with the restatement of WM Holdings' financial statements. We are unable to predict the outcome or impact of the investigation or any previously filed or future lawsuits or claims arising out of the restatement. However, it is reasonably possible that they could have a material adverse impact on our financial condition or results of operations in one or more future periods.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OF OUR OPERATING REVENUES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this seasonality.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EFFECT OF CERTAIN ANTI-TAKEOVER PROVISIONS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Certain provisions of our Restated Certificate of Incorporation and Bylaws may make it more difficult for a third party to acquire us in a transaction that is not approved by our Board of Directors. For example, our Board of Directors has the power to issue up to 10,000,000 shares of our preferred stock in one or more series, and to fix the rights and preferences of any series, without further authorization by the holders of our common stock. In addition, our Board of Directors is divided into three classes, and each class serves for a staggered three-year term. This makes it more difficult for a third party to gain control of our Board of Directors. Generally, these provisions are designed to permit us to develop our businesses and foster our long-term growth without the disruption caused by the threat of a takeover that our Board of Directors does not think is in our best interests or in the best interests of our stockholders. Also, these provisions may discourage a third party from making a tender offer or otherwise attempting to gain control of us even though the attempt might be beneficial economically to us and our stockholders.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INFLUENCING FUTURE RESULTS AND ACCURACY OF FORWARD-LOOKING STATEMENTS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the normal course of our business, we, in an effort to help keep our stockholders and the public informed about our operations, may from time to time issue or make certain statements, either in writing or orally, that are or contain "forward-looking statements," as that term is defined in the U.S. federal securities laws. Generally, these statements relate to business plans or strategies, projected or anticipated benefits or other consequences of such plans or strategies, projected or anticipated benefits from acquisitions made by or to be made by us, or projections involving anticipated revenues, earnings, or other aspects of operating results. The words "may," "expect," "believe," "anticipate," "project," "estimate," their opposites and similar expressions are intended to identify forward-looking statements. We caution readers that such statements are not guarantees of future performance or events and are subject to a number of factors that may tend to influence the accuracy of the statements and the projections upon</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which the statements are based, including but not limited to those discussed above. All phases of our operations are subject to a number of uncertainties, risks, and other influences, many of which are outside our control, and any one of which, or a combination of which, could materially affect our consolidated financial statements and operations and whether forward-looking statements made by us ultimately prove to be accurate.</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Except as otherwise described in any prospectus supplement, we will use the net proceeds from the sale of our debt securities or common stock for general corporate purposes. We will determine any specific allocation of the net proceeds of an offering to a specific purpose at the time of such offering and will describe the specific allocation in the related prospectus supplement.</w:t>
      </w:r>
    </w:p>
    <w:p>
      <w:pPr>
        <w:spacing w:after="0" w:line="15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table sets forth our consolidated ratios of earnings to fixed charges for the periods as shown: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w w:val="96"/>
              </w:rPr>
              <w:t>THREE MONTHS</w:t>
            </w:r>
          </w:p>
        </w:tc>
      </w:tr>
      <w:tr>
        <w:trPr>
          <w:trHeight w:val="168"/>
        </w:trPr>
        <w:tc>
          <w:tcPr>
            <w:tcW w:w="4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70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ENDED</w:t>
            </w:r>
          </w:p>
        </w:tc>
      </w:tr>
      <w:tr>
        <w:trPr>
          <w:trHeight w:val="168"/>
        </w:trPr>
        <w:tc>
          <w:tcPr>
            <w:tcW w:w="43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7"/>
                <w:szCs w:val="7"/>
                <w:color w:val="auto"/>
                <w:w w:val="79"/>
              </w:rPr>
              <w:t>------------------------------------</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MARCH 31,</w:t>
            </w:r>
          </w:p>
        </w:tc>
      </w:tr>
      <w:tr>
        <w:trPr>
          <w:trHeight w:val="168"/>
        </w:trPr>
        <w:tc>
          <w:tcPr>
            <w:tcW w:w="430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1995</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1997</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430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Actual..........................................</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2.7x</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2.6x</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2.1x</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N/A(1)</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N/A(2)</w:t>
            </w:r>
          </w:p>
        </w:tc>
        <w:tc>
          <w:tcPr>
            <w:tcW w:w="11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4"/>
              </w:rPr>
              <w:t>4.0x</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6"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cover fixed charges in 1997. Additional earnings of $660.4 million were necessary to cover fixed charges for this period. The earnings available for fixed charges were negatively impacted by merger costs of $112.7 million (primarily related to our merger with United Waste Systems, Inc. in August 1997), and asset impairments and unusual items of $1.8 billion. The asset impairments and unusual items primarily related to a comprehensive review performed by WM Holdings of its operating assets and investments.</w:t>
      </w:r>
    </w:p>
    <w:p>
      <w:pPr>
        <w:spacing w:after="0" w:line="177" w:lineRule="exact"/>
        <w:rPr>
          <w:rFonts w:ascii="Courier New" w:cs="Courier New" w:eastAsia="Courier New" w:hAnsi="Courier New"/>
          <w:sz w:val="15"/>
          <w:szCs w:val="15"/>
          <w:color w:val="auto"/>
        </w:rPr>
      </w:pPr>
    </w:p>
    <w:p>
      <w:pPr>
        <w:ind w:left="360" w:right="3239" w:hanging="350"/>
        <w:spacing w:after="0" w:line="236"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cover fixed charges in 1998. Additional earnings of $720.4 million were necessary to cover fixed charges for this period. The earnings available for fixed charges were negatively impacted by merger costs of $1.8 billion and unusual items of $864.1 million primarily related to our mergers with WM Holdings in July 1998 and Eastern Environmental Services, Inc. in December 1998.</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our consolidated ratios of earnings to fixed charges for the periods shown on an as adjusted basis excluding merger costs, and asset impairments and unusual items. The consolidated ratios of earnings to fixed charges on an as adjusted basis are not a measure of financial performance required by SEC regulations. This as adjusted presentation has been provided because we understand that they may be used by certain investors when analyzing our financial position and performance:</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THREE MONTHS</w:t>
            </w:r>
          </w:p>
        </w:tc>
      </w:tr>
      <w:tr>
        <w:trPr>
          <w:trHeight w:val="168"/>
        </w:trPr>
        <w:tc>
          <w:tcPr>
            <w:tcW w:w="4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6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YEAR ENDED DECEMBER 31,</w:t>
            </w:r>
          </w:p>
        </w:tc>
        <w:tc>
          <w:tcPr>
            <w:tcW w:w="640" w:type="dxa"/>
            <w:vAlign w:val="bottom"/>
          </w:tcPr>
          <w:p>
            <w:pPr>
              <w:spacing w:after="0"/>
              <w:rPr>
                <w:sz w:val="14"/>
                <w:szCs w:val="14"/>
                <w:color w:val="auto"/>
              </w:rPr>
            </w:pPr>
          </w:p>
        </w:tc>
        <w:tc>
          <w:tcPr>
            <w:tcW w:w="12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ENDED</w:t>
            </w:r>
          </w:p>
        </w:tc>
      </w:tr>
      <w:tr>
        <w:trPr>
          <w:trHeight w:val="168"/>
        </w:trPr>
        <w:tc>
          <w:tcPr>
            <w:tcW w:w="43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7"/>
                <w:szCs w:val="7"/>
                <w:color w:val="auto"/>
                <w:w w:val="79"/>
              </w:rPr>
              <w:t>------------------------------------</w:t>
            </w: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MARCH 31,</w:t>
            </w:r>
          </w:p>
        </w:tc>
      </w:tr>
      <w:tr>
        <w:trPr>
          <w:trHeight w:val="168"/>
        </w:trPr>
        <w:tc>
          <w:tcPr>
            <w:tcW w:w="430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1995</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430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As adjusted.....................................</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2.9x</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3.2x</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3.2x</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2.8x</w:t>
            </w: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3.4x</w:t>
            </w:r>
          </w:p>
        </w:tc>
        <w:tc>
          <w:tcPr>
            <w:tcW w:w="12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4"/>
              </w:rPr>
              <w:t>4.2x</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computed our consolidated ratios of earnings to fixed charges by dividing earnings by fixed charges. For this purpose, earnings are the sum of income before taxes and extraordinary items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DESCRIPTION OF DEBT SECURITIES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Debt Securities will constitute either our senior debt, or "Senior Debt Securities," or our subordinated debt, or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us and Texas Commerce Bank National Association, now known as Chase Bank of Texas, National Association, or "Chase Bank," and in the form filed as an exhibit to the Registration Statement of which this prospectus is a part, subject to such amendments or supplements as may be adopted from time to time.</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have previously entered into a Senior Indenture dated as of September 10, 1997 with Chase Bank in the form filed as an exhibit to our Current Report on Form 8-K (file no. 1-12154) filed with the SEC on September 24, 1997. We have previously entered into a Subordinated Indenture dated as of February 1, 1997 with Chase Bank in the form filed as an exhibit to our Current Report on Form</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8-K (file no. 1-12154) filed with the SEC on February 7, 1997. The Senior Debt Indenture and the Subordinated Debt Indenture, as amended or supplemented from time to time, are sometimes hereinafter referred to individually as an "Indenture" and collectively as the "Indentures." Chase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of our covenants and provisions relating to subordination and conversion.</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will be described therein.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TO BOTH SENIOR AND SUBORDINATED DEBT SECURITIES</w:t>
      </w:r>
    </w:p>
    <w:p>
      <w:pPr>
        <w:spacing w:after="0" w:line="173"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General. The Debt Securities will be our unsecured senior or subordinated obligations and may be issued from time to time in one or more series. The Indentures do not limit the amount of Debt Securities, debentures, notes or other types of indebtedness that we may issue or that any of our subsidiaries may issue. The Indentures do not, other than as may be set forth in any prospectus supplement, restrict transactions between us and our affiliates or the payment of dividends or other distributions by us to our stockholders. The rights of our creditors, including holders of Debt Securities, will be limited to our assets and will not be an obligation of any of our Subsidiaries. In addition, other than as may be set forth in any prospectus supplement, the Indentures do not and the Debt Securities will not contain any covenants or other provisions that are intended to afford holders of the Debt Securities special protection in the event we experience either a change of control or a highly leveraged transaction.</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Reference is made to the prospectus supplement for the following terms of and information relating to the Debt Securities (to the extent such terms are applicable to such Debt Securities):</w:t>
      </w:r>
    </w:p>
    <w:p>
      <w:pPr>
        <w:spacing w:after="0" w:line="167" w:lineRule="exact"/>
        <w:rPr>
          <w:sz w:val="20"/>
          <w:szCs w:val="20"/>
          <w:color w:val="auto"/>
        </w:rPr>
      </w:pPr>
    </w:p>
    <w:p>
      <w:pPr>
        <w:ind w:left="620" w:hanging="173"/>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the Debt Securities;</w:t>
      </w:r>
    </w:p>
    <w:p>
      <w:pPr>
        <w:spacing w:after="0" w:line="172"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classification as either Senior Debt Securities or Subordinated Debt Securities;</w:t>
      </w:r>
    </w:p>
    <w:p>
      <w:pPr>
        <w:spacing w:after="0" w:line="173"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w:t>
      </w: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left="620" w:right="3239"/>
        <w:spacing w:after="0" w:line="235" w:lineRule="auto"/>
        <w:rPr>
          <w:sz w:val="20"/>
          <w:szCs w:val="20"/>
          <w:color w:val="auto"/>
        </w:rPr>
      </w:pPr>
      <w:r>
        <w:rPr>
          <w:rFonts w:ascii="Courier New" w:cs="Courier New" w:eastAsia="Courier New" w:hAnsi="Courier New"/>
          <w:sz w:val="15"/>
          <w:szCs w:val="15"/>
          <w:color w:val="auto"/>
        </w:rPr>
        <w:t>or different from those described herein, the conversion period and other conversion provisions in addition to or in lieu of those described herein;</w:t>
      </w:r>
    </w:p>
    <w:p>
      <w:pPr>
        <w:spacing w:after="0" w:line="167" w:lineRule="exact"/>
        <w:rPr>
          <w:sz w:val="20"/>
          <w:szCs w:val="20"/>
          <w:color w:val="auto"/>
        </w:rPr>
      </w:pPr>
    </w:p>
    <w:p>
      <w:pPr>
        <w:ind w:left="620" w:hanging="173"/>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 on the aggregate principal amount of the Debt Securities;</w:t>
      </w:r>
    </w:p>
    <w:p>
      <w:pPr>
        <w:spacing w:after="0" w:line="172" w:lineRule="exact"/>
        <w:rPr>
          <w:rFonts w:ascii="Courier New" w:cs="Courier New" w:eastAsia="Courier New" w:hAnsi="Courier New"/>
          <w:sz w:val="15"/>
          <w:szCs w:val="15"/>
          <w:color w:val="auto"/>
        </w:rPr>
      </w:pPr>
    </w:p>
    <w:p>
      <w:pPr>
        <w:ind w:left="620" w:right="3399" w:hanging="173"/>
        <w:spacing w:after="0" w:line="256"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Debt Securities are to be issuable as Registered Securities or Bearer Securities or both, whether any of the Debt Securities are to be issuable initially in temporary global form and whether any of the Debt Securities are to be in permanent global form;</w:t>
      </w:r>
    </w:p>
    <w:p>
      <w:pPr>
        <w:spacing w:after="0" w:line="164" w:lineRule="exact"/>
        <w:rPr>
          <w:rFonts w:ascii="Courier New" w:cs="Courier New" w:eastAsia="Courier New" w:hAnsi="Courier New"/>
          <w:sz w:val="14"/>
          <w:szCs w:val="14"/>
          <w:color w:val="auto"/>
        </w:rPr>
      </w:pPr>
    </w:p>
    <w:p>
      <w:pPr>
        <w:ind w:left="620" w:right="3239" w:hanging="173"/>
        <w:spacing w:after="0" w:line="234"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or prices (expressed as a percentage of the aggregate principal amount thereof) at which the Debt Securities will be issued;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on which the Debt Securities will mature;</w:t>
      </w:r>
    </w:p>
    <w:p>
      <w:pPr>
        <w:spacing w:after="0" w:line="172"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rates per annum (or the method by which such will be determined) at which the Debt Securities will bear interest, if any, and the date from which any such interest will accrue;</w:t>
      </w:r>
    </w:p>
    <w:p>
      <w:pPr>
        <w:spacing w:after="0" w:line="173" w:lineRule="exact"/>
        <w:rPr>
          <w:rFonts w:ascii="Courier New" w:cs="Courier New" w:eastAsia="Courier New" w:hAnsi="Courier New"/>
          <w:sz w:val="15"/>
          <w:szCs w:val="15"/>
          <w:color w:val="auto"/>
        </w:rPr>
      </w:pPr>
    </w:p>
    <w:p>
      <w:pPr>
        <w:ind w:left="620" w:right="3399" w:hanging="173"/>
        <w:spacing w:after="0" w:line="236"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 Debt Security on an Interest Payment Date will be paid;</w:t>
      </w:r>
    </w:p>
    <w:p>
      <w:pPr>
        <w:spacing w:after="0" w:line="169"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mandatory or optional sinking fund or analogous provisions;</w:t>
      </w:r>
    </w:p>
    <w:p>
      <w:pPr>
        <w:spacing w:after="0" w:line="172"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w:t>
      </w:r>
    </w:p>
    <w:p>
      <w:pPr>
        <w:spacing w:after="0" w:line="175"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 if any, or our obligation, if any, to redeem the Debt Securities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w:t>
      </w:r>
    </w:p>
    <w:p>
      <w:pPr>
        <w:spacing w:after="0" w:line="174" w:lineRule="exact"/>
        <w:rPr>
          <w:rFonts w:ascii="Courier New" w:cs="Courier New" w:eastAsia="Courier New" w:hAnsi="Courier New"/>
          <w:sz w:val="15"/>
          <w:szCs w:val="15"/>
          <w:color w:val="auto"/>
        </w:rPr>
      </w:pPr>
    </w:p>
    <w:p>
      <w:pPr>
        <w:ind w:left="620" w:right="3399" w:hanging="173"/>
        <w:spacing w:after="0" w:line="256"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w:t>
      </w:r>
    </w:p>
    <w:p>
      <w:pPr>
        <w:spacing w:after="0" w:line="163" w:lineRule="exact"/>
        <w:rPr>
          <w:rFonts w:ascii="Courier New" w:cs="Courier New" w:eastAsia="Courier New" w:hAnsi="Courier New"/>
          <w:sz w:val="14"/>
          <w:szCs w:val="14"/>
          <w:color w:val="auto"/>
        </w:rPr>
      </w:pPr>
    </w:p>
    <w:p>
      <w:pPr>
        <w:ind w:left="620" w:right="3679" w:hanging="173"/>
        <w:spacing w:after="0" w:line="235"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currency or currencies (including composite currencies) in which payment of principal of and any premium and interest on the Debt Securities is payable if other than United States dollars;</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index used to determine the amount of payments of principal of and any premium and interest on the Debt Securities;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book-entry procedures, if any;</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deletions from, modification of or additions to the Events of Default or our covenants with respect to such Debt Securities; and</w:t>
      </w:r>
    </w:p>
    <w:p>
      <w:pPr>
        <w:spacing w:after="0" w:line="17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the Debt Securities not inconsistent with the provisions of the Indentures. (Section 301) Any prospectus supplement will also describe any special provisions for the payment of additional amounts with respect to the Debt Securities.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thereof and determined in accordance with the terms of such Debt Security shall become due and payable. We will set forth any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in a prospectus supplement.</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The Indentures also provide that Debt Securities of a series may be issuable in temporary or permanent global form. (Section 201)</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33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us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Trustee for the series of Debt Securities will serve as Security Registrar. (Section 305) If a prospectus supplement refers to any transfer agents (in addition to the Security Registrar) initially designated by us with respect to any series of Debt Securities, we may at any time rescind the designation of any such transfer agent or approve a change in the location through which any such transfer agent acts, except that, if Debt Securities of a series are issuable solely as Registered Securities, we will be required to maintain a transfer agent in each Place of Payment for such series and, if Debt Securities of a series are also issuable as Bearer Securities, we will be required to maintain (in addition to the Security Registrar) a transfer agent in a Place of Payment for such series located outside the United States. We may at any time designate additional transfer agents with respect to any series of Debt Securities. (Section 1002)</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Title to any Bearer Securities (including Bearer Securities in permanent global form) and any coupons appertaining thereto will pass by delivery. We, the Trustee, our agents and the agents of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event of any redemption in part, we shall not be required to:</w:t>
      </w:r>
    </w:p>
    <w:p>
      <w:pPr>
        <w:spacing w:after="0" w:line="173" w:lineRule="exact"/>
        <w:rPr>
          <w:sz w:val="20"/>
          <w:szCs w:val="20"/>
          <w:color w:val="auto"/>
        </w:rPr>
      </w:pPr>
    </w:p>
    <w:p>
      <w:pPr>
        <w:ind w:left="620" w:right="3239" w:hanging="173"/>
        <w:spacing w:after="0" w:line="235"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register the transfer of or exchange Debt Securities of any series during a period beginning at the opening of business 15 days prior to the selection of Debt Securities of that series for redemption and ending on the close of business on:</w:t>
      </w:r>
    </w:p>
    <w:p>
      <w:pPr>
        <w:spacing w:after="0" w:line="175" w:lineRule="exact"/>
        <w:rPr>
          <w:rFonts w:ascii="Courier New" w:cs="Courier New" w:eastAsia="Courier New" w:hAnsi="Courier New"/>
          <w:sz w:val="15"/>
          <w:szCs w:val="15"/>
          <w:color w:val="auto"/>
        </w:rPr>
      </w:pPr>
    </w:p>
    <w:p>
      <w:pPr>
        <w:ind w:left="800" w:right="3499" w:hanging="266"/>
        <w:spacing w:after="0" w:line="235" w:lineRule="auto"/>
        <w:tabs>
          <w:tab w:leader="none" w:pos="80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Debt Securities of the series are issuable only as Registered Securities, the day of mailing of the relevant notice of redemption; and</w:t>
      </w:r>
    </w:p>
    <w:p>
      <w:pPr>
        <w:spacing w:after="0" w:line="173" w:lineRule="exact"/>
        <w:rPr>
          <w:rFonts w:ascii="Courier New" w:cs="Courier New" w:eastAsia="Courier New" w:hAnsi="Courier New"/>
          <w:sz w:val="15"/>
          <w:szCs w:val="15"/>
          <w:color w:val="auto"/>
        </w:rPr>
      </w:pPr>
    </w:p>
    <w:p>
      <w:pPr>
        <w:ind w:left="800" w:right="3239" w:hanging="266"/>
        <w:spacing w:after="0" w:line="236" w:lineRule="auto"/>
        <w:tabs>
          <w:tab w:leader="none" w:pos="80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 the transfer of or exchange any Registered Security, or portion thereof, called for redemption, except the unredeemed portion of any Registered Security being redeemed in part; or</w:t>
      </w:r>
    </w:p>
    <w:p>
      <w:pPr>
        <w:spacing w:after="0" w:line="173" w:lineRule="exact"/>
        <w:rPr>
          <w:rFonts w:ascii="Courier New" w:cs="Courier New" w:eastAsia="Courier New" w:hAnsi="Courier New"/>
          <w:sz w:val="15"/>
          <w:szCs w:val="15"/>
          <w:color w:val="auto"/>
        </w:rPr>
      </w:pPr>
    </w:p>
    <w:p>
      <w:pPr>
        <w:jc w:val="both"/>
        <w:ind w:left="620" w:right="3499" w:hanging="173"/>
        <w:spacing w:after="0" w:line="258" w:lineRule="auto"/>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any Bearer Security called for redemption, except to exchange such Bearer Security for a Registered Security of that series and like tenor which is immediately surrendered for redemption. (Section 305)</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Replacement of Securities and Coupons. We will replace any mutilated Debt Security or any Debt Security with a mutilated coupon at the expense of the Holder upon surrender of the Debt Security to the Trustee. We will replace Debt Securities or coupons that become destroyed, stolen or lost at the expense of the Holder upon delivery to the Trustee of the Debt Security and coupons or evidence of destruction, loss or theft thereof satisfactory to us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to us may be required at the expense of the Holder of such Debt Security or coupon before a replacement Debt Security will be issued. (Section 306)</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we may designate from time to time, in the manner indicated in such prospectus 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 our offices or agencies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our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Unless otherwise indicated in an applicable prospectus supplement, payment of principal of and any premium and interest on Registered Securities will be made at the office of the Paying Agent or Paying Agents as we may designate from time to time, except that at our option, payment of any interest may be made by check mailed on or before the due date to the address of the Person entitled thereto as such address shall appear in the Security Register. (Rule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65"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Unless otherwise indicated in an applicable prospectus supplement, the Trustee for the series of Debt Securities will act as our Paying Agent for payments with respect to Debt Securities which are issuable</w:t>
      </w:r>
    </w:p>
    <w:p>
      <w:pPr>
        <w:ind w:left="3420"/>
        <w:spacing w:after="0" w:line="238" w:lineRule="auto"/>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solely as Registered Securities and we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that we initially designate for the Debt Securities will be named in an applicable prospectus supplement. We may at any time designate additional Paying Agents or rescind the designation of any Paying Agent or approve a change in the office through which any Paying Agent acts, except that, if Debt Securities of a series are issuable solely as Registered Securities, we will be required to maintain a Paying Agent in each Place of Payment for such series and, if Debt Securities of a series are issuable as Bearer Securities, we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moneys paid by us to a Paying Agent for the payment of principal of and any premium or interest on any Debt Security which remain unclaimed at the end of two years after such principal, premium or interest shall have become due and payable will (subject to applicable escheat laws) be repaid to us, and the Holder of such Debt Security or any coupon will thereafter look only to us for payment thereof. (Section 1003)</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18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specific terms of the depository arrangement with respect to a series of Debt Securities in the form of one or more global Debt Securities will be described in the prospectus supplement relating to that series.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Satisfaction and Discharge of Indenture. Each Indenture provides that we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Defeasance and Discharge. Each Indenture provides that, if we so elect by Board Resolution with respect to the Debt Securities of any series issued under such Indenture (other than convertible Subordinated Debt Securities), we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such series on the Stated Maturity of such payments in accordance with the terms of such Indenture and the Debt Securities of such series. (Sections 1302, 1304) Such a trust may only be established if, among other things, we have delivered to the Trustee an Opinion of Counsel to the effect that (i) we have received from, or there has been published by, the Internal Revenue Service a ruling, or</w:t>
      </w:r>
    </w:p>
    <w:p>
      <w:pPr>
        <w:spacing w:after="0" w:line="2" w:lineRule="exact"/>
        <w:rPr>
          <w:sz w:val="20"/>
          <w:szCs w:val="20"/>
          <w:color w:val="auto"/>
        </w:rPr>
      </w:pPr>
    </w:p>
    <w:p>
      <w:pPr>
        <w:ind w:right="3239" w:firstLine="10"/>
        <w:spacing w:after="0" w:line="236" w:lineRule="auto"/>
        <w:tabs>
          <w:tab w:leader="none" w:pos="43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180"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Covenant Defeasance. Each Indenture also provides that, if we so elect by Board Resolution with respect to the Debt Securities of any series issued thereunder, we may omit to comply with certain restrictive covenants, including (in the case of the Senior Debt Indenture) the covenants described under</w:t>
      </w:r>
    </w:p>
    <w:p>
      <w:pPr>
        <w:spacing w:after="0" w:line="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 Provisions Applicable Solely to Senior Debt Securities -- Limitation on Liens" and "-- Limitations on Sale and Leaseback Transactions," but excluding (in the case of the Subordinated Debt Indenture) any of our applicable obligations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Our obligations under such Indenture and the Debt Securities of such series other than with respect to such covenants shall remain in full force and effect. (Section 1303)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Although the amount of money and U.S. Government Obligations on deposit with the Trustee would be intended to be sufficient to pay amounts due on the Debt Securities of such series at the time of their Stated Maturity, in the event we exercise our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We shall in any event remain liable for such payments as provided in the applicable Indenture.</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7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Meetings, Modification and Waiver. We and the Trustee may modify and amend either Indenture with the consent of the Holders of a majority in aggregate principal amount of the Outstanding Securities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of each series affected by such modification or amendment; provided, however, that no such modification or amendment may, without the consent of the Holder of each Outstanding Security affected thereby:</w:t>
      </w:r>
    </w:p>
    <w:p>
      <w:pPr>
        <w:spacing w:after="0" w:line="174" w:lineRule="exact"/>
        <w:rPr>
          <w:sz w:val="20"/>
          <w:szCs w:val="20"/>
          <w:color w:val="auto"/>
        </w:rPr>
      </w:pPr>
    </w:p>
    <w:p>
      <w:pPr>
        <w:ind w:left="440" w:right="3239" w:firstLine="444"/>
        <w:spacing w:after="0" w:line="234" w:lineRule="auto"/>
        <w:tabs>
          <w:tab w:leader="none" w:pos="122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any installment of principal of or interest on, any Debt Security;</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Redemption Date with respect to any Debt Security;</w:t>
      </w:r>
    </w:p>
    <w:p>
      <w:pPr>
        <w:spacing w:after="0" w:line="172" w:lineRule="exact"/>
        <w:rPr>
          <w:rFonts w:ascii="Courier New" w:cs="Courier New" w:eastAsia="Courier New" w:hAnsi="Courier New"/>
          <w:sz w:val="15"/>
          <w:szCs w:val="15"/>
          <w:color w:val="auto"/>
        </w:rPr>
      </w:pPr>
    </w:p>
    <w:p>
      <w:pPr>
        <w:ind w:left="440" w:right="3579" w:firstLine="444"/>
        <w:spacing w:after="0" w:line="234" w:lineRule="auto"/>
        <w:tabs>
          <w:tab w:leader="none" w:pos="122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of, or premium or interest on, any Debt Security;</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our obligation, if any, to pay additional amounts;</w:t>
      </w:r>
    </w:p>
    <w:p>
      <w:pPr>
        <w:spacing w:after="0" w:line="172" w:lineRule="exact"/>
        <w:rPr>
          <w:rFonts w:ascii="Courier New" w:cs="Courier New" w:eastAsia="Courier New" w:hAnsi="Courier New"/>
          <w:sz w:val="15"/>
          <w:szCs w:val="15"/>
          <w:color w:val="auto"/>
        </w:rPr>
      </w:pPr>
    </w:p>
    <w:p>
      <w:pPr>
        <w:ind w:left="440" w:right="3759" w:firstLine="444"/>
        <w:spacing w:after="0" w:line="261" w:lineRule="auto"/>
        <w:tabs>
          <w:tab w:leader="none" w:pos="122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amount of principal of an Original Issue Discount Security payable upon acceleration of the Maturity thereof;</w:t>
      </w:r>
    </w:p>
    <w:p>
      <w:pPr>
        <w:spacing w:after="0" w:line="159" w:lineRule="exact"/>
        <w:rPr>
          <w:rFonts w:ascii="Courier New" w:cs="Courier New" w:eastAsia="Courier New" w:hAnsi="Courier New"/>
          <w:sz w:val="14"/>
          <w:szCs w:val="14"/>
          <w:color w:val="auto"/>
        </w:rPr>
      </w:pPr>
    </w:p>
    <w:p>
      <w:pPr>
        <w:ind w:left="440" w:right="3679" w:firstLine="444"/>
        <w:spacing w:after="0" w:line="234" w:lineRule="auto"/>
        <w:tabs>
          <w:tab w:leader="none" w:pos="122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coin or currency in which any Debt Security or any premium or interest thereon is payable;</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redemption right of any Holder;</w:t>
      </w:r>
    </w:p>
    <w:p>
      <w:pPr>
        <w:spacing w:after="0" w:line="172" w:lineRule="exact"/>
        <w:rPr>
          <w:rFonts w:ascii="Courier New" w:cs="Courier New" w:eastAsia="Courier New" w:hAnsi="Courier New"/>
          <w:sz w:val="15"/>
          <w:szCs w:val="15"/>
          <w:color w:val="auto"/>
        </w:rPr>
      </w:pPr>
    </w:p>
    <w:p>
      <w:pPr>
        <w:ind w:left="440" w:right="3579" w:firstLine="444"/>
        <w:spacing w:after="0" w:line="235" w:lineRule="auto"/>
        <w:tabs>
          <w:tab w:leader="none" w:pos="122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the enforcement of any payment on or with respect to any Debt Security or any conversion right with respect thereto;</w:t>
      </w:r>
    </w:p>
    <w:p>
      <w:pPr>
        <w:spacing w:after="0" w:line="173" w:lineRule="exact"/>
        <w:rPr>
          <w:rFonts w:ascii="Courier New" w:cs="Courier New" w:eastAsia="Courier New" w:hAnsi="Courier New"/>
          <w:sz w:val="15"/>
          <w:szCs w:val="15"/>
          <w:color w:val="auto"/>
        </w:rPr>
      </w:pPr>
    </w:p>
    <w:p>
      <w:pPr>
        <w:ind w:left="440" w:right="3579" w:firstLine="444"/>
        <w:spacing w:after="0" w:line="236" w:lineRule="auto"/>
        <w:tabs>
          <w:tab w:leader="none" w:pos="122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Outstanding Securities of any series, the consent of whose Holders is required for modification or amendment of such Indenture or for waiver of compliance with certain provisions of such Indenture or for waiver of certain defaults;</w:t>
      </w:r>
    </w:p>
    <w:p>
      <w:pPr>
        <w:spacing w:after="0" w:line="173"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requirements contained in such Indenture for quorum or</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voting;</w:t>
      </w:r>
    </w:p>
    <w:p>
      <w:pPr>
        <w:spacing w:after="0" w:line="173" w:lineRule="exact"/>
        <w:rPr>
          <w:rFonts w:ascii="Courier New" w:cs="Courier New" w:eastAsia="Courier New" w:hAnsi="Courier New"/>
          <w:sz w:val="14"/>
          <w:szCs w:val="14"/>
          <w:color w:val="auto"/>
        </w:rPr>
      </w:pPr>
    </w:p>
    <w:p>
      <w:pPr>
        <w:ind w:left="440" w:right="3319" w:firstLine="444"/>
        <w:spacing w:after="0" w:line="234" w:lineRule="auto"/>
        <w:tabs>
          <w:tab w:leader="none" w:pos="122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our obligation, if any, to maintain an office or agency in the places and for the purposes required by such Indenture;</w:t>
      </w:r>
    </w:p>
    <w:p>
      <w:pPr>
        <w:spacing w:after="0" w:line="173" w:lineRule="exact"/>
        <w:rPr>
          <w:sz w:val="20"/>
          <w:szCs w:val="20"/>
          <w:color w:val="auto"/>
        </w:rPr>
      </w:pPr>
    </w:p>
    <w:p>
      <w:pPr>
        <w:ind w:left="440" w:right="4199" w:firstLine="444"/>
        <w:spacing w:after="0" w:line="234" w:lineRule="auto"/>
        <w:tabs>
          <w:tab w:leader="none" w:pos="122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adversely affect the right to convert Subordinated Debt Securities, if applicable; or</w:t>
      </w:r>
    </w:p>
    <w:p>
      <w:pPr>
        <w:spacing w:after="0" w:line="167"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5"/>
          <w:szCs w:val="15"/>
          <w:color w:val="auto"/>
        </w:rPr>
        <w:t>(m) modify any of the above provisions. (Section 902)</w:t>
      </w:r>
    </w:p>
    <w:p>
      <w:pPr>
        <w:spacing w:after="0" w:line="166"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5"/>
          <w:szCs w:val="15"/>
          <w:color w:val="auto"/>
        </w:rPr>
        <w:t>The Subordinated Debt Indenture may not be amended to alter the</w:t>
      </w:r>
    </w:p>
    <w:p>
      <w:pPr>
        <w:spacing w:after="0" w:line="237" w:lineRule="auto"/>
        <w:rPr>
          <w:sz w:val="20"/>
          <w:szCs w:val="20"/>
          <w:color w:val="auto"/>
        </w:rPr>
      </w:pPr>
      <w:r>
        <w:rPr>
          <w:rFonts w:ascii="Courier New" w:cs="Courier New" w:eastAsia="Courier New" w:hAnsi="Courier New"/>
          <w:sz w:val="15"/>
          <w:szCs w:val="15"/>
          <w:color w:val="auto"/>
        </w:rPr>
        <w:t>subordination of any outstanding Subordinated Debt Securities without the</w:t>
      </w:r>
    </w:p>
    <w:p>
      <w:pPr>
        <w:spacing w:after="0" w:line="238" w:lineRule="auto"/>
        <w:rPr>
          <w:sz w:val="20"/>
          <w:szCs w:val="20"/>
          <w:color w:val="auto"/>
        </w:rPr>
      </w:pPr>
      <w:r>
        <w:rPr>
          <w:rFonts w:ascii="Courier New" w:cs="Courier New" w:eastAsia="Courier New" w:hAnsi="Courier New"/>
          <w:sz w:val="15"/>
          <w:szCs w:val="15"/>
          <w:color w:val="auto"/>
        </w:rPr>
        <w:t>consent of each holder of Senior Indebtedness (as defined below under</w:t>
      </w:r>
    </w:p>
    <w:p>
      <w:pPr>
        <w:spacing w:after="0" w:line="237" w:lineRule="auto"/>
        <w:rPr>
          <w:sz w:val="20"/>
          <w:szCs w:val="20"/>
          <w:color w:val="auto"/>
        </w:rPr>
      </w:pPr>
      <w:r>
        <w:rPr>
          <w:rFonts w:ascii="Courier New" w:cs="Courier New" w:eastAsia="Courier New" w:hAnsi="Courier New"/>
          <w:sz w:val="15"/>
          <w:szCs w:val="15"/>
          <w:color w:val="auto"/>
        </w:rPr>
        <w:t>"-- Provisions Applicable Solely to Subordinated Debt Securities") then</w:t>
      </w:r>
    </w:p>
    <w:p>
      <w:pPr>
        <w:spacing w:after="0" w:line="238" w:lineRule="auto"/>
        <w:rPr>
          <w:sz w:val="20"/>
          <w:szCs w:val="20"/>
          <w:color w:val="auto"/>
        </w:rPr>
      </w:pPr>
      <w:r>
        <w:rPr>
          <w:rFonts w:ascii="Courier New" w:cs="Courier New" w:eastAsia="Courier New" w:hAnsi="Courier New"/>
          <w:sz w:val="15"/>
          <w:szCs w:val="15"/>
          <w:color w:val="auto"/>
        </w:rPr>
        <w:t>outstanding that would be adversely affected thereby. (Section 907 of the</w:t>
      </w:r>
    </w:p>
    <w:p>
      <w:pPr>
        <w:spacing w:after="0" w:line="237" w:lineRule="auto"/>
        <w:rPr>
          <w:sz w:val="20"/>
          <w:szCs w:val="20"/>
          <w:color w:val="auto"/>
        </w:rPr>
      </w:pPr>
      <w:r>
        <w:rPr>
          <w:rFonts w:ascii="Courier New" w:cs="Courier New" w:eastAsia="Courier New" w:hAnsi="Courier New"/>
          <w:sz w:val="15"/>
          <w:szCs w:val="15"/>
          <w:color w:val="auto"/>
        </w:rPr>
        <w:t>Subordinated Debt Indenture)</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Holders of a majority in aggregate principal amount of the Outstanding Securities of each series may, on behalf of all Holders of that series, waive, insofar as that series is concerned, our compliance with certain restrictive provisions of the Indenture under which such series has been issued. (Section 1007 of the Senior Debt Indenture; Section 1008 of the Subordinated Debt Indenture) The Holders of a majority in aggregate principal amount of the Outstanding Securities,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w:t>
      </w:r>
    </w:p>
    <w:p>
      <w:pPr>
        <w:sectPr>
          <w:pgSz w:w="11900" w:h="16838" w:orient="portrait"/>
          <w:cols w:equalWidth="0" w:num="1">
            <w:col w:w="10239"/>
          </w:cols>
          <w:pgMar w:left="220" w:top="281" w:right="1440" w:bottom="1440" w:gutter="0" w:footer="0" w:header="0"/>
        </w:sectPr>
      </w:pP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Security, the U.S. dollar equivalent, determined on the date of original issuance of such Security, of the amount determined as provided in (i) above. (Section 101)</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Each Indenture contains provisions for convening meetings of the Holders of a series if Debt Securities of that series are issuable as Bearer Securities. (Section 1401) A meeting may be called at any time by the Trustee, and also, upon request, by us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 reconvened meeting, will be Persons holding or representing a majority in aggregate principal amount of the Outstanding Securities of a series. (Section 1404).</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166"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Governing Law. The Indentures, the Debt Securities and coupons will be governed by, and construed in accordance with, the laws of the State of New York. (Section 113)</w:t>
      </w:r>
    </w:p>
    <w:p>
      <w:pPr>
        <w:spacing w:after="0" w:line="174" w:lineRule="exact"/>
        <w:rPr>
          <w:sz w:val="20"/>
          <w:szCs w:val="20"/>
          <w:color w:val="auto"/>
        </w:rPr>
      </w:pPr>
    </w:p>
    <w:p>
      <w:pPr>
        <w:jc w:val="both"/>
        <w:ind w:right="3939" w:firstLine="437"/>
        <w:spacing w:after="0" w:line="235" w:lineRule="auto"/>
        <w:rPr>
          <w:sz w:val="20"/>
          <w:szCs w:val="20"/>
          <w:color w:val="auto"/>
        </w:rPr>
      </w:pPr>
      <w:r>
        <w:rPr>
          <w:rFonts w:ascii="Courier New" w:cs="Courier New" w:eastAsia="Courier New" w:hAnsi="Courier New"/>
          <w:sz w:val="15"/>
          <w:szCs w:val="15"/>
          <w:color w:val="auto"/>
        </w:rPr>
        <w:t>Regarding the Trustee. The Trustee appointed and serving as trustee pursuant to each of the Senior Debt Indenture and the Subordinated Debt Indenture is Chase Bank.</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Each Indenture contains certain limitations on the right of the Trustee, should it become our creditor,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17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Indenture Act. In such event, the obligor must take prompt steps to have a successor trustee appointed in the manner provided in the indenture from which the trustee has resigned. Accordingly, Chase Bank, as trustee under the Senior Debt Indenture and the Subordinated Debt Indenture, could be required to resign as trustee under one of such Indentures should a default occur under one of such Indentures. In such event, we would be required to take prompt steps to have a successor trustee or successor trustees appointed in the manner provided in the applicable Indenture.</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Chase Bank, as the trustee under the Senior Debt Indenture and the Subordinated Debt Indenture, may be a depositary for funds of, may make loans to and may perform other routine banking services for us and certain of our affiliates in the normal course of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SOLELY TO SENIOR DEBT SECURITIES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Certain Definitions. For purposes of the following discussion, the following definitions are applicable (Section 1008 and 1009 of the Senior Debt Indenture).</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"Attributable Debt" shall mean, as of any particular time, the present value, discounted at a rate per annum equal to (i) the implied lease rate of or</w:t>
      </w:r>
    </w:p>
    <w:p>
      <w:pPr>
        <w:spacing w:after="0" w:line="1" w:lineRule="exact"/>
        <w:rPr>
          <w:sz w:val="20"/>
          <w:szCs w:val="20"/>
          <w:color w:val="auto"/>
        </w:rPr>
      </w:pPr>
    </w:p>
    <w:p>
      <w:pPr>
        <w:ind w:right="3239" w:firstLine="10"/>
        <w:spacing w:after="0" w:line="237" w:lineRule="auto"/>
        <w:tabs>
          <w:tab w:leader="none" w:pos="43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implied lease rate is not known to us, then the weighted average interest rate of all Senior Debt Securities outstanding at the time under the Senior Debt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"Consolidated Net Tangible Assets" shall mean, at any date of determination, the total amount of our assets after deducting therefrom: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and our consolidated subsidiaries' consolidated balance sheet for our most recently completed fiscal quarter, prepared in accordance with United States generally accepted accounting principles.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"Indebtedness" of any Person shall mean</w:t>
      </w:r>
    </w:p>
    <w:p>
      <w:pPr>
        <w:spacing w:after="0" w:line="173" w:lineRule="exact"/>
        <w:rPr>
          <w:sz w:val="20"/>
          <w:szCs w:val="20"/>
          <w:color w:val="auto"/>
        </w:rPr>
      </w:pPr>
    </w:p>
    <w:p>
      <w:pPr>
        <w:jc w:val="both"/>
        <w:ind w:left="440" w:right="3679" w:firstLine="444"/>
        <w:spacing w:after="0" w:line="254" w:lineRule="auto"/>
        <w:tabs>
          <w:tab w:leader="none" w:pos="122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of such Person for borrowed money (including, without limitation, all notes payable and drafts accepted representing extension of credit and all obligations evidenced by bonds,</w:t>
      </w:r>
    </w:p>
    <w:p>
      <w:pPr>
        <w:ind w:left="3420"/>
        <w:spacing w:after="0" w:line="232" w:lineRule="auto"/>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left="440" w:right="3759"/>
        <w:spacing w:after="0" w:line="258" w:lineRule="auto"/>
        <w:rPr>
          <w:sz w:val="20"/>
          <w:szCs w:val="20"/>
          <w:color w:val="auto"/>
        </w:rPr>
      </w:pPr>
      <w:r>
        <w:rPr>
          <w:rFonts w:ascii="Courier New" w:cs="Courier New" w:eastAsia="Courier New" w:hAnsi="Courier New"/>
          <w:sz w:val="14"/>
          <w:szCs w:val="14"/>
          <w:color w:val="auto"/>
        </w:rPr>
        <w:t>debentures, notes or other similar instruments) or on which interest charges are customarily paid, all as shown on a balance sheet of such Person as of the date at which Indebtedness is to be determined;</w:t>
      </w:r>
    </w:p>
    <w:p>
      <w:pPr>
        <w:spacing w:after="0" w:line="161" w:lineRule="exact"/>
        <w:rPr>
          <w:sz w:val="20"/>
          <w:szCs w:val="20"/>
          <w:color w:val="auto"/>
        </w:rPr>
      </w:pPr>
    </w:p>
    <w:p>
      <w:pPr>
        <w:ind w:left="440" w:right="3239" w:firstLine="444"/>
        <w:spacing w:after="0" w:line="235" w:lineRule="auto"/>
        <w:tabs>
          <w:tab w:leader="none" w:pos="12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175" w:lineRule="exact"/>
        <w:rPr>
          <w:rFonts w:ascii="Courier New" w:cs="Courier New" w:eastAsia="Courier New" w:hAnsi="Courier New"/>
          <w:sz w:val="15"/>
          <w:szCs w:val="15"/>
          <w:color w:val="auto"/>
        </w:rPr>
      </w:pPr>
    </w:p>
    <w:p>
      <w:pPr>
        <w:ind w:left="440" w:right="3759" w:firstLine="444"/>
        <w:spacing w:after="0" w:line="234" w:lineRule="auto"/>
        <w:tabs>
          <w:tab w:leader="none" w:pos="12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so included as liabilities in accordance with generally accepted accounting principles,</w:t>
      </w:r>
    </w:p>
    <w:p>
      <w:pPr>
        <w:spacing w:after="0" w:line="173" w:lineRule="exact"/>
        <w:rPr>
          <w:rFonts w:ascii="Courier New" w:cs="Courier New" w:eastAsia="Courier New" w:hAnsi="Courier New"/>
          <w:sz w:val="15"/>
          <w:szCs w:val="15"/>
          <w:color w:val="auto"/>
        </w:rPr>
      </w:pPr>
    </w:p>
    <w:p>
      <w:pPr>
        <w:ind w:left="700" w:right="3239" w:firstLine="447"/>
        <w:spacing w:after="0" w:line="256" w:lineRule="auto"/>
        <w:tabs>
          <w:tab w:leader="none" w:pos="1487"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56" w:lineRule="exact"/>
        <w:rPr>
          <w:rFonts w:ascii="Courier New" w:cs="Courier New" w:eastAsia="Courier New" w:hAnsi="Courier New"/>
          <w:sz w:val="14"/>
          <w:szCs w:val="14"/>
          <w:color w:val="auto"/>
        </w:rPr>
      </w:pPr>
    </w:p>
    <w:p>
      <w:pPr>
        <w:ind w:left="1580" w:hanging="433"/>
        <w:spacing w:after="0"/>
        <w:tabs>
          <w:tab w:leader="none" w:pos="158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Guaranties of such Person.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"Principal Property" shall mean any waste processing, waste disposal or resource recovery plant or similar facility located within the United States (other than its territories and possessions and Puerto Rico) or Canada and owned by, or leased to, us or any Restricted Subsidiary, except (a) any such plant or facility (i) owned or leased jointly or in common with one or more persons other than us and any Restricted Subsidiaries in which our and our Restricted Subsidiaries' interest does not exceed 50%, or (ii) which the Board of Directors determines in good faith is not of material importance to our and our subsidiaries', as an entity, total business conducted, or assets owned, or (b) any portion of such plant or facility which the Board of Directors determines in good faith not to be of material importance to the use or operation thereof.</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"Restricted Subsidiary" shall mean any Subsidiary (other than any Subsidiary of which we own directly or indirectly 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shall designate as a Restricted Subsidiary in an Officers' Certificate delivered to the Trustee.</w:t>
      </w:r>
    </w:p>
    <w:p>
      <w:pPr>
        <w:spacing w:after="0" w:line="17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Consolidation, Merger, Sale. The Senior Debt Indenture provides that we may not consolidate with or merge into any other Person or convey, transfer or lease our properties and assets substantially as an entirety to any Person, unless (1) the Person formed by such consolidation or into which we are merged or the Person which acquires by conveyance or transfer, or which leases, our properties and assets we are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to be performed or observed on our part; and (2) immediately after giving effect to such transaction and treating any indebtedness which becomes our or our Subsidiary's obligation as a result of such transaction as having been incurred by us or our Subsidiary at the time of such transaction, no Event of Default, and no event which, after notice or lapse of time or both, would become an Event of Default, shall have happened and be continuing. Upon any consolidation of us with, or merger of us into, any other Person or any, conveyance, transfer or lease of our properties and assets substantially as an entirety, the successor Person</w:t>
      </w: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formed by such consolidation or into which we are merged or to which such conveyance, transfer or lease is made shall succeed to, and be substituted for, and may exercise our every right and power under the Senior Debt Indenture with the same effect as if such successor Person had been named as us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Limitation on Liens. Unless provided otherwise in the applicable prospectus supplement, the provisions of this covenant shall apply to each series of Senior Debt Securities issued under the Senior Debt Indenture:</w:t>
      </w:r>
    </w:p>
    <w:p>
      <w:pPr>
        <w:spacing w:after="0" w:line="174" w:lineRule="exact"/>
        <w:rPr>
          <w:sz w:val="20"/>
          <w:szCs w:val="20"/>
          <w:color w:val="auto"/>
        </w:rPr>
      </w:pPr>
    </w:p>
    <w:p>
      <w:pPr>
        <w:ind w:left="440" w:right="3239" w:firstLine="444"/>
        <w:spacing w:after="0" w:line="255" w:lineRule="auto"/>
        <w:tabs>
          <w:tab w:leader="none" w:pos="1227"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will not, and we will not permit any of our Restricted Subsidiaries to, create, incur, assume or suffer to exist, directly or indirectly, any Indebtedness secured by a Security Interest upon any Principal Property of us or of a Restricted Subsidiary, whether owned as of the date of this Indenture or hereafter acquired, without making effective provision (and we hereby covenant that in any such case we shall make or cause to be made effective provision) whereby the Senior Debt Securities of that series then outstanding and any other Indebtedness of us or any Restricted Subsidiary then entitled thereto shall be secured by such Security Interest equally and ratably with (or, in the case of the Senior Debt Securities of that series and if we shall so determine, prior to) any and all other Indebtedness of us or any Restricted Subsidiary thereby secured for so long as any such other Indebtedness of us or any Restricted Subsidiary shall be so secured; provided, that nothing in the Senior Debt Indenture shall prevent, restrict or apply to Indebtedness secured by:</w:t>
      </w:r>
    </w:p>
    <w:p>
      <w:pPr>
        <w:spacing w:after="0" w:line="163" w:lineRule="exact"/>
        <w:rPr>
          <w:rFonts w:ascii="Courier New" w:cs="Courier New" w:eastAsia="Courier New" w:hAnsi="Courier New"/>
          <w:sz w:val="14"/>
          <w:szCs w:val="14"/>
          <w:color w:val="auto"/>
        </w:rPr>
      </w:pPr>
    </w:p>
    <w:p>
      <w:pPr>
        <w:ind w:left="700" w:right="3499" w:firstLine="447"/>
        <w:spacing w:after="0" w:line="254" w:lineRule="auto"/>
        <w:tabs>
          <w:tab w:leader="none" w:pos="1487" w:val="left"/>
        </w:tabs>
        <w:numPr>
          <w:ilvl w:val="2"/>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Any Security Interest upon property or assets which is created prior to or contemporaneously with, or within 360 days after,</w:t>
      </w:r>
    </w:p>
    <w:p>
      <w:pPr>
        <w:ind w:left="700" w:right="3239" w:firstLine="9"/>
        <w:spacing w:after="0" w:line="254" w:lineRule="auto"/>
        <w:tabs>
          <w:tab w:leader="none" w:pos="105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us or any Restricted Subsidiary; or (c) any conditional sales agreement or other title retention agreement with respect to any property or assets acquired by us or any Restricted Subsidiary, or (d) any Security Interest existing on the property or assets or shares of stock of a corporation or firm at the time such corporation or firm is merged into or consolidated with us or any Restricted Subsidiary or at the time of a sale, lease or other disposition of the property or assets of such corporation or firm as an entirety or substantially as an entirety to us or any Restricted Subsidiary or at the time such corporation becomes a Restricted Subsidiary; or (e) any Security Interest existing on the property, assets or shares of stock of any successor which shall have become us in accordance with the provisions of the covenant described in "-- Provisions Applicable Solely to Senior Debt</w:t>
      </w:r>
    </w:p>
    <w:p>
      <w:pPr>
        <w:spacing w:after="0" w:line="176" w:lineRule="exact"/>
        <w:rPr>
          <w:rFonts w:ascii="Courier New" w:cs="Courier New" w:eastAsia="Courier New" w:hAnsi="Courier New"/>
          <w:sz w:val="14"/>
          <w:szCs w:val="14"/>
          <w:color w:val="auto"/>
        </w:rPr>
      </w:pPr>
    </w:p>
    <w:p>
      <w:pPr>
        <w:ind w:left="700" w:right="34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 Consolidation, Merger and Sale of Assets"; provided, in each case, that any such Security Interest described in the foregoing clauses (b), (c), (d) or (e) does not attach to or affect property or assets owned by us or any Restricted Subsidiary prior to the event referred to in such clauses; or</w:t>
      </w:r>
    </w:p>
    <w:p>
      <w:pPr>
        <w:spacing w:after="0" w:line="173" w:lineRule="exact"/>
        <w:rPr>
          <w:rFonts w:ascii="Courier New" w:cs="Courier New" w:eastAsia="Courier New" w:hAnsi="Courier New"/>
          <w:sz w:val="14"/>
          <w:szCs w:val="14"/>
          <w:color w:val="auto"/>
        </w:rPr>
      </w:pPr>
    </w:p>
    <w:p>
      <w:pPr>
        <w:ind w:left="700" w:right="3499" w:firstLine="447"/>
        <w:spacing w:after="0" w:line="235" w:lineRule="auto"/>
        <w:tabs>
          <w:tab w:leader="none" w:pos="1487" w:val="left"/>
        </w:tabs>
        <w:numPr>
          <w:ilvl w:val="2"/>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75" w:lineRule="exact"/>
        <w:rPr>
          <w:rFonts w:ascii="Courier New" w:cs="Courier New" w:eastAsia="Courier New" w:hAnsi="Courier New"/>
          <w:sz w:val="15"/>
          <w:szCs w:val="15"/>
          <w:color w:val="auto"/>
        </w:rPr>
      </w:pPr>
    </w:p>
    <w:p>
      <w:pPr>
        <w:ind w:left="700" w:right="3239" w:firstLine="447"/>
        <w:spacing w:after="0" w:line="255" w:lineRule="auto"/>
        <w:tabs>
          <w:tab w:leader="none" w:pos="1487" w:val="left"/>
        </w:tabs>
        <w:numPr>
          <w:ilvl w:val="2"/>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left="420" w:right="3319"/>
        <w:spacing w:after="0" w:line="234" w:lineRule="auto"/>
        <w:rPr>
          <w:sz w:val="20"/>
          <w:szCs w:val="20"/>
          <w:color w:val="auto"/>
        </w:rPr>
      </w:pPr>
      <w:r>
        <w:rPr>
          <w:rFonts w:ascii="Courier New" w:cs="Courier New" w:eastAsia="Courier New" w:hAnsi="Courier New"/>
          <w:sz w:val="15"/>
          <w:szCs w:val="15"/>
          <w:color w:val="auto"/>
        </w:rPr>
        <w:t>international waste management contract to be performed by us or any of our Subsidiaries or our or their respective affiliates); or</w:t>
      </w:r>
    </w:p>
    <w:p>
      <w:pPr>
        <w:spacing w:after="0" w:line="173" w:lineRule="exact"/>
        <w:rPr>
          <w:sz w:val="20"/>
          <w:szCs w:val="20"/>
          <w:color w:val="auto"/>
        </w:rPr>
      </w:pPr>
    </w:p>
    <w:p>
      <w:pPr>
        <w:ind w:left="420" w:right="3239" w:firstLine="447"/>
        <w:spacing w:after="0" w:line="235" w:lineRule="auto"/>
        <w:tabs>
          <w:tab w:leader="none" w:pos="120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75" w:lineRule="exact"/>
        <w:rPr>
          <w:rFonts w:ascii="Courier New" w:cs="Courier New" w:eastAsia="Courier New" w:hAnsi="Courier New"/>
          <w:sz w:val="15"/>
          <w:szCs w:val="15"/>
          <w:color w:val="auto"/>
        </w:rPr>
      </w:pPr>
    </w:p>
    <w:p>
      <w:pPr>
        <w:ind w:left="420" w:right="3319" w:firstLine="447"/>
        <w:spacing w:after="0" w:line="235" w:lineRule="auto"/>
        <w:tabs>
          <w:tab w:leader="none" w:pos="120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(including judgment liens) arising in connection with legal proceedings so long as such proceedings are being contested in good faith and, in the case of judgment liens, execution thereon is stayed; or</w:t>
      </w:r>
    </w:p>
    <w:p>
      <w:pPr>
        <w:spacing w:after="0" w:line="175" w:lineRule="exact"/>
        <w:rPr>
          <w:rFonts w:ascii="Courier New" w:cs="Courier New" w:eastAsia="Courier New" w:hAnsi="Courier New"/>
          <w:sz w:val="15"/>
          <w:szCs w:val="15"/>
          <w:color w:val="auto"/>
        </w:rPr>
      </w:pPr>
    </w:p>
    <w:p>
      <w:pPr>
        <w:ind w:left="420" w:right="3399" w:firstLine="447"/>
        <w:spacing w:after="0" w:line="261" w:lineRule="auto"/>
        <w:tabs>
          <w:tab w:leader="none" w:pos="120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Landlords' liens on fixtures located on premises leased by us or any Restricted Subsidiary in the ordinary course of business; or</w:t>
      </w:r>
    </w:p>
    <w:p>
      <w:pPr>
        <w:spacing w:after="0" w:line="159" w:lineRule="exact"/>
        <w:rPr>
          <w:rFonts w:ascii="Courier New" w:cs="Courier New" w:eastAsia="Courier New" w:hAnsi="Courier New"/>
          <w:sz w:val="14"/>
          <w:szCs w:val="14"/>
          <w:color w:val="auto"/>
        </w:rPr>
      </w:pPr>
    </w:p>
    <w:p>
      <w:pPr>
        <w:jc w:val="both"/>
        <w:ind w:left="420" w:right="3239" w:firstLine="447"/>
        <w:spacing w:after="0" w:line="235" w:lineRule="auto"/>
        <w:tabs>
          <w:tab w:leader="none" w:pos="120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in favor of any governmental authority in connection with the financing of the cost of construction or acquisition of property; or</w:t>
      </w:r>
    </w:p>
    <w:p>
      <w:pPr>
        <w:spacing w:after="0" w:line="173" w:lineRule="exact"/>
        <w:rPr>
          <w:rFonts w:ascii="Courier New" w:cs="Courier New" w:eastAsia="Courier New" w:hAnsi="Courier New"/>
          <w:sz w:val="15"/>
          <w:szCs w:val="15"/>
          <w:color w:val="auto"/>
        </w:rPr>
      </w:pPr>
    </w:p>
    <w:p>
      <w:pPr>
        <w:ind w:left="420" w:right="3319" w:firstLine="447"/>
        <w:spacing w:after="0" w:line="258" w:lineRule="auto"/>
        <w:tabs>
          <w:tab w:leader="none" w:pos="120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arising by reason of deposits to qualify us or any Restricted Subsidiary to conduct business, to maintain self-insurance, or to obtain the benefit of, or comply with, laws; or</w:t>
      </w:r>
    </w:p>
    <w:p>
      <w:pPr>
        <w:spacing w:after="0" w:line="161" w:lineRule="exact"/>
        <w:rPr>
          <w:rFonts w:ascii="Courier New" w:cs="Courier New" w:eastAsia="Courier New" w:hAnsi="Courier New"/>
          <w:sz w:val="14"/>
          <w:szCs w:val="14"/>
          <w:color w:val="auto"/>
        </w:rPr>
      </w:pPr>
    </w:p>
    <w:p>
      <w:pPr>
        <w:ind w:left="420" w:right="3239" w:firstLine="447"/>
        <w:spacing w:after="0" w:line="235" w:lineRule="auto"/>
        <w:tabs>
          <w:tab w:leader="none" w:pos="120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that secures any Indebtedness of a Restricted Subsidiary owing to us or another Restricted Subsidiary or by us to a Restricted Subsidiary, or</w:t>
      </w:r>
    </w:p>
    <w:p>
      <w:pPr>
        <w:spacing w:after="0" w:line="173" w:lineRule="exact"/>
        <w:rPr>
          <w:rFonts w:ascii="Courier New" w:cs="Courier New" w:eastAsia="Courier New" w:hAnsi="Courier New"/>
          <w:sz w:val="15"/>
          <w:szCs w:val="15"/>
          <w:color w:val="auto"/>
        </w:rPr>
      </w:pPr>
    </w:p>
    <w:p>
      <w:pPr>
        <w:ind w:left="420" w:right="3399" w:firstLine="447"/>
        <w:spacing w:after="0" w:line="235" w:lineRule="auto"/>
        <w:tabs>
          <w:tab w:leader="none" w:pos="129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incurred in connection with pollution control, sewage or solid waste disposal, industrial revenue or similar financing; or</w:t>
      </w:r>
    </w:p>
    <w:p>
      <w:pPr>
        <w:spacing w:after="0" w:line="173" w:lineRule="exact"/>
        <w:rPr>
          <w:rFonts w:ascii="Courier New" w:cs="Courier New" w:eastAsia="Courier New" w:hAnsi="Courier New"/>
          <w:sz w:val="15"/>
          <w:szCs w:val="15"/>
          <w:color w:val="auto"/>
        </w:rPr>
      </w:pPr>
    </w:p>
    <w:p>
      <w:pPr>
        <w:ind w:left="420" w:right="3239" w:firstLine="447"/>
        <w:spacing w:after="0" w:line="255" w:lineRule="auto"/>
        <w:tabs>
          <w:tab w:leader="none" w:pos="129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Restricted Subsidiary, provided that such program is on terms comparable for similar transactions, or any document executed by us or any Restricted Subsidiary in connection therewith, and provided that such Security Interest is limited to the trade or other receivables in respect of which such program is created or exists and the proceeds thereof, or</w:t>
      </w:r>
    </w:p>
    <w:p>
      <w:pPr>
        <w:spacing w:after="0" w:line="165" w:lineRule="exact"/>
        <w:rPr>
          <w:rFonts w:ascii="Courier New" w:cs="Courier New" w:eastAsia="Courier New" w:hAnsi="Courier New"/>
          <w:sz w:val="14"/>
          <w:szCs w:val="14"/>
          <w:color w:val="auto"/>
        </w:rPr>
      </w:pPr>
    </w:p>
    <w:p>
      <w:pPr>
        <w:ind w:left="420" w:right="3239" w:firstLine="447"/>
        <w:spacing w:after="0" w:line="255" w:lineRule="auto"/>
        <w:tabs>
          <w:tab w:leader="none" w:pos="129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166" w:lineRule="exact"/>
        <w:rPr>
          <w:sz w:val="20"/>
          <w:szCs w:val="20"/>
          <w:color w:val="auto"/>
        </w:rPr>
      </w:pPr>
    </w:p>
    <w:p>
      <w:pPr>
        <w:ind w:left="160" w:right="3239" w:firstLine="437"/>
        <w:spacing w:after="0" w:line="254" w:lineRule="auto"/>
        <w:rPr>
          <w:sz w:val="20"/>
          <w:szCs w:val="20"/>
          <w:color w:val="auto"/>
        </w:rPr>
      </w:pPr>
      <w:r>
        <w:rPr>
          <w:rFonts w:ascii="Courier New" w:cs="Courier New" w:eastAsia="Courier New" w:hAnsi="Courier New"/>
          <w:sz w:val="14"/>
          <w:szCs w:val="14"/>
          <w:color w:val="auto"/>
        </w:rPr>
        <w:t>Notwithstanding the foregoing provisions, we or any of our Restricted Subsidiaries may create, incur, assume or suffer to exist any Indebtedness secured by a Security Interest without so securing the Senior Debt Securities of that series if, at the time such Security Interest becomes a Security Interest upon any of our or our Restricted Subsidiaries' Principal Property and after giving effect thereto, the aggregate outstanding principal amount of all Indebtedness of us and our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clause (1)(a) above, other Sale and Leaseback Transactions the proceeds of which have been applied or committed to be applied in accordance with the covenant described in "-- Provisions Applicable Solely to Senior Debt</w:t>
      </w:r>
    </w:p>
    <w:p>
      <w:pPr>
        <w:spacing w:after="0" w:line="6" w:lineRule="exact"/>
        <w:rPr>
          <w:sz w:val="20"/>
          <w:szCs w:val="20"/>
          <w:color w:val="auto"/>
        </w:rPr>
      </w:pPr>
    </w:p>
    <w:p>
      <w:pPr>
        <w:ind w:left="160" w:right="3579"/>
        <w:spacing w:after="0" w:line="235" w:lineRule="auto"/>
        <w:rPr>
          <w:sz w:val="20"/>
          <w:szCs w:val="20"/>
          <w:color w:val="auto"/>
        </w:rPr>
      </w:pPr>
      <w:r>
        <w:rPr>
          <w:rFonts w:ascii="Courier New" w:cs="Courier New" w:eastAsia="Courier New" w:hAnsi="Courier New"/>
          <w:sz w:val="15"/>
          <w:szCs w:val="15"/>
          <w:color w:val="auto"/>
        </w:rPr>
        <w:t>Securities -- Limitations on Sale and Leaseback Transactions" and other than Sale and Leaseback Transactions between us and any Restricted Subsidiary) does not exceed 15% of Consolidated Net Tangible Assets. (Section 1008 of the Senior Debt Indenture)</w:t>
      </w:r>
    </w:p>
    <w:p>
      <w:pPr>
        <w:spacing w:after="0" w:line="16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959"/>
          </w:cols>
          <w:pgMar w:left="50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left="440" w:right="3239" w:firstLine="444"/>
        <w:spacing w:after="0" w:line="255" w:lineRule="auto"/>
        <w:tabs>
          <w:tab w:leader="none" w:pos="122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any consolidation or merger of any Restricted Subsidiary with or into any other corporation, or upon any consolidation or merger of any other corporation with or into us or any Restricted Subsidiary or upon any sale or conveyance of the Principal Property of any Restricted Subsidiary as an entirety or substantially as an entirety to any other Person, or upon any acquisition by us or any Restricted Subsidiary by purchase or otherwise of all or any part of the Principal Property of any other Person, any Principal Property theretofore owned by us or such Restricted Subsidiary would thereupon become subject to any Security Interest not permitted by the terms of the foregoing covenant, we,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us or such Restricted Subsidiary then entitled thereto) by a direct lien on all such Principal Property prior to all liens other than any liens theretofore existing thereon by a supplemental indenture or otherwise. (Section 1008 of the Senior Debt Indenture)</w:t>
      </w:r>
    </w:p>
    <w:p>
      <w:pPr>
        <w:spacing w:after="0" w:line="33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 (a) we or such Restricted Subsidiary would be entitled, pursuant to the covenant described in "-- Provisions Applicable Solely to Senior Debt Securities -- Limitation on Liens," to incur Indebtedness secured by a Security Interest on the property to be leased without equally and ratably securing the Senior Debt Securities of that series, or (b) we shall, and in any such case we covenant that we will, within 180 days after the effective date of any such arrangement, apply an amount equal to the fair value (as determined by the Board of Directors) of such property to the redemption of Senior Debt Securities that, by their terms, are subject to redemption, or to the purchase and retirement of Senior Debt Securities, or to the payment or other retirement of funded debt for money borrowed, incurred or assumed by us which ranks senior to or pari passu with the Senior Debt Securities of that series or of funded debt for money borrowed, incurred or assumed by any Restricted Subsidiary (other than, in either case, funded debt owed by us or any Restricted Subsidiary), or</w:t>
      </w:r>
    </w:p>
    <w:p>
      <w:pPr>
        <w:spacing w:after="0" w:line="8" w:lineRule="exact"/>
        <w:rPr>
          <w:sz w:val="20"/>
          <w:szCs w:val="20"/>
          <w:color w:val="auto"/>
        </w:rPr>
      </w:pPr>
    </w:p>
    <w:p>
      <w:pPr>
        <w:ind w:right="3319" w:firstLine="10"/>
        <w:spacing w:after="0" w:line="236" w:lineRule="auto"/>
        <w:tabs>
          <w:tab w:leader="none" w:pos="3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Notwithstanding the foregoing, we may, and may permit any Restricted Subsidiary to, effect any Sale and Leaseback Transaction that is not acceptable pursuant to clauses (a) through (c), inclusive, of the foregoing covenant, provided that the Attributable Debt associated with such Sale and Leaseback Transaction, together with the aggregate principal amount of outstanding debt secured by Security Interests upon Principal Property not acceptable pursuant to clauses (1) through (12) of the covenant described in "-- Provisions Applicable Solely to Senior Debt Securities -- Limitation on Liens," inclusive, do not exceed 15% of Consolidated Net Tangible Assets. (Section 1009 of the Senior Debt Indenture)</w:t>
      </w:r>
    </w:p>
    <w:p>
      <w:pPr>
        <w:spacing w:after="0" w:line="179"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Events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164" w:lineRule="exact"/>
        <w:rPr>
          <w:sz w:val="20"/>
          <w:szCs w:val="20"/>
          <w:color w:val="auto"/>
        </w:rPr>
      </w:pPr>
    </w:p>
    <w:p>
      <w:pPr>
        <w:ind w:left="440" w:right="3239" w:firstLine="444"/>
        <w:spacing w:after="0" w:line="235" w:lineRule="auto"/>
        <w:tabs>
          <w:tab w:leader="none" w:pos="122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Senior Debt Security of that series when it becomes due and payable, and continuance of such default for a period of 30 days;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jc w:val="both"/>
        <w:ind w:left="440" w:right="3239" w:firstLine="444"/>
        <w:spacing w:after="0" w:line="235" w:lineRule="auto"/>
        <w:tabs>
          <w:tab w:leader="none" w:pos="12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175" w:lineRule="exact"/>
        <w:rPr>
          <w:rFonts w:ascii="Courier New" w:cs="Courier New" w:eastAsia="Courier New" w:hAnsi="Courier New"/>
          <w:sz w:val="15"/>
          <w:szCs w:val="15"/>
          <w:color w:val="auto"/>
        </w:rPr>
      </w:pPr>
    </w:p>
    <w:p>
      <w:pPr>
        <w:ind w:left="440" w:right="3499" w:firstLine="444"/>
        <w:spacing w:after="0" w:line="234" w:lineRule="auto"/>
        <w:tabs>
          <w:tab w:leader="none" w:pos="12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deposit of any sinking fund payment, when and as due by the terms of a Senior Debt Security of that series; or</w:t>
      </w:r>
    </w:p>
    <w:p>
      <w:pPr>
        <w:spacing w:after="0" w:line="173" w:lineRule="exact"/>
        <w:rPr>
          <w:rFonts w:ascii="Courier New" w:cs="Courier New" w:eastAsia="Courier New" w:hAnsi="Courier New"/>
          <w:sz w:val="15"/>
          <w:szCs w:val="15"/>
          <w:color w:val="auto"/>
        </w:rPr>
      </w:pPr>
    </w:p>
    <w:p>
      <w:pPr>
        <w:ind w:left="440" w:right="3239" w:firstLine="444"/>
        <w:spacing w:after="0" w:line="237" w:lineRule="auto"/>
        <w:tabs>
          <w:tab w:leader="none" w:pos="12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of our other covenants or warranties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 Securities other than that series), and continuance of such default or breach for a period of 60 days after there has been given, by registered or certified mail, to us by the Trustee or to us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by a court having jurisdiction in the premises of (A) a decree or order for relief in respect of us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our property, or ordering the winding up or liquidation of our affairs, and the continuance of any such decree or order for relief or any such other decree or order unstayed and in effect for a period of 90 consecutive days; or</w:t>
      </w:r>
    </w:p>
    <w:p>
      <w:pPr>
        <w:spacing w:after="0" w:line="164"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by us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us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163" w:lineRule="exact"/>
        <w:rPr>
          <w:rFonts w:ascii="Courier New" w:cs="Courier New" w:eastAsia="Courier New" w:hAnsi="Courier New"/>
          <w:sz w:val="14"/>
          <w:szCs w:val="14"/>
          <w:color w:val="auto"/>
        </w:rPr>
      </w:pPr>
    </w:p>
    <w:p>
      <w:pPr>
        <w:ind w:left="440" w:right="3499" w:firstLine="444"/>
        <w:spacing w:after="0" w:line="261" w:lineRule="auto"/>
        <w:tabs>
          <w:tab w:leader="none" w:pos="122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with respect to Senior Debt Securities of that series. (Section 501 of the Senior Debt Indenture)</w:t>
      </w:r>
    </w:p>
    <w:p>
      <w:pPr>
        <w:spacing w:after="0" w:line="16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Remedies. 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26</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Holders of a majority in principal amount of the Outstanding Senior Debt Securities of that series, by written notice to us and the Trustee, may rescind and annul such declaration and its consequences if:</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 we have paid or deposited with the Trustee a sum sufficient to</w:t>
      </w:r>
    </w:p>
    <w:p>
      <w:pPr>
        <w:ind w:left="440"/>
        <w:spacing w:after="0" w:line="237" w:lineRule="auto"/>
        <w:rPr>
          <w:sz w:val="20"/>
          <w:szCs w:val="20"/>
          <w:color w:val="auto"/>
        </w:rPr>
      </w:pPr>
      <w:r>
        <w:rPr>
          <w:rFonts w:ascii="Courier New" w:cs="Courier New" w:eastAsia="Courier New" w:hAnsi="Courier New"/>
          <w:sz w:val="15"/>
          <w:szCs w:val="15"/>
          <w:color w:val="auto"/>
        </w:rPr>
        <w:t>pay:</w:t>
      </w:r>
    </w:p>
    <w:p>
      <w:pPr>
        <w:spacing w:after="0" w:line="167" w:lineRule="exact"/>
        <w:rPr>
          <w:sz w:val="20"/>
          <w:szCs w:val="20"/>
          <w:color w:val="auto"/>
        </w:rPr>
      </w:pPr>
    </w:p>
    <w:p>
      <w:pPr>
        <w:ind w:left="1500" w:hanging="353"/>
        <w:spacing w:after="0"/>
        <w:tabs>
          <w:tab w:leader="none" w:pos="150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interest on all Senior Debt Securities of that</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series;</w:t>
      </w:r>
    </w:p>
    <w:p>
      <w:pPr>
        <w:spacing w:after="0" w:line="173" w:lineRule="exact"/>
        <w:rPr>
          <w:rFonts w:ascii="Courier New" w:cs="Courier New" w:eastAsia="Courier New" w:hAnsi="Courier New"/>
          <w:sz w:val="15"/>
          <w:szCs w:val="15"/>
          <w:color w:val="auto"/>
        </w:rPr>
      </w:pPr>
    </w:p>
    <w:p>
      <w:pPr>
        <w:ind w:left="700" w:right="3499" w:firstLine="447"/>
        <w:spacing w:after="0" w:line="235" w:lineRule="auto"/>
        <w:tabs>
          <w:tab w:leader="none" w:pos="1487"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premium, if any, on) any Senior Debt Securities of that series which has become due otherwise than by such declaration of acceleration and any interest thereon at the rate or rates prescribed therefor in such Senior Debt Securities;</w:t>
      </w:r>
    </w:p>
    <w:p>
      <w:pPr>
        <w:spacing w:after="0" w:line="175" w:lineRule="exact"/>
        <w:rPr>
          <w:rFonts w:ascii="Courier New" w:cs="Courier New" w:eastAsia="Courier New" w:hAnsi="Courier New"/>
          <w:sz w:val="15"/>
          <w:szCs w:val="15"/>
          <w:color w:val="auto"/>
        </w:rPr>
      </w:pPr>
    </w:p>
    <w:p>
      <w:pPr>
        <w:ind w:left="700" w:right="3239" w:firstLine="447"/>
        <w:spacing w:after="0" w:line="235" w:lineRule="auto"/>
        <w:tabs>
          <w:tab w:leader="none" w:pos="1487"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 lawful, interest upon overdue interest at the rate or rates prescribed therefor in such Senior Debt Securities; and</w:t>
      </w:r>
    </w:p>
    <w:p>
      <w:pPr>
        <w:spacing w:after="0" w:line="173" w:lineRule="exact"/>
        <w:rPr>
          <w:rFonts w:ascii="Courier New" w:cs="Courier New" w:eastAsia="Courier New" w:hAnsi="Courier New"/>
          <w:sz w:val="15"/>
          <w:szCs w:val="15"/>
          <w:color w:val="auto"/>
        </w:rPr>
      </w:pPr>
    </w:p>
    <w:p>
      <w:pPr>
        <w:ind w:left="700" w:right="3579" w:firstLine="447"/>
        <w:spacing w:after="0" w:line="235" w:lineRule="auto"/>
        <w:tabs>
          <w:tab w:leader="none" w:pos="1487"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hereunder and the reasonable compensation, expenses, disbursements and advances of the Trustee, its agents and counsel; and</w:t>
      </w:r>
    </w:p>
    <w:p>
      <w:pPr>
        <w:spacing w:after="0" w:line="173"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Senior Debt Securities of that series, other than the non-payment of the principal of Senior Debt Securities of that series which has become due solely by such declaration of acceleration, have been cured or waived as provided in the Senior Debt Indenture.</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we,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w:t>
      </w:r>
    </w:p>
    <w:p>
      <w:pPr>
        <w:spacing w:after="0" w:line="165" w:lineRule="exact"/>
        <w:rPr>
          <w:sz w:val="20"/>
          <w:szCs w:val="20"/>
          <w:color w:val="auto"/>
        </w:rPr>
      </w:pPr>
    </w:p>
    <w:p>
      <w:pPr>
        <w:ind w:left="440" w:right="3239" w:firstLine="444"/>
        <w:spacing w:after="0" w:line="235" w:lineRule="auto"/>
        <w:tabs>
          <w:tab w:leader="none" w:pos="122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has previously given written notice to the Trustee of a continuing Event of Default with respect to the Senior Debt Securities of that series;</w:t>
      </w:r>
    </w:p>
    <w:p>
      <w:pPr>
        <w:spacing w:after="0" w:line="173"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25% in principal amount of the Outstanding Senior Debt Securities of that series shall have been made written request to the Trustee to institute proceedings in respect of such Event of Default in its own name as Trustee under the Senior Debt Indenture;</w:t>
      </w:r>
    </w:p>
    <w:p>
      <w:pPr>
        <w:spacing w:after="0" w:line="173" w:lineRule="exact"/>
        <w:rPr>
          <w:rFonts w:ascii="Courier New" w:cs="Courier New" w:eastAsia="Courier New" w:hAnsi="Courier New"/>
          <w:sz w:val="15"/>
          <w:szCs w:val="15"/>
          <w:color w:val="auto"/>
        </w:rPr>
      </w:pPr>
    </w:p>
    <w:p>
      <w:pPr>
        <w:ind w:left="440" w:right="3579" w:firstLine="444"/>
        <w:spacing w:after="0" w:line="235" w:lineRule="auto"/>
        <w:tabs>
          <w:tab w:leader="none" w:pos="122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have offered to the Trustee reasonable indemnity against the costs, expenses and liabilities to be incurred in compliance with such request;</w:t>
      </w:r>
    </w:p>
    <w:p>
      <w:pPr>
        <w:spacing w:after="0" w:line="173" w:lineRule="exact"/>
        <w:rPr>
          <w:rFonts w:ascii="Courier New" w:cs="Courier New" w:eastAsia="Courier New" w:hAnsi="Courier New"/>
          <w:sz w:val="15"/>
          <w:szCs w:val="15"/>
          <w:color w:val="auto"/>
        </w:rPr>
      </w:pPr>
    </w:p>
    <w:p>
      <w:pPr>
        <w:ind w:left="440" w:right="3319" w:firstLine="444"/>
        <w:spacing w:after="0" w:line="261" w:lineRule="auto"/>
        <w:tabs>
          <w:tab w:leader="none" w:pos="122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60 days after its receipt of such notice, request and offer of indemnity has failed to institute any such proceeding; and</w:t>
      </w:r>
    </w:p>
    <w:p>
      <w:pPr>
        <w:spacing w:after="0" w:line="159" w:lineRule="exact"/>
        <w:rPr>
          <w:rFonts w:ascii="Courier New" w:cs="Courier New" w:eastAsia="Courier New" w:hAnsi="Courier New"/>
          <w:sz w:val="14"/>
          <w:szCs w:val="14"/>
          <w:color w:val="auto"/>
        </w:rPr>
      </w:pPr>
    </w:p>
    <w:p>
      <w:pPr>
        <w:ind w:left="440" w:right="3239" w:firstLine="444"/>
        <w:spacing w:after="0" w:line="235" w:lineRule="auto"/>
        <w:tabs>
          <w:tab w:leader="none" w:pos="122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direction inconsistent with such written request has been given to the Trustee during such 60-day period by the Holders of a majority in principal amount of the Outstanding Senior Debt Securities of that series. (Section 507 of the Senior Debt Indenture)</w:t>
      </w:r>
    </w:p>
    <w:p>
      <w:pPr>
        <w:spacing w:after="0" w:line="17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Notwithstanding any other provisions in the Senior Debt Indenture, the right of any Holder of any Senior Debt Security or coupon to receive payment of the principal of and any premium and any interest on such Senior Debt Security or payment of such coupon on the Stated Maturity or Maturities expressed in such</w:t>
      </w:r>
    </w:p>
    <w:p>
      <w:pPr>
        <w:ind w:left="3420"/>
        <w:spacing w:after="0" w:line="232" w:lineRule="auto"/>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27</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Senior Debt Security or coupon, or to institute suit for the enforcement of any such payment on or after such respective dates shall not be impaired or affected without the consent of such Holder. (Sections 508, 902 of the Senior Debt Indenture)</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a default occurs under the Senior Debt Indenture with respect to Senior Debt Securities of any series, the Trustee shall give the Holders of Senior Debt Securities of such series notice of such default as and to the 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16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spacing w:after="0" w:line="163" w:lineRule="exact"/>
        <w:rPr>
          <w:sz w:val="20"/>
          <w:szCs w:val="20"/>
          <w:color w:val="auto"/>
        </w:rPr>
      </w:pPr>
    </w:p>
    <w:p>
      <w:pPr>
        <w:ind w:left="440" w:right="3239" w:firstLine="444"/>
        <w:spacing w:after="0" w:line="255" w:lineRule="auto"/>
        <w:tabs>
          <w:tab w:leader="none" w:pos="122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w:t>
      </w:r>
    </w:p>
    <w:p>
      <w:pPr>
        <w:spacing w:after="0" w:line="166" w:lineRule="exact"/>
        <w:rPr>
          <w:rFonts w:ascii="Courier New" w:cs="Courier New" w:eastAsia="Courier New" w:hAnsi="Courier New"/>
          <w:sz w:val="14"/>
          <w:szCs w:val="14"/>
          <w:color w:val="auto"/>
        </w:rPr>
      </w:pPr>
    </w:p>
    <w:p>
      <w:pPr>
        <w:ind w:left="440" w:right="3319" w:firstLine="444"/>
        <w:spacing w:after="0" w:line="234" w:lineRule="auto"/>
        <w:tabs>
          <w:tab w:leader="none" w:pos="131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 the sum of all Dollar amounts determined under (i) and add thereto any amounts due and payable in Dollars; and</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40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w:t>
      </w:r>
    </w:p>
    <w:p>
      <w:pPr>
        <w:spacing w:after="0" w:line="17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w:t>
      </w:r>
    </w:p>
    <w:p>
      <w:pPr>
        <w:ind w:left="3420"/>
        <w:spacing w:after="0" w:line="232" w:lineRule="auto"/>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Securities to whom amounts are payable under the Senior Debt Indenture.</w:t>
      </w:r>
    </w:p>
    <w:p>
      <w:pPr>
        <w:spacing w:after="0" w:line="237" w:lineRule="auto"/>
        <w:rPr>
          <w:sz w:val="20"/>
          <w:szCs w:val="20"/>
          <w:color w:val="auto"/>
        </w:rPr>
      </w:pPr>
      <w:r>
        <w:rPr>
          <w:rFonts w:ascii="Courier New" w:cs="Courier New" w:eastAsia="Courier New" w:hAnsi="Courier New"/>
          <w:sz w:val="15"/>
          <w:szCs w:val="15"/>
          <w:color w:val="auto"/>
        </w:rPr>
        <w:t>(Sections 506, 902 of the Senior Debt Indenture)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To the fullest extent allowed under applicable law, if for the purpose of obtaining judgment against us in any court it is necessary to convert the sum due in respect of the principal of, or premium, if any, or interest on, the Senior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us is calculated as above and the time the Trustee converts the Judgment Currency into the Required Currency to make payments under the foregoing provisions of the Senior Debt Indenture to Holders of Senior Debt Securities, but payment of such judgment shall discharge all amounts owed by us on the claim or claims underlying such judgment. (Section 506 of the Senior Debt Indenture)</w:t>
      </w:r>
    </w:p>
    <w:p>
      <w:pPr>
        <w:spacing w:after="0" w:line="175"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We are required to furnish to the Trustee annually a statement as to our compliance with all conditions and covenants under the Senior Debt Indenture. (Section 1006)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SOLELY TO SUBORDINATED DEBT SECURITIES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Consolidation, Merger, Sale. The Subordinated Debt Indenture provides that we may not consolidate with or merge into any other Person or convey, transfer or lease its properties and assets substantially as an entirety to any Person, unless (1) the Person formed by such consolidation or into which we merge or the Person which acquires by conveyance or transfer, or which leases, our properties and assets substantially as an entirety shall be a corporation, partnership or trust, organized and validly existing under the laws of the United States,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to be performed or observed on our part; and (2) immediately after giving effect to such transaction and treating any indebtedness which becomes our or our subsidiaries' obligation as a result of such transaction as having been incurred by us or such Subsidiary at the time of such transaction, no Event of Default, and no event which, after notice or lapse of time or both, would become an Event of Default, shall have happened and be continuing. 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Subordinated Debt Indenture with the same effect as if such successor Person had been named as us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346"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Events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164" w:lineRule="exact"/>
        <w:rPr>
          <w:sz w:val="20"/>
          <w:szCs w:val="20"/>
          <w:color w:val="auto"/>
        </w:rPr>
      </w:pPr>
    </w:p>
    <w:p>
      <w:pPr>
        <w:ind w:left="440" w:right="3239" w:firstLine="444"/>
        <w:spacing w:after="0" w:line="235" w:lineRule="auto"/>
        <w:tabs>
          <w:tab w:leader="none" w:pos="122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Subordinated Debt Security of that series when it becomes due and payable, and continuance of such default for a period of 30 days;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29</w:t>
      </w:r>
    </w:p>
    <w:p>
      <w:pPr>
        <w:spacing w:after="0" w:line="173" w:lineRule="exact"/>
        <w:rPr>
          <w:sz w:val="20"/>
          <w:szCs w:val="20"/>
          <w:color w:val="auto"/>
        </w:rPr>
      </w:pPr>
    </w:p>
    <w:p>
      <w:pPr>
        <w:ind w:left="440" w:right="3499" w:firstLine="444"/>
        <w:spacing w:after="0" w:line="235" w:lineRule="auto"/>
        <w:tabs>
          <w:tab w:leader="none" w:pos="122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175" w:lineRule="exact"/>
        <w:rPr>
          <w:rFonts w:ascii="Courier New" w:cs="Courier New" w:eastAsia="Courier New" w:hAnsi="Courier New"/>
          <w:sz w:val="15"/>
          <w:szCs w:val="15"/>
          <w:color w:val="auto"/>
        </w:rPr>
      </w:pPr>
    </w:p>
    <w:p>
      <w:pPr>
        <w:ind w:left="440" w:right="3499" w:firstLine="444"/>
        <w:spacing w:after="0" w:line="261" w:lineRule="auto"/>
        <w:tabs>
          <w:tab w:leader="none" w:pos="122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deposit of any sinking fund payment, when and as due by the terms of a Subordinated Debt Security of that series; or</w:t>
      </w:r>
    </w:p>
    <w:p>
      <w:pPr>
        <w:spacing w:after="0" w:line="159"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performance, or breach, of any of our other covenants or warranties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us by the Trustee or to us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164"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by a court having jurisdiction in the premises of (A) a decree or order for relief in respect of us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64"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by us of a voluntary case or proceeding under any applicable Federal or State bankruptcy, insolvency, reorganization or other similar law or of any other case or proceeding to be adjudicated a bankrupt or insolvent, or the consent by us to the entry of a decree or order for relief in respect of us in an involuntary case or proceeding under any applicable Federal or State bankruptcy, insolvency, reorganization or other similar law or the commencement of any bankruptcy or insolvency case or proceeding against us, or the filing by us of a petition or answer or consent seeking reorganization or relief under any applicable Federal or State law, or the consent by us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163" w:lineRule="exact"/>
        <w:rPr>
          <w:rFonts w:ascii="Courier New" w:cs="Courier New" w:eastAsia="Courier New" w:hAnsi="Courier New"/>
          <w:sz w:val="14"/>
          <w:szCs w:val="14"/>
          <w:color w:val="auto"/>
        </w:rPr>
      </w:pPr>
    </w:p>
    <w:p>
      <w:pPr>
        <w:ind w:left="440" w:right="3399" w:firstLine="444"/>
        <w:spacing w:after="0" w:line="235" w:lineRule="auto"/>
        <w:tabs>
          <w:tab w:leader="none" w:pos="122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with respect to Subordinated Debt Securities of that series. (Section 501 of the Subordinated Debt Indenture)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Remedies. 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Debt Securities of that series, by written notice to us and the Trustee, may rescind and annul such declaration and its consequences if:</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 we have paid or deposited with the Trustee a sum sufficient to</w:t>
      </w:r>
    </w:p>
    <w:p>
      <w:pPr>
        <w:ind w:left="440"/>
        <w:spacing w:after="0" w:line="237" w:lineRule="auto"/>
        <w:rPr>
          <w:sz w:val="20"/>
          <w:szCs w:val="20"/>
          <w:color w:val="auto"/>
        </w:rPr>
      </w:pPr>
      <w:r>
        <w:rPr>
          <w:rFonts w:ascii="Courier New" w:cs="Courier New" w:eastAsia="Courier New" w:hAnsi="Courier New"/>
          <w:sz w:val="15"/>
          <w:szCs w:val="15"/>
          <w:color w:val="auto"/>
        </w:rPr>
        <w:t>pay:</w:t>
      </w:r>
    </w:p>
    <w:p>
      <w:pPr>
        <w:spacing w:after="0" w:line="173" w:lineRule="exact"/>
        <w:rPr>
          <w:sz w:val="20"/>
          <w:szCs w:val="20"/>
          <w:color w:val="auto"/>
        </w:rPr>
      </w:pPr>
    </w:p>
    <w:p>
      <w:pPr>
        <w:ind w:left="700" w:right="3579" w:firstLine="447"/>
        <w:spacing w:after="0" w:line="234" w:lineRule="auto"/>
        <w:tabs>
          <w:tab w:leader="none" w:pos="1487"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interest on all Subordinated Debt Securities of that series;</w:t>
      </w:r>
    </w:p>
    <w:p>
      <w:pPr>
        <w:spacing w:after="0" w:line="173" w:lineRule="exact"/>
        <w:rPr>
          <w:rFonts w:ascii="Courier New" w:cs="Courier New" w:eastAsia="Courier New" w:hAnsi="Courier New"/>
          <w:sz w:val="15"/>
          <w:szCs w:val="15"/>
          <w:color w:val="auto"/>
        </w:rPr>
      </w:pPr>
    </w:p>
    <w:p>
      <w:pPr>
        <w:ind w:left="700" w:right="3239" w:firstLine="447"/>
        <w:spacing w:after="0" w:line="235" w:lineRule="auto"/>
        <w:tabs>
          <w:tab w:leader="none" w:pos="1487"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premium, if any, on) any Subordinated Debt Securities of that series which has become due otherwise than by such declaration of acceleration and any interest thereon at the rate or rates prescribed therefor in such Subordinated Debt Securities;</w:t>
      </w:r>
    </w:p>
    <w:p>
      <w:pPr>
        <w:spacing w:after="0" w:line="175" w:lineRule="exact"/>
        <w:rPr>
          <w:rFonts w:ascii="Courier New" w:cs="Courier New" w:eastAsia="Courier New" w:hAnsi="Courier New"/>
          <w:sz w:val="15"/>
          <w:szCs w:val="15"/>
          <w:color w:val="auto"/>
        </w:rPr>
      </w:pPr>
    </w:p>
    <w:p>
      <w:pPr>
        <w:ind w:left="700" w:right="3239" w:firstLine="447"/>
        <w:spacing w:after="0" w:line="235" w:lineRule="auto"/>
        <w:tabs>
          <w:tab w:leader="none" w:pos="1487"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 lawful, interest upon overdue interest at the rate or rates prescribed therefor in such Subordinated Debt Securities, and</w:t>
      </w:r>
    </w:p>
    <w:p>
      <w:pPr>
        <w:spacing w:after="0" w:line="173" w:lineRule="exact"/>
        <w:rPr>
          <w:rFonts w:ascii="Courier New" w:cs="Courier New" w:eastAsia="Courier New" w:hAnsi="Courier New"/>
          <w:sz w:val="15"/>
          <w:szCs w:val="15"/>
          <w:color w:val="auto"/>
        </w:rPr>
      </w:pPr>
    </w:p>
    <w:p>
      <w:pPr>
        <w:ind w:left="700" w:right="3579" w:firstLine="447"/>
        <w:spacing w:after="0" w:line="235" w:lineRule="auto"/>
        <w:tabs>
          <w:tab w:leader="none" w:pos="1487"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hereunder and the reasonable compensation, expenses, disbursements and advances of the Trustee, its agents and counsel; and</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we,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w:t>
      </w:r>
    </w:p>
    <w:p>
      <w:pPr>
        <w:spacing w:after="0" w:line="179" w:lineRule="exact"/>
        <w:rPr>
          <w:sz w:val="20"/>
          <w:szCs w:val="20"/>
          <w:color w:val="auto"/>
        </w:rPr>
      </w:pPr>
    </w:p>
    <w:p>
      <w:pPr>
        <w:ind w:left="440" w:right="3319" w:firstLine="444"/>
        <w:spacing w:after="0" w:line="235" w:lineRule="auto"/>
        <w:tabs>
          <w:tab w:leader="none" w:pos="122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has previously given written notice to the Trustee of a continuing Event of Default with respect to the Subordinated Debt Securities of that series;</w:t>
      </w:r>
    </w:p>
    <w:p>
      <w:pPr>
        <w:spacing w:after="0" w:line="173"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w:t>
      </w:r>
    </w:p>
    <w:p>
      <w:pPr>
        <w:spacing w:after="0" w:line="173" w:lineRule="exact"/>
        <w:rPr>
          <w:rFonts w:ascii="Courier New" w:cs="Courier New" w:eastAsia="Courier New" w:hAnsi="Courier New"/>
          <w:sz w:val="15"/>
          <w:szCs w:val="15"/>
          <w:color w:val="auto"/>
        </w:rPr>
      </w:pPr>
    </w:p>
    <w:p>
      <w:pPr>
        <w:ind w:left="440" w:right="3579" w:firstLine="444"/>
        <w:spacing w:after="0" w:line="235" w:lineRule="auto"/>
        <w:tabs>
          <w:tab w:leader="none" w:pos="122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have offered to the Trustee reasonable indemnity against the costs, expenses and liabilities to be incurred in compliance with such request;</w:t>
      </w:r>
    </w:p>
    <w:p>
      <w:pPr>
        <w:spacing w:after="0" w:line="173" w:lineRule="exact"/>
        <w:rPr>
          <w:rFonts w:ascii="Courier New" w:cs="Courier New" w:eastAsia="Courier New" w:hAnsi="Courier New"/>
          <w:sz w:val="15"/>
          <w:szCs w:val="15"/>
          <w:color w:val="auto"/>
        </w:rPr>
      </w:pPr>
    </w:p>
    <w:p>
      <w:pPr>
        <w:ind w:left="440" w:right="3319" w:firstLine="444"/>
        <w:spacing w:after="0" w:line="261" w:lineRule="auto"/>
        <w:tabs>
          <w:tab w:leader="none" w:pos="122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60 days after its receipt of such notice, request and offer of indemnity has failed to institute any such proceeding; and</w:t>
      </w:r>
    </w:p>
    <w:p>
      <w:pPr>
        <w:spacing w:after="0" w:line="159" w:lineRule="exact"/>
        <w:rPr>
          <w:rFonts w:ascii="Courier New" w:cs="Courier New" w:eastAsia="Courier New" w:hAnsi="Courier New"/>
          <w:sz w:val="14"/>
          <w:szCs w:val="14"/>
          <w:color w:val="auto"/>
        </w:rPr>
      </w:pPr>
    </w:p>
    <w:p>
      <w:pPr>
        <w:ind w:left="440" w:right="3239" w:firstLine="444"/>
        <w:spacing w:after="0" w:line="256" w:lineRule="auto"/>
        <w:tabs>
          <w:tab w:leader="none" w:pos="122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direction inconsistent with such written request has been given to the Trustee during such 60-day period by the Holders of a majority in principal amount of the Outstanding Subordinated Debt Securities of that series. (Section 507 of the Subordinated Debt Indenture)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31</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34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w:t>
      </w:r>
    </w:p>
    <w:p>
      <w:pPr>
        <w:spacing w:after="0" w:line="175" w:lineRule="exact"/>
        <w:rPr>
          <w:sz w:val="20"/>
          <w:szCs w:val="20"/>
          <w:color w:val="auto"/>
        </w:rPr>
      </w:pPr>
    </w:p>
    <w:p>
      <w:pPr>
        <w:ind w:left="440" w:right="3399" w:firstLine="444"/>
        <w:spacing w:after="0" w:line="236" w:lineRule="auto"/>
        <w:tabs>
          <w:tab w:leader="none" w:pos="122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w:t>
      </w:r>
    </w:p>
    <w:p>
      <w:pPr>
        <w:spacing w:after="0" w:line="177" w:lineRule="exact"/>
        <w:rPr>
          <w:rFonts w:ascii="Courier New" w:cs="Courier New" w:eastAsia="Courier New" w:hAnsi="Courier New"/>
          <w:sz w:val="15"/>
          <w:szCs w:val="15"/>
          <w:color w:val="auto"/>
        </w:rPr>
      </w:pPr>
    </w:p>
    <w:p>
      <w:pPr>
        <w:ind w:left="440" w:right="3319" w:firstLine="444"/>
        <w:spacing w:after="0" w:line="234" w:lineRule="auto"/>
        <w:tabs>
          <w:tab w:leader="none" w:pos="131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 the sum of all Dollar amounts determined under (i) and add thereto any amounts due and payable in Dollars; and</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40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using the individual amounts determined in (i) or any individual amounts due and payable in Dollars, as the case may be, as a numerator, and the sum calculated in (ii) as a denominator,</w:t>
      </w:r>
    </w:p>
    <w:p>
      <w:pPr>
        <w:ind w:left="3420"/>
        <w:spacing w:after="0" w:line="238" w:lineRule="auto"/>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left="440" w:right="3499"/>
        <w:spacing w:after="0" w:line="235" w:lineRule="auto"/>
        <w:rPr>
          <w:sz w:val="20"/>
          <w:szCs w:val="20"/>
          <w:color w:val="auto"/>
        </w:rPr>
      </w:pPr>
      <w:r>
        <w:rPr>
          <w:rFonts w:ascii="Courier New" w:cs="Courier New" w:eastAsia="Courier New" w:hAnsi="Courier New"/>
          <w:sz w:val="15"/>
          <w:szCs w:val="15"/>
          <w:color w:val="auto"/>
        </w:rPr>
        <w:t>calculate as to each Holder of a Subordinated Debt Security to whom an amount is owed under the Subordinated Debt Indenture the fraction of the amount collected under the Subordinated Debt Indenture payable to such Holder.</w:t>
      </w:r>
    </w:p>
    <w:p>
      <w:pPr>
        <w:spacing w:after="0" w:line="17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To the fullest extent allowed under applicable law, if for the purpose of obtaining judgment against us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we benefit from any windfall in payments to Holders of Subordinated Debt Securities under the Subordinated Debt Indenture caused by a change in exchange rates between the time the amount of a judgment against us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us on the claim or claims underlying such judgment. (Section 506 of the Subordinated Debt Indenture)</w:t>
      </w:r>
    </w:p>
    <w:p>
      <w:pPr>
        <w:spacing w:after="0" w:line="33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We are required to furnish to the Trustee annually a statement as to our compliance with all conditions and covenants under the Subordinated Debt Indenture. (Section 1007 of the Subordinated Debt Indenture)</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Subordination. The Subordinated Debt Securities will be subordinate and junior in right of payment, to the extent set forth in the Subordinated Debt Indenture, to all our Senior Indebtedness (as defined below). If we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us by the holders of such Senior Indebtedness or any trustee therefor and subject to certain of our rights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our capital stock (or cash in lieu of fractional shares thereof) pursuant to any conversion right of the Subordinated Debt Securities or otherwise made in our capital stock. (Sections 1601, 1604 and 1605 of the Subordinated Debt Indenture)</w:t>
      </w:r>
    </w:p>
    <w:p>
      <w:pPr>
        <w:spacing w:after="0" w:line="175"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"Senior Indebtedness" is defined in Section 101 of the Subordinated Debt Indenture as our Indebtedness (as defined below) outstanding at any time except:</w:t>
      </w:r>
    </w:p>
    <w:p>
      <w:pPr>
        <w:spacing w:after="0" w:line="160" w:lineRule="exact"/>
        <w:rPr>
          <w:sz w:val="20"/>
          <w:szCs w:val="20"/>
          <w:color w:val="auto"/>
        </w:rPr>
      </w:pPr>
    </w:p>
    <w:p>
      <w:pPr>
        <w:ind w:left="440" w:right="3399" w:firstLine="444"/>
        <w:spacing w:after="0" w:line="235" w:lineRule="auto"/>
        <w:tabs>
          <w:tab w:leader="none" w:pos="122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as to which, by the terms of the instrument creating or evidencing the same, it is provided that such Indebtedness is not senior in right of payment to the Subordinated Debt Securities;</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Subordinated Debt Securities;</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our Indebtedness to any wholly-owned Subsidiary;</w:t>
      </w:r>
    </w:p>
    <w:p>
      <w:pPr>
        <w:spacing w:after="0" w:line="172"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accruing after the filing of a petition initiating certain bankruptcy or insolvency proceedings unless such interest is an allowed claim enforceable against us in a proceeding under federal or state bankruptcy laws;</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33</w:t>
      </w:r>
    </w:p>
    <w:p>
      <w:pPr>
        <w:spacing w:after="0" w:line="173" w:lineRule="exact"/>
        <w:rPr>
          <w:sz w:val="20"/>
          <w:szCs w:val="20"/>
          <w:color w:val="auto"/>
        </w:rPr>
      </w:pPr>
    </w:p>
    <w:p>
      <w:pPr>
        <w:jc w:val="both"/>
        <w:ind w:left="440" w:right="3399" w:firstLine="444"/>
        <w:spacing w:after="0" w:line="235" w:lineRule="auto"/>
        <w:tabs>
          <w:tab w:leader="none" w:pos="122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under performance guarantees, support agreements and other agreements in the nature thereof relating to the obligations of any Subsidiary, and</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accounts payable.</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"Indebtedness" is defined in Section 101 of the Subordinated Debt Indenture as, with respect to any Person:</w:t>
      </w:r>
    </w:p>
    <w:p>
      <w:pPr>
        <w:spacing w:after="0" w:line="173" w:lineRule="exact"/>
        <w:rPr>
          <w:sz w:val="20"/>
          <w:szCs w:val="20"/>
          <w:color w:val="auto"/>
        </w:rPr>
      </w:pPr>
    </w:p>
    <w:p>
      <w:pPr>
        <w:ind w:left="440" w:right="3239" w:firstLine="444"/>
        <w:spacing w:after="0" w:line="255" w:lineRule="auto"/>
        <w:tabs>
          <w:tab w:leader="none" w:pos="122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w:t>
      </w:r>
    </w:p>
    <w:p>
      <w:pPr>
        <w:spacing w:after="0" w:line="166" w:lineRule="exact"/>
        <w:rPr>
          <w:sz w:val="20"/>
          <w:szCs w:val="20"/>
          <w:color w:val="auto"/>
        </w:rPr>
      </w:pPr>
    </w:p>
    <w:p>
      <w:pPr>
        <w:ind w:left="440" w:right="3319" w:firstLine="444"/>
        <w:spacing w:after="0" w:line="235" w:lineRule="auto"/>
        <w:tabs>
          <w:tab w:leader="none" w:pos="131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premium and interest, if any, on indebtedness for money borrowed, incurred, assumed or guaranteed by such Person in connection with the acquisition by it or any of its subsidiaries of any other businesses properties or other assets; and</w:t>
      </w:r>
    </w:p>
    <w:p>
      <w:pPr>
        <w:spacing w:after="0" w:line="175" w:lineRule="exact"/>
        <w:rPr>
          <w:rFonts w:ascii="Courier New" w:cs="Courier New" w:eastAsia="Courier New" w:hAnsi="Courier New"/>
          <w:sz w:val="15"/>
          <w:szCs w:val="15"/>
          <w:color w:val="auto"/>
        </w:rPr>
      </w:pPr>
    </w:p>
    <w:p>
      <w:pPr>
        <w:ind w:left="440" w:right="3319" w:firstLine="444"/>
        <w:spacing w:after="0" w:line="235" w:lineRule="auto"/>
        <w:tabs>
          <w:tab w:leader="none" w:pos="140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obligations which such Person capitalizes in accordance with Statement of Financial Accounting Standards No. 13 promulgated by the Financial Accounting Standards Board or such other generally accepted accounting principles as may be from time to time in effect,</w:t>
      </w:r>
    </w:p>
    <w:p>
      <w:pPr>
        <w:spacing w:after="0" w:line="175" w:lineRule="exact"/>
        <w:rPr>
          <w:sz w:val="20"/>
          <w:szCs w:val="20"/>
          <w:color w:val="auto"/>
        </w:rPr>
      </w:pPr>
    </w:p>
    <w:p>
      <w:pPr>
        <w:ind w:left="440" w:right="3239" w:firstLine="444"/>
        <w:spacing w:after="0" w:line="255" w:lineRule="auto"/>
        <w:tabs>
          <w:tab w:leader="none" w:pos="122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w:t>
      </w:r>
    </w:p>
    <w:p>
      <w:pPr>
        <w:spacing w:after="0" w:line="166" w:lineRule="exact"/>
        <w:rPr>
          <w:rFonts w:ascii="Courier New" w:cs="Courier New" w:eastAsia="Courier New" w:hAnsi="Courier New"/>
          <w:sz w:val="14"/>
          <w:szCs w:val="14"/>
          <w:color w:val="auto"/>
        </w:rPr>
      </w:pPr>
    </w:p>
    <w:p>
      <w:pPr>
        <w:ind w:left="440" w:right="3319" w:firstLine="444"/>
        <w:spacing w:after="0" w:line="235" w:lineRule="auto"/>
        <w:tabs>
          <w:tab w:leader="none" w:pos="122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amendments, modifications, refundings, renewals or extensions of any indebtedness or obligation described as Indebtedness in clause (a) or (b) above.</w:t>
      </w:r>
    </w:p>
    <w:p>
      <w:pPr>
        <w:spacing w:after="0" w:line="174" w:lineRule="exact"/>
        <w:rPr>
          <w:sz w:val="20"/>
          <w:szCs w:val="20"/>
          <w:color w:val="auto"/>
        </w:rPr>
      </w:pPr>
    </w:p>
    <w:p>
      <w:pPr>
        <w:jc w:val="both"/>
        <w:ind w:right="3399" w:firstLine="437"/>
        <w:spacing w:after="0" w:line="254" w:lineRule="auto"/>
        <w:rPr>
          <w:sz w:val="20"/>
          <w:szCs w:val="20"/>
          <w:color w:val="auto"/>
        </w:rPr>
      </w:pPr>
      <w:r>
        <w:rPr>
          <w:rFonts w:ascii="Courier New" w:cs="Courier New" w:eastAsia="Courier New" w:hAnsi="Courier New"/>
          <w:sz w:val="14"/>
          <w:szCs w:val="14"/>
          <w:color w:val="auto"/>
        </w:rPr>
        <w:t>If (i) without our consent a court having jurisdiction shall enter (A) an order for relief with respect to us under the United States federal bankruptcy laws, (B) a judgment, order or decree adjudging us a bankrupt or insolvent, or</w:t>
      </w:r>
    </w:p>
    <w:p>
      <w:pPr>
        <w:spacing w:after="0" w:line="1" w:lineRule="exact"/>
        <w:rPr>
          <w:sz w:val="20"/>
          <w:szCs w:val="20"/>
          <w:color w:val="auto"/>
        </w:rPr>
      </w:pPr>
    </w:p>
    <w:p>
      <w:pPr>
        <w:ind w:right="3239" w:firstLine="10"/>
        <w:spacing w:after="0" w:line="254" w:lineRule="auto"/>
        <w:tabs>
          <w:tab w:leader="none" w:pos="35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order for relief for reorganization, arrangement, adjustment or composition of or in respect of us under the United States federal bankruptcy laws or state insolvency laws or (ii) we shall institute proceedings for the entry of an order for relief with respect to us under the United States federal bankruptcy laws or for an adjudication of insolvency, or shall consent to the institution of bankruptcy or insolvency proceedings against us,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us or of substantially all of our property, or we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our securities or any</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of our other obligations ranking on a parity with the Subordinated Debt Securities, will be entitled to be repaid from our remaining assets the amounts at that time due and owing on account of unpaid principal of and any premium and interest on the Subordinated Debt Securities and such other obligations before any payment or other distribution, whether in cash, property or otherwise, shall be made on account of any of our capital stock or obligations ranking junior to the Subordinated Debt Securities and such other obligations. (Section 1601 of the Subordinated Debt Indenture)</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us and our creditors other than the holders of such Senior Indebtedness, on the one hand, and such Holders, on the other hand, be deemed to be a payment by us on account of such Senior Indebtedness, and not on account of the Subordinated Debt Securities of such series. (Section 1601 of the Subordinated Debt Indenture)</w:t>
      </w:r>
    </w:p>
    <w:p>
      <w:pPr>
        <w:spacing w:after="0" w:line="33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prospectus supplement respecting any series of Subordinated Debt Securities will set forth any subordination provisions applicable to such series in addition to or different from those described above.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By reason of such subordination, in the event of a liquidation, bankruptcy, reorganization, insolvency, receivership or similar proceeding involving us or an assignment for the benefit of creditors of us or any of our Subsidiaries or a marshaling of assets or liabilities of us and our Subsidiaries, holders of Senior Indebtedness and holders of our other obligations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180"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applicable prospectus supplement for such Debt Securities.</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holder of any convertible Subordinated Debt Securities will have the right exercisable at any time prior to maturity, unless previously redeemed or otherwise purchased by us, to convert such Subordinated Debt Securities into shares of common stock at the conversion price or conversion rate set forth in the applicable prospectus supplement, subject to adjustment. (Section 1502 of the Subordinated Debt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Indenture) The holder of convertible Subordinated Debt Securities may convert any portion thereof which is $1,000 in principal amount or any integral multiple thereof. (Section 1502 of the Subordinated Debt Indenture)</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certain events, the conversion price or conversion rate will be subject to adjustment as set forth in the Subordinated Debt Indenture. Such events include the issuance of shares of our common stock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our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We have been advised by our counsel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345"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Fractional shares of common stock will not be issued upon conversion, but, in lieu thereof, we will pay a cash adjustment based on the then current market price for the common stock. (Section 1503 of the Subordinated Debt Indenture)</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case of any consolidation or merger of us (with certain exceptions) or any conveyance, transfer or lease of our properties and assets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36</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We are authorized to issue 1,500,000,000 shares of common stock, of which 618,994,325 shares were outstanding at May 21, 1999. We are also authorized to issue 10,000,000 shares of preferred stock, none of which were outstanding on that 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Dividends. Holders of common stock are entitled to receive dividends when declared by our Board of Directors. In certain cases, common stockholders may not receive dividends until we satisfy our obligations to any preferred stockholders.</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Voting Rights. Each share of common stock is entitled to one vote in the election of directors and in each other matter we may ask stockholders to vote on. Common stockholders do not have cumulative voting rights. Accordingly, the holders of a majority of shares voting for the election of directors can elect all of the directors standing for election. Because members of our Board of Directors serve staggered three-year terms, only about one third of our directors are elected each year.</w:t>
      </w:r>
    </w:p>
    <w:p>
      <w:pPr>
        <w:spacing w:after="0" w:line="176"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Fully Paid Status. All outstanding shares of our common stock are validly issued, fully paid and non-assessable. The shares offered hereby will also be, upon issuance and sale, validly issued, fully paid and non-assessable.</w:t>
      </w:r>
    </w:p>
    <w:p>
      <w:pPr>
        <w:spacing w:after="0" w:line="161"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Liquidation or Dissolution. If we liquidate, dissolve or wind up our business, whether or not voluntarily, common stockholders will share ratably in the assets remaining after we pay our creditors and any preferred stockholders.</w:t>
      </w:r>
    </w:p>
    <w:p>
      <w:pPr>
        <w:spacing w:after="0" w:line="161"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Listing. Our common stock is listed on the New York Stock Exchange under the trading symbol "WMI."</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Transfer Agent and Registrar. The transfer agent and registrar for the common stock is Harris Trust and Savings Bank, Chicago, Illinois.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DELAWARE LAW AND CERTAIN PROVISIONS OF THE RESTATED CERTIFICATE OF INCORPORATION</w:t>
      </w:r>
    </w:p>
    <w:p>
      <w:pPr>
        <w:spacing w:after="0" w:line="178"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We are a Delaware corporation and are governed by the Delaware General Corporation Law, in addition to our Restated Certificate of Incorporation and Bylaws, certain provisions of which are summarized below. You should read the actual provisions of these documents.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174" w:lineRule="exact"/>
        <w:rPr>
          <w:sz w:val="20"/>
          <w:szCs w:val="20"/>
          <w:color w:val="auto"/>
        </w:rPr>
      </w:pPr>
    </w:p>
    <w:p>
      <w:pPr>
        <w:ind w:left="620" w:right="3319" w:hanging="173"/>
        <w:spacing w:after="0" w:line="235"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date, the corporation's board of directors approved either the business combination or the transaction in which the stockholder became an Interested Stockholder; or</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175"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Section 203 defines the term "business combination" to include mergers, asset sales and other transactions resulting in a financial benefit to the Interested Stockholder.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Restated Certificate of Incorporation, may elect not to be governed by Section 203. Such an election would be effective 12 months after its adoption.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AND INDEMNIFICATION OF OFFICERS AND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Restated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16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also have entered into a contract with each of our directors and executive officers to pay the reasonable fees and expenses of his or her counsel, as well as any judgments, fines, penalties, excise taxes, amounts paid in settlement and other liabilities, which the individual may incur in any claim or proceeding (including an action on our behalf) by reason of having served us as a director, officer, agent or fiduciary. These agreements also provide for us to pay the individual's defense costs before the proceeding is over, so long as the director or officer undertakes to repay us should a court later determine that the director or officer was not entitled to indemnification.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our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38</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PLAN OF DISTRIBUTION</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We may sell the securities to or through underwriters or dealers, and we also may sell the securities directly to other purchasers or through agents.</w:t>
      </w:r>
    </w:p>
    <w:p>
      <w:pPr>
        <w:spacing w:after="0" w:line="16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distribution of the securities may be effected from time to time in one or more transactions at a fixed price or prices, which may be changed, at market prices prevailing at the time of sale, at prices related to such prevailing market prices or at negotiated prices.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the sale of the securities, underwriters may receive compensation from us, or purchasers of securities for whom they may act as agents in the form of discounts, concessions or commissions. Underwriters, dealers and agents that participate in the distribution of securities may be deemed to be underwriters, and any discounts or commissions they receive from us or the purchasers of securities, and any profit on their resale of securities may be deemed to be underwriting discounts and commissions under the Securities Act. We will identify any person deemed to be an underwriter and will describe the compensation they receive from us in a prospectus supplement.</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Debt securities, when first issued, will have no established trading market. If we sell debt securities to or through any underwriters or agents for public offering and sale, they may make a market in those debt securities. However, the underwriters or agents will not be obligated to do so and may discontinue any market making at any time without notice. There can be no assurance as to the liquidity of any market that may develop for the debt securities.</w:t>
      </w:r>
    </w:p>
    <w:p>
      <w:pPr>
        <w:spacing w:after="0" w:line="176"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We may enter into agreements with underwriters, dealers and agents who participate in the distribution of securities that could entitle them to indemnification by us against or contribution from us toward certain liabilities, including liabilities under the Securities 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DELAYED DELIVERY ARRANGEMENT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so indicated in a prospectus supplement, we will authorize underwriters or other persons acting as our agents to solicit offers by certain institutions to purchase debt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our approval.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be responsible for the validity or performance of those contracts.</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VALIDITY OF SECURITIES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validity of the securities, as well as certain tax matters in connection therewith, will be passed upon for us, and certain legal matters will be passed upon for any agents, dealers or underwrites, by counsel named in the applicable prospectus supplement.</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audited consolidated financial statements appearing in Waste Management's Annual Report on Form 10-K for the year ended December 31, 1998 incorporated by reference in this prospectus have been audited by Arthur Andersen LLP, independent public accountants, as set forth in their report. In their report, that firm states that, with respect to USA Waste Services, Inc. and Subsidiaries, its opinion is based on reports of other auditors, namely Coopers &amp; Lybrand L.L.P. The financial statements referred to above have been included herein in reliance upon the authority of those firms as experts in given said reports.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39</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The following table sets forth all expenses payable by the Company in connection with the issuance and distribution of the securities, other than underwriting discounts and commissions. All the amounts shown are estimates, except the registration fee.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Registration Fee............................................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611,600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Fees and expenses of accountants............................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Fees and expenses of legal counsel..........................</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Fees and expenses of trustee and counsel....................</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Fees of rating agencies.....................................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75,000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Printing and engraving expenses.............................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180,000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Blue Sky fees and expenses (including counsel)..............</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Miscellaneous...............................................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13,400</w:t>
            </w:r>
          </w:p>
        </w:tc>
      </w:tr>
      <w:tr>
        <w:trPr>
          <w:trHeight w:val="168"/>
        </w:trPr>
        <w:tc>
          <w:tcPr>
            <w:tcW w:w="53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$1,200,000</w:t>
            </w:r>
          </w:p>
        </w:tc>
      </w:tr>
      <w:tr>
        <w:trPr>
          <w:trHeight w:val="168"/>
        </w:trPr>
        <w:tc>
          <w:tcPr>
            <w:tcW w:w="53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Restated Certificate of Incorporation provides that the Company's directors are not liable to the Company or its stockholders for monetary damages for breach of their fiduciary duty, subject to the described exceptions specified by Delaware law.</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 provide for indemnification of each officer and director of the Company to the fullest extent permitted by Delaware law.</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145 of the Delaware General Corporation Law also empowers the Company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The Company has purchased and maintains a directors' and officers' liability policy for such purposes.</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has entered into Indemnification Agreements with each of its directors and executive officers. Such Indemnification Agreements provide that such persons (the "Indemnitees") will be indemnified and held harmless from all expenses, including (without limitation) the amount of any judgments, fines, penalties, excise taxes and amounts paid in settlement, actually incurred by an Indemnitee with respect to any threatened, pending or completed claim, action (including any action by or in the right of the Company),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Company or serving at the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40</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request of the Company as a director, officer, employee, fiduciary or representative or another enterprise. Such Indemnification Agreements also provide that the Company, if requested to do so by an Indemnitee, will advance to such Indemnitee, prior to final disposition of any proceeding, the expense actually incurred by the Indemnitee subject to the obligation of the Indemnitee to refund if it is ultimately determined that such Indemnitee was not entitled to indemnification.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documents are filed as exhibits to this Registration Statement, including those exhibits incorporated herein by reference to a prior filing of the Company under the Securities Act or the Exchange Act as indicated in parentheses:</w:t>
      </w:r>
    </w:p>
    <w:p>
      <w:pPr>
        <w:spacing w:after="0" w:line="200" w:lineRule="exact"/>
        <w:rPr>
          <w:sz w:val="20"/>
          <w:szCs w:val="20"/>
          <w:color w:val="auto"/>
        </w:rPr>
      </w:pPr>
    </w:p>
    <w:p>
      <w:pPr>
        <w:spacing w:after="0" w:line="30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EXHIBIT</w:t>
            </w:r>
          </w:p>
        </w:tc>
        <w:tc>
          <w:tcPr>
            <w:tcW w:w="5680" w:type="dxa"/>
            <w:vAlign w:val="bottom"/>
          </w:tcPr>
          <w:p>
            <w:pPr>
              <w:spacing w:after="0"/>
              <w:rPr>
                <w:sz w:val="14"/>
                <w:szCs w:val="14"/>
                <w:color w:val="auto"/>
              </w:rPr>
            </w:pPr>
          </w:p>
        </w:tc>
      </w:tr>
      <w:tr>
        <w:trPr>
          <w:trHeight w:val="168"/>
        </w:trPr>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w:t>
            </w:r>
          </w:p>
        </w:tc>
        <w:tc>
          <w:tcPr>
            <w:tcW w:w="568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EXHIBIT</w:t>
            </w:r>
          </w:p>
        </w:tc>
      </w:tr>
      <w:tr>
        <w:trPr>
          <w:trHeight w:val="168"/>
        </w:trPr>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568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w:t>
            </w:r>
          </w:p>
        </w:tc>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 Form of Underwriting Agreement (Debt Securities).</w:t>
            </w:r>
          </w:p>
        </w:tc>
      </w:tr>
      <w:tr>
        <w:trPr>
          <w:trHeight w:val="168"/>
        </w:trPr>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Form of Underwriting Agreement (Common Stock).</w:t>
            </w:r>
          </w:p>
        </w:tc>
      </w:tr>
      <w:tr>
        <w:trPr>
          <w:trHeight w:val="168"/>
        </w:trPr>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 Indenture for Senior Debt Securities dated September 10,</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1997, among the Registrant and Texas Commerce Bank</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National Association, as trustee (incorporated by</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reference to Exhibit 4.1 to the Registrant's Current</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Report on Form 8-K filed with the Commission on September</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24, 1997).</w:t>
            </w:r>
          </w:p>
        </w:tc>
      </w:tr>
      <w:tr>
        <w:trPr>
          <w:trHeight w:val="168"/>
        </w:trPr>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4.2</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Subordinated Indenture, dated as of February 1, 1997,</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among the Registrant and Texas Commerce Bank National</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Association (incorporated by reference to Exhibit 4.1 to</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 Registrant's Current Report on Form 8-K filed with</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 Commission on February 7, 1997).</w:t>
            </w:r>
          </w:p>
        </w:tc>
      </w:tr>
      <w:tr>
        <w:trPr>
          <w:trHeight w:val="168"/>
        </w:trPr>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4.3*</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Form of Debt Securities.</w:t>
            </w:r>
          </w:p>
        </w:tc>
      </w:tr>
      <w:tr>
        <w:trPr>
          <w:trHeight w:val="168"/>
        </w:trPr>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4.4</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Restated Certificate of Incorporation, as amended</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(incorporated by reference to Exhibit 3.2 of the</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Registrant's Current Report on Form 8-K dated July 16,</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4.5</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Bylaws (incorporated by reference to Exhibit 3.2 to</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Post-Effective Amendment No. 1 to the Registrant's</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Registration Statement on Form S-4 (File No. 33-60103)).</w:t>
            </w:r>
          </w:p>
        </w:tc>
      </w:tr>
      <w:tr>
        <w:trPr>
          <w:trHeight w:val="168"/>
        </w:trPr>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4.6</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Specimen Common Stock Certificate (incorporated by</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reference to Exhibit 4.1 to the Registrant's Annual</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Report on Form 10-K for the year ended December 31,</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 Opinion of Locke Liddell &amp; Sapp LLP as to the legality of</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 Securities being registered.</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12.1**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Computation of ratios of earnings to fixed charges.</w:t>
            </w:r>
          </w:p>
        </w:tc>
      </w:tr>
      <w:tr>
        <w:trPr>
          <w:trHeight w:val="168"/>
        </w:trPr>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23.1***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 Consent of Locke Liddell &amp; Sapp LLP (included in Exhibit</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23.2**</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Consent of Arthur Andersen LLP.</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23.3**</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Consent of PricewaterhouseCoopers LLP.</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24.1**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 Powers of Attorney (included on signature page herewith).</w:t>
            </w:r>
          </w:p>
        </w:tc>
      </w:tr>
      <w:tr>
        <w:trPr>
          <w:trHeight w:val="168"/>
        </w:trPr>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25.1***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Statement of Eligibility of Trustee with respect to</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Senior Debt Indenture.</w:t>
            </w:r>
          </w:p>
        </w:tc>
      </w:tr>
      <w:tr>
        <w:trPr>
          <w:trHeight w:val="168"/>
        </w:trPr>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25.2***</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Statement of Eligibility of Trustee with respect to</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Subordinated Debt Indenture.</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58" w:lineRule="auto"/>
        <w:tabs>
          <w:tab w:leader="none" w:pos="3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file any underwriting agreement relating to Debt Securities or common stock that it may enter into and any form of Debt Securities not previously so filed, as an exhibit to a Current Report on Form 8-K.</w:t>
      </w:r>
    </w:p>
    <w:p>
      <w:pPr>
        <w:spacing w:after="0" w:line="155" w:lineRule="exact"/>
        <w:rPr>
          <w:sz w:val="20"/>
          <w:szCs w:val="20"/>
          <w:color w:val="auto"/>
        </w:rPr>
      </w:pPr>
    </w:p>
    <w:p>
      <w:pPr>
        <w:ind w:left="360" w:hanging="350"/>
        <w:spacing w:after="0"/>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66" w:lineRule="exact"/>
        <w:rPr>
          <w:sz w:val="20"/>
          <w:szCs w:val="20"/>
          <w:color w:val="auto"/>
        </w:rPr>
      </w:pPr>
    </w:p>
    <w:p>
      <w:pPr>
        <w:ind w:left="800" w:hanging="353"/>
        <w:spacing w:after="0"/>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2" w:lineRule="exact"/>
        <w:rPr>
          <w:rFonts w:ascii="Courier New" w:cs="Courier New" w:eastAsia="Courier New" w:hAnsi="Courier New"/>
          <w:sz w:val="15"/>
          <w:szCs w:val="15"/>
          <w:color w:val="auto"/>
        </w:rPr>
      </w:pPr>
    </w:p>
    <w:p>
      <w:pPr>
        <w:ind w:left="440" w:right="3679" w:firstLine="444"/>
        <w:spacing w:after="0" w:line="261" w:lineRule="auto"/>
        <w:tabs>
          <w:tab w:leader="none" w:pos="1227"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700" w:right="3399" w:firstLine="447"/>
        <w:spacing w:after="0" w:line="234" w:lineRule="auto"/>
        <w:tabs>
          <w:tab w:leader="none" w:pos="1487"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w:t>
      </w:r>
    </w:p>
    <w:p>
      <w:pPr>
        <w:spacing w:after="0" w:line="173" w:lineRule="exact"/>
        <w:rPr>
          <w:rFonts w:ascii="Courier New" w:cs="Courier New" w:eastAsia="Courier New" w:hAnsi="Courier New"/>
          <w:sz w:val="15"/>
          <w:szCs w:val="15"/>
          <w:color w:val="auto"/>
        </w:rPr>
      </w:pPr>
    </w:p>
    <w:p>
      <w:pPr>
        <w:ind w:left="700" w:right="3239" w:firstLine="447"/>
        <w:spacing w:after="0" w:line="255" w:lineRule="auto"/>
        <w:tabs>
          <w:tab w:leader="none" w:pos="1575"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64" w:lineRule="exact"/>
        <w:rPr>
          <w:rFonts w:ascii="Courier New" w:cs="Courier New" w:eastAsia="Courier New" w:hAnsi="Courier New"/>
          <w:sz w:val="14"/>
          <w:szCs w:val="14"/>
          <w:color w:val="auto"/>
        </w:rPr>
      </w:pPr>
    </w:p>
    <w:p>
      <w:pPr>
        <w:ind w:left="700" w:right="3319" w:firstLine="447"/>
        <w:spacing w:after="0" w:line="235" w:lineRule="auto"/>
        <w:tabs>
          <w:tab w:leader="none" w:pos="1662"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provided, however, that paragraphs (a)(1)(i) and (a)(1)(ii) do not apply if the information required to be included in a post-effective amendment by those paragraphs is contained in periodic report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ind w:left="440" w:right="3319" w:firstLine="444"/>
        <w:spacing w:after="0" w:line="236" w:lineRule="auto"/>
        <w:tabs>
          <w:tab w:leader="none" w:pos="1227"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w:t>
      </w:r>
    </w:p>
    <w:p>
      <w:pPr>
        <w:spacing w:after="0" w:line="172" w:lineRule="exact"/>
        <w:rPr>
          <w:rFonts w:ascii="Courier New" w:cs="Courier New" w:eastAsia="Courier New" w:hAnsi="Courier New"/>
          <w:sz w:val="15"/>
          <w:szCs w:val="15"/>
          <w:color w:val="auto"/>
        </w:rPr>
      </w:pPr>
    </w:p>
    <w:p>
      <w:pPr>
        <w:ind w:left="440" w:right="3399" w:firstLine="444"/>
        <w:spacing w:after="0" w:line="254" w:lineRule="auto"/>
        <w:tabs>
          <w:tab w:leader="none" w:pos="1227"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spacing w:after="0" w:line="1" w:lineRule="exact"/>
        <w:rPr>
          <w:rFonts w:ascii="Courier New" w:cs="Courier New" w:eastAsia="Courier New" w:hAnsi="Courier New"/>
          <w:sz w:val="14"/>
          <w:szCs w:val="14"/>
          <w:color w:val="auto"/>
        </w:rPr>
      </w:pPr>
    </w:p>
    <w:p>
      <w:pPr>
        <w:ind w:left="440" w:right="33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 or 497(h) under the Securities Act shall be deemed to be part of this registration statement as of the time it was declared effective.</w:t>
      </w:r>
    </w:p>
    <w:p>
      <w:pPr>
        <w:spacing w:after="0" w:line="173" w:lineRule="exact"/>
        <w:rPr>
          <w:rFonts w:ascii="Courier New" w:cs="Courier New" w:eastAsia="Courier New" w:hAnsi="Courier New"/>
          <w:sz w:val="14"/>
          <w:szCs w:val="14"/>
          <w:color w:val="auto"/>
        </w:rPr>
      </w:pPr>
    </w:p>
    <w:p>
      <w:pPr>
        <w:ind w:left="440" w:right="3239" w:firstLine="444"/>
        <w:spacing w:after="0" w:line="256" w:lineRule="auto"/>
        <w:tabs>
          <w:tab w:leader="none" w:pos="1227"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281"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42</w:t>
      </w:r>
    </w:p>
    <w:p>
      <w:pPr>
        <w:spacing w:after="0" w:line="173" w:lineRule="exact"/>
        <w:rPr>
          <w:sz w:val="20"/>
          <w:szCs w:val="20"/>
          <w:color w:val="auto"/>
        </w:rPr>
      </w:pPr>
    </w:p>
    <w:p>
      <w:pPr>
        <w:ind w:left="-280" w:right="3239" w:firstLine="447"/>
        <w:spacing w:after="0" w:line="237" w:lineRule="auto"/>
        <w:tabs>
          <w:tab w:leader="none" w:pos="50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any charter provision, by-law, contract, arrangement, statute,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9959"/>
          </w:cols>
          <w:pgMar w:left="50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43</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4th day of June, 1999.</w:t>
      </w:r>
    </w:p>
    <w:p>
      <w:pPr>
        <w:spacing w:after="0" w:line="15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WASTE MANAGEMENT, INC.</w:t>
      </w:r>
    </w:p>
    <w:p>
      <w:pPr>
        <w:spacing w:after="0" w:line="166" w:lineRule="exact"/>
        <w:rPr>
          <w:sz w:val="20"/>
          <w:szCs w:val="20"/>
          <w:color w:val="auto"/>
        </w:rPr>
      </w:pPr>
    </w:p>
    <w:p>
      <w:pPr>
        <w:ind w:left="3860"/>
        <w:spacing w:after="0"/>
        <w:tabs>
          <w:tab w:leader="none" w:pos="46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JOHN E. DRURY</w:t>
      </w:r>
    </w:p>
    <w:p>
      <w:pPr>
        <w:ind w:left="4040"/>
        <w:spacing w:after="0" w:line="237" w:lineRule="auto"/>
        <w:rPr>
          <w:sz w:val="20"/>
          <w:szCs w:val="20"/>
          <w:color w:val="auto"/>
        </w:rPr>
      </w:pPr>
      <w:r>
        <w:rPr>
          <w:rFonts w:ascii="Courier New" w:cs="Courier New" w:eastAsia="Courier New" w:hAnsi="Courier New"/>
          <w:sz w:val="15"/>
          <w:szCs w:val="15"/>
          <w:color w:val="auto"/>
        </w:rPr>
        <w:t>----------------------------------</w:t>
      </w:r>
    </w:p>
    <w:p>
      <w:pPr>
        <w:jc w:val="center"/>
        <w:ind w:right="-720"/>
        <w:spacing w:after="0" w:line="238" w:lineRule="auto"/>
        <w:rPr>
          <w:sz w:val="20"/>
          <w:szCs w:val="20"/>
          <w:color w:val="auto"/>
        </w:rPr>
      </w:pPr>
      <w:r>
        <w:rPr>
          <w:rFonts w:ascii="Courier New" w:cs="Courier New" w:eastAsia="Courier New" w:hAnsi="Courier New"/>
          <w:sz w:val="15"/>
          <w:szCs w:val="15"/>
          <w:color w:val="auto"/>
        </w:rPr>
        <w:t>John E. Drury</w:t>
      </w:r>
    </w:p>
    <w:p>
      <w:pPr>
        <w:jc w:val="center"/>
        <w:ind w:right="-720"/>
        <w:spacing w:after="0" w:line="237" w:lineRule="auto"/>
        <w:rPr>
          <w:sz w:val="20"/>
          <w:szCs w:val="20"/>
          <w:color w:val="auto"/>
        </w:rPr>
      </w:pPr>
      <w:r>
        <w:rPr>
          <w:rFonts w:ascii="Courier New" w:cs="Courier New" w:eastAsia="Courier New" w:hAnsi="Courier New"/>
          <w:sz w:val="15"/>
          <w:szCs w:val="15"/>
          <w:color w:val="auto"/>
        </w:rPr>
        <w:t>Chairman of the Board and</w:t>
      </w:r>
    </w:p>
    <w:p>
      <w:pPr>
        <w:jc w:val="center"/>
        <w:ind w:right="-72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John E. Drury, Earl E. DeFrates and Gregory T. Sangalis and each of them, his true and lawful attorneys-in-fact and agents, with full power of substitution and resubstitution for him and in his name, place and stead, in any and all capacities, to sign, execute and file this registration statement under the Securities Act and any and all amendments (including, without limitation, post-effective amendments and any amendment or amendments or additional registration statements filed pursuant to Rule 462 under the Securities Act increasing the amount of securities for which registration is being sought) to this registration statement, and to file the same, with all exhibits thereto, and all other documents necessary or advisable to comply with the applicable state securities laws, and to file the same, together with other documents in connection therewith, with the appropriate state securities authorities,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343" w:lineRule="exact"/>
        <w:rPr>
          <w:sz w:val="20"/>
          <w:szCs w:val="20"/>
          <w:color w:val="auto"/>
        </w:rPr>
      </w:pPr>
    </w:p>
    <w:p>
      <w:pPr>
        <w:jc w:val="both"/>
        <w:ind w:right="40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indicated on the 4th day of June,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SIGNATURE</w:t>
            </w:r>
          </w:p>
        </w:tc>
        <w:tc>
          <w:tcPr>
            <w:tcW w:w="3060" w:type="dxa"/>
            <w:vAlign w:val="bottom"/>
          </w:tcPr>
          <w:p>
            <w:pPr>
              <w:ind w:left="1220"/>
              <w:spacing w:after="0"/>
              <w:rPr>
                <w:sz w:val="20"/>
                <w:szCs w:val="20"/>
                <w:color w:val="auto"/>
              </w:rPr>
            </w:pPr>
            <w:r>
              <w:rPr>
                <w:rFonts w:ascii="Courier New" w:cs="Courier New" w:eastAsia="Courier New" w:hAnsi="Courier New"/>
                <w:sz w:val="15"/>
                <w:szCs w:val="15"/>
                <w:color w:val="auto"/>
              </w:rPr>
              <w:t>TITLE</w:t>
            </w:r>
          </w:p>
        </w:tc>
        <w:tc>
          <w:tcPr>
            <w:tcW w:w="11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4"/>
              </w:rPr>
              <w:t>DATE</w:t>
            </w:r>
          </w:p>
        </w:tc>
      </w:tr>
      <w:tr>
        <w:trPr>
          <w:trHeight w:val="168"/>
        </w:trPr>
        <w:tc>
          <w:tcPr>
            <w:tcW w:w="48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30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/s/ JOHN E. DRURY</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Chairman of the Board and Chief</w:t>
            </w:r>
          </w:p>
        </w:tc>
        <w:tc>
          <w:tcPr>
            <w:tcW w:w="11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June 4,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Executive Officer (Principal</w:t>
            </w:r>
          </w:p>
        </w:tc>
        <w:tc>
          <w:tcPr>
            <w:tcW w:w="1140" w:type="dxa"/>
            <w:vAlign w:val="bottom"/>
          </w:tcPr>
          <w:p>
            <w:pPr>
              <w:spacing w:after="0"/>
              <w:rPr>
                <w:sz w:val="14"/>
                <w:szCs w:val="14"/>
                <w:color w:val="auto"/>
              </w:rPr>
            </w:pPr>
          </w:p>
        </w:tc>
      </w:tr>
      <w:tr>
        <w:trPr>
          <w:trHeight w:val="168"/>
        </w:trPr>
        <w:tc>
          <w:tcPr>
            <w:tcW w:w="48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John E. Drury</w:t>
            </w:r>
          </w:p>
        </w:tc>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1140" w:type="dxa"/>
            <w:vAlign w:val="bottom"/>
          </w:tcPr>
          <w:p>
            <w:pPr>
              <w:spacing w:after="0"/>
              <w:rPr>
                <w:sz w:val="14"/>
                <w:szCs w:val="14"/>
                <w:color w:val="auto"/>
              </w:rPr>
            </w:pPr>
          </w:p>
        </w:tc>
      </w:tr>
      <w:tr>
        <w:trPr>
          <w:trHeight w:val="336"/>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/s/ RODNEY R. PROTO</w:t>
            </w:r>
          </w:p>
        </w:tc>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President, Chief Operating Officer</w:t>
            </w:r>
          </w:p>
        </w:tc>
        <w:tc>
          <w:tcPr>
            <w:tcW w:w="11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June 4,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Director</w:t>
            </w:r>
          </w:p>
        </w:tc>
        <w:tc>
          <w:tcPr>
            <w:tcW w:w="1140" w:type="dxa"/>
            <w:vAlign w:val="bottom"/>
          </w:tcPr>
          <w:p>
            <w:pPr>
              <w:spacing w:after="0"/>
              <w:rPr>
                <w:sz w:val="14"/>
                <w:szCs w:val="14"/>
                <w:color w:val="auto"/>
              </w:rPr>
            </w:pPr>
          </w:p>
        </w:tc>
      </w:tr>
      <w:tr>
        <w:trPr>
          <w:trHeight w:val="168"/>
        </w:trPr>
        <w:tc>
          <w:tcPr>
            <w:tcW w:w="48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Rodney R. Proto</w:t>
            </w:r>
          </w:p>
        </w:tc>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8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/s/ EARL E. DEFRATES</w:t>
            </w:r>
          </w:p>
        </w:tc>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Executive Vice President and Chief</w:t>
            </w:r>
          </w:p>
        </w:tc>
        <w:tc>
          <w:tcPr>
            <w:tcW w:w="11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June 4,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Financial Officer (Principal</w:t>
            </w:r>
          </w:p>
        </w:tc>
        <w:tc>
          <w:tcPr>
            <w:tcW w:w="1140" w:type="dxa"/>
            <w:vAlign w:val="bottom"/>
          </w:tcPr>
          <w:p>
            <w:pPr>
              <w:spacing w:after="0"/>
              <w:rPr>
                <w:sz w:val="14"/>
                <w:szCs w:val="14"/>
                <w:color w:val="auto"/>
              </w:rPr>
            </w:pPr>
          </w:p>
        </w:tc>
      </w:tr>
      <w:tr>
        <w:trPr>
          <w:trHeight w:val="168"/>
        </w:trPr>
        <w:tc>
          <w:tcPr>
            <w:tcW w:w="48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Earl E. DeFrates</w:t>
            </w:r>
          </w:p>
        </w:tc>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Officer)</w:t>
            </w:r>
          </w:p>
        </w:tc>
        <w:tc>
          <w:tcPr>
            <w:tcW w:w="1140" w:type="dxa"/>
            <w:vAlign w:val="bottom"/>
          </w:tcPr>
          <w:p>
            <w:pPr>
              <w:spacing w:after="0"/>
              <w:rPr>
                <w:sz w:val="14"/>
                <w:szCs w:val="14"/>
                <w:color w:val="auto"/>
              </w:rPr>
            </w:pPr>
          </w:p>
        </w:tc>
      </w:tr>
      <w:tr>
        <w:trPr>
          <w:trHeight w:val="336"/>
        </w:trPr>
        <w:tc>
          <w:tcPr>
            <w:tcW w:w="4820" w:type="dxa"/>
            <w:vAlign w:val="bottom"/>
          </w:tcPr>
          <w:p>
            <w:pPr>
              <w:spacing w:after="0"/>
              <w:rPr>
                <w:sz w:val="24"/>
                <w:szCs w:val="24"/>
                <w:color w:val="auto"/>
              </w:rPr>
            </w:pP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Vice President and Chief</w:t>
            </w:r>
          </w:p>
        </w:tc>
        <w:tc>
          <w:tcPr>
            <w:tcW w:w="11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June 4,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Accounting Officer (Principal</w:t>
            </w:r>
          </w:p>
        </w:tc>
        <w:tc>
          <w:tcPr>
            <w:tcW w:w="1140" w:type="dxa"/>
            <w:vAlign w:val="bottom"/>
          </w:tcPr>
          <w:p>
            <w:pPr>
              <w:spacing w:after="0"/>
              <w:rPr>
                <w:sz w:val="14"/>
                <w:szCs w:val="14"/>
                <w:color w:val="auto"/>
              </w:rPr>
            </w:pPr>
          </w:p>
        </w:tc>
      </w:tr>
      <w:tr>
        <w:trPr>
          <w:trHeight w:val="168"/>
        </w:trPr>
        <w:tc>
          <w:tcPr>
            <w:tcW w:w="48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Bruce E. Snyder</w:t>
            </w:r>
          </w:p>
        </w:tc>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Accounting Officer)</w:t>
            </w:r>
          </w:p>
        </w:tc>
        <w:tc>
          <w:tcPr>
            <w:tcW w:w="1140" w:type="dxa"/>
            <w:vAlign w:val="bottom"/>
          </w:tcPr>
          <w:p>
            <w:pPr>
              <w:spacing w:after="0"/>
              <w:rPr>
                <w:sz w:val="14"/>
                <w:szCs w:val="14"/>
                <w:color w:val="auto"/>
              </w:rPr>
            </w:pPr>
          </w:p>
        </w:tc>
      </w:tr>
      <w:tr>
        <w:trPr>
          <w:trHeight w:val="336"/>
        </w:trPr>
        <w:tc>
          <w:tcPr>
            <w:tcW w:w="48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/s/ H. JESSE ARNELLE</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1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June 4, 1999</w:t>
            </w:r>
          </w:p>
        </w:tc>
      </w:tr>
    </w:tbl>
    <w:p>
      <w:pPr>
        <w:ind w:left="180" w:hanging="170"/>
        <w:spacing w:after="0" w:line="237" w:lineRule="auto"/>
        <w:tabs>
          <w:tab w:leader="none" w:pos="1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 Jesse Arnelle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39"/>
          </w:cols>
          <w:pgMar w:left="220" w:top="281"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0"/>
        </w:trPr>
        <w:tc>
          <w:tcPr>
            <w:tcW w:w="4820" w:type="dxa"/>
            <w:vAlign w:val="bottom"/>
          </w:tcPr>
          <w:p>
            <w:pPr>
              <w:jc w:val="right"/>
              <w:ind w:right="4307"/>
              <w:spacing w:after="0"/>
              <w:rPr>
                <w:sz w:val="20"/>
                <w:szCs w:val="20"/>
                <w:color w:val="auto"/>
              </w:rPr>
            </w:pPr>
            <w:r>
              <w:rPr>
                <w:rFonts w:ascii="Courier New" w:cs="Courier New" w:eastAsia="Courier New" w:hAnsi="Courier New"/>
                <w:sz w:val="15"/>
                <w:szCs w:val="15"/>
                <w:color w:val="auto"/>
              </w:rPr>
              <w:t>44</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673"/>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SIGNATURE</w:t>
            </w:r>
          </w:p>
        </w:tc>
        <w:tc>
          <w:tcPr>
            <w:tcW w:w="2400" w:type="dxa"/>
            <w:vAlign w:val="bottom"/>
          </w:tcPr>
          <w:p>
            <w:pPr>
              <w:ind w:left="1220"/>
              <w:spacing w:after="0"/>
              <w:rPr>
                <w:sz w:val="20"/>
                <w:szCs w:val="20"/>
                <w:color w:val="auto"/>
              </w:rPr>
            </w:pPr>
            <w:r>
              <w:rPr>
                <w:rFonts w:ascii="Courier New" w:cs="Courier New" w:eastAsia="Courier New" w:hAnsi="Courier New"/>
                <w:sz w:val="15"/>
                <w:szCs w:val="15"/>
                <w:color w:val="auto"/>
              </w:rPr>
              <w:t>TITLE</w:t>
            </w:r>
          </w:p>
        </w:tc>
        <w:tc>
          <w:tcPr>
            <w:tcW w:w="1800" w:type="dxa"/>
            <w:vAlign w:val="bottom"/>
          </w:tcPr>
          <w:p>
            <w:pPr>
              <w:jc w:val="center"/>
              <w:ind w:left="667"/>
              <w:spacing w:after="0"/>
              <w:rPr>
                <w:sz w:val="20"/>
                <w:szCs w:val="20"/>
                <w:color w:val="auto"/>
              </w:rPr>
            </w:pPr>
            <w:r>
              <w:rPr>
                <w:rFonts w:ascii="Courier New" w:cs="Courier New" w:eastAsia="Courier New" w:hAnsi="Courier New"/>
                <w:sz w:val="15"/>
                <w:szCs w:val="15"/>
                <w:color w:val="auto"/>
                <w:w w:val="94"/>
              </w:rPr>
              <w:t>DATE</w:t>
            </w:r>
          </w:p>
        </w:tc>
      </w:tr>
      <w:tr>
        <w:trPr>
          <w:trHeight w:val="168"/>
        </w:trPr>
        <w:tc>
          <w:tcPr>
            <w:tcW w:w="48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24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/s/ PASTORA SAN JUAN CAFFERTY</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667"/>
              <w:spacing w:after="0"/>
              <w:rPr>
                <w:sz w:val="20"/>
                <w:szCs w:val="20"/>
                <w:color w:val="auto"/>
              </w:rPr>
            </w:pPr>
            <w:r>
              <w:rPr>
                <w:rFonts w:ascii="Courier New" w:cs="Courier New" w:eastAsia="Courier New" w:hAnsi="Courier New"/>
                <w:sz w:val="15"/>
                <w:szCs w:val="15"/>
                <w:color w:val="auto"/>
                <w:w w:val="98"/>
              </w:rPr>
              <w:t>June 4,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48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Pastora San Juan Cafferty</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48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/s/ RALPH F. COX</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667"/>
              <w:spacing w:after="0"/>
              <w:rPr>
                <w:sz w:val="20"/>
                <w:szCs w:val="20"/>
                <w:color w:val="auto"/>
              </w:rPr>
            </w:pPr>
            <w:r>
              <w:rPr>
                <w:rFonts w:ascii="Courier New" w:cs="Courier New" w:eastAsia="Courier New" w:hAnsi="Courier New"/>
                <w:sz w:val="15"/>
                <w:szCs w:val="15"/>
                <w:color w:val="auto"/>
                <w:w w:val="98"/>
              </w:rPr>
              <w:t>June 4,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48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Ralph F. Cox</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482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667"/>
              <w:spacing w:after="0"/>
              <w:rPr>
                <w:sz w:val="20"/>
                <w:szCs w:val="20"/>
                <w:color w:val="auto"/>
              </w:rPr>
            </w:pPr>
            <w:r>
              <w:rPr>
                <w:rFonts w:ascii="Courier New" w:cs="Courier New" w:eastAsia="Courier New" w:hAnsi="Courier New"/>
                <w:sz w:val="15"/>
                <w:szCs w:val="15"/>
                <w:color w:val="auto"/>
                <w:w w:val="98"/>
              </w:rPr>
              <w:t>June 4,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48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Richard J. Heckmann</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48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/s/ RODERICK M. HILLS</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667"/>
              <w:spacing w:after="0"/>
              <w:rPr>
                <w:sz w:val="20"/>
                <w:szCs w:val="20"/>
                <w:color w:val="auto"/>
              </w:rPr>
            </w:pPr>
            <w:r>
              <w:rPr>
                <w:rFonts w:ascii="Courier New" w:cs="Courier New" w:eastAsia="Courier New" w:hAnsi="Courier New"/>
                <w:sz w:val="15"/>
                <w:szCs w:val="15"/>
                <w:color w:val="auto"/>
                <w:w w:val="98"/>
              </w:rPr>
              <w:t>June 4,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48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Roderick M. Hills</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48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/s/ RICHARD D. KINDER</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667"/>
              <w:spacing w:after="0"/>
              <w:rPr>
                <w:sz w:val="20"/>
                <w:szCs w:val="20"/>
                <w:color w:val="auto"/>
              </w:rPr>
            </w:pPr>
            <w:r>
              <w:rPr>
                <w:rFonts w:ascii="Courier New" w:cs="Courier New" w:eastAsia="Courier New" w:hAnsi="Courier New"/>
                <w:sz w:val="15"/>
                <w:szCs w:val="15"/>
                <w:color w:val="auto"/>
                <w:w w:val="98"/>
              </w:rPr>
              <w:t>June 4,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48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Richard D. Kinder</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48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/s/ ROBERT S. MILLER</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667"/>
              <w:spacing w:after="0"/>
              <w:rPr>
                <w:sz w:val="20"/>
                <w:szCs w:val="20"/>
                <w:color w:val="auto"/>
              </w:rPr>
            </w:pPr>
            <w:r>
              <w:rPr>
                <w:rFonts w:ascii="Courier New" w:cs="Courier New" w:eastAsia="Courier New" w:hAnsi="Courier New"/>
                <w:sz w:val="15"/>
                <w:szCs w:val="15"/>
                <w:color w:val="auto"/>
                <w:w w:val="98"/>
              </w:rPr>
              <w:t>June 4,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48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Robert S. Miller</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48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/s/ PAUL M. MONTRONE</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667"/>
              <w:spacing w:after="0"/>
              <w:rPr>
                <w:sz w:val="20"/>
                <w:szCs w:val="20"/>
                <w:color w:val="auto"/>
              </w:rPr>
            </w:pPr>
            <w:r>
              <w:rPr>
                <w:rFonts w:ascii="Courier New" w:cs="Courier New" w:eastAsia="Courier New" w:hAnsi="Courier New"/>
                <w:sz w:val="15"/>
                <w:szCs w:val="15"/>
                <w:color w:val="auto"/>
                <w:w w:val="98"/>
              </w:rPr>
              <w:t>June 4,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48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Paul M. Montrone</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482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667"/>
              <w:spacing w:after="0"/>
              <w:rPr>
                <w:sz w:val="20"/>
                <w:szCs w:val="20"/>
                <w:color w:val="auto"/>
              </w:rPr>
            </w:pPr>
            <w:r>
              <w:rPr>
                <w:rFonts w:ascii="Courier New" w:cs="Courier New" w:eastAsia="Courier New" w:hAnsi="Courier New"/>
                <w:sz w:val="15"/>
                <w:szCs w:val="15"/>
                <w:color w:val="auto"/>
                <w:w w:val="98"/>
              </w:rPr>
              <w:t>June 4,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48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John S. Pope</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/s/ STEVEN G. ROTHMEIER</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667"/>
              <w:spacing w:after="0"/>
              <w:rPr>
                <w:sz w:val="20"/>
                <w:szCs w:val="20"/>
                <w:color w:val="auto"/>
              </w:rPr>
            </w:pPr>
            <w:r>
              <w:rPr>
                <w:rFonts w:ascii="Courier New" w:cs="Courier New" w:eastAsia="Courier New" w:hAnsi="Courier New"/>
                <w:sz w:val="15"/>
                <w:szCs w:val="15"/>
                <w:color w:val="auto"/>
                <w:w w:val="98"/>
              </w:rPr>
              <w:t>June 4,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48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Steven G. Rothmeier</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48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/s/ RALPH V. WHITWORTH</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667"/>
              <w:spacing w:after="0"/>
              <w:rPr>
                <w:sz w:val="20"/>
                <w:szCs w:val="20"/>
                <w:color w:val="auto"/>
              </w:rPr>
            </w:pPr>
            <w:r>
              <w:rPr>
                <w:rFonts w:ascii="Courier New" w:cs="Courier New" w:eastAsia="Courier New" w:hAnsi="Courier New"/>
                <w:sz w:val="15"/>
                <w:szCs w:val="15"/>
                <w:color w:val="auto"/>
                <w:w w:val="98"/>
              </w:rPr>
              <w:t>June 4,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48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7"/>
              </w:rPr>
              <w:t>Ralph V. Whitworth</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482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/s/ JEROME B. YORK</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667"/>
              <w:spacing w:after="0"/>
              <w:rPr>
                <w:sz w:val="20"/>
                <w:szCs w:val="20"/>
                <w:color w:val="auto"/>
              </w:rPr>
            </w:pPr>
            <w:r>
              <w:rPr>
                <w:rFonts w:ascii="Courier New" w:cs="Courier New" w:eastAsia="Courier New" w:hAnsi="Courier New"/>
                <w:sz w:val="15"/>
                <w:szCs w:val="15"/>
                <w:color w:val="auto"/>
                <w:w w:val="98"/>
              </w:rPr>
              <w:t>June 4,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48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Jerome B. York</w:t>
            </w:r>
          </w:p>
        </w:tc>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505"/>
        </w:trPr>
        <w:tc>
          <w:tcPr>
            <w:tcW w:w="4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II-6</w:t>
            </w:r>
          </w:p>
        </w:tc>
        <w:tc>
          <w:tcPr>
            <w:tcW w:w="24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45</w:t>
      </w:r>
    </w:p>
    <w:p>
      <w:pPr>
        <w:spacing w:after="0" w:line="166"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5680" w:type="dxa"/>
            <w:vAlign w:val="bottom"/>
          </w:tcPr>
          <w:p>
            <w:pPr>
              <w:ind w:left="960"/>
              <w:spacing w:after="0"/>
              <w:rPr>
                <w:sz w:val="20"/>
                <w:szCs w:val="20"/>
                <w:color w:val="auto"/>
              </w:rPr>
            </w:pPr>
            <w:r>
              <w:rPr>
                <w:rFonts w:ascii="Courier New" w:cs="Courier New" w:eastAsia="Courier New" w:hAnsi="Courier New"/>
                <w:sz w:val="15"/>
                <w:szCs w:val="15"/>
                <w:color w:val="auto"/>
              </w:rPr>
              <w:t>INDEX TO EXHIBITS</w:t>
            </w:r>
          </w:p>
        </w:tc>
      </w:tr>
      <w:tr>
        <w:trPr>
          <w:trHeight w:val="673"/>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EXHIBIT</w:t>
            </w:r>
          </w:p>
        </w:tc>
        <w:tc>
          <w:tcPr>
            <w:tcW w:w="5680" w:type="dxa"/>
            <w:vAlign w:val="bottom"/>
          </w:tcPr>
          <w:p>
            <w:pPr>
              <w:spacing w:after="0"/>
              <w:rPr>
                <w:sz w:val="24"/>
                <w:szCs w:val="24"/>
                <w:color w:val="auto"/>
              </w:rPr>
            </w:pPr>
          </w:p>
        </w:tc>
      </w:tr>
      <w:tr>
        <w:trPr>
          <w:trHeight w:val="168"/>
        </w:trPr>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w:t>
            </w:r>
          </w:p>
        </w:tc>
        <w:tc>
          <w:tcPr>
            <w:tcW w:w="568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EXHIBIT</w:t>
            </w:r>
          </w:p>
        </w:tc>
      </w:tr>
      <w:tr>
        <w:trPr>
          <w:trHeight w:val="168"/>
        </w:trPr>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568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w:t>
            </w:r>
          </w:p>
        </w:tc>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 Form of Underwriting Agreement (Debt Securities).</w:t>
            </w:r>
          </w:p>
        </w:tc>
      </w:tr>
      <w:tr>
        <w:trPr>
          <w:trHeight w:val="168"/>
        </w:trPr>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Form of Underwriting Agreement (Common Stock).</w:t>
            </w:r>
          </w:p>
        </w:tc>
      </w:tr>
      <w:tr>
        <w:trPr>
          <w:trHeight w:val="168"/>
        </w:trPr>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 Indenture for Senior Debt Securities dated September 10,</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1997, among the Registrant and Texas Commerce Bank</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National Association, as trustee (incorporated by</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reference to Exhibit 4.1 to the Registrant's Current</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Report on Form 8-K filed with the Commission on September</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24, 1997).</w:t>
            </w:r>
          </w:p>
        </w:tc>
      </w:tr>
      <w:tr>
        <w:trPr>
          <w:trHeight w:val="168"/>
        </w:trPr>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4.2</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Subordinated Indenture, dated as of February 1, 1997,</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among the Registrant and Texas Commerce Bank National</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Association (incorporated by reference to Exhibit 4.1 to</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 Registrant's Current Report on Form 8-K filed with</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 Commission on February 7, 1997).</w:t>
            </w:r>
          </w:p>
        </w:tc>
      </w:tr>
      <w:tr>
        <w:trPr>
          <w:trHeight w:val="168"/>
        </w:trPr>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4.3*</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Form of Debt Securities.</w:t>
            </w:r>
          </w:p>
        </w:tc>
      </w:tr>
      <w:tr>
        <w:trPr>
          <w:trHeight w:val="168"/>
        </w:trPr>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4.4</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Restated Certificate of Incorporation, as amended</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(incorporated by reference to Exhibit 3.2 of the</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Registrant's Current Report on Form 8-K dated July 16,</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4.5</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Bylaws (incorporated by reference to Exhibit 3.2 to</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Post-Effective Amendment No. 1 to the Registrant's</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Registration Statement on Form S-4 (File No. 33-60103)).</w:t>
            </w:r>
          </w:p>
        </w:tc>
      </w:tr>
      <w:tr>
        <w:trPr>
          <w:trHeight w:val="168"/>
        </w:trPr>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4.6</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Specimen Common Stock Certificate (incorporated by</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reference to Exhibit 4.1 to the Registrant's Annual</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Report on Form 10-K for the year ended December 31,</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 Opinion of Locke Liddell &amp; Sapp LLP as to the legality of</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 Securities being registered.</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12.1**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Computation of ratios of earnings to fixed charges.</w:t>
            </w:r>
          </w:p>
        </w:tc>
      </w:tr>
      <w:tr>
        <w:trPr>
          <w:trHeight w:val="168"/>
        </w:trPr>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23.1***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 Consent of Locke Liddell &amp; Sapp LLP (included in Exhibit</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23.2**</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Consent of Arthur Andersen LLP.</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23.3**</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Consent of PricewaterhouseCoopers LLP.</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24.1**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 Powers of Attorney (included on signature page herewith).</w:t>
            </w:r>
          </w:p>
        </w:tc>
      </w:tr>
      <w:tr>
        <w:trPr>
          <w:trHeight w:val="168"/>
        </w:trPr>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25.1***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Statement of Eligibility of Trustee with respect to</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Senior Debt Indenture.</w:t>
            </w:r>
          </w:p>
        </w:tc>
      </w:tr>
      <w:tr>
        <w:trPr>
          <w:trHeight w:val="168"/>
        </w:trPr>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25.2***</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Statement of Eligibility of Trustee with respect to</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Subordinated Debt Indenture.</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58" w:lineRule="auto"/>
        <w:tabs>
          <w:tab w:leader="none" w:pos="3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file any underwriting agreement relating to Debt Securities or common stock that it may enter into and any form of Debt Securities not previously so filed, as an exhibit to a Current Report on Form 8-K.</w:t>
      </w:r>
    </w:p>
    <w:p>
      <w:pPr>
        <w:spacing w:after="0" w:line="155" w:lineRule="exact"/>
        <w:rPr>
          <w:sz w:val="20"/>
          <w:szCs w:val="20"/>
          <w:color w:val="auto"/>
        </w:rPr>
      </w:pPr>
    </w:p>
    <w:p>
      <w:pPr>
        <w:ind w:left="360" w:hanging="350"/>
        <w:spacing w:after="0"/>
        <w:tabs>
          <w:tab w:leader="none" w:pos="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1</w:t>
      </w:r>
    </w:p>
    <w:p>
      <w:pPr>
        <w:ind w:left="5960"/>
        <w:spacing w:after="0" w:line="237" w:lineRule="auto"/>
        <w:rPr>
          <w:sz w:val="20"/>
          <w:szCs w:val="20"/>
          <w:color w:val="auto"/>
        </w:rPr>
      </w:pPr>
      <w:r>
        <w:rPr>
          <w:rFonts w:ascii="Courier New" w:cs="Courier New" w:eastAsia="Courier New" w:hAnsi="Courier New"/>
          <w:sz w:val="15"/>
          <w:szCs w:val="15"/>
          <w:color w:val="auto"/>
        </w:rPr>
        <w:t>EXHIBIT 12.1</w:t>
      </w:r>
    </w:p>
    <w:p>
      <w:pPr>
        <w:spacing w:after="0" w:line="167"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Waste Management, Inc.</w:t>
      </w:r>
    </w:p>
    <w:p>
      <w:pPr>
        <w:ind w:left="2020"/>
        <w:spacing w:after="0" w:line="237" w:lineRule="auto"/>
        <w:rPr>
          <w:sz w:val="20"/>
          <w:szCs w:val="20"/>
          <w:color w:val="auto"/>
        </w:rPr>
      </w:pPr>
      <w:r>
        <w:rPr>
          <w:rFonts w:ascii="Courier New" w:cs="Courier New" w:eastAsia="Courier New" w:hAnsi="Courier New"/>
          <w:sz w:val="15"/>
          <w:szCs w:val="15"/>
          <w:color w:val="auto"/>
        </w:rPr>
        <w:t>Ratio of Earnings to Fixed Charges</w:t>
      </w:r>
    </w:p>
    <w:p>
      <w:pPr>
        <w:ind w:left="2200"/>
        <w:spacing w:after="0" w:line="238" w:lineRule="auto"/>
        <w:rPr>
          <w:sz w:val="20"/>
          <w:szCs w:val="20"/>
          <w:color w:val="auto"/>
        </w:rPr>
      </w:pPr>
      <w:r>
        <w:rPr>
          <w:rFonts w:ascii="Courier New" w:cs="Courier New" w:eastAsia="Courier New" w:hAnsi="Courier New"/>
          <w:sz w:val="15"/>
          <w:szCs w:val="15"/>
          <w:color w:val="auto"/>
        </w:rPr>
        <w:t>(In Thousands, Except Ratios)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w w:val="96"/>
              </w:rPr>
              <w:t>YEAR ENDED DECEMBER 31,</w:t>
            </w:r>
          </w:p>
        </w:tc>
        <w:tc>
          <w:tcPr>
            <w:tcW w:w="16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QUARTER ENDED</w:t>
            </w:r>
          </w:p>
        </w:tc>
      </w:tr>
      <w:tr>
        <w:trPr>
          <w:trHeight w:val="168"/>
        </w:trPr>
        <w:tc>
          <w:tcPr>
            <w:tcW w:w="4780" w:type="dxa"/>
            <w:vAlign w:val="bottom"/>
          </w:tcPr>
          <w:p>
            <w:pPr>
              <w:spacing w:after="0"/>
              <w:rPr>
                <w:sz w:val="14"/>
                <w:szCs w:val="14"/>
                <w:color w:val="auto"/>
              </w:rPr>
            </w:pPr>
          </w:p>
        </w:tc>
        <w:tc>
          <w:tcPr>
            <w:tcW w:w="676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1994</w:t>
            </w:r>
          </w:p>
        </w:tc>
        <w:tc>
          <w:tcPr>
            <w:tcW w:w="30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c>
          <w:tcPr>
            <w:tcW w:w="1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200" w:type="dxa"/>
            <w:vAlign w:val="bottom"/>
          </w:tcPr>
          <w:p>
            <w:pPr>
              <w:spacing w:after="0"/>
              <w:rPr>
                <w:sz w:val="14"/>
                <w:szCs w:val="14"/>
                <w:color w:val="auto"/>
              </w:rPr>
            </w:pP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16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03/31/99</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Income (loss) from continuing operations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before income taxes, undistributed earnings</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from affiliated companies, and minority interest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$ 1,178,434</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$ 1,075,158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781,365</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(609,024)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(678,919)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631,287</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Fixed charges deducted from income:</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437,946</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534,964</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525,340</w:t>
            </w:r>
          </w:p>
        </w:tc>
        <w:tc>
          <w:tcPr>
            <w:tcW w:w="2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555,576</w:t>
            </w:r>
          </w:p>
        </w:tc>
        <w:tc>
          <w:tcPr>
            <w:tcW w:w="1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681,457</w:t>
            </w: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176,157</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implicit in rents</w:t>
            </w: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61,969</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63,343</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58,949</w:t>
            </w:r>
          </w:p>
        </w:tc>
        <w:tc>
          <w:tcPr>
            <w:tcW w:w="2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58,869</w:t>
            </w:r>
          </w:p>
        </w:tc>
        <w:tc>
          <w:tcPr>
            <w:tcW w:w="1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79,108</w:t>
            </w: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19,899</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499,915</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598,307</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584,289</w:t>
            </w:r>
          </w:p>
        </w:tc>
        <w:tc>
          <w:tcPr>
            <w:tcW w:w="2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614,445</w:t>
            </w:r>
          </w:p>
        </w:tc>
        <w:tc>
          <w:tcPr>
            <w:tcW w:w="1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760,565</w:t>
            </w: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196,056</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Earnings available for fixed charges</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$ 1,678,349</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$ 1,673,465</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$ 1,365,654</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5,421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81,646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827,343</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437,946</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534,964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525,340</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555,576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681,457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176,157</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Capitalized interest</w:t>
            </w: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116,450</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57,756</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56,873</w:t>
            </w:r>
          </w:p>
        </w:tc>
        <w:tc>
          <w:tcPr>
            <w:tcW w:w="2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51,376</w:t>
            </w:r>
          </w:p>
        </w:tc>
        <w:tc>
          <w:tcPr>
            <w:tcW w:w="1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41,501</w:t>
            </w: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11,110</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implicit in rents</w:t>
            </w: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61,969</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63,343</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58,949</w:t>
            </w:r>
          </w:p>
        </w:tc>
        <w:tc>
          <w:tcPr>
            <w:tcW w:w="2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58,869</w:t>
            </w:r>
          </w:p>
        </w:tc>
        <w:tc>
          <w:tcPr>
            <w:tcW w:w="1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79,108</w:t>
            </w: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19,899</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fixed charges</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616,365</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656,063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641,162</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665,821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802,066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207,166</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780" w:type="dxa"/>
            <w:vAlign w:val="bottom"/>
          </w:tcPr>
          <w:p>
            <w:pPr>
              <w:ind w:left="620"/>
              <w:spacing w:after="0"/>
              <w:rPr>
                <w:sz w:val="20"/>
                <w:szCs w:val="20"/>
                <w:color w:val="auto"/>
              </w:rPr>
            </w:pPr>
            <w:r>
              <w:rPr>
                <w:rFonts w:ascii="Courier New" w:cs="Courier New" w:eastAsia="Courier New" w:hAnsi="Courier New"/>
                <w:sz w:val="15"/>
                <w:szCs w:val="15"/>
                <w:color w:val="auto"/>
              </w:rPr>
              <w:t>Ratio of Earnings to Fixed Charges</w:t>
            </w:r>
          </w:p>
        </w:tc>
        <w:tc>
          <w:tcPr>
            <w:tcW w:w="48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2.7x</w:t>
            </w:r>
          </w:p>
        </w:tc>
        <w:tc>
          <w:tcPr>
            <w:tcW w:w="300" w:type="dxa"/>
            <w:vAlign w:val="bottom"/>
          </w:tcPr>
          <w:p>
            <w:pPr>
              <w:spacing w:after="0"/>
              <w:rPr>
                <w:sz w:val="24"/>
                <w:szCs w:val="2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2.6x</w:t>
            </w:r>
          </w:p>
        </w:tc>
        <w:tc>
          <w:tcPr>
            <w:tcW w:w="16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2.1x</w:t>
            </w:r>
          </w:p>
        </w:tc>
        <w:tc>
          <w:tcPr>
            <w:tcW w:w="200" w:type="dxa"/>
            <w:vAlign w:val="bottom"/>
          </w:tcPr>
          <w:p>
            <w:pPr>
              <w:spacing w:after="0"/>
              <w:rPr>
                <w:sz w:val="24"/>
                <w:szCs w:val="2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N/A (1)</w:t>
            </w:r>
          </w:p>
        </w:tc>
        <w:tc>
          <w:tcPr>
            <w:tcW w:w="16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N/A (2)</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4.0x</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As adjusted:</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Income (loss) from continuing operations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before income taxes, undistributed earnings</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from affiliated companies, and minority interest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$ 1,178,434</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$ 1,075,158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781,365</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(609,024)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(678,919)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631,287</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income:</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Merger costs</w:t>
            </w: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3,782</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26,539</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126,626</w:t>
            </w:r>
          </w:p>
        </w:tc>
        <w:tc>
          <w:tcPr>
            <w:tcW w:w="2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112,748</w:t>
            </w:r>
          </w:p>
        </w:tc>
        <w:tc>
          <w:tcPr>
            <w:tcW w:w="1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1,807,245</w:t>
            </w: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33,126</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Asset impairments and unusual items</w:t>
            </w: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122,233</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394,092</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529,768</w:t>
            </w:r>
          </w:p>
        </w:tc>
        <w:tc>
          <w:tcPr>
            <w:tcW w:w="2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1,771,145</w:t>
            </w:r>
          </w:p>
        </w:tc>
        <w:tc>
          <w:tcPr>
            <w:tcW w:w="1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864,063</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126,015</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420,631</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656,394</w:t>
            </w:r>
          </w:p>
        </w:tc>
        <w:tc>
          <w:tcPr>
            <w:tcW w:w="2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1,883,893</w:t>
            </w:r>
          </w:p>
        </w:tc>
        <w:tc>
          <w:tcPr>
            <w:tcW w:w="1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2,671,308</w:t>
            </w: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33,126</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Fixed charges deducted from income:</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437,946</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534,964</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525,340</w:t>
            </w:r>
          </w:p>
        </w:tc>
        <w:tc>
          <w:tcPr>
            <w:tcW w:w="2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555,576</w:t>
            </w:r>
          </w:p>
        </w:tc>
        <w:tc>
          <w:tcPr>
            <w:tcW w:w="1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681,457</w:t>
            </w: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176,157</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implicit in rents</w:t>
            </w: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61,969</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63,343</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58,949</w:t>
            </w:r>
          </w:p>
        </w:tc>
        <w:tc>
          <w:tcPr>
            <w:tcW w:w="2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58,869</w:t>
            </w:r>
          </w:p>
        </w:tc>
        <w:tc>
          <w:tcPr>
            <w:tcW w:w="1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79,108</w:t>
            </w: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19,899</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499,915</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598,307</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584,289</w:t>
            </w:r>
          </w:p>
        </w:tc>
        <w:tc>
          <w:tcPr>
            <w:tcW w:w="2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614,445</w:t>
            </w:r>
          </w:p>
        </w:tc>
        <w:tc>
          <w:tcPr>
            <w:tcW w:w="1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760,565</w:t>
            </w: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196,056</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Earnings available for fixed charges</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$ 1,804,364</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$ 2,094,096</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$ 2,022,048</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$ 1,889,314</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$ 2,752,954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860,469</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437,946</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534,964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525,340</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555,576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681,457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176,157</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Capitalized interest</w:t>
            </w: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116,450</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57,756</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56,873</w:t>
            </w:r>
          </w:p>
        </w:tc>
        <w:tc>
          <w:tcPr>
            <w:tcW w:w="2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51,376</w:t>
            </w:r>
          </w:p>
        </w:tc>
        <w:tc>
          <w:tcPr>
            <w:tcW w:w="1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41,501</w:t>
            </w: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11,110</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implicit in rents</w:t>
            </w: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61,969</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63,343</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58,949</w:t>
            </w:r>
          </w:p>
        </w:tc>
        <w:tc>
          <w:tcPr>
            <w:tcW w:w="2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58,869</w:t>
            </w:r>
          </w:p>
        </w:tc>
        <w:tc>
          <w:tcPr>
            <w:tcW w:w="1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79,108</w:t>
            </w: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19,899</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fixed charges</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616,365</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656,063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641,162</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665,821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802,066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207,166</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Ratio of Earnings to Fixed Charges</w:t>
            </w: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2.9x</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3.2x</w:t>
            </w:r>
          </w:p>
        </w:tc>
        <w:tc>
          <w:tcPr>
            <w:tcW w:w="1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3.2x</w:t>
            </w:r>
          </w:p>
        </w:tc>
        <w:tc>
          <w:tcPr>
            <w:tcW w:w="2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2.8x</w:t>
            </w:r>
          </w:p>
        </w:tc>
        <w:tc>
          <w:tcPr>
            <w:tcW w:w="1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3.4x</w:t>
            </w: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4.2x</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w:t>
      </w:r>
    </w:p>
    <w:p>
      <w:pPr>
        <w:spacing w:after="0" w:line="173" w:lineRule="exact"/>
        <w:rPr>
          <w:sz w:val="20"/>
          <w:szCs w:val="20"/>
          <w:color w:val="auto"/>
        </w:rPr>
      </w:pPr>
    </w:p>
    <w:p>
      <w:pPr>
        <w:ind w:left="700" w:right="4620" w:hanging="690"/>
        <w:spacing w:after="0" w:line="236" w:lineRule="auto"/>
        <w:tabs>
          <w:tab w:leader="none" w:pos="7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cover fixed charges in 1997. Additional earnings of $660.4 million were necessary to cover fixed charges for this period. The earnings available for fixed charges were negatively impacted by merger costs of $112.7 million (primarily related to our merger with United Waste Systems, Inc. in August 1997), and asset impairments and unusual items of $1.8 billion. The asset impairments and unusual items primarily related to a comprehensive review performed by WM Holdings of its operating assets and investments.</w:t>
      </w:r>
    </w:p>
    <w:p>
      <w:pPr>
        <w:spacing w:after="0" w:line="177" w:lineRule="exact"/>
        <w:rPr>
          <w:rFonts w:ascii="Courier New" w:cs="Courier New" w:eastAsia="Courier New" w:hAnsi="Courier New"/>
          <w:sz w:val="15"/>
          <w:szCs w:val="15"/>
          <w:color w:val="auto"/>
        </w:rPr>
      </w:pPr>
    </w:p>
    <w:p>
      <w:pPr>
        <w:ind w:left="700" w:right="4700" w:hanging="690"/>
        <w:spacing w:after="0" w:line="255" w:lineRule="auto"/>
        <w:tabs>
          <w:tab w:leader="none" w:pos="70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were insufficient to cover fixed charges in 1998. Additional earnings of $720.4 million were necessary to cover fixed charges for this period. The earnings available for fixed charges were negatively impacted by merger costs of $1.8 billion and unusual items of $864.1 million primarily related to our mergers with WM Holdings in July 1998 and Eastern Environmental Services, Inc. in December 1998.</w:t>
      </w:r>
    </w:p>
    <w:p>
      <w:pPr>
        <w:sectPr>
          <w:pgSz w:w="11900" w:h="16838" w:orient="portrait"/>
          <w:cols w:equalWidth="0" w:num="1">
            <w:col w:w="11540"/>
          </w:cols>
          <w:pgMar w:left="220" w:top="135" w:right="139" w:bottom="151"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23.2</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of our report on Waste Management, Inc. dated February 25, 1999 included in Waste Management, Inc.'s Annual Report on Form 10-K for the year ended December 31, 1998 in this Registration Statement on Form S-3 and related Prospectus of Waste Management, Inc. and to all references to our Firm included in or incorporated by reference in this Registration Statement.</w:t>
      </w:r>
    </w:p>
    <w:p>
      <w:pPr>
        <w:spacing w:after="0" w:line="160" w:lineRule="exact"/>
        <w:rPr>
          <w:sz w:val="20"/>
          <w:szCs w:val="20"/>
          <w:color w:val="auto"/>
        </w:rPr>
      </w:pPr>
    </w:p>
    <w:p>
      <w:pPr>
        <w:jc w:val="both"/>
        <w:ind w:left="3860"/>
        <w:spacing w:after="0"/>
        <w:tabs>
          <w:tab w:leader="none" w:pos="4280" w:val="left"/>
        </w:tabs>
        <w:rPr>
          <w:sz w:val="20"/>
          <w:szCs w:val="20"/>
          <w:color w:val="auto"/>
        </w:rPr>
      </w:pPr>
      <w:r>
        <w:rPr>
          <w:rFonts w:ascii="Courier New" w:cs="Courier New" w:eastAsia="Courier New" w:hAnsi="Courier New"/>
          <w:sz w:val="15"/>
          <w:szCs w:val="15"/>
          <w:color w:val="auto"/>
        </w:rPr>
        <w:t>/s/</w:t>
        <w:tab/>
        <w:t>Arthur Andersen LLP</w:t>
      </w:r>
    </w:p>
    <w:p>
      <w:pPr>
        <w:jc w:val="right"/>
        <w:ind w:right="4279"/>
        <w:spacing w:after="0" w:line="237" w:lineRule="auto"/>
        <w:rPr>
          <w:sz w:val="20"/>
          <w:szCs w:val="20"/>
          <w:color w:val="auto"/>
        </w:rPr>
      </w:pPr>
      <w:r>
        <w:rPr>
          <w:rFonts w:ascii="Courier New" w:cs="Courier New" w:eastAsia="Courier New" w:hAnsi="Courier New"/>
          <w:sz w:val="15"/>
          <w:szCs w:val="15"/>
          <w:color w:val="auto"/>
        </w:rPr>
        <w:t>Arthur Andersen LLP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June 3, 1999</w:t>
      </w:r>
    </w:p>
    <w:p>
      <w:pPr>
        <w:sectPr>
          <w:pgSz w:w="11900" w:h="16838" w:orient="portrait"/>
          <w:cols w:equalWidth="0" w:num="1">
            <w:col w:w="10239"/>
          </w:cols>
          <w:pgMar w:left="220" w:top="135"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23.3</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S-3 relating to $3,000,000,000 of debt securities and common stock of Waste Management, Inc., of our report dated March 16, 1998, on our audits of the consolidated financial statements of USA Waste Services, Inc. as of December 31, 1997, and for the years ended December 31, 1997 and 1996, which appears in the Waste Management, Inc. Annual Report on Form 10-K, for the year ended December 31, 1998. We also consent to the reference to our firm under the caption "Experts".</w:t>
      </w:r>
    </w:p>
    <w:p>
      <w:pPr>
        <w:spacing w:after="0" w:line="17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PricewaterhouseCoopers LLP</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June 4, 1999</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lvl w:ilvl="1">
      <w:lvlJc w:val="left"/>
      <w:lvlText w:val="-"/>
      <w:numFmt w:val="bullet"/>
      <w:start w:val="1"/>
    </w:lvl>
  </w:abstractNum>
  <w:abstractNum w:abstractNumId="7">
    <w:nsid w:val="614FD4A1"/>
    <w:multiLevelType w:val="hybridMultilevel"/>
    <w:lvl w:ilvl="0">
      <w:lvlJc w:val="left"/>
      <w:lvlText w:val="(%1)"/>
      <w:numFmt w:val="decimal"/>
      <w:start w:val="713"/>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lvl w:ilvl="1">
      <w:lvlJc w:val="left"/>
      <w:lvlText w:val="--"/>
      <w:numFmt w:val="bullet"/>
      <w:start w:val="1"/>
    </w:lvl>
  </w:abstractNum>
  <w:abstractNum w:abstractNumId="18">
    <w:nsid w:val="51EAD36B"/>
    <w:multiLevelType w:val="hybridMultilevel"/>
    <w:lvl w:ilvl="0">
      <w:lvlJc w:val="left"/>
      <w:lvlText w:val="(%1)"/>
      <w:numFmt w:val="lowerRoman"/>
      <w:start w:val="2"/>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lowerRoman"/>
      <w:start w:val="2"/>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lowerLetter"/>
      <w:start w:val="2"/>
    </w:lvl>
    <w:lvl w:ilvl="1">
      <w:lvlJc w:val="left"/>
      <w:lvlText w:val="(%2)"/>
      <w:numFmt w:val="lowerRoman"/>
      <w:start w:val="1"/>
    </w:lvl>
  </w:abstractNum>
  <w:abstractNum w:abstractNumId="24">
    <w:nsid w:val="6A2342E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5">
    <w:nsid w:val="2A487CB0"/>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2"/>
    </w:lvl>
  </w:abstractNum>
  <w:abstractNum w:abstractNumId="26">
    <w:nsid w:val="1D4ED43B"/>
    <w:multiLevelType w:val="hybridMultilevel"/>
    <w:lvl w:ilvl="0">
      <w:lvlJc w:val="left"/>
      <w:lvlText w:val="(%1)"/>
      <w:numFmt w:val="decimal"/>
      <w:start w:val="4"/>
    </w:lvl>
  </w:abstractNum>
  <w:abstractNum w:abstractNumId="27">
    <w:nsid w:val="725A06FB"/>
    <w:multiLevelType w:val="hybridMultilevel"/>
    <w:lvl w:ilvl="0">
      <w:lvlJc w:val="left"/>
      <w:lvlText w:val="(%1)"/>
      <w:numFmt w:val="lowerLetter"/>
      <w:start w:val="2"/>
    </w:lvl>
  </w:abstractNum>
  <w:abstractNum w:abstractNumId="28">
    <w:nsid w:val="2CD89A32"/>
    <w:multiLevelType w:val="hybridMultilevel"/>
    <w:lvl w:ilvl="0">
      <w:lvlJc w:val="left"/>
      <w:lvlText w:val="(%1)"/>
      <w:numFmt w:val="lowerLetter"/>
      <w:start w:val="3"/>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2"/>
    </w:lvl>
  </w:abstractNum>
  <w:abstractNum w:abstractNumId="31">
    <w:nsid w:val="4B588F54"/>
    <w:multiLevelType w:val="hybridMultilevel"/>
    <w:lvl w:ilvl="0">
      <w:lvlJc w:val="left"/>
      <w:lvlText w:val="%1"/>
      <w:numFmt w:val="decimal"/>
      <w:start w:val="1"/>
    </w:lvl>
    <w:lvl w:ilvl="1">
      <w:lvlJc w:val="left"/>
      <w:lvlText w:val="(%2)"/>
      <w:numFmt w:val="upperLetter"/>
      <w:start w:val="1"/>
    </w:lvl>
  </w:abstractNum>
  <w:abstractNum w:abstractNumId="32">
    <w:nsid w:val="542289EC"/>
    <w:multiLevelType w:val="hybridMultilevel"/>
    <w:lvl w:ilvl="0">
      <w:lvlJc w:val="left"/>
      <w:lvlText w:val="(%1)"/>
      <w:numFmt w:val="decimal"/>
      <w:start w:val="2"/>
    </w:lvl>
    <w:lvl w:ilvl="1">
      <w:lvlJc w:val="left"/>
      <w:lvlText w:val="%2"/>
      <w:numFmt w:val="upperLetter"/>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lowerRoman"/>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2"/>
    </w:lvl>
  </w:abstractNum>
  <w:abstractNum w:abstractNumId="37">
    <w:nsid w:val="684A481A"/>
    <w:multiLevelType w:val="hybridMultilevel"/>
    <w:lvl w:ilvl="0">
      <w:lvlJc w:val="left"/>
      <w:lvlText w:val="%1"/>
      <w:numFmt w:val="decimal"/>
      <w:start w:val="1"/>
    </w:lvl>
    <w:lvl w:ilvl="1">
      <w:lvlJc w:val="left"/>
      <w:lvlText w:val="(%2)"/>
      <w:numFmt w:val="upperLetter"/>
      <w:start w:val="1"/>
    </w:lvl>
  </w:abstractNum>
  <w:abstractNum w:abstractNumId="38">
    <w:nsid w:val="579478FE"/>
    <w:multiLevelType w:val="hybridMultilevel"/>
    <w:lvl w:ilvl="0">
      <w:lvlJc w:val="left"/>
      <w:lvlText w:val="(%1)"/>
      <w:numFmt w:val="decimal"/>
      <w:start w:val="2"/>
    </w:lvl>
    <w:lvl w:ilvl="1">
      <w:lvlJc w:val="left"/>
      <w:lvlText w:val="%2"/>
      <w:numFmt w:val="upperLetter"/>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lowerRoman"/>
      <w:start w:val="1"/>
    </w:lvl>
  </w:abstractNum>
  <w:abstractNum w:abstractNumId="41">
    <w:nsid w:val="1BA026FA"/>
    <w:multiLevelType w:val="hybridMultilevel"/>
    <w:lvl w:ilvl="0">
      <w:lvlJc w:val="left"/>
      <w:lvlText w:val="(%1)"/>
      <w:numFmt w:val="lowerLetter"/>
      <w:start w:val="1"/>
    </w:lvl>
  </w:abstractNum>
  <w:abstractNum w:abstractNumId="42">
    <w:nsid w:val="79A1DEAA"/>
    <w:multiLevelType w:val="hybridMultilevel"/>
    <w:lvl w:ilvl="0">
      <w:lvlJc w:val="left"/>
      <w:lvlText w:val="(%1)"/>
      <w:numFmt w:val="lowerLetter"/>
      <w:start w:val="5"/>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lowerRoman"/>
      <w:start w:val="2"/>
    </w:lvl>
  </w:abstractNum>
  <w:abstractNum w:abstractNumId="45">
    <w:nsid w:val="70C6A529"/>
    <w:multiLevelType w:val="hybridMultilevel"/>
    <w:lvl w:ilvl="0">
      <w:lvlJc w:val="left"/>
      <w:lvlText w:val="(%1)"/>
      <w:numFmt w:val="lowerLetter"/>
      <w:start w:val="2"/>
    </w:lvl>
  </w:abstractNum>
  <w:abstractNum w:abstractNumId="46">
    <w:nsid w:val="520EEDD1"/>
    <w:multiLevelType w:val="hybridMultilevel"/>
    <w:lvl w:ilvl="0">
      <w:lvlJc w:val="left"/>
      <w:lvlText w:val="(%1)"/>
      <w:numFmt w:val="upperLetter"/>
      <w:start w:val="3"/>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2">
    <w:nsid w:val="39386575"/>
    <w:multiLevelType w:val="hybridMultilevel"/>
    <w:lvl w:ilvl="0">
      <w:lvlJc w:val="left"/>
      <w:lvlText w:val="%1"/>
      <w:numFmt w:val="lowerLetter"/>
      <w:start w:val="1"/>
    </w:lvl>
    <w:lvl w:ilvl="1">
      <w:lvlJc w:val="left"/>
      <w:lvlText w:val="(%2)"/>
      <w:numFmt w:val="decimal"/>
      <w:start w:val="2"/>
    </w:lvl>
  </w:abstractNum>
  <w:abstractNum w:abstractNumId="53">
    <w:nsid w:val="1CF10FD8"/>
    <w:multiLevelType w:val="hybridMultilevel"/>
    <w:lvl w:ilvl="0">
      <w:lvlJc w:val="left"/>
      <w:lvlText w:val="(%1)"/>
      <w:numFmt w:val="lowerLetter"/>
      <w:start w:val="2"/>
    </w:lvl>
    <w:lvl w:ilvl="1">
      <w:lvlJc w:val="left"/>
      <w:lvlText w:val="(%2)"/>
      <w:numFmt w:val="decimal"/>
      <w:start w:val="1"/>
    </w:lvl>
  </w:abstractNum>
  <w:abstractNum w:abstractNumId="54">
    <w:nsid w:val="180115BE"/>
    <w:multiLevelType w:val="hybridMultilevel"/>
    <w:lvl w:ilvl="0">
      <w:lvlJc w:val="left"/>
      <w:lvlText w:val="(%1)"/>
      <w:numFmt w:val="lowerLetter"/>
      <w:start w:val="4"/>
    </w:lvl>
  </w:abstractNum>
  <w:abstractNum w:abstractNumId="55">
    <w:nsid w:val="235BA861"/>
    <w:multiLevelType w:val="hybridMultilevel"/>
    <w:lvl w:ilvl="0">
      <w:lvlJc w:val="left"/>
      <w:lvlText w:val="-"/>
      <w:numFmt w:val="bullet"/>
      <w:start w:val="1"/>
    </w:lvl>
    <w:lvl w:ilvl="1">
      <w:lvlJc w:val="left"/>
      <w:lvlText w:val="%2"/>
      <w:numFmt w:val="upperLetter"/>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2020-02-22T02:31:24Z</dcterms:created>
  <dcterms:modified xsi:type="dcterms:W3CDTF">2020-02-22T02:31:24Z</dcterms:modified>
</cp:coreProperties>
</file>