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04" w:lineRule="exact"/>
        <w:rPr>
          <w:sz w:val="24"/>
          <w:szCs w:val="24"/>
          <w:color w:val="auto"/>
        </w:rPr>
      </w:pPr>
    </w:p>
    <w:p>
      <w:pPr>
        <w:ind w:left="480" w:right="120" w:hanging="337"/>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80" w:right="100" w:hanging="337"/>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48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b w:val="1"/>
                <w:bCs w:val="1"/>
                <w:color w:val="auto"/>
                <w:w w:val="89"/>
              </w:rPr>
              <w:t>73-1309529</w:t>
            </w:r>
          </w:p>
        </w:tc>
      </w:tr>
      <w:tr>
        <w:trPr>
          <w:trHeight w:val="189"/>
        </w:trPr>
        <w:tc>
          <w:tcPr>
            <w:tcW w:w="20" w:type="dxa"/>
            <w:vAlign w:val="bottom"/>
          </w:tcPr>
          <w:p>
            <w:pPr>
              <w:spacing w:after="0"/>
              <w:rPr>
                <w:sz w:val="16"/>
                <w:szCs w:val="16"/>
                <w:color w:val="auto"/>
              </w:rPr>
            </w:pPr>
          </w:p>
        </w:tc>
        <w:tc>
          <w:tcPr>
            <w:tcW w:w="3680" w:type="dxa"/>
            <w:vAlign w:val="bottom"/>
            <w:gridSpan w:val="3"/>
          </w:tcPr>
          <w:p>
            <w:pPr>
              <w:jc w:val="center"/>
              <w:ind w:left="1356"/>
              <w:spacing w:after="0" w:line="189" w:lineRule="exact"/>
              <w:rPr>
                <w:sz w:val="20"/>
                <w:szCs w:val="20"/>
                <w:color w:val="auto"/>
              </w:rPr>
            </w:pPr>
            <w:r>
              <w:rPr>
                <w:rFonts w:ascii="Arial" w:cs="Arial" w:eastAsia="Arial" w:hAnsi="Arial"/>
                <w:sz w:val="18"/>
                <w:szCs w:val="18"/>
                <w:i w:val="1"/>
                <w:iCs w:val="1"/>
                <w:color w:val="auto"/>
                <w:w w:val="94"/>
              </w:rPr>
              <w:t>(State or other jurisdiction of</w:t>
            </w:r>
          </w:p>
        </w:tc>
        <w:tc>
          <w:tcPr>
            <w:tcW w:w="2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tcPr>
          <w:p>
            <w:pPr>
              <w:jc w:val="center"/>
              <w:ind w:right="1797"/>
              <w:spacing w:after="0" w:line="189"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Arial" w:cs="Arial" w:eastAsia="Arial" w:hAnsi="Arial"/>
                <w:sz w:val="18"/>
                <w:szCs w:val="18"/>
                <w:i w:val="1"/>
                <w:iCs w:val="1"/>
                <w:color w:val="auto"/>
                <w:w w:val="95"/>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Arial" w:cs="Arial" w:eastAsia="Arial" w:hAnsi="Arial"/>
                <w:sz w:val="18"/>
                <w:szCs w:val="18"/>
                <w:i w:val="1"/>
                <w:iCs w:val="1"/>
                <w:color w:val="auto"/>
                <w:w w:val="95"/>
              </w:rPr>
              <w:t>Identification No.)</w:t>
            </w:r>
          </w:p>
        </w:tc>
      </w:tr>
      <w:tr>
        <w:trPr>
          <w:trHeight w:val="306"/>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Suite 3000</w:t>
            </w:r>
          </w:p>
        </w:tc>
        <w:tc>
          <w:tcPr>
            <w:tcW w:w="3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7"/>
              </w:rPr>
              <w:t>Houston, Texas 77002</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200" w:type="dxa"/>
            <w:vAlign w:val="bottom"/>
          </w:tcPr>
          <w:p>
            <w:pPr>
              <w:spacing w:after="0"/>
              <w:rPr>
                <w:sz w:val="20"/>
                <w:szCs w:val="20"/>
                <w:color w:val="auto"/>
              </w:rPr>
            </w:pPr>
          </w:p>
        </w:tc>
      </w:tr>
      <w:tr>
        <w:trPr>
          <w:trHeight w:val="32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Arial" w:cs="Arial" w:eastAsia="Arial" w:hAnsi="Arial"/>
                <w:sz w:val="18"/>
                <w:szCs w:val="18"/>
                <w:b w:val="1"/>
                <w:bCs w:val="1"/>
                <w:color w:val="auto"/>
                <w:w w:val="90"/>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Trading Symbol</w:t>
            </w:r>
          </w:p>
        </w:tc>
        <w:tc>
          <w:tcPr>
            <w:tcW w:w="3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color w:val="auto"/>
                <w:w w:val="94"/>
              </w:rPr>
              <w:t>New York Stock Exchange</w:t>
            </w:r>
          </w:p>
        </w:tc>
      </w:tr>
    </w:tbl>
    <w:p>
      <w:pPr>
        <w:spacing w:after="0" w:line="7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900" w:right="839" w:bottom="1440" w:gutter="0" w:footer="0" w:header="0"/>
        </w:sectPr>
      </w:pP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7320" w:space="720"/>
            <w:col w:w="2180"/>
          </w:cols>
          <w:pgMar w:left="840" w:top="900" w:right="8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October 21, 2021 was 418,316,357 (excluding treasury shares of 211,966,104).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468630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57150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91440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900" w:right="8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0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89"/>
              </w:rPr>
              <w:t>September 30,</w:t>
            </w: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04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w w:val="99"/>
              </w:rPr>
              <w:t>Accounts receivable, net of allowance for doubtful accounts of $27 and $33, respectively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2,097</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receivables, net of allowance for doubtful accounts of $8 and $7, respectively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Parts and supplies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assets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3,184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3,540</w:t>
            </w:r>
          </w:p>
        </w:tc>
        <w:tc>
          <w:tcPr>
            <w:tcW w:w="0" w:type="dxa"/>
            <w:vAlign w:val="bottom"/>
          </w:tcPr>
          <w:p>
            <w:pPr>
              <w:spacing w:after="0"/>
              <w:rPr>
                <w:sz w:val="1"/>
                <w:szCs w:val="1"/>
                <w:color w:val="auto"/>
              </w:rPr>
            </w:pPr>
          </w:p>
        </w:tc>
      </w:tr>
      <w:tr>
        <w:trPr>
          <w:trHeight w:val="185"/>
        </w:trPr>
        <w:tc>
          <w:tcPr>
            <w:tcW w:w="67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8"/>
              </w:rPr>
              <w:t>Property and equipment, net of accumulated depreciation and amortization of $20,351 and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$19,337, respectively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14,083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14,148</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8,994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Restricted trust and escrow accounts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877</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28,841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29,345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260"/>
              <w:spacing w:after="0"/>
              <w:rPr>
                <w:sz w:val="20"/>
                <w:szCs w:val="20"/>
                <w:color w:val="auto"/>
              </w:rPr>
            </w:pPr>
            <w:r>
              <w:rPr>
                <w:rFonts w:ascii="Arial" w:cs="Arial" w:eastAsia="Arial" w:hAnsi="Arial"/>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1,466</w:t>
            </w:r>
          </w:p>
        </w:tc>
        <w:tc>
          <w:tcPr>
            <w:tcW w:w="3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Deferred revenues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562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4,102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3,553</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13,259</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1,708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21,667</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21,891</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Equity:</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100"/>
              <w:spacing w:after="0"/>
              <w:rPr>
                <w:sz w:val="20"/>
                <w:szCs w:val="20"/>
                <w:color w:val="auto"/>
              </w:rPr>
            </w:pPr>
            <w:r>
              <w:rPr>
                <w:rFonts w:ascii="Arial" w:cs="Arial" w:eastAsia="Arial" w:hAnsi="Arial"/>
                <w:sz w:val="17"/>
                <w:szCs w:val="17"/>
                <w:color w:val="auto"/>
              </w:rPr>
              <w:t>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1"/>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5,111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5,129</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11,159</w:t>
            </w:r>
          </w:p>
        </w:tc>
        <w:tc>
          <w:tcPr>
            <w:tcW w:w="0" w:type="dxa"/>
            <w:vAlign w:val="bottom"/>
          </w:tcPr>
          <w:p>
            <w:pPr>
              <w:spacing w:after="0"/>
              <w:rPr>
                <w:sz w:val="1"/>
                <w:szCs w:val="1"/>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at cost, 211,996,311 and 207,480,827 shares, respectively</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(9,697)</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(8,881)</w:t>
            </w:r>
          </w:p>
        </w:tc>
        <w:tc>
          <w:tcPr>
            <w:tcW w:w="0" w:type="dxa"/>
            <w:vAlign w:val="bottom"/>
          </w:tcPr>
          <w:p>
            <w:pPr>
              <w:spacing w:after="0"/>
              <w:rPr>
                <w:sz w:val="1"/>
                <w:szCs w:val="1"/>
                <w:color w:val="auto"/>
              </w:rPr>
            </w:pPr>
          </w:p>
        </w:tc>
      </w:tr>
      <w:tr>
        <w:trPr>
          <w:trHeight w:val="196"/>
        </w:trPr>
        <w:tc>
          <w:tcPr>
            <w:tcW w:w="6740" w:type="dxa"/>
            <w:vAlign w:val="bottom"/>
          </w:tcPr>
          <w:p>
            <w:pPr>
              <w:ind w:left="320"/>
              <w:spacing w:after="0"/>
              <w:rPr>
                <w:sz w:val="20"/>
                <w:szCs w:val="20"/>
                <w:color w:val="auto"/>
              </w:rPr>
            </w:pPr>
            <w:r>
              <w:rPr>
                <w:rFonts w:ascii="Arial" w:cs="Arial" w:eastAsia="Arial" w:hAnsi="Arial"/>
                <w:sz w:val="17"/>
                <w:szCs w:val="17"/>
                <w:color w:val="auto"/>
              </w:rPr>
              <w:t>Total Waste Management, Inc. stockholders’ equity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7,172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7,452</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7,454</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28,841</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29,345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7"/>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13,253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11,151</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(Gain) loss from divestitures, asset impairments and unusual items,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11,006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0.92</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60" w:type="dxa"/>
            <w:vAlign w:val="bottom"/>
            <w:tcBorders>
              <w:bottom w:val="single" w:sz="8" w:color="auto"/>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40" w:type="dxa"/>
            <w:vAlign w:val="bottom"/>
            <w:tcBorders>
              <w:bottom w:val="single" w:sz="8" w:color="auto"/>
            </w:tcBorders>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tcPr>
          <w:p>
            <w:pPr>
              <w:spacing w:after="0"/>
              <w:rPr>
                <w:sz w:val="17"/>
                <w:szCs w:val="17"/>
                <w:color w:val="auto"/>
              </w:rPr>
            </w:pPr>
          </w:p>
        </w:tc>
        <w:tc>
          <w:tcPr>
            <w:tcW w:w="1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040" w:type="dxa"/>
            <w:vAlign w:val="bottom"/>
            <w:gridSpan w:val="16"/>
          </w:tcPr>
          <w:p>
            <w:pPr>
              <w:jc w:val="center"/>
              <w:ind w:left="7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jc w:val="center"/>
              <w:ind w:left="3330"/>
              <w:spacing w:after="0"/>
              <w:rPr>
                <w:sz w:val="20"/>
                <w:szCs w:val="20"/>
                <w:color w:val="auto"/>
              </w:rPr>
            </w:pPr>
            <w:r>
              <w:rPr>
                <w:rFonts w:ascii="Arial" w:cs="Arial" w:eastAsia="Arial" w:hAnsi="Arial"/>
                <w:sz w:val="18"/>
                <w:szCs w:val="18"/>
                <w:b w:val="1"/>
                <w:bCs w:val="1"/>
                <w:color w:val="auto"/>
                <w:w w:val="95"/>
              </w:rPr>
              <w:t>(In Millions)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Pr>
          <w:p>
            <w:pPr>
              <w:jc w:val="center"/>
              <w:ind w:left="333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7"/>
          </w:tcPr>
          <w:p>
            <w:pPr>
              <w:jc w:val="right"/>
              <w:ind w:right="2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Post-retirement benefit obligations,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Comprehensive income (loss) attributable to noncontrolling</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6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Consolidated net income</w:t>
            </w:r>
          </w:p>
        </w:tc>
        <w:tc>
          <w:tcPr>
            <w:tcW w:w="4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1,311</w:t>
            </w:r>
          </w:p>
        </w:tc>
        <w:tc>
          <w:tcPr>
            <w:tcW w:w="400" w:type="dxa"/>
            <w:vAlign w:val="bottom"/>
            <w:gridSpan w:val="2"/>
          </w:tcPr>
          <w:p>
            <w:pPr>
              <w:jc w:val="right"/>
              <w:ind w:right="8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w w:val="99"/>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1,489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income tax (benefit) expense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Interest accretion on landfill and environmental remediation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in net losses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Loss on early extinguishment of debt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operating assets and liabilities, net of effects of acquisitions and divestitures: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Deferred revenues and other liabilities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193"/>
        </w:trPr>
        <w:tc>
          <w:tcPr>
            <w:tcW w:w="6640" w:type="dxa"/>
            <w:vAlign w:val="bottom"/>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divestitures of businesses and other assets, net of cash divested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193"/>
        </w:trPr>
        <w:tc>
          <w:tcPr>
            <w:tcW w:w="664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New borrowings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Debt repayments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(7,237)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Premiums and other paid on early extinguishment of debt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Common stock repurchase program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Arial" w:cs="Arial" w:eastAsia="Arial" w:hAnsi="Arial"/>
                <w:sz w:val="16"/>
                <w:szCs w:val="16"/>
                <w:color w:val="auto"/>
              </w:rPr>
              <w:t>Exercise of common stock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 payments associated with equity-based compensation transactions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(4,244)</w:t>
            </w: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rPr>
                <w:sz w:val="20"/>
                <w:szCs w:val="20"/>
                <w:color w:val="auto"/>
              </w:rPr>
            </w:pPr>
            <w:r>
              <w:rPr>
                <w:rFonts w:ascii="Arial" w:cs="Arial" w:eastAsia="Arial" w:hAnsi="Arial"/>
                <w:sz w:val="16"/>
                <w:szCs w:val="16"/>
                <w:color w:val="auto"/>
                <w:w w:val="92"/>
              </w:rPr>
              <w:t>Effect of exchange rate changes on cash, cash equivalents and restricted cash and cash equivalents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Decrease in cash, cash equivalents and restricted cash and cash equivalents</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w w:val="94"/>
              </w:rPr>
              <w:t>Reconciliation of cash, cash equivalents and restricted cash and cash equivalents at end of period: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116</w:t>
            </w:r>
          </w:p>
        </w:tc>
        <w:tc>
          <w:tcPr>
            <w:tcW w:w="400" w:type="dxa"/>
            <w:vAlign w:val="bottom"/>
            <w:gridSpan w:val="2"/>
          </w:tcPr>
          <w:p>
            <w:pPr>
              <w:jc w:val="right"/>
              <w:ind w:right="8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 and cash equivalents included in restricted trust and escrow accounts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ind w:left="200"/>
              <w:spacing w:after="0"/>
              <w:rPr>
                <w:sz w:val="20"/>
                <w:szCs w:val="20"/>
                <w:color w:val="auto"/>
              </w:rPr>
            </w:pPr>
            <w:r>
              <w:rPr>
                <w:rFonts w:ascii="Arial" w:cs="Arial" w:eastAsia="Arial" w:hAnsi="Arial"/>
                <w:sz w:val="13"/>
                <w:szCs w:val="13"/>
                <w:b w:val="1"/>
                <w:bCs w:val="1"/>
                <w:color w:val="auto"/>
              </w:rPr>
              <w:t>Waste Management, Inc. Stockholders’ Equity</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132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w w:val="92"/>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8"/>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98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0"/>
              </w:rPr>
              <w:t>Income (Loss)</w:t>
            </w:r>
          </w:p>
        </w:tc>
        <w:tc>
          <w:tcPr>
            <w:tcW w:w="6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2"/>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Arial" w:cs="Arial" w:eastAsia="Arial" w:hAnsi="Arial"/>
                <w:sz w:val="13"/>
                <w:szCs w:val="13"/>
                <w:b w:val="1"/>
                <w:bCs w:val="1"/>
                <w:color w:val="auto"/>
              </w:rPr>
              <w:t>Interests</w:t>
            </w:r>
          </w:p>
        </w:tc>
      </w:tr>
      <w:tr>
        <w:trPr>
          <w:trHeight w:val="128"/>
        </w:trPr>
        <w:tc>
          <w:tcPr>
            <w:tcW w:w="260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28"/>
        </w:trPr>
        <w:tc>
          <w:tcPr>
            <w:tcW w:w="22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2021</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$ 7,354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5,104</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$ 11,444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(209,467)</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4"/>
              </w:rPr>
              <w:t>(9,272)</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$0.575 per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8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(241)</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(241)</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Equity-based compensation transactions,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(3,087)</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82"/>
        </w:trPr>
        <w:tc>
          <w:tcPr>
            <w:tcW w:w="260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September 30, 2021</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$ 7,174</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5,111</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$ 11,740</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(211,996)</w:t>
            </w: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(9,697)</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2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0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June 30, 2020</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$ 6,893</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5,040</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$ 10,795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(41)</w:t>
            </w:r>
          </w:p>
        </w:tc>
        <w:tc>
          <w:tcPr>
            <w:tcW w:w="6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(208,118)</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4"/>
              </w:rPr>
              <w:t>(8,909)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390</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$0.545 per</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8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(230)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0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Equity-based compensation transactions,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0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60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Balance, September 30, 2020</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$ 7,157</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5,104</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$ 10,952</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(207,695)</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(8,891)</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3260"/>
        <w:spacing w:after="0"/>
        <w:rPr>
          <w:sz w:val="20"/>
          <w:szCs w:val="20"/>
          <w:color w:val="auto"/>
        </w:rPr>
      </w:pPr>
      <w:r>
        <w:rPr>
          <w:rFonts w:ascii="Arial" w:cs="Arial" w:eastAsia="Arial" w:hAnsi="Arial"/>
          <w:sz w:val="18"/>
          <w:szCs w:val="18"/>
          <w:b w:val="1"/>
          <w:bCs w:val="1"/>
          <w:color w:val="auto"/>
        </w:rPr>
        <w:t>WASTE MANAGEMENT, INC.</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CONDENSED CONSOLIDATED STATEMENT OF CHANGES IN EQUITY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2"/>
          </w:tcPr>
          <w:p>
            <w:pPr>
              <w:jc w:val="right"/>
              <w:ind w:right="480"/>
              <w:spacing w:after="0"/>
              <w:rPr>
                <w:sz w:val="20"/>
                <w:szCs w:val="20"/>
                <w:color w:val="auto"/>
              </w:rPr>
            </w:pPr>
            <w:r>
              <w:rPr>
                <w:rFonts w:ascii="Arial" w:cs="Arial" w:eastAsia="Arial" w:hAnsi="Arial"/>
                <w:sz w:val="13"/>
                <w:szCs w:val="13"/>
                <w:b w:val="1"/>
                <w:bCs w:val="1"/>
                <w:color w:val="auto"/>
              </w:rPr>
              <w:t>Waste Management, Inc. Stockholders’ Equity</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Other</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Comprehensive</w:t>
            </w:r>
          </w:p>
        </w:tc>
        <w:tc>
          <w:tcPr>
            <w:tcW w:w="132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rPr>
              <w:t>Treasury Stock</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Noncontrolling</w:t>
            </w: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Earnings</w:t>
            </w:r>
          </w:p>
        </w:tc>
        <w:tc>
          <w:tcPr>
            <w:tcW w:w="980" w:type="dxa"/>
            <w:vAlign w:val="bottom"/>
            <w:gridSpan w:val="3"/>
          </w:tcPr>
          <w:p>
            <w:pPr>
              <w:jc w:val="center"/>
              <w:ind w:right="60"/>
              <w:spacing w:after="0" w:line="142" w:lineRule="exact"/>
              <w:rPr>
                <w:sz w:val="20"/>
                <w:szCs w:val="20"/>
                <w:color w:val="auto"/>
              </w:rPr>
            </w:pPr>
            <w:r>
              <w:rPr>
                <w:rFonts w:ascii="Arial" w:cs="Arial" w:eastAsia="Arial" w:hAnsi="Arial"/>
                <w:sz w:val="13"/>
                <w:szCs w:val="13"/>
                <w:b w:val="1"/>
                <w:bCs w:val="1"/>
                <w:color w:val="auto"/>
                <w:w w:val="90"/>
              </w:rPr>
              <w:t>Income (Loss)</w:t>
            </w:r>
          </w:p>
        </w:tc>
        <w:tc>
          <w:tcPr>
            <w:tcW w:w="7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92"/>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Arial" w:cs="Arial" w:eastAsia="Arial" w:hAnsi="Arial"/>
                <w:sz w:val="13"/>
                <w:szCs w:val="13"/>
                <w:b w:val="1"/>
                <w:bCs w:val="1"/>
                <w:color w:val="auto"/>
                <w:w w:val="99"/>
              </w:rPr>
              <w:t>Interests</w:t>
            </w:r>
          </w:p>
        </w:tc>
      </w:tr>
      <w:tr>
        <w:trPr>
          <w:trHeight w:val="128"/>
        </w:trPr>
        <w:tc>
          <w:tcPr>
            <w:tcW w:w="262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28"/>
        </w:trPr>
        <w:tc>
          <w:tcPr>
            <w:tcW w:w="21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2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7,454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5,129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$ 11,159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(207,481)</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(8,881)</w:t>
            </w:r>
          </w:p>
        </w:tc>
        <w:tc>
          <w:tcPr>
            <w:tcW w:w="1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1,311</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262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tax</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Cash dividends declared of $1.725 per</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(730)</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(730)</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w w:val="92"/>
              </w:rPr>
              <w:t>Equity-based compensation transactions, net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(1,000)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(6,472)</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82"/>
        </w:trPr>
        <w:tc>
          <w:tcPr>
            <w:tcW w:w="2620" w:type="dxa"/>
            <w:vAlign w:val="bottom"/>
            <w:tcBorders>
              <w:bottom w:val="single" w:sz="8" w:color="CCEEFF"/>
            </w:tcBorders>
            <w:gridSpan w:val="4"/>
          </w:tcPr>
          <w:p>
            <w:pPr>
              <w:ind w:left="20"/>
              <w:spacing w:after="0" w:line="142" w:lineRule="exact"/>
              <w:rPr>
                <w:sz w:val="20"/>
                <w:szCs w:val="20"/>
                <w:color w:val="auto"/>
              </w:rPr>
            </w:pPr>
            <w:r>
              <w:rPr>
                <w:rFonts w:ascii="Arial" w:cs="Arial" w:eastAsia="Arial" w:hAnsi="Arial"/>
                <w:sz w:val="14"/>
                <w:szCs w:val="14"/>
                <w:color w:val="auto"/>
              </w:rPr>
              <w:t>Balance, September 30,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7,174</w:t>
            </w:r>
          </w:p>
        </w:tc>
        <w:tc>
          <w:tcPr>
            <w:tcW w:w="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5,111</w:t>
            </w:r>
          </w:p>
        </w:tc>
        <w:tc>
          <w:tcPr>
            <w:tcW w:w="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$ 11,740</w:t>
            </w: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(211,996)</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(9,697)</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r>
      <w:tr>
        <w:trPr>
          <w:trHeight w:val="129"/>
        </w:trPr>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35"/>
        </w:trPr>
        <w:tc>
          <w:tcPr>
            <w:tcW w:w="21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42"/>
        </w:trPr>
        <w:tc>
          <w:tcPr>
            <w:tcW w:w="2620" w:type="dxa"/>
            <w:vAlign w:val="bottom"/>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7,070</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5,049</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$ 10,592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w:t>
            </w:r>
          </w:p>
        </w:tc>
        <w:tc>
          <w:tcPr>
            <w:tcW w:w="7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(205,956)</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(8,571)</w:t>
            </w:r>
          </w:p>
        </w:tc>
        <w:tc>
          <w:tcPr>
            <w:tcW w:w="1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Adoption of new accounting standard</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income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tcPr>
          <w:p>
            <w:pPr>
              <w:ind w:left="20"/>
              <w:spacing w:after="0" w:line="130" w:lineRule="exact"/>
              <w:rPr>
                <w:sz w:val="20"/>
                <w:szCs w:val="20"/>
                <w:color w:val="auto"/>
              </w:rPr>
            </w:pPr>
            <w:r>
              <w:rPr>
                <w:rFonts w:ascii="Arial" w:cs="Arial" w:eastAsia="Arial" w:hAnsi="Arial"/>
                <w:sz w:val="14"/>
                <w:szCs w:val="14"/>
                <w:color w:val="auto"/>
                <w:w w:val="97"/>
              </w:rPr>
              <w:t>Other comprehensive income (loss), net of</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00" w:type="dxa"/>
            <w:vAlign w:val="bottom"/>
            <w:gridSpan w:val="3"/>
          </w:tcPr>
          <w:p>
            <w:pPr>
              <w:ind w:left="120"/>
              <w:spacing w:after="0"/>
              <w:rPr>
                <w:sz w:val="20"/>
                <w:szCs w:val="20"/>
                <w:color w:val="auto"/>
              </w:rPr>
            </w:pPr>
            <w:r>
              <w:rPr>
                <w:rFonts w:ascii="Arial" w:cs="Arial" w:eastAsia="Arial" w:hAnsi="Arial"/>
                <w:sz w:val="14"/>
                <w:szCs w:val="14"/>
                <w:color w:val="auto"/>
              </w:rPr>
              <w:t>tax</w:t>
            </w:r>
          </w:p>
        </w:tc>
        <w:tc>
          <w:tcPr>
            <w:tcW w:w="1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620" w:type="dxa"/>
            <w:vAlign w:val="bottom"/>
            <w:gridSpan w:val="4"/>
            <w:shd w:val="clear" w:color="auto" w:fill="CCEEFF"/>
          </w:tcPr>
          <w:p>
            <w:pPr>
              <w:ind w:left="20"/>
              <w:spacing w:after="0" w:line="130" w:lineRule="exact"/>
              <w:rPr>
                <w:sz w:val="20"/>
                <w:szCs w:val="20"/>
                <w:color w:val="auto"/>
              </w:rPr>
            </w:pPr>
            <w:r>
              <w:rPr>
                <w:rFonts w:ascii="Arial" w:cs="Arial" w:eastAsia="Arial" w:hAnsi="Arial"/>
                <w:sz w:val="14"/>
                <w:szCs w:val="14"/>
                <w:color w:val="auto"/>
              </w:rPr>
              <w:t>Cash dividends declared of $1.635 per</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common share</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2"/>
              </w:rPr>
              <w:t>Equity-based compensation transactions, net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repurchase program</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(3,687)</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(402)</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6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Other, net</w:t>
            </w:r>
          </w:p>
        </w:tc>
        <w:tc>
          <w:tcPr>
            <w:tcW w:w="10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62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September 30,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7,157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$ 10,952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(207,695)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(8,891)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we are also a leading developer, operator and owner of landfill gas-to-energy facilities in the U.S.</w:t>
      </w:r>
    </w:p>
    <w:p>
      <w:pPr>
        <w:spacing w:after="0" w:line="17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Areas. In the second quarter of 2021, we combined our Eastern and Western Canada Areas reducing the number of Areas we manage from 17 to 16. On October 30, 2020, we acquired Advanced Disposal Services, Inc. (“Advanced Disposal”), the operations of which are presented in this report within our existing Solid Waste tiers. We also provide additional services that are not managed through our Solid Waste business, which are presented in this report as “Other.” Additional information related to our segments and our acquisition of Advanced Disposal is included in Notes 7 and 8, respectively.</w:t>
      </w:r>
    </w:p>
    <w:p>
      <w:pPr>
        <w:spacing w:after="0" w:line="16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Condensed Consolidated Financial Statements as of September 30, 2021 and for the three and nine months ended September 30, 2021 and 2020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2020.</w:t>
      </w:r>
    </w:p>
    <w:p>
      <w:pPr>
        <w:spacing w:after="0" w:line="17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the fair value of assets and liabilities acquired in business combinations or asset acquisitions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revenues and recognized as revenue in the period service is provided. Substantially all our deferred revenues during the reported periods are realized as revenues within one to three months when the related services are performed.</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As of September 30, 2021 and December 31, 2020, we had $172 million and $159 million, respectively, of deferred contract costs, of which $122 million and $118 million, respectively, were related to deferred sales incentives. During each of the three- and nine-month periods ended September 30, 2021 and 2020, we amortized $6 million and $17 million, respectively, of sales incentives to selling, general and administrative expense.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Amounts for our operating lease right-of-use assets are recorded in long-term other assets in our Condensed Consolidated Balance Sheets. The current and long-term portion of our operating lease liabilities are reflected in accrued liabilities and other long-term liabilities, respectively, in our Condensed Consolidated Balance Sheets. Right-of-use assets obtained in exchange for lease obligations for our operating leases for the nine months ended September 30, 2021 and 2020 were $57 million and $80 million, respectively. Amounts for our financing leases are recorded in property and equipment, net of accumulated depreciation, and current or long-term debt in our Condensed Consolidated Balance Sheets, as appropriate.</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Financial instruments that potentially subject us to concentrations of credit risk consist primarily of cash and cash equivalents, investments held within our restricted trust and escrow accounts,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When necessary, reclassifications have been made to our prior period financial information to conform to the current year presentation and are not material to our consolidated financial statements. Our prior year accumulated depreciation and gross property and equipment balances as of December 31, 2020 were overstated and subsequently corrected in our Quarterly Report on Form 10-Q for the quarter ended March 31, 2021.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22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6"/>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The changes to landfill and environmental remediation liabilities for the nine months ended September 30, 2021 are reflected in the table below (in millions):</w:t>
      </w:r>
    </w:p>
    <w:tbl>
      <w:tblPr>
        <w:tblLayout w:type="fixed"/>
        <w:tblInd w:w="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2"/>
                <w:szCs w:val="12"/>
                <w:color w:val="auto"/>
              </w:rPr>
            </w:pP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 (b)</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$15 million due to a business decision to accelerate the closure timing of a landfill in our Tier 3 segment, which resulted in the acceleration of the expected timing of capping, closure and post-closure activities.</w:t>
      </w:r>
    </w:p>
    <w:p>
      <w:pPr>
        <w:spacing w:after="0" w:line="7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reported for our landfill liabilities includes an increase of $13 million related to changes in the preliminary fair values assigned to certain acquired Advanced Disposal sites.</w:t>
      </w:r>
    </w:p>
    <w:p>
      <w:pPr>
        <w:spacing w:after="0" w:line="6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September 30, 2021:</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r>
      <w:tr>
        <w:trPr>
          <w:trHeight w:val="182"/>
        </w:trPr>
        <w:tc>
          <w:tcPr>
            <w:tcW w:w="20" w:type="dxa"/>
            <w:vAlign w:val="bottom"/>
          </w:tcPr>
          <w:p>
            <w:pPr>
              <w:spacing w:after="0"/>
              <w:rPr>
                <w:sz w:val="15"/>
                <w:szCs w:val="15"/>
                <w:color w:val="auto"/>
              </w:rPr>
            </w:pPr>
          </w:p>
        </w:tc>
        <w:tc>
          <w:tcPr>
            <w:tcW w:w="68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Commercial paper program (weighted average interest rate of 0.3% as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September 30, 2021 and 0.4% as of December 31, 2020)</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w w:val="93"/>
              </w:rPr>
              <w:t>Senior notes, maturing through 2050, interest rates ranging from 0.75% to 7.75% (weighted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w w:val="90"/>
              </w:rPr>
              <w:t>average interest rate of 3.1% as of September 30, 2021 and 3.3% as of December 31, 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8,465</w:t>
            </w: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Canadian senior notes, C$500 million maturing September 2026, interest rate of 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2"/>
        </w:trPr>
        <w:tc>
          <w:tcPr>
            <w:tcW w:w="20" w:type="dxa"/>
            <w:vAlign w:val="bottom"/>
          </w:tcPr>
          <w:p>
            <w:pPr>
              <w:spacing w:after="0"/>
              <w:rPr>
                <w:sz w:val="17"/>
                <w:szCs w:val="17"/>
                <w:color w:val="auto"/>
              </w:rPr>
            </w:pPr>
          </w:p>
        </w:tc>
        <w:tc>
          <w:tcPr>
            <w:tcW w:w="6800" w:type="dxa"/>
            <w:vAlign w:val="bottom"/>
            <w:gridSpan w:val="2"/>
          </w:tcPr>
          <w:p>
            <w:pPr>
              <w:spacing w:after="0" w:line="201" w:lineRule="exact"/>
              <w:rPr>
                <w:sz w:val="20"/>
                <w:szCs w:val="20"/>
                <w:color w:val="auto"/>
              </w:rPr>
            </w:pPr>
            <w:r>
              <w:rPr>
                <w:rFonts w:ascii="Arial" w:cs="Arial" w:eastAsia="Arial" w:hAnsi="Arial"/>
                <w:sz w:val="18"/>
                <w:szCs w:val="18"/>
                <w:color w:val="auto"/>
                <w:w w:val="95"/>
              </w:rPr>
              <w:t>Tax-exempt bonds, maturing through 2048, fixed and variable interest rates ranging from</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w w:val="92"/>
              </w:rPr>
              <w:t>0.1% to 4.3% (weighted average interest rate of 1.5% as of September 30, 2021 and 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120"/>
              <w:spacing w:after="0"/>
              <w:rPr>
                <w:sz w:val="20"/>
                <w:szCs w:val="20"/>
                <w:color w:val="auto"/>
              </w:rPr>
            </w:pPr>
            <w:r>
              <w:rPr>
                <w:rFonts w:ascii="Arial" w:cs="Arial" w:eastAsia="Arial" w:hAnsi="Arial"/>
                <w:sz w:val="18"/>
                <w:szCs w:val="18"/>
                <w:color w:val="auto"/>
              </w:rPr>
              <w:t>as of December 31, 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02"/>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Financing leases and other, maturing through 2085, weighted average interest rate of 4.7% as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September 30, 2021 and 4.6% as of December 31, 2020 (a)</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 discounts and other</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r>
      <w:tr>
        <w:trPr>
          <w:trHeight w:val="209"/>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Excluding our landfill financing leases, the maturities of our financing leases and other debt obligations extend through 2059</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September 30, 2021, we had $2.8 billion of debt maturing within the next 12 months, including (i) $1.4 billion of short-term borrowings under our commercial paper program (net of related discount on issuance); (ii) $745 million of tax-exempt bonds with term interest rate periods that expire within the next 12 months, which is prior to their scheduled maturities; (iii) $500 million of 2.90% senior notes that mature in September 2022 and (iv) $168 million of other debt with scheduled maturities within the next 12 months, including $64 million of tax-exempt bonds. As of September 30, 2021, we have classified $2.2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$601 million of debt maturing in the next 12 months is classified as current obligations.</w:t>
      </w:r>
    </w:p>
    <w:p>
      <w:pPr>
        <w:spacing w:after="0" w:line="16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As of September 30, 2021, we also had $54 million of variable-rate tax-exempt bonds with long-term scheduled maturities supported by letters of credit under our $3.5 billion revolving credit facility. The interest rates on our variable-rate tax-exempt bonds reset on a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$3.5 billion revolving credit facility to fund these bonds until they are remarketed successfully. Accordingly, we have classified the $54 million of variable-rate tax-exempt bonds with maturities of more than one year as long-term in our Condensed Consolidated Balance Sheet as of September 30, 2021.</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$3.5 Billion Revolving Credit Facility — </w:t>
      </w:r>
      <w:r>
        <w:rPr>
          <w:rFonts w:ascii="Arial" w:cs="Arial" w:eastAsia="Arial" w:hAnsi="Arial"/>
          <w:sz w:val="18"/>
          <w:szCs w:val="18"/>
          <w:color w:val="auto"/>
        </w:rPr>
        <w:t>Our $3.5 billion revolving credit facility, maturing November 2024,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us with credit capacity to be used for cash borrowings, to support letters of credit and to support our commercial paper program. The rates we pay for outstanding U.S. or Canadian loans are generally based on LIBOR or CDOR, respectively, plus a spread depending on the Company’s debt rating assigned by Moody’s Investors Service and Standard and Poor’s. As of September 30, 2021, we had no outstanding borrowings under this facility. We had $167 million of letters of credit issued and $1.4 billion of outstanding borrowings (net of related discount on issuance) under our commercial paper program, both supported by the facility, leaving unused and available credit capacity of $1.9 billion as of September 30, 2021. WM Holdings, a wholly-owned subsidiary of WM, guarantees all of the obligations under the $3.5 billion revolving credit facility.</w:t>
      </w:r>
    </w:p>
    <w:p>
      <w:pPr>
        <w:spacing w:after="0" w:line="19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Commercial Paper Program </w:t>
      </w:r>
      <w:r>
        <w:rPr>
          <w:rFonts w:ascii="Arial" w:cs="Arial" w:eastAsia="Arial" w:hAnsi="Arial"/>
          <w:sz w:val="16"/>
          <w:szCs w:val="16"/>
          <w:color w:val="auto"/>
        </w:rPr>
        <w:t>— We have a commercial paper program that enables us to borrow funds for up to 397</w:t>
      </w:r>
      <w:r>
        <w:rPr>
          <w:rFonts w:ascii="Arial" w:cs="Arial" w:eastAsia="Arial" w:hAnsi="Arial"/>
          <w:sz w:val="16"/>
          <w:szCs w:val="16"/>
          <w:i w:val="1"/>
          <w:iCs w:val="1"/>
          <w:color w:val="auto"/>
        </w:rPr>
        <w:t xml:space="preserve"> </w:t>
      </w:r>
      <w:r>
        <w:rPr>
          <w:rFonts w:ascii="Arial" w:cs="Arial" w:eastAsia="Arial" w:hAnsi="Arial"/>
          <w:sz w:val="16"/>
          <w:szCs w:val="16"/>
          <w:color w:val="auto"/>
        </w:rPr>
        <w:t>days at competitive interest rates. The rates we pay for outstanding borrowings are based on the term of the notes. The commercial paper program is fully supported by our $3.5 billion revolving credit facility. As of September 30, 2021, we had $1.4 billion of outstanding borrowings (net of related discount on issuance) under our commercial paper program.</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Lines — </w:t>
      </w:r>
      <w:r>
        <w:rPr>
          <w:rFonts w:ascii="Arial" w:cs="Arial" w:eastAsia="Arial" w:hAnsi="Arial"/>
          <w:sz w:val="18"/>
          <w:szCs w:val="18"/>
          <w:color w:val="auto"/>
        </w:rPr>
        <w:t>As of September 30, 2021, we had utilized $720 million of other uncommitted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lines with terms maturing through April 2023.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Commercial Paper Program </w:t>
      </w:r>
      <w:r>
        <w:rPr>
          <w:rFonts w:ascii="Arial" w:cs="Arial" w:eastAsia="Arial" w:hAnsi="Arial"/>
          <w:sz w:val="17"/>
          <w:szCs w:val="17"/>
          <w:color w:val="auto"/>
        </w:rPr>
        <w:t>— During the nine months ended September 30, 2021, we made cash repayments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$5.8 billion, which were partially offset by $5.4 billion of cash borrowings (net of related discount on issuance).</w:t>
      </w:r>
    </w:p>
    <w:p>
      <w:pPr>
        <w:spacing w:after="0" w:line="146" w:lineRule="exact"/>
        <w:rPr>
          <w:sz w:val="20"/>
          <w:szCs w:val="20"/>
          <w:color w:val="auto"/>
        </w:rPr>
      </w:pPr>
    </w:p>
    <w:p>
      <w:pPr>
        <w:jc w:val="both"/>
        <w:ind w:left="60" w:right="59" w:firstLine="324"/>
        <w:spacing w:after="0" w:line="241"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In May 2021, WM issued $950 million of senior notes consisting of $475 million of 2.00%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June 1, 2029 and $475 million of 2.95% senior notes due June 1, 2041. The net proceeds from these debt issuances were $942 million, all of which were used, along with available cash on hand, to retire $1.3 billion of certain high-coupon senior notes. The cash paid included the principal amount of the debt retired, $211 million of related premiums and other third-party costs, and $15 million of accrued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76" w:lineRule="auto"/>
        <w:rPr>
          <w:sz w:val="20"/>
          <w:szCs w:val="20"/>
          <w:color w:val="auto"/>
        </w:rPr>
      </w:pPr>
      <w:r>
        <w:rPr>
          <w:rFonts w:ascii="Arial" w:cs="Arial" w:eastAsia="Arial" w:hAnsi="Arial"/>
          <w:sz w:val="16"/>
          <w:szCs w:val="16"/>
          <w:color w:val="auto"/>
        </w:rPr>
        <w:t>During the second quarter of 2021, we recognized a $220 million loss on early extinguishment of debt in our Condensed Consolidated Statement of Operations related to the tender offer, including $211 million of premiums and other third-party costs and $9 million primarily related to unamortized discounts and debt issuance costs. We also recognized $6 million of charges to interest expense for the write-off of cash flow hedges associated with the tendered notes, which was previously being amortized to interest expense through the notes’ stated maturities. The following table summarizes the principal amount of senior notes redeemed within each series in order of acceptance priority level (in millions):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4"/>
                <w:szCs w:val="14"/>
                <w:color w:val="auto"/>
              </w:rPr>
            </w:pPr>
          </w:p>
        </w:tc>
        <w:tc>
          <w:tcPr>
            <w:tcW w:w="14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Notes Tendered</w:t>
            </w:r>
          </w:p>
        </w:tc>
        <w:tc>
          <w:tcPr>
            <w:tcW w:w="0" w:type="dxa"/>
            <w:vAlign w:val="bottom"/>
          </w:tcPr>
          <w:p>
            <w:pPr>
              <w:spacing w:after="0"/>
              <w:rPr>
                <w:sz w:val="1"/>
                <w:szCs w:val="1"/>
                <w:color w:val="auto"/>
              </w:rPr>
            </w:pPr>
          </w:p>
        </w:tc>
      </w:tr>
      <w:tr>
        <w:trPr>
          <w:trHeight w:val="148"/>
        </w:trPr>
        <w:tc>
          <w:tcPr>
            <w:tcW w:w="5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Prior to Tender</w:t>
            </w:r>
          </w:p>
        </w:tc>
        <w:tc>
          <w:tcPr>
            <w:tcW w:w="240" w:type="dxa"/>
            <w:vAlign w:val="bottom"/>
          </w:tcPr>
          <w:p>
            <w:pPr>
              <w:spacing w:after="0"/>
              <w:rPr>
                <w:sz w:val="14"/>
                <w:szCs w:val="14"/>
                <w:color w:val="auto"/>
              </w:rPr>
            </w:pPr>
          </w:p>
        </w:tc>
        <w:tc>
          <w:tcPr>
            <w:tcW w:w="1480" w:type="dxa"/>
            <w:vAlign w:val="bottom"/>
          </w:tcPr>
          <w:p>
            <w:pPr>
              <w:jc w:val="right"/>
              <w:ind w:right="312"/>
              <w:spacing w:after="0"/>
              <w:rPr>
                <w:sz w:val="20"/>
                <w:szCs w:val="20"/>
                <w:color w:val="auto"/>
              </w:rPr>
            </w:pPr>
            <w:r>
              <w:rPr>
                <w:rFonts w:ascii="Arial" w:cs="Arial" w:eastAsia="Arial" w:hAnsi="Arial"/>
                <w:sz w:val="14"/>
                <w:szCs w:val="14"/>
                <w:b w:val="1"/>
                <w:bCs w:val="1"/>
                <w:color w:val="auto"/>
              </w:rPr>
              <w:t>and Redeemed</w:t>
            </w: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6.125% WM senior notes due 2039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7.75%</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senior notes due 2032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7.375% WM senior notes due 2029</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4.15%</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senior notes due 2049</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4.10%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senior notes due 2045</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3.90%</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senior notes due 2035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7.00%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senior notes due 2028</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00" w:type="dxa"/>
            <w:vAlign w:val="bottom"/>
          </w:tcPr>
          <w:p>
            <w:pPr>
              <w:ind w:left="20"/>
              <w:spacing w:after="0"/>
              <w:rPr>
                <w:sz w:val="20"/>
                <w:szCs w:val="20"/>
                <w:color w:val="auto"/>
              </w:rPr>
            </w:pPr>
            <w:r>
              <w:rPr>
                <w:rFonts w:ascii="Arial" w:cs="Arial" w:eastAsia="Arial" w:hAnsi="Arial"/>
                <w:sz w:val="18"/>
                <w:szCs w:val="18"/>
                <w:color w:val="auto"/>
                <w:w w:val="90"/>
              </w:rPr>
              <w:t>7.10%</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WM Holdings senior notes due 2026</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3.50%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WM senior notes due 2024</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3.125% WM senior notes due 2025</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3.15% WM senior notes due 2027</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2.90% WM senior notes due 2022</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2.40% WM senior notes due 2023</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59" w:firstLine="324"/>
        <w:spacing w:after="0" w:line="262" w:lineRule="auto"/>
        <w:rPr>
          <w:sz w:val="20"/>
          <w:szCs w:val="20"/>
          <w:color w:val="auto"/>
        </w:rPr>
      </w:pPr>
      <w:r>
        <w:rPr>
          <w:rFonts w:ascii="Arial" w:cs="Arial" w:eastAsia="Arial" w:hAnsi="Arial"/>
          <w:sz w:val="17"/>
          <w:szCs w:val="17"/>
          <w:color w:val="auto"/>
        </w:rPr>
        <w:t>In conjunction with the tender offer, we entered into a reverse Treasury rate lock with a total notional value of $450 million to hedge our interest rate exposure. We did not designate the reverse Treasury rate lock as a cash flow hedge. Upon completion of the tender offer, we terminated the reverse Treasury rate lock and paid $8 million in cash. The related loss is included in other, net in the Condensed Consolidated Statement of Operations.</w:t>
      </w:r>
    </w:p>
    <w:p>
      <w:pPr>
        <w:spacing w:after="0" w:line="15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Tax-Exempt Bonds </w:t>
      </w:r>
      <w:r>
        <w:rPr>
          <w:rFonts w:ascii="Arial" w:cs="Arial" w:eastAsia="Arial" w:hAnsi="Arial"/>
          <w:sz w:val="17"/>
          <w:szCs w:val="17"/>
          <w:color w:val="auto"/>
        </w:rPr>
        <w:t>— We issued $125 million of new tax-exempt bonds in 2021. The proceeds from the issuance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bonds were deposited directly into a restricted trust fund and may only be used for the specific purpose for which the money was raised, which is generally to finance expenditures for solid waste disposal facility and material recovery facility construction and development. Additionally, during the nine months ended September 30, 2021, we repaid $63 million of our tax-exempt bonds with available cash at their scheduled maturities.</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Financing Leases and Other </w:t>
      </w:r>
      <w:r>
        <w:rPr>
          <w:rFonts w:ascii="Arial" w:cs="Arial" w:eastAsia="Arial" w:hAnsi="Arial"/>
          <w:sz w:val="18"/>
          <w:szCs w:val="18"/>
          <w:color w:val="auto"/>
        </w:rPr>
        <w:t>— The decrease during the nine months ended September 30, 2021 is due to $87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repayments of debt at maturity, partially offset by an increase of $30 million primarily associated with non-cash financing leases.</w:t>
      </w:r>
    </w:p>
    <w:p>
      <w:pPr>
        <w:spacing w:after="0" w:line="180" w:lineRule="exact"/>
        <w:rPr>
          <w:sz w:val="20"/>
          <w:szCs w:val="20"/>
          <w:color w:val="auto"/>
        </w:rPr>
      </w:pPr>
    </w:p>
    <w:p>
      <w:pPr>
        <w:ind w:left="360" w:hanging="310"/>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effective income tax rate was 23.7% and 23.2% for the three and nine months ended September 30, 2021, respectively, compared with 24.5% and 21.4% for the three and nine months ended September 30, 2020, respectively.</w:t>
      </w:r>
    </w:p>
    <w:p>
      <w:pPr>
        <w:spacing w:after="0" w:line="12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decrease in our effective income tax rate when comparing the three months ended September 30, 2021 with the prior year period was due to the detrimental impact of non-deductible transaction costs incurred during the prior year period related to our acquisition of Advanced Disposal which did not reoccur in the current period. The decrease was partially offset by a net nominal increase in our effective income tax rate during the current year period resulting from a pre-tax gain from the recognition of cumulative translation adjustments on the divestiture of certain non-strategic Canadian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operations in 2021 which was not taxable and unfavorable adjustments to accruals and related deferred taxes primarily due to a change from our initial expectations of the tax effects of the Advanced Disposal acquisition and related divestitures.</w:t>
      </w:r>
    </w:p>
    <w:p>
      <w:pPr>
        <w:spacing w:after="0" w:line="12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increase in our effective income tax rate for the nine-month period ended September 30, 2021 as compared with the prior year period was due to (i) lower federal tax credits in 2021; (ii) unfavorable adjustments to accruals and related deferred taxes discussed above and (iii) a decrease in excess tax benefits associated with equity-based compensation in the current year period, partially offset by a pre-tax gain from the recognition of cumulative translation adjustments on the divestiture of certain non-strategic Canadian operations in 2021 which was not taxable. In addition, our effective income tax rate in 2020 included the detrimental impact of non-deductible transaction costs related to closing the acquisition of Advanced Disposal in 2020.</w:t>
      </w:r>
    </w:p>
    <w:p>
      <w:pPr>
        <w:spacing w:after="0" w:line="19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These items are discussed further below. We evaluate our effective income tax rate at each interim period and adjust it as facts and circumstances warrant.</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Investments Qualifying for Federal Tax Credits </w:t>
      </w:r>
      <w:r>
        <w:rPr>
          <w:rFonts w:ascii="Arial" w:cs="Arial" w:eastAsia="Arial" w:hAnsi="Arial"/>
          <w:sz w:val="18"/>
          <w:szCs w:val="18"/>
          <w:color w:val="auto"/>
        </w:rPr>
        <w:t>— We have significant financial interests in entities established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and manage low-income housing properties. We support the operations of these entities in exchange for a pro-rata share of the tax credits they generate. The low-income housing investments qualify for federal tax credits that we expect to realize through 2030 under Section 42 or Section 45D of the Internal Revenue Code. We also held a residual financial interest in an entity that owned a refined coal facility that qualified for federal tax credits under Section 45 of the Internal Revenue Code through 2019. The entity sold the majority of its assets in the first quarter of 2020, which resulted in a $7 million non-cash impairment of our investment at that time. 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three and nine months ended September 30, 2021, we recognized $15 million and $36 million, respectively, of net losses for these investments. We also recognized a reduction in our income tax expense for the three and nine months ended September 30, 2021 of $21 million and $53 million, respectively, due to federal tax credits realized from these investments as well as the tax benefits from the pre-tax losses realized. In addition, during the three and nine months ended September 30, 2021, we recognized interest expense of $2 million and $7 million, respectively, associated with our investments in low-income housing properties.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During the three and nine months ended September 30, 2020, we recognized $16 million and $59 million, respectively, (including the $7 million impairment of the refined coal facility noted above for the nine-month period) of net losses for these investments. We also recognized a reduction in our income tax expense for the three and nine months ended September 30, 2020 of $24 million and $65 million, respectively, due to federal tax credits realized from these investments as well as the tax benefits from the pre-tax losses realized. In addition, during the three and nine months ended September 30, 2020, we recognized interest expense of $3 million and $9 million, respectively, associated with our investments in low-income housing properties.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13 for additional information related to these unconsolidated variable interest entities.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Adjustments to Accruals and Related Deferred Taxes </w:t>
      </w:r>
      <w:r>
        <w:rPr>
          <w:rFonts w:ascii="Arial" w:cs="Arial" w:eastAsia="Arial" w:hAnsi="Arial"/>
          <w:sz w:val="18"/>
          <w:szCs w:val="18"/>
          <w:color w:val="auto"/>
        </w:rPr>
        <w:t>— Adjustments to accruals and related deferred taxes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our income tax expense by $10 million for the three and nine months ended September 30, 2021. The unfavorable adjustments to accruals and related deferred taxes are primarily due to a change from our initial expectations of the tax effects of the Advanced Disposal acquisition and related divestitures. During the three and nine months ended September 30, 2020, adjustments to accruals and related deferred taxes impacted our income tax expense with a nominal increase and a $6 million decrease,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and nine months ended September 30, 2021, we recognized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income tax expense of $5 million and $16 million, respectively, for excess tax benefits related to the vesting or exercise of equity-based compensation awards compared with $2 million and $25 million, respectively, for the comparable prior year periods.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Tax Implications of Divestitures </w:t>
      </w:r>
      <w:r>
        <w:rPr>
          <w:rFonts w:ascii="Arial" w:cs="Arial" w:eastAsia="Arial" w:hAnsi="Arial"/>
          <w:sz w:val="18"/>
          <w:szCs w:val="18"/>
          <w:color w:val="auto"/>
        </w:rPr>
        <w:t>– During the third quarter of 2021, we recognized a pre-tax gain from the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cumulative translation adjustments on the divestiture of certain non-strategic Canadian operations. This gain was not taxable, which caused a beneficial impact to our effective income tax rate for the three and nine months ended September 30, 2021.</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Non-Deductible Transaction Costs </w:t>
      </w:r>
      <w:r>
        <w:rPr>
          <w:rFonts w:ascii="Arial" w:cs="Arial" w:eastAsia="Arial" w:hAnsi="Arial"/>
          <w:sz w:val="18"/>
          <w:szCs w:val="18"/>
          <w:color w:val="auto"/>
        </w:rPr>
        <w:t>— During the three months ended September 30, 2020, we recognized the</w:t>
      </w:r>
      <w:r>
        <w:rPr>
          <w:rFonts w:ascii="Arial" w:cs="Arial" w:eastAsia="Arial" w:hAnsi="Arial"/>
          <w:sz w:val="18"/>
          <w:szCs w:val="18"/>
          <w:i w:val="1"/>
          <w:iCs w:val="1"/>
          <w:color w:val="auto"/>
        </w:rPr>
        <w:t xml:space="preserve"> </w:t>
      </w:r>
      <w:r>
        <w:rPr>
          <w:rFonts w:ascii="Arial" w:cs="Arial" w:eastAsia="Arial" w:hAnsi="Arial"/>
          <w:sz w:val="18"/>
          <w:szCs w:val="18"/>
          <w:color w:val="auto"/>
        </w:rPr>
        <w:t>detrimental tax impact of $19 million of non-deductible transaction costs related to our acquisition of Advanced Disposal. The tax rules require the capitalization of certain facilitative costs on the acquisition of stock of a company resulting in the applicable costs not being deductible for tax purposes.</w:t>
      </w:r>
    </w:p>
    <w:p>
      <w:pPr>
        <w:spacing w:after="0" w:line="183"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using weighted average common shares outstanding</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02"/>
        </w:trPr>
        <w:tc>
          <w:tcPr>
            <w:tcW w:w="5820" w:type="dxa"/>
            <w:vAlign w:val="bottom"/>
          </w:tcPr>
          <w:p>
            <w:pPr>
              <w:ind w:left="120"/>
              <w:spacing w:after="0" w:line="201" w:lineRule="exact"/>
              <w:rPr>
                <w:sz w:val="20"/>
                <w:szCs w:val="20"/>
                <w:color w:val="auto"/>
              </w:rPr>
            </w:pPr>
            <w:r>
              <w:rPr>
                <w:rFonts w:ascii="Arial" w:cs="Arial" w:eastAsia="Arial" w:hAnsi="Arial"/>
                <w:sz w:val="18"/>
                <w:szCs w:val="18"/>
                <w:color w:val="auto"/>
                <w:w w:val="94"/>
              </w:rPr>
              <w:t>Dilutive effect of equity-based compensation awards and other contingently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issuable shares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Potentially issuable shares</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18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18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6"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liability, automobile liability, workers’ compensation, real and personal property, directors’ and officers’ liability,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pollution legal liability, cyber incident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6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In the ordinary course of our business, WM and WM Holdings enter into guarantee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of September 30, 2021, we have guaranteed the obligations and certain performance requirements of third parties in connection with both consolidated and unconsolidated entities, including guarantees to cover certain market value losses for certain properties adjacent to or near 18 of our landfills. We have also agreed to indemnify certain third-party purchasers against liabilities associated with divested operations prior to such sale. We do not believe that these contingent obligations will have a material adverse effect on the Company’s financial condition, results of operations or cash flows.</w:t>
      </w:r>
    </w:p>
    <w:p>
      <w:pPr>
        <w:spacing w:after="0" w:line="16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w:t>
      </w:r>
      <w:r>
        <w:rPr>
          <w:rFonts w:ascii="Arial" w:cs="Arial" w:eastAsia="Arial" w:hAnsi="Arial"/>
          <w:sz w:val="17"/>
          <w:szCs w:val="17"/>
          <w:i w:val="1"/>
          <w:iCs w:val="1"/>
          <w:color w:val="auto"/>
        </w:rPr>
        <w:t xml:space="preserve"> </w:t>
      </w:r>
      <w:r>
        <w:rPr>
          <w:rFonts w:ascii="Arial" w:cs="Arial" w:eastAsia="Arial" w:hAnsi="Arial"/>
          <w:sz w:val="17"/>
          <w:szCs w:val="17"/>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$135 million higher than the $216 million recorded in the Condensed Consolidated Balance Sheet as of September 30, 2021.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As of September 30, 2021, we have been notified by the government that we are a PRP in connection with 73 locations listed on the Environmental Protection Agency’s (“EPA’s”) Superfund National Priorities List (“NPL”). Of the 73 sites at which claims have been made against us, 14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59 NPL sites, which we do not own, are at various procedural stages under the Comprehensive Environmental Response, Compensation and Liability Act of 1980, as amended, known as CERCLA or Superfund.</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proposed remedy for the site. Allocation of responsibility among the PRPs for the proposed remedy has not been established. As of September 30, 2021 and December 31, 2020, the recorded liability for MIMC’s estimated potential share of the EPA’s proposed remedy and related costs was $53 million and $55 million, respectively. MIMC’s ultimate liability could be materially different from current estimates.</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As of the date of this filing, we are not aware of any matters that are required to be disclosed pursuant to this standard.</w:t>
      </w:r>
    </w:p>
    <w:p>
      <w:pPr>
        <w:spacing w:after="0" w:line="17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us to meet certain regulatory or contractual conditions upon site closure or upon termination of the agreements. Compliance with these agreements inherently involves subjective determinations and may result in disputes, including litigation.</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As a large company with operations across the U.S. and Canada, we are subject to various proceedings,</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 xml:space="preserve">Multiemployer Defined Benefit Pension Plans — </w:t>
      </w:r>
      <w:r>
        <w:rPr>
          <w:rFonts w:ascii="Arial" w:cs="Arial" w:eastAsia="Arial" w:hAnsi="Arial"/>
          <w:sz w:val="17"/>
          <w:szCs w:val="17"/>
          <w:color w:val="auto"/>
        </w:rPr>
        <w:t>About 20% of our workforce is covered by collective bargaining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 During the first quarter of 2020, we recognized a $3 million charge to operating expenses for the withdrawal from an underfunded Multiemployer Pension Plan.</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participate in the IRS’s Compliance Assurance Process, which means we work with the IRS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2020 and 2021 tax years and expect these audits to be completed within the next 18 months. We are also currently undergoing audits by various state and local jurisdictions for tax years that date back to 2014. We maintain a liability for uncertain tax positions, the balance of which management believes is adequate. Results of audit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assessments by taxing authorities are not currently expected to have a material adverse effect on our financial condition, results of operations or cash flows.</w:t>
      </w:r>
    </w:p>
    <w:p>
      <w:pPr>
        <w:spacing w:after="0" w:line="166"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Areas. In the second quarter of 2021, we combined our Eastern and Western Canada Areas reducing the number of Areas we manage from 17 to 16. The 16 Areas constitute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16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8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a result of the combination of our Eastern and Western Canada Areas, we analyzed all 16 Areas’ income from operations margins for purposes of segment reporting and realigned our Solid Waste tiers to reflect changes in their relative economic characteristics and prospects. Reclassifications have been made to our prior period condensed consolidated financial information to conform to the current year presentation.</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operating segments not evaluated and overseen through the 16 Areas are presented herein as “Other” as these operating segments do not meet the criteria to be aggregated with other operating segments and do not meet the quantitative criteria to be separately reported.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60" w:type="dxa"/>
            <w:vAlign w:val="bottom"/>
          </w:tcPr>
          <w:p>
            <w:pPr>
              <w:spacing w:after="0"/>
              <w:rPr>
                <w:sz w:val="14"/>
                <w:szCs w:val="14"/>
                <w:color w:val="auto"/>
              </w:rPr>
            </w:pPr>
          </w:p>
        </w:tc>
        <w:tc>
          <w:tcPr>
            <w:tcW w:w="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Operating</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Revenues(d)</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Revenues</w:t>
            </w: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69"/>
        </w:trPr>
        <w:tc>
          <w:tcPr>
            <w:tcW w:w="358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Three Months Ended September 30:</w:t>
            </w:r>
          </w:p>
        </w:tc>
        <w:tc>
          <w:tcPr>
            <w:tcW w:w="19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2020" w:type="dxa"/>
            <w:vAlign w:val="bottom"/>
            <w:gridSpan w:val="2"/>
          </w:tcPr>
          <w:p>
            <w:pPr>
              <w:ind w:left="19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1,016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Tier 3</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Solid Waste (a)</w:t>
            </w:r>
          </w:p>
        </w:tc>
        <w:tc>
          <w:tcPr>
            <w:tcW w:w="1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3,886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Other (b)</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4,665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Corporate and Other (c)</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5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7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Solid Waste: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20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ind w:left="320"/>
              <w:spacing w:after="0"/>
              <w:rPr>
                <w:sz w:val="20"/>
                <w:szCs w:val="20"/>
                <w:color w:val="auto"/>
              </w:rPr>
            </w:pPr>
            <w:r>
              <w:rPr>
                <w:rFonts w:ascii="Arial" w:cs="Arial" w:eastAsia="Arial" w:hAnsi="Arial"/>
                <w:sz w:val="18"/>
                <w:szCs w:val="18"/>
                <w:color w:val="auto"/>
              </w:rPr>
              <w:t>Solid Waste (a)</w:t>
            </w:r>
          </w:p>
        </w:tc>
        <w:tc>
          <w:tcPr>
            <w:tcW w:w="1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3,269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3,861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3,861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vMerge w:val="restart"/>
          </w:tcPr>
          <w:p>
            <w:pPr>
              <w:jc w:val="right"/>
              <w:ind w:right="8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Intercompany</w:t>
            </w: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Income</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Operating</w:t>
            </w: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from</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Revenues(d)</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Operations</w:t>
            </w:r>
          </w:p>
        </w:tc>
      </w:tr>
      <w:tr>
        <w:trPr>
          <w:trHeight w:val="156"/>
        </w:trPr>
        <w:tc>
          <w:tcPr>
            <w:tcW w:w="536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Nine Months Ended September 30:</w:t>
            </w: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Solid Waste: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Tier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Tier 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34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Solid Waste (a)</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13,848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r>
      <w:tr>
        <w:trPr>
          <w:trHeight w:val="216"/>
        </w:trPr>
        <w:tc>
          <w:tcPr>
            <w:tcW w:w="5360" w:type="dxa"/>
            <w:vAlign w:val="bottom"/>
            <w:gridSpan w:val="4"/>
          </w:tcPr>
          <w:p>
            <w:pPr>
              <w:ind w:left="20"/>
              <w:spacing w:after="0"/>
              <w:rPr>
                <w:sz w:val="20"/>
                <w:szCs w:val="20"/>
                <w:color w:val="auto"/>
              </w:rPr>
            </w:pPr>
            <w:r>
              <w:rPr>
                <w:rFonts w:ascii="Arial" w:cs="Arial" w:eastAsia="Arial" w:hAnsi="Arial"/>
                <w:sz w:val="18"/>
                <w:szCs w:val="18"/>
                <w:color w:val="auto"/>
              </w:rPr>
              <w:t>Other (b)</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16,049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16"/>
        </w:trPr>
        <w:tc>
          <w:tcPr>
            <w:tcW w:w="5360" w:type="dxa"/>
            <w:vAlign w:val="bottom"/>
            <w:gridSpan w:val="4"/>
          </w:tcPr>
          <w:p>
            <w:pPr>
              <w:ind w:left="20"/>
              <w:spacing w:after="0"/>
              <w:rPr>
                <w:sz w:val="20"/>
                <w:szCs w:val="20"/>
                <w:color w:val="auto"/>
              </w:rPr>
            </w:pPr>
            <w:r>
              <w:rPr>
                <w:rFonts w:ascii="Arial" w:cs="Arial" w:eastAsia="Arial" w:hAnsi="Arial"/>
                <w:sz w:val="18"/>
                <w:szCs w:val="18"/>
                <w:color w:val="auto"/>
              </w:rPr>
              <w:t>Corporate and Other (c)</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34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16,049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4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360" w:type="dxa"/>
            <w:vAlign w:val="bottom"/>
            <w:gridSpan w:val="4"/>
          </w:tcPr>
          <w:p>
            <w:pPr>
              <w:ind w:left="20"/>
              <w:spacing w:after="0"/>
              <w:rPr>
                <w:sz w:val="20"/>
                <w:szCs w:val="20"/>
                <w:color w:val="auto"/>
              </w:rPr>
            </w:pPr>
            <w:r>
              <w:rPr>
                <w:rFonts w:ascii="Arial" w:cs="Arial" w:eastAsia="Arial" w:hAnsi="Arial"/>
                <w:sz w:val="18"/>
                <w:szCs w:val="18"/>
                <w:color w:val="auto"/>
              </w:rPr>
              <w:t>Solid Waste:</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16"/>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Tier 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16"/>
        </w:trPr>
        <w:tc>
          <w:tcPr>
            <w:tcW w:w="20" w:type="dxa"/>
            <w:vAlign w:val="bottom"/>
            <w:shd w:val="clear" w:color="auto" w:fill="CCEEFF"/>
          </w:tcPr>
          <w:p>
            <w:pPr>
              <w:spacing w:after="0"/>
              <w:rPr>
                <w:sz w:val="18"/>
                <w:szCs w:val="18"/>
                <w:color w:val="auto"/>
              </w:rPr>
            </w:pPr>
          </w:p>
        </w:tc>
        <w:tc>
          <w:tcPr>
            <w:tcW w:w="5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10"/>
        </w:trPr>
        <w:tc>
          <w:tcPr>
            <w:tcW w:w="20" w:type="dxa"/>
            <w:vAlign w:val="bottom"/>
          </w:tcPr>
          <w:p>
            <w:pPr>
              <w:spacing w:after="0"/>
              <w:rPr>
                <w:sz w:val="18"/>
                <w:szCs w:val="18"/>
                <w:color w:val="auto"/>
              </w:rPr>
            </w:pPr>
          </w:p>
        </w:tc>
        <w:tc>
          <w:tcPr>
            <w:tcW w:w="5340" w:type="dxa"/>
            <w:vAlign w:val="bottom"/>
            <w:gridSpan w:val="3"/>
          </w:tcPr>
          <w:p>
            <w:pPr>
              <w:ind w:left="320"/>
              <w:spacing w:after="0"/>
              <w:rPr>
                <w:sz w:val="20"/>
                <w:szCs w:val="20"/>
                <w:color w:val="auto"/>
              </w:rPr>
            </w:pPr>
            <w:r>
              <w:rPr>
                <w:rFonts w:ascii="Arial" w:cs="Arial" w:eastAsia="Arial" w:hAnsi="Arial"/>
                <w:sz w:val="18"/>
                <w:szCs w:val="18"/>
                <w:color w:val="auto"/>
              </w:rPr>
              <w:t>Solid Waste (a)</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11,821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2,511</w:t>
            </w:r>
          </w:p>
        </w:tc>
      </w:tr>
      <w:tr>
        <w:trPr>
          <w:trHeight w:val="216"/>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Other (b)</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13,544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11,151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w:t>
            </w:r>
          </w:p>
        </w:tc>
      </w:tr>
      <w:tr>
        <w:trPr>
          <w:trHeight w:val="216"/>
        </w:trPr>
        <w:tc>
          <w:tcPr>
            <w:tcW w:w="5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Corporate and Other (c)</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10"/>
        </w:trPr>
        <w:tc>
          <w:tcPr>
            <w:tcW w:w="20" w:type="dxa"/>
            <w:vAlign w:val="bottom"/>
          </w:tcPr>
          <w:p>
            <w:pPr>
              <w:spacing w:after="0"/>
              <w:rPr>
                <w:sz w:val="18"/>
                <w:szCs w:val="18"/>
                <w:color w:val="auto"/>
              </w:rPr>
            </w:pPr>
          </w:p>
        </w:tc>
        <w:tc>
          <w:tcPr>
            <w:tcW w:w="534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13,544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11,151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59"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from operations provided by our Solid Waste business is generally indicative of the margins provided by our collection, landfill, transfer and recycling lines of business. From time to time, the operating results of our reportable segments are significantly affected by certain transactions or events that management believes are not indicative or representative of our results.</w:t>
      </w:r>
    </w:p>
    <w:p>
      <w:pPr>
        <w:spacing w:after="0" w:line="78" w:lineRule="exact"/>
        <w:rPr>
          <w:rFonts w:ascii="Arial" w:cs="Arial" w:eastAsia="Arial" w:hAnsi="Arial"/>
          <w:sz w:val="18"/>
          <w:szCs w:val="18"/>
          <w:color w:val="auto"/>
        </w:rPr>
      </w:pPr>
    </w:p>
    <w:p>
      <w:pPr>
        <w:jc w:val="both"/>
        <w:ind w:left="380" w:right="59"/>
        <w:spacing w:after="0" w:line="287" w:lineRule="auto"/>
        <w:rPr>
          <w:rFonts w:ascii="Arial" w:cs="Arial" w:eastAsia="Arial" w:hAnsi="Arial"/>
          <w:sz w:val="18"/>
          <w:szCs w:val="18"/>
          <w:color w:val="auto"/>
        </w:rPr>
      </w:pPr>
      <w:r>
        <w:rPr>
          <w:rFonts w:ascii="Arial" w:cs="Arial" w:eastAsia="Arial" w:hAnsi="Arial"/>
          <w:sz w:val="16"/>
          <w:szCs w:val="16"/>
          <w:color w:val="auto"/>
        </w:rPr>
        <w:t>The increase in income from operations across the Tiers for the three and nine months ended September 30, 2021, as compared to the prior year periods, was primarily due to (i) revenue growth in our collection and disposal businesses driven by both volume and yield; (ii) improved profitability in our recycling business from higher market prices for recycling commodities and improved costs at facilities where we have made investments in enhanced technology and equipment and (iii) a pre-tax gain from the recognition of cumulative translation adjustments on the divestiture of certain non-strategic Canadian operations in our Tier 3 segment during the third quarter of 2021. The nine months ended September 30, 2021 also benefited from a reduction in the provision for bad debts because these expenses were higher during the nine months ended September 30, 2020 due to the impacts of the pandemic on our outlook for customer receipts. These increases were partially offset by (i) labor cost pressure from frontline employee wage adjustments, increased turnover driving up training costs and accelerated overtime due to driver shortages and volume growth; (ii) inflationary cost pressures; (iii) higher incentive compensation costs and (iv) a landfill amortization charge in our Tier 3 segment due to management’s decision to close a landfill earlier than expected.</w:t>
      </w:r>
    </w:p>
    <w:p>
      <w:pPr>
        <w:spacing w:after="0" w:line="59" w:lineRule="exact"/>
        <w:rPr>
          <w:rFonts w:ascii="Arial" w:cs="Arial" w:eastAsia="Arial" w:hAnsi="Arial"/>
          <w:sz w:val="18"/>
          <w:szCs w:val="18"/>
          <w:color w:val="auto"/>
        </w:rPr>
      </w:pPr>
    </w:p>
    <w:p>
      <w:pPr>
        <w:jc w:val="both"/>
        <w:ind w:left="380" w:right="79"/>
        <w:spacing w:after="0" w:line="263" w:lineRule="auto"/>
        <w:rPr>
          <w:rFonts w:ascii="Arial" w:cs="Arial" w:eastAsia="Arial" w:hAnsi="Arial"/>
          <w:sz w:val="18"/>
          <w:szCs w:val="18"/>
          <w:color w:val="auto"/>
        </w:rPr>
      </w:pPr>
      <w:r>
        <w:rPr>
          <w:rFonts w:ascii="Arial" w:cs="Arial" w:eastAsia="Arial" w:hAnsi="Arial"/>
          <w:sz w:val="18"/>
          <w:szCs w:val="18"/>
          <w:color w:val="auto"/>
        </w:rPr>
        <w:t>Additionally, the prior year periods were impacted by non-cash impairment charges, as further discussed below. The positive earnings contributions of Advanced Disposal were offset by elevated depreciation and amortization of acquired assets.</w:t>
      </w:r>
    </w:p>
    <w:p>
      <w:pPr>
        <w:spacing w:after="0" w:line="75" w:lineRule="exact"/>
        <w:rPr>
          <w:rFonts w:ascii="Arial" w:cs="Arial" w:eastAsia="Arial" w:hAnsi="Arial"/>
          <w:sz w:val="18"/>
          <w:szCs w:val="18"/>
          <w:color w:val="auto"/>
        </w:rPr>
      </w:pPr>
    </w:p>
    <w:p>
      <w:pPr>
        <w:jc w:val="both"/>
        <w:ind w:left="380" w:right="59"/>
        <w:spacing w:after="0" w:line="311" w:lineRule="auto"/>
        <w:rPr>
          <w:rFonts w:ascii="Arial" w:cs="Arial" w:eastAsia="Arial" w:hAnsi="Arial"/>
          <w:sz w:val="18"/>
          <w:szCs w:val="18"/>
          <w:color w:val="auto"/>
        </w:rPr>
      </w:pPr>
      <w:r>
        <w:rPr>
          <w:rFonts w:ascii="Arial" w:cs="Arial" w:eastAsia="Arial" w:hAnsi="Arial"/>
          <w:sz w:val="16"/>
          <w:szCs w:val="16"/>
          <w:color w:val="auto"/>
        </w:rPr>
        <w:t>During the nine months ended September 30, 2020, income from operations was impacted by $61 million of non-cash impairments consisting of (i) $41 million of non-cash asset impairment charges in our Tier 2 segment primarily related to two landfills and an oil field waste injection facility and (ii) a $20 million non-cash impairment charge in our Tier 3</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segment related to management’s decision during the second quarter of 2020 to close a landfill once its constructed airspace is filled and abandon any remaining permitted airspace.</w:t>
      </w:r>
    </w:p>
    <w:p>
      <w:pPr>
        <w:spacing w:after="0" w:line="62" w:lineRule="exact"/>
        <w:rPr>
          <w:sz w:val="20"/>
          <w:szCs w:val="20"/>
          <w:color w:val="auto"/>
        </w:rPr>
      </w:pPr>
    </w:p>
    <w:p>
      <w:pPr>
        <w:jc w:val="both"/>
        <w:ind w:left="380" w:right="79" w:hanging="330"/>
        <w:spacing w:after="0" w:line="272"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includes (i) elements of our Strategic Business Solutions (“WMSBS”) business; (ii) elements of our landfill gas-to-energy operations managed by our WM Renewable Energy business and not included in the operations of our reportable segments; (iii) elements of our third-party subcontract and administration revenues managed by our Energy and Environmental Services (“EES”) business and not included in the operations of our reportable segments; (iv) our recycling brokerage services and (v)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69" w:lineRule="exact"/>
        <w:rPr>
          <w:rFonts w:ascii="Arial" w:cs="Arial" w:eastAsia="Arial" w:hAnsi="Arial"/>
          <w:sz w:val="17"/>
          <w:szCs w:val="17"/>
          <w:color w:val="auto"/>
        </w:rPr>
      </w:pPr>
    </w:p>
    <w:p>
      <w:pPr>
        <w:jc w:val="both"/>
        <w:ind w:left="380" w:right="59"/>
        <w:spacing w:after="0" w:line="259" w:lineRule="auto"/>
        <w:rPr>
          <w:rFonts w:ascii="Arial" w:cs="Arial" w:eastAsia="Arial" w:hAnsi="Arial"/>
          <w:sz w:val="17"/>
          <w:szCs w:val="17"/>
          <w:color w:val="auto"/>
        </w:rPr>
      </w:pPr>
      <w:r>
        <w:rPr>
          <w:rFonts w:ascii="Arial" w:cs="Arial" w:eastAsia="Arial" w:hAnsi="Arial"/>
          <w:sz w:val="18"/>
          <w:szCs w:val="18"/>
          <w:color w:val="auto"/>
        </w:rPr>
        <w:t>The increase in income from operations was primarily driven by increased market values for renewable energy credits generated by our WM Renewable Energy business. The increase in income from operations for the nine months ended September 30, 2021, as compared with the prior year period, was also due to a gain from the divestitures of certain ancillary operations during the first quarter of 2021.</w:t>
      </w:r>
    </w:p>
    <w:p>
      <w:pPr>
        <w:spacing w:after="0" w:line="78" w:lineRule="exact"/>
        <w:rPr>
          <w:rFonts w:ascii="Arial" w:cs="Arial" w:eastAsia="Arial" w:hAnsi="Arial"/>
          <w:sz w:val="17"/>
          <w:szCs w:val="17"/>
          <w:color w:val="auto"/>
        </w:rPr>
      </w:pPr>
    </w:p>
    <w:p>
      <w:pPr>
        <w:jc w:val="both"/>
        <w:ind w:left="380" w:right="79" w:hanging="330"/>
        <w:spacing w:after="0" w:line="25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79" w:lineRule="exact"/>
        <w:rPr>
          <w:rFonts w:ascii="Arial" w:cs="Arial" w:eastAsia="Arial" w:hAnsi="Arial"/>
          <w:sz w:val="18"/>
          <w:szCs w:val="18"/>
          <w:color w:val="auto"/>
        </w:rPr>
      </w:pPr>
    </w:p>
    <w:p>
      <w:pPr>
        <w:jc w:val="both"/>
        <w:ind w:left="380" w:right="59"/>
        <w:spacing w:after="0" w:line="270" w:lineRule="auto"/>
        <w:rPr>
          <w:rFonts w:ascii="Arial" w:cs="Arial" w:eastAsia="Arial" w:hAnsi="Arial"/>
          <w:sz w:val="18"/>
          <w:szCs w:val="18"/>
          <w:color w:val="auto"/>
        </w:rPr>
      </w:pPr>
      <w:r>
        <w:rPr>
          <w:rFonts w:ascii="Arial" w:cs="Arial" w:eastAsia="Arial" w:hAnsi="Arial"/>
          <w:sz w:val="17"/>
          <w:szCs w:val="17"/>
          <w:color w:val="auto"/>
        </w:rPr>
        <w:t>These costs have increased during the three and nine months ended September 30, 2021 due to (i) increased labor, support and integration costs from our acquisition of Advanced Disposal; (ii) strategic investments in our digital platform; (iii) higher incentive compensation costs and (iv) increased health and welfare costs attributable to medical care activity generally returning to pre-pandemic levels from the lower levels experienced during 2020. The nine months ended September 30, 2021, as compared with the prior year period, was further impacted by a charge pertaining to reserves for certain loss contingencies during 2021, as well as changes in the measurement of our environmental remediation obligations and recovery assets in both the first quarter of 2020 and 2021. These increases were partially offset by lower consulting, advisory and legal fees following the completion of our acquisition of Advanced Disposal in the fourth quarter of 2020.</w:t>
      </w:r>
    </w:p>
    <w:p>
      <w:pPr>
        <w:spacing w:after="0" w:line="72"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7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 mix of operating revenues from our major lines of business are as follows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5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22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5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24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$ 1,214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Residential</w:t>
            </w:r>
          </w:p>
        </w:tc>
        <w:tc>
          <w:tcPr>
            <w:tcW w:w="640" w:type="dxa"/>
            <w:vAlign w:val="bottom"/>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1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16"/>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collection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10"/>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640" w:type="dxa"/>
            <w:vAlign w:val="bottom"/>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2,707</w:t>
            </w:r>
          </w:p>
        </w:tc>
      </w:tr>
      <w:tr>
        <w:trPr>
          <w:trHeight w:val="21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Recycling</w:t>
            </w:r>
          </w:p>
        </w:tc>
        <w:tc>
          <w:tcPr>
            <w:tcW w:w="640" w:type="dxa"/>
            <w:vAlign w:val="bottom"/>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1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Intercompany (b)</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(978)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(2,796)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(2,393)</w:t>
            </w:r>
          </w:p>
        </w:tc>
      </w:tr>
      <w:tr>
        <w:trPr>
          <w:trHeight w:val="210"/>
        </w:trPr>
        <w:tc>
          <w:tcPr>
            <w:tcW w:w="57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$ 4,665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11,151</w:t>
            </w: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80" w:lineRule="exact"/>
        <w:rPr>
          <w:sz w:val="20"/>
          <w:szCs w:val="20"/>
          <w:color w:val="auto"/>
        </w:rPr>
      </w:pPr>
    </w:p>
    <w:p>
      <w:pPr>
        <w:ind w:left="4420" w:right="859" w:hanging="4370"/>
        <w:spacing w:after="0" w:line="778"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“Other” line of business includes (i) certain services provided by our WMSBS business; (ii) our landfill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79"/>
        <w:spacing w:after="0" w:line="293" w:lineRule="auto"/>
        <w:rPr>
          <w:sz w:val="20"/>
          <w:szCs w:val="20"/>
          <w:color w:val="auto"/>
        </w:rPr>
      </w:pPr>
      <w:r>
        <w:rPr>
          <w:rFonts w:ascii="Arial" w:cs="Arial" w:eastAsia="Arial" w:hAnsi="Arial"/>
          <w:sz w:val="16"/>
          <w:szCs w:val="16"/>
          <w:color w:val="auto"/>
        </w:rPr>
        <w:t>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56" w:lineRule="exact"/>
        <w:rPr>
          <w:sz w:val="20"/>
          <w:szCs w:val="20"/>
          <w:color w:val="auto"/>
        </w:rPr>
      </w:pPr>
    </w:p>
    <w:p>
      <w:pPr>
        <w:ind w:left="380" w:right="7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6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Fluctuations in our operating results may be caused by many factors, including period-to-period changes in the relative contribution of revenue by each line of business, changes in commodity prices and general economic conditions.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6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Prior year period operating results were negatively impacted by COVID-19, as volume declines began in March 2020 in our landfill, industrial and commercial collection businesses due to steps taken by national and local governments to slow the spread of the virus, including travel bans, prohibitions on group events and gatherings, shutdowns of certain businesses, curfews, shelter-in-place orders and recommendations to practice social distancing.</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impact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event-driven special projects can boost revenues through additional work for a limited time, as a result of significant start-up costs and other factors, such revenue can generate earnings at comparatively lower margins.</w:t>
      </w:r>
    </w:p>
    <w:p>
      <w:pPr>
        <w:spacing w:after="0" w:line="17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Acquisition of Advanced Disposal</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October 30, 2020, we completed the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consolidated financial statements have not been retroactively restated to include Advanced Disposal’s historical financial position or results of operations. The acquisition was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We have substantially completed our valuation processes of all of the assets and liabilities acquired in the acquisition, however, until we have completed our valuation process, there may be adjustments to our estimates of fair value and resulting preliminary purchase price allocation, specifically those that require significant accounting estimates and assumptions, such as our landfills and intangibles.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Goodwill of $2.5 billion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Areas that have integrated these operations as they are benefiting from the synergies of the combination. Goodwill related to this acquisition is not deductible for income tax purposes.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the preliminary purchase price allocation as of the date acquired, and adjustments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(in millions):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October 30, 2020</w:t>
            </w:r>
          </w:p>
        </w:tc>
        <w:tc>
          <w:tcPr>
            <w:tcW w:w="1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Adjustments</w:t>
            </w:r>
          </w:p>
        </w:tc>
        <w:tc>
          <w:tcPr>
            <w:tcW w:w="100" w:type="dxa"/>
            <w:vAlign w:val="bottom"/>
          </w:tcPr>
          <w:p>
            <w:pPr>
              <w:spacing w:after="0"/>
              <w:rPr>
                <w:sz w:val="14"/>
                <w:szCs w:val="14"/>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b w:val="1"/>
                <w:bCs w:val="1"/>
                <w:color w:val="auto"/>
                <w:w w:val="91"/>
              </w:rPr>
              <w:t>September 30, 2021</w:t>
            </w:r>
          </w:p>
        </w:tc>
      </w:tr>
      <w:tr>
        <w:trPr>
          <w:trHeight w:val="210"/>
        </w:trPr>
        <w:tc>
          <w:tcPr>
            <w:tcW w:w="4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and other receivables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Parts and supplies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Assets held for sale (a)</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2,495</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Deferred revenues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Liabilities held for sale (a)</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 (b)</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Landfill and environmental remediation liabilities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0"/>
        </w:trPr>
        <w:tc>
          <w:tcPr>
            <w:tcW w:w="476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0"/>
        </w:trPr>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93"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connection with our acquisition of Advanced Disposal, we were required by the U.S. Department of Justice to divest assets, including a portion of the assets acquired from Advanced Disposal. Upon acquisition these assets met the criteria for reporting discontinued operations and were classified as held for sale and included within the “Assets held for sale” and “Liabilities held for sale” line items in the above preliminary allocation of purchase price. Immediately following the closing of our acquisition of Advanced Disposal, the transactions contemplated by the U.S. Department of Justice were consummated and we sold the net assets to GFL Environmental for total consideration of $856 million.</w:t>
      </w:r>
    </w:p>
    <w:p>
      <w:pPr>
        <w:spacing w:after="0" w:line="56" w:lineRule="exact"/>
        <w:rPr>
          <w:rFonts w:ascii="Arial" w:cs="Arial" w:eastAsia="Arial" w:hAnsi="Arial"/>
          <w:sz w:val="16"/>
          <w:szCs w:val="16"/>
          <w:color w:val="auto"/>
        </w:rPr>
      </w:pPr>
    </w:p>
    <w:p>
      <w:pPr>
        <w:jc w:val="both"/>
        <w:ind w:left="380" w:right="79" w:hanging="330"/>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the time of acquisition, Advanced Disposal had outstanding $425 million of 5.625% senior notes due November 2024, the fair value of which was $438 million. In November 2020, we redeemed the notes pursuant to an optional redemption feature.</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preliminary allocation of $601 million as of September 30, 2021 for other intangibles includes $572 million for customer relationships with an amortization period of 15 years and $29 million of other intangibles with a weighted average amortization period of seven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 Asset Impairments and Unusual Items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During the nine months ended September 30, 2021, we recognized net gains of $17 million consisting of (i) a $35 million pre-tax gain in the third quarter of 2021 from the recognition of cumulative translation adjustments on the divestiture of certain non-strategic Canadian operations in our Tier 3 segment and (ii) an $8 million gain in the first quarter of 2021 from divestitures of certain ancillary operations in our Other segment. These gains were partially offset by (i) a $20 million charge pertaining to reserves for loss contingencies in our Corporate and Other segment and (ii) $6 million of asset impairment charges primarily related to our WM Renewable Energy business within our Other segment.</w:t>
      </w:r>
    </w:p>
    <w:p>
      <w:pPr>
        <w:spacing w:after="0" w:line="16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nine months ended September 30, 2020, we recognized non-cash impairment charges of $68 million primarily related to the following:</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Energy Services Asset Impairments</w:t>
      </w:r>
      <w:r>
        <w:rPr>
          <w:rFonts w:ascii="Arial" w:cs="Arial" w:eastAsia="Arial" w:hAnsi="Arial"/>
          <w:sz w:val="18"/>
          <w:szCs w:val="18"/>
          <w:color w:val="auto"/>
        </w:rPr>
        <w:t>— During the second quarter of 2020, the Company tested the recoverability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energy services assets in our Tier 2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2 segment. We wrote down the net book value of these assets to their estimated fair value using an income approach based on estimated future cash flow projections (Level 3). The aggregate fair value of the impaired asset group was $8 million as of June 30, 2020.</w:t>
      </w:r>
    </w:p>
    <w:p>
      <w:pPr>
        <w:spacing w:after="0" w:line="19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 In addition to the energy services impairments noted above, during the second quarter of 2020,</w:t>
      </w:r>
      <w:r>
        <w:rPr>
          <w:rFonts w:ascii="Arial" w:cs="Arial" w:eastAsia="Arial" w:hAnsi="Arial"/>
          <w:sz w:val="17"/>
          <w:szCs w:val="17"/>
          <w:i w:val="1"/>
          <w:iCs w:val="1"/>
          <w:color w:val="auto"/>
        </w:rPr>
        <w:t xml:space="preserve"> </w:t>
      </w:r>
      <w:r>
        <w:rPr>
          <w:rFonts w:ascii="Arial" w:cs="Arial" w:eastAsia="Arial" w:hAnsi="Arial"/>
          <w:sz w:val="17"/>
          <w:szCs w:val="17"/>
          <w:color w:val="auto"/>
        </w:rPr>
        <w:t>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Additionally, during the third quarter of 2020, we recognized $7 million of net charges primarily related to non-cash impairments of certain assets within our WM Renewable Energy business in our Other segment. As the carrying values of the assets were not recoverable, we wrote off their entire net carrying value using an income approach based on estimated future cash flow projections (Level 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During the first quarter of 2020, we recorded a non-cash impairment charge of $7 million related to our investment in a refined coal facility which is discussed further in Note 4. The fair value of our investment was not readily determinable; thus, we determined the fair value using management assumptions pertaining to investment value (Level 3). The remaining losses for each period were primarily related to our noncontrolling interests in entities established to invest in and manage low-income housing properties. We generate tax benefits, including tax credits, from the losses incurred from these investments. Refer to Note 4 for additional information related to these investments.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tbl>
      <w:tblPr>
        <w:tblLayout w:type="fixed"/>
        <w:tblInd w:w="4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Available-</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Currency</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Retirement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Adjustments(a)</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Obligations</w:t>
            </w: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47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6"/>
              </w:rPr>
              <w:t>Other comprehensive income (loss) before reclassifications,</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net of tax expense (benefit) of $0, $(1), $0 and $0,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47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4"/>
              </w:rPr>
              <w:t>Amounts reclassified from accumulated other comprehensive</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(income) loss, net of tax (expense) benefit of $3, $0, $0 and</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 respectively</w:t>
            </w: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31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result of the divestiture of certain non-strategic Canadian operations in the third quarter of 2021, we reclassified $35 million of cumulative translation adjustments from accumulated other comprehensive income to gain from divestitures, asset impairments and unusual items within our Condensed Consolidated Statement of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February 2021, we entered into an accelerated share repurchase (“ASR”) agreement to repurchase $250 million of our common stock. At the beginning of the repurchase period, we delivered $250 million cash and received 1.8 million shares based on a stock price of $110.56. The ASR agreement completed in the second quarter of 2021, at which time we received 0.2 million additional shares based on a final weighted average price of $126.83.</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May 2021, we entered into an ASR agreement to repurchase $250 million of our common stock. At the beginning of the repurchase period, we delivered $250 million cash and received 1.4 million shares based on a stock price of $141.42. The ASR agreement completed in the third quarter of 2021, at which time we received 0.4 million additional shares based on a final weighted average price of $140.04.</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August 2021, we entered into an ASR agreement to repurchase $500 million of our common stock. At the beginning of the repurchase period, we delivered $500 million cash and received 2.7 million shares based on a stock price of $147.27.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November 2021.</w:t>
      </w:r>
    </w:p>
    <w:p>
      <w:pPr>
        <w:spacing w:after="0" w:line="176"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As of September 30, 2021, the Company has authorization for $350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r>
      <w:tr>
        <w:trPr>
          <w:trHeight w:val="155"/>
        </w:trPr>
        <w:tc>
          <w:tcPr>
            <w:tcW w:w="550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Fair Value Measurements Using:</w:t>
            </w:r>
          </w:p>
        </w:tc>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500" w:type="dxa"/>
            <w:vAlign w:val="bottom"/>
            <w:gridSpan w:val="4"/>
          </w:tcPr>
          <w:p>
            <w:pPr>
              <w:ind w:left="20"/>
              <w:spacing w:after="0"/>
              <w:rPr>
                <w:sz w:val="20"/>
                <w:szCs w:val="20"/>
                <w:color w:val="auto"/>
              </w:rPr>
            </w:pPr>
            <w:r>
              <w:rPr>
                <w:rFonts w:ascii="Arial" w:cs="Arial" w:eastAsia="Arial" w:hAnsi="Arial"/>
                <w:sz w:val="18"/>
                <w:szCs w:val="18"/>
                <w:color w:val="auto"/>
              </w:rPr>
              <w:t>Quoted prices in active markets (Level 1):</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Cash equivalents and money market funds (a)</w:t>
            </w:r>
          </w:p>
        </w:tc>
        <w:tc>
          <w:tcPr>
            <w:tcW w:w="15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20" w:type="dxa"/>
            <w:vAlign w:val="bottom"/>
          </w:tcPr>
          <w:p>
            <w:pPr>
              <w:spacing w:after="0"/>
              <w:rPr>
                <w:sz w:val="18"/>
                <w:szCs w:val="18"/>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Equity securities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Significant other observable inputs (Level 2):</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ind w:left="100"/>
              <w:spacing w:after="0"/>
              <w:rPr>
                <w:sz w:val="20"/>
                <w:szCs w:val="20"/>
                <w:color w:val="auto"/>
              </w:rPr>
            </w:pPr>
            <w:r>
              <w:rPr>
                <w:rFonts w:ascii="Arial" w:cs="Arial" w:eastAsia="Arial" w:hAnsi="Arial"/>
                <w:sz w:val="18"/>
                <w:szCs w:val="18"/>
                <w:color w:val="auto"/>
              </w:rPr>
              <w:t>Available-for-sale securities (b)</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55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Significant unobservable inputs (Level 3):</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Redeemable preferred stock (c)</w:t>
            </w:r>
          </w:p>
        </w:tc>
        <w:tc>
          <w:tcPr>
            <w:tcW w:w="1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4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gridSpan w:val="2"/>
          </w:tcPr>
          <w:p>
            <w:pPr>
              <w:spacing w:after="0"/>
              <w:rPr>
                <w:sz w:val="7"/>
                <w:szCs w:val="7"/>
                <w:color w:val="auto"/>
              </w:rPr>
            </w:pPr>
          </w:p>
        </w:tc>
        <w:tc>
          <w:tcPr>
            <w:tcW w:w="3260" w:type="dxa"/>
            <w:vAlign w:val="bottom"/>
            <w:gridSpan w:val="2"/>
          </w:tcPr>
          <w:p>
            <w:pPr>
              <w:spacing w:after="0"/>
              <w:rPr>
                <w:sz w:val="7"/>
                <w:szCs w:val="7"/>
                <w:color w:val="auto"/>
              </w:rPr>
            </w:pPr>
          </w:p>
        </w:tc>
        <w:tc>
          <w:tcPr>
            <w:tcW w:w="2700" w:type="dxa"/>
            <w:vAlign w:val="bottom"/>
            <w:gridSpan w:val="5"/>
          </w:tcPr>
          <w:p>
            <w:pPr>
              <w:spacing w:after="0"/>
              <w:rPr>
                <w:sz w:val="7"/>
                <w:szCs w:val="7"/>
                <w:color w:val="auto"/>
              </w:rPr>
            </w:pPr>
          </w:p>
        </w:tc>
        <w:tc>
          <w:tcPr>
            <w:tcW w:w="700" w:type="dxa"/>
            <w:vAlign w:val="bottom"/>
          </w:tcPr>
          <w:p>
            <w:pPr>
              <w:spacing w:after="0"/>
              <w:rPr>
                <w:sz w:val="7"/>
                <w:szCs w:val="7"/>
                <w:color w:val="auto"/>
              </w:rPr>
            </w:pPr>
          </w:p>
        </w:tc>
      </w:tr>
      <w:tr>
        <w:trPr>
          <w:trHeight w:val="290"/>
        </w:trPr>
        <w:tc>
          <w:tcPr>
            <w:tcW w:w="5500" w:type="dxa"/>
            <w:vAlign w:val="bottom"/>
            <w:gridSpan w:val="4"/>
          </w:tcPr>
          <w:p>
            <w:pPr>
              <w:ind w:left="20"/>
              <w:spacing w:after="0"/>
              <w:rPr>
                <w:sz w:val="20"/>
                <w:szCs w:val="20"/>
                <w:color w:val="auto"/>
              </w:rPr>
            </w:pPr>
            <w:r>
              <w:rPr>
                <w:rFonts w:ascii="Arial" w:cs="Arial" w:eastAsia="Arial" w:hAnsi="Arial"/>
                <w:sz w:val="18"/>
                <w:szCs w:val="18"/>
                <w:color w:val="auto"/>
                <w:w w:val="96"/>
              </w:rPr>
              <w:t>(a)  The  decrease  is  primarily  due  to  the  use  of  available  cash  to</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w w:val="95"/>
              </w:rPr>
              <w:t>retire  certain  high-coupon  senior</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notes  in</w:t>
            </w:r>
          </w:p>
        </w:tc>
      </w:tr>
      <w:tr>
        <w:trPr>
          <w:trHeight w:val="230"/>
        </w:trPr>
        <w:tc>
          <w:tcPr>
            <w:tcW w:w="20" w:type="dxa"/>
            <w:vAlign w:val="bottom"/>
          </w:tcPr>
          <w:p>
            <w:pPr>
              <w:spacing w:after="0"/>
              <w:rPr>
                <w:sz w:val="20"/>
                <w:szCs w:val="20"/>
                <w:color w:val="auto"/>
              </w:rPr>
            </w:pPr>
          </w:p>
        </w:tc>
        <w:tc>
          <w:tcPr>
            <w:tcW w:w="5480" w:type="dxa"/>
            <w:vAlign w:val="bottom"/>
            <w:gridSpan w:val="3"/>
          </w:tcPr>
          <w:p>
            <w:pPr>
              <w:ind w:left="320"/>
              <w:spacing w:after="0"/>
              <w:rPr>
                <w:sz w:val="20"/>
                <w:szCs w:val="20"/>
                <w:color w:val="auto"/>
              </w:rPr>
            </w:pPr>
            <w:r>
              <w:rPr>
                <w:rFonts w:ascii="Arial" w:cs="Arial" w:eastAsia="Arial" w:hAnsi="Arial"/>
                <w:sz w:val="18"/>
                <w:szCs w:val="18"/>
                <w:color w:val="auto"/>
              </w:rPr>
              <w:t>May 2021, which is discussed further in Note 3.</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94"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available-for-sale securities primarily relate to debt securities with maturities over the next nine years.</w:t>
      </w:r>
    </w:p>
    <w:p>
      <w:pPr>
        <w:spacing w:after="0" w:line="117" w:lineRule="exact"/>
        <w:rPr>
          <w:rFonts w:ascii="Arial" w:cs="Arial" w:eastAsia="Arial" w:hAnsi="Arial"/>
          <w:sz w:val="18"/>
          <w:szCs w:val="18"/>
          <w:color w:val="auto"/>
        </w:rPr>
      </w:pPr>
    </w:p>
    <w:p>
      <w:pPr>
        <w:jc w:val="both"/>
        <w:ind w:left="380" w:right="79" w:hanging="330"/>
        <w:spacing w:after="0" w:line="25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company comparable transactions.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See Note 8 for information related to the nonrecurring fair value measurement of assets and liabilities acquired in connection with our acquisition of Advanced Disposal. See Note 9 for information related to our nonrecurring fair value measurements and the impact of impairments.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September 30, 2021 and December 31, 2020, the carrying value of our debt was $13.0 billion and $13.8 billion, respectively. The estimated fair value of our debt was approximately $13.8 billion and $15.2 billion as of September 30, 2021 and December 31, 2020, respectively. The decrease in the fair value of debt is primarily related to net repayments of $809 million during 2021 and the replacement of debt balances with a relatively high fair value to carrying value ratio with new debt with a fair value that approximates carrying value (refer to Note 3 for additional information) and increases in current market rates of our senior notes.</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2021 and December 31, 2020. These amounts have not been revalued since those dates, and current estimates of fair value could differ significantly from the amounts presented.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Low-Income Housing Properties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do not consolidate our investments in entities established to manage low-income housing properties because we are not the primary beneficiary of these entities as we do not have the power to individually direct the activities of these entities. Accordingly, we account for these investments under the equity method of accounting. Our aggregate investment balance in these entities was $193 million and $228 million as of September 30, 2021 and December 31, 2020, respectively. The debt balance related to our investments in low-income housing properties was $169 million and $210 million as of September 30, 2021 and December 31, 2020, respectively.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$107 million and $106 million as of September 30, 2021 and December 31, 2020, respectively.</w:t>
      </w:r>
    </w:p>
    <w:p>
      <w:pPr>
        <w:spacing w:after="0" w:line="18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Consolidated Variable Interest Entities — </w:t>
      </w:r>
      <w:r>
        <w:rPr>
          <w:rFonts w:ascii="Arial" w:cs="Arial" w:eastAsia="Arial" w:hAnsi="Arial"/>
          <w:sz w:val="17"/>
          <w:szCs w:val="17"/>
          <w:color w:val="auto"/>
        </w:rPr>
        <w:t>Trust funds for which we are the sole beneficiary are consolidated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we are the primary beneficiary. These trust funds are recorded in restricted trust and escrow accounts in our Condensed Consolidated Balance Sheets. Unrealized gains and losses on available-for-sale securities held by these trusts are recorded as a component of accumulated other comprehensive income (loss). These trusts had a fair value of $117 million and $114 million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7" w:name="page28"/>
    <w:bookmarkEnd w:id="27"/>
    <w:p>
      <w:pPr>
        <w:ind w:left="60"/>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2020.</w:t>
      </w:r>
    </w:p>
    <w:p>
      <w:pPr>
        <w:spacing w:after="0" w:line="187" w:lineRule="exact"/>
        <w:rPr>
          <w:sz w:val="20"/>
          <w:szCs w:val="20"/>
          <w:color w:val="auto"/>
        </w:rPr>
      </w:pPr>
    </w:p>
    <w:p>
      <w:pPr>
        <w:jc w:val="both"/>
        <w:ind w:left="60" w:right="59" w:firstLine="389"/>
        <w:spacing w:after="0" w:line="283" w:lineRule="auto"/>
        <w:rPr>
          <w:sz w:val="20"/>
          <w:szCs w:val="20"/>
          <w:color w:val="auto"/>
        </w:rPr>
      </w:pPr>
      <w:r>
        <w:rPr>
          <w:rFonts w:ascii="Arial" w:cs="Arial" w:eastAsia="Arial" w:hAnsi="Arial"/>
          <w:sz w:val="16"/>
          <w:szCs w:val="16"/>
          <w:color w:val="auto"/>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 view or belief about current and future events, circumstances or performance. You should view these statements with caution. They are based on the facts and circumstances known to us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failure to successfully integrate the acquisition of Advanced Disposal Services, Inc. (“Advanced Disposal”), realize anticipated synergies or obtain other results anticipated from such acquisition;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labor disruptions and workforce-related regulations; significant storms and destructive climate events; public health risk and other impacts of COVID-19 or similar pandemic conditions, including increased costs, social and commercial disruption and service reductions; macroeconomic pressures and market disruption resulting in labor, supply chain and transportation constraints and inflationary cost pressure; increased competition; pricing actions; commodity price fluctuations;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system; failure to prevent, detect and address cybersecurity incidents or comply with privacy regulations; negative outcomes of litigation or governmental proceedings; decisions or developments that result in impairment charges and other risks discussed in our filings with the SEC, including Part I, Item 1A of our Annual Report on Form 10-K for the year ended December 31, 2020, as updated by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this quarterly report on Form 10-Q for the quarter ended September 30, 2021.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continues to be optimistic about volume recovery and overall economic recovery from the impacts of the COVID-19 pandemic. However, uncertainty remains with respect to various factors that influence the pace of economic recovery, including workforce regulation and the potential for future resurgence in transmission of COVID-19 and related business closures due to virus variants or otherwise. Such conditions could have an unanticipated adverse impact on our business. We assume no obligation to update any forward-looking statement, including financial estimates and forecasts, whether as a result of future events, circumstances or developments or otherwise.</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the U.S. and Canada.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or natural gas. Additionally, we are a leading recycler in the U.S. and Canada, handling materials that include paper, cardboard, glass, plastic and metal. Our “Solid Waste” business is operated and managed locally by our subsidiaries that focus on distinct geographic areas and provide collection, transfer, disposal,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8" w:name="page29"/>
    <w:bookmarkEnd w:id="28"/>
    <w:p>
      <w:pPr>
        <w:jc w:val="both"/>
        <w:ind w:left="60" w:right="59"/>
        <w:spacing w:after="0" w:line="257" w:lineRule="auto"/>
        <w:rPr>
          <w:sz w:val="20"/>
          <w:szCs w:val="20"/>
          <w:color w:val="auto"/>
        </w:rPr>
      </w:pPr>
      <w:r>
        <w:rPr>
          <w:rFonts w:ascii="Arial" w:cs="Arial" w:eastAsia="Arial" w:hAnsi="Arial"/>
          <w:sz w:val="18"/>
          <w:szCs w:val="18"/>
          <w:color w:val="auto"/>
        </w:rPr>
        <w:t>and recycling and resource recovery services. Consistent with our Company’s long-standing commitment to corporate sustainability and environmental stewardship, we published our 2021 Sustainability Report, which details our people-first commitment to help make the communities in which we live and work safe, resilient and sustainable. The information in this report can be found at https://sustainability.wm.com but does not constitute a part of, and is not incorporated by reference into this Quarterly Report on Form 10-Q.</w:t>
      </w:r>
    </w:p>
    <w:p>
      <w:pPr>
        <w:spacing w:after="0" w:line="18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below.</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Acquisition of Advanced Disposal</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October 30, 2020, we completed our acquisition of all outstanding shares of Advanced Disposal for $30.30 per share in cash, pursuant to an Agreement and Plan of Merger dated April 14, 2019, as amended on June 24, 2020. Total enterprise value of the acquisition was $4.6 billion when including approximately $1.8 billion of Advanced Disposal’s net debt. This acquisition grows our footprint and allows us to provide differentiated, sustainable waste management and recycling services to approximately three million new commercial, industrial and residential customers primarily located in the Eastern half of the U.S. The acquisition was funded using a $3.0 billion, 364-day, U.S. revolving credit facility and our commercial paper program. In November 2020, we issued $2.5 billion of senior notes and used a portion of the proceeds to repay all outstanding borrowings under the $3.0 billion, 364-day, U.S. revolver and terminated the facility. As a result of the acquisition we recorded $4.1 billion of net assets including $2.5 billion of goodwill as of December 31, 2020. Post-closing adjustments to our preliminary purchase price allocation have not been material. See Note 8 to the Condensed Consolidated Financial Statements for more information. During 2021, we have made significant progress on our integration of Advanced Disposal. The focus of these efforts has been to ensure that we continue to provide uninterrupted service to our customers through the integration of certain customer facing and back office digital platforms.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79" w:firstLine="324"/>
        <w:spacing w:after="0" w:line="296" w:lineRule="auto"/>
        <w:rPr>
          <w:sz w:val="20"/>
          <w:szCs w:val="20"/>
          <w:color w:val="auto"/>
        </w:rPr>
      </w:pPr>
      <w:r>
        <w:rPr>
          <w:rFonts w:ascii="Arial" w:cs="Arial" w:eastAsia="Arial" w:hAnsi="Arial"/>
          <w:sz w:val="16"/>
          <w:szCs w:val="16"/>
          <w:color w:val="auto"/>
        </w:rPr>
        <w:t>Throughout the COVID-19 pandemic, the Company has proactively taken steps to put our employees’ and customers’ needs first and we continue to work with the appropriate regulatory agencies to ensure we can provide our essential services safely and efficiently. We continue to operate with a focus on protecting the health and safety of our employees and maintaining business continuity for our customers. These efforts, combined with our disciplined execution in our daily operations, have positioned the Company to prudently manage the challenges presented by COVID-19.</w:t>
      </w:r>
    </w:p>
    <w:p>
      <w:pPr>
        <w:spacing w:after="0" w:line="161"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impacts of COVID-19 on the global economy increased rapidly during the second quarter of 2020, affecting our business in most geographies and across a variety of our customer types. Over the last year, our volumes have been recovering from the sharp decline experienced in April 2020 as a result of COVID-19. The pace of recovery in our volumes accelerated in the second quarter of 2021, and continued into the third quarter of 2021 with minimal impact from the resurgence in transmission of COVID-19 as communities and businesses remained open. The portions of our business that had the most pronounced decreases in volume due to the pandemic were our industrial and commercial collection businesses and construction and demolition and special waste volumes at our landfills. As we completed the third quarter of 2021, volumes in each of these lines of business were either on par with pre-pandemic levels or have now surpassed 2019 volumes. We continue to be optimistic about our volume recovery and overall economic recovery from the impacts of the COVID-19 pandemic. However, uncertainty remains with respect to various factors that influence the pace 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29" w:name="page30"/>
    <w:bookmarkEnd w:id="29"/>
    <w:p>
      <w:pPr>
        <w:jc w:val="both"/>
        <w:ind w:left="60" w:right="59"/>
        <w:spacing w:after="0" w:line="263" w:lineRule="auto"/>
        <w:rPr>
          <w:sz w:val="20"/>
          <w:szCs w:val="20"/>
          <w:color w:val="auto"/>
        </w:rPr>
      </w:pPr>
      <w:r>
        <w:rPr>
          <w:rFonts w:ascii="Arial" w:cs="Arial" w:eastAsia="Arial" w:hAnsi="Arial"/>
          <w:sz w:val="18"/>
          <w:szCs w:val="18"/>
          <w:color w:val="auto"/>
        </w:rPr>
        <w:t>economic recovery, including workforce regulation and the potential for future resurgence in transmission of COVID-19 and related business closures due to virus variants or otherwise. Such conditions could adversely impact our volumes and costs in the future.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fundamental strategy has not changed; we remain dedicated to providing long-term value to our stockholders by successfully executing our core strategy of focused differentiation and continuous improvement. As North America’s leading provider of comprehensive waste management environmental services, sustainability and environmental stewardship is embedded in all that we do. We have enabled a people-first, technology-led focus to drive our mission, that we are Always Working for a Sustainable Tomorrow.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enhancements to our digital platform, process improvement and operational efficiency will deliver on the Company’s strategy of continuous improvement and yield an attractive total cost structure and enhanced service quality. While we will continue to evaluate emerging diversion technologies that may generate additional value and related market dynamics, we are improving existing diversion technologies, such as our recycling operations.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and expanding our renewable energy projects to meet the evolving needs of our diverse customer base. As the leading environmental services provider in North America, we have a responsibility to take big, bold steps that catalyze positive change – change that impacts our Company and beyond. Our sustainability agenda includes expanding recycling and focuses on meeting or exceeding specific 2025 and 2038 sustainability goals around people, customers, the environment, and community, which align around eight of the United Nations Sustainable Development Goals.</w:t>
      </w:r>
    </w:p>
    <w:p>
      <w:pPr>
        <w:spacing w:after="0" w:line="17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including the impact of COVID-19, can and have caused customers to reduce their service needs. Such negative economic conditions, in addition to competitor actions, can and have made it more challenging to implement our pricing strategy and negotiate, renew or expand service contracts with acceptable margins.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a heightened pace of inflation. Volume changes can fluctuate dramatically by line of business and volume changes in higher margin businesses, such as what we saw with COVID-19, can impact key financial metrics. We must dynamically manage our cost structure in response to volume and cost inflation.</w:t>
      </w:r>
    </w:p>
    <w:p>
      <w:pPr>
        <w:spacing w:after="0" w:line="184"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We believe the Company’s industry-leading asset network and strategic focus on investing in our people and our digital platform will give the Company the necessary tools to address the evolving challenges impacting the Company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0" w:name="page31"/>
    <w:bookmarkEnd w:id="30"/>
    <w:p>
      <w:pPr>
        <w:jc w:val="both"/>
        <w:ind w:left="60" w:right="59"/>
        <w:spacing w:after="0" w:line="275" w:lineRule="auto"/>
        <w:rPr>
          <w:sz w:val="20"/>
          <w:szCs w:val="20"/>
          <w:color w:val="auto"/>
        </w:rPr>
      </w:pPr>
      <w:r>
        <w:rPr>
          <w:rFonts w:ascii="Arial" w:cs="Arial" w:eastAsia="Arial" w:hAnsi="Arial"/>
          <w:sz w:val="17"/>
          <w:szCs w:val="17"/>
          <w:color w:val="auto"/>
        </w:rPr>
        <w:t>our industry. In line with our commitment to continuous improvement and a differentiated customer experience, we remain focused on our customer service digitalization initiative to change the way we interact with our customers. Enhancements made through this initiative are designed to seamlessly and digitally connect all the Company’s functions required to service our customers in order to provide the best experience and service. Additionally, we continue to make meaningful progress on the implementation of our new enterprise resource planning system.</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Certain macroeconomic pressures and market disruption, driven in part by the COVID-19 pandemic, have intensified during the third quarter of 2021. The constrained labor market has resulted in increased cost and operational challenges servicing customers. The COVID-19 pandemic and the constrained labor market have also contributed to significant global supply chain disruption and inflationary pressure for the goods and services we purchase. Aspects of our business rely on third-party transportation providers, and such services have become more limited and expensive. We are currently experiencing margin pressures from rising commodities prices, particularly in our recycling brokerage services, and are being impacted by labor cost pressures resulting from limitations on labor availability, including increased wages, increased overtime and training hours driven by frontline employee turnover and increased volume. As costs increase, we focus on our strategic pricing efforts, as well as operating efficiencies and cost controls, to maintain and grow our earnings and cash flow. With increased pressure from the strong economic recovery, particularly on labor, we remain focused on putting our people first to ensure that they are well positioned to diligently and safely execute our daily operations. We are encouraged by our results for the first nine months of 2021 and remain focused on delivering outstanding customer service, managing our variable costs with changing volumes and investing in technology that will enhance our customers’ experience and reduce our cost to serve.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third quarter of 2021, we delivered strong revenue and income from operations as we continued to experience volume recovery in our landfill, commercial and industrial collection businesses and benefited from the acquisition of Advanced Disposal. Additionally, our income from operations was impacted by inflationary cost pressures and commodity-driven business impacts, particularly in our recycling brokerage services. We experienced strong cash flows during the quarter, allocating $741 million to our shareholders through dividends and share repurchases and $464 million of available cash to capital expenditures.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elements of our financial results for the third quarter include:</w:t>
      </w:r>
    </w:p>
    <w:p>
      <w:pPr>
        <w:spacing w:after="0" w:line="117" w:lineRule="exact"/>
        <w:rPr>
          <w:sz w:val="20"/>
          <w:szCs w:val="20"/>
          <w:color w:val="auto"/>
        </w:rPr>
      </w:pPr>
    </w:p>
    <w:p>
      <w:pPr>
        <w:jc w:val="both"/>
        <w:ind w:left="720" w:right="79" w:hanging="319"/>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of $4,665 million, compared with $3,861 million in the prior year period, an increase of $804 million, or 20.8%. The increase is primarily attributable to (i) the acquisition of Advanced Disposal; (ii) record-high increases in the market prices for recycling commodities we sell; (iii) strong volume growth and (iv) higher yield in our collection and disposal lines of business;</w:t>
      </w:r>
    </w:p>
    <w:p>
      <w:pPr>
        <w:spacing w:after="0" w:line="78"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expenses of $2,906 million, or 62.3% of revenues, compared with $2,332 million, or 60.4% of revenues, in the prior year period. The $574 million increase is primarily attributable to (i) increased volumes from the acquisition of Advanced Disposal; (ii) volume recovery from the pandemic; (iii) labor inflation – we have experienced 9% wage inflation during the period and (iv) supply chain induced inflation. Additionally, we saw increases in our operating expense as a percentage of revenue from commodity-driven business impacts, particularly in our recycling brokerage services;</w:t>
      </w:r>
    </w:p>
    <w:p>
      <w:pPr>
        <w:spacing w:after="0" w:line="84"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general and administrative expenses of $469 million, or 10.1% of revenues, compared with $416 million, or 10.8% of revenues, in the prior year period. The $53 million increase is primarily attributable to (i) increased labor, support and integration costs from our acquisition of Advanced Disposal; (ii) higher incentive compensation costs; (iii) strategic investments in our digital platform and (iv) an increase in our provision for bad debts;</w:t>
      </w:r>
    </w:p>
    <w:p>
      <w:pPr>
        <w:spacing w:after="0" w:line="79" w:lineRule="exact"/>
        <w:rPr>
          <w:rFonts w:ascii="Arial" w:cs="Arial" w:eastAsia="Arial" w:hAnsi="Arial"/>
          <w:sz w:val="18"/>
          <w:szCs w:val="18"/>
          <w:color w:val="auto"/>
        </w:rPr>
      </w:pPr>
    </w:p>
    <w:p>
      <w:pPr>
        <w:jc w:val="both"/>
        <w:ind w:left="720" w:right="79" w:hanging="319"/>
        <w:spacing w:after="0" w:line="296"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Income from operations was $806 million, or 17.3% of revenues, compared with $680 million, or 17.6% of revenues, in the prior year period. The improved earnings in the current year are driven by (i) strong operating results in our collection and disposal business; (ii) improved profitability in our recycling business and (iii) a pre-tax gain from the recognition of cumulative translation adjustments on the divestiture of certain non-strategic Canadian operations. The increase in income from operations was partially offset by (i) labor cost pressure from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1" w:name="page32"/>
    <w:bookmarkEnd w:id="31"/>
    <w:p>
      <w:pPr>
        <w:jc w:val="both"/>
        <w:ind w:left="720" w:right="79"/>
        <w:spacing w:after="0" w:line="273" w:lineRule="auto"/>
        <w:rPr>
          <w:sz w:val="20"/>
          <w:szCs w:val="20"/>
          <w:color w:val="auto"/>
        </w:rPr>
      </w:pPr>
      <w:r>
        <w:rPr>
          <w:rFonts w:ascii="Arial" w:cs="Arial" w:eastAsia="Arial" w:hAnsi="Arial"/>
          <w:sz w:val="17"/>
          <w:szCs w:val="17"/>
          <w:color w:val="auto"/>
        </w:rPr>
        <w:t>frontline employee wage adjustments, increased turnover driving up training costs and accelerated overtime due to driver shortages and volume growth; (ii) inflationary cost pressures and (iii) an amortization charge due to management’s decision to close a landfill earlier than expected. Additionally, our commodity-driven business impacts pressured our percentage of revenues, particularly in our recycling brokerage services. During the current year period, the positive earnings contributions from Advanced Disposal were offset by elevated depreciation and amortization of acquired assets;</w:t>
      </w:r>
    </w:p>
    <w:p>
      <w:pPr>
        <w:spacing w:after="0" w:line="70" w:lineRule="exact"/>
        <w:rPr>
          <w:sz w:val="20"/>
          <w:szCs w:val="20"/>
          <w:color w:val="auto"/>
        </w:rPr>
      </w:pPr>
    </w:p>
    <w:p>
      <w:pPr>
        <w:jc w:val="both"/>
        <w:ind w:left="720" w:right="79" w:hanging="319"/>
        <w:spacing w:after="0" w:line="259"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attributable to Waste Management, Inc. was $538 million, or $1.28 per diluted share, compared with $390 million, or $0.92 per diluted share, in the prior year period. The increase in income from operations discussed above, in addition to a prior year period loss on early extinguishment of debt and lower interest expense in the current year period, drove an increase in net income for the period;</w:t>
      </w:r>
    </w:p>
    <w:p>
      <w:pPr>
        <w:spacing w:after="0" w:line="78"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cash provided by operating activities was $1,184 million compared with $1,029 million in the prior year period, driven by (i) an increase in earnings; (ii) lower interest payments in the current quarter and (iii) system and process improvements that contributed to a significant improvement in our days-to-pay metrics. This increase was partially offset by unfavorable year-over-year comparisons attributable to decisions made in the third quarter of 2020 to temporarily defer the payment of payroll taxes and estimated income taxes; and</w:t>
      </w:r>
    </w:p>
    <w:p>
      <w:pPr>
        <w:spacing w:after="0" w:line="68" w:lineRule="exact"/>
        <w:rPr>
          <w:rFonts w:ascii="Arial" w:cs="Arial" w:eastAsia="Arial" w:hAnsi="Arial"/>
          <w:sz w:val="17"/>
          <w:szCs w:val="17"/>
          <w:color w:val="auto"/>
        </w:rPr>
      </w:pPr>
    </w:p>
    <w:p>
      <w:pPr>
        <w:jc w:val="both"/>
        <w:ind w:left="720" w:right="79" w:hanging="319"/>
        <w:spacing w:after="0" w:line="293"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Free cash flow was $773 million compared with $691 million in the prior year period primarily driven by the increase in net cash provided by operating activities discussed above and higher proceeds from divestitures of businesses. These increases were partially offset by higher capital spending, as the Company proactively managed costs during the pandemic in 2020. Free cash flow is a non-GAAP measure of liquidity. Refer to </w:t>
      </w:r>
      <w:r>
        <w:rPr>
          <w:rFonts w:ascii="Arial" w:cs="Arial" w:eastAsia="Arial" w:hAnsi="Arial"/>
          <w:sz w:val="16"/>
          <w:szCs w:val="16"/>
          <w:i w:val="1"/>
          <w:iCs w:val="1"/>
          <w:color w:val="auto"/>
        </w:rPr>
        <w:t>Free Cash Flow</w:t>
      </w:r>
      <w:r>
        <w:rPr>
          <w:rFonts w:ascii="Arial" w:cs="Arial" w:eastAsia="Arial" w:hAnsi="Arial"/>
          <w:sz w:val="16"/>
          <w:szCs w:val="16"/>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Areas. In the second quarter of 2021, we combined our Eastern and Western Canada Areas reducing the number of Areas we manage from 17 to 16. We also provide additional services that are not managed through our Solid Waste business, including our Strategic Business Solutions (“WMSBS”) and Energy and Environmental Services (“EES”) businesses, recycling brokerage services, landfill gas-to-energy services and certain other expanded service offerings and solutions. The mix of operating revenues from our major lines of business is reflected in the table below (in millions):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2021</w:t>
            </w:r>
          </w:p>
        </w:tc>
        <w:tc>
          <w:tcPr>
            <w:tcW w:w="7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3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1,214</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Residential</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 collection</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2,978</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Landfill</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Recycling</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Intercompany (b)</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(2,393)</w:t>
            </w: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$ 3,861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13,253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11,151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301"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“Other” line of business includes (i) certain services provided by our WMSBS business; (ii) our landfill gas-to-energy operations; (iii) certain services within our EES business, including our construction and remediation services and our services associated with the disposal of fly ash and (iv) certain other expanded service offerings and solutions. In addition, our “Other” line of business reflects the results of non-operating entities that provide financial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2" w:name="page33"/>
    <w:bookmarkEnd w:id="32"/>
    <w:p>
      <w:pPr>
        <w:jc w:val="both"/>
        <w:ind w:left="380" w:right="79"/>
        <w:spacing w:after="0" w:line="263" w:lineRule="auto"/>
        <w:rPr>
          <w:sz w:val="20"/>
          <w:szCs w:val="20"/>
          <w:color w:val="auto"/>
        </w:rPr>
      </w:pPr>
      <w:r>
        <w:rPr>
          <w:rFonts w:ascii="Arial" w:cs="Arial" w:eastAsia="Arial" w:hAnsi="Arial"/>
          <w:sz w:val="18"/>
          <w:szCs w:val="18"/>
          <w:color w:val="auto"/>
        </w:rPr>
        <w:t>assurance and self-insurance support for our Solid Waste business, net of intercompany activity. Revenue attributable to collection, landfill, transfer and recycling services provided by our “Other” businesses has been reflected as a component of the relevant line of business for purposes of presentation in this table.</w:t>
      </w:r>
    </w:p>
    <w:p>
      <w:pPr>
        <w:spacing w:after="0" w:line="76" w:lineRule="exact"/>
        <w:rPr>
          <w:sz w:val="20"/>
          <w:szCs w:val="20"/>
          <w:color w:val="auto"/>
        </w:rPr>
      </w:pPr>
    </w:p>
    <w:p>
      <w:pPr>
        <w:ind w:left="380" w:right="79" w:hanging="330"/>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80" w:type="dxa"/>
            <w:vAlign w:val="bottom"/>
            <w:gridSpan w:val="9"/>
          </w:tcPr>
          <w:p>
            <w:pPr>
              <w:jc w:val="center"/>
              <w:ind w:right="670"/>
              <w:spacing w:after="0"/>
              <w:rPr>
                <w:sz w:val="20"/>
                <w:szCs w:val="20"/>
                <w:color w:val="auto"/>
              </w:rPr>
            </w:pPr>
            <w:r>
              <w:rPr>
                <w:rFonts w:ascii="Arial" w:cs="Arial" w:eastAsia="Arial" w:hAnsi="Arial"/>
                <w:sz w:val="14"/>
                <w:szCs w:val="14"/>
                <w:b w:val="1"/>
                <w:bCs w:val="1"/>
                <w:color w:val="auto"/>
                <w:w w:val="93"/>
              </w:rPr>
              <w:t>Period-to-Period Change 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gridSpan w:val="10"/>
          </w:tcPr>
          <w:p>
            <w:pPr>
              <w:jc w:val="center"/>
              <w:ind w:right="51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left="65"/>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6"/>
          </w:tcPr>
          <w:p>
            <w:pPr>
              <w:jc w:val="center"/>
              <w:ind w:left="185"/>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80" w:type="dxa"/>
            <w:vAlign w:val="bottom"/>
            <w:gridSpan w:val="9"/>
          </w:tcPr>
          <w:p>
            <w:pPr>
              <w:jc w:val="center"/>
              <w:ind w:right="690"/>
              <w:spacing w:after="0"/>
              <w:rPr>
                <w:sz w:val="20"/>
                <w:szCs w:val="20"/>
                <w:color w:val="auto"/>
              </w:rPr>
            </w:pPr>
            <w:r>
              <w:rPr>
                <w:rFonts w:ascii="Arial" w:cs="Arial" w:eastAsia="Arial" w:hAnsi="Arial"/>
                <w:sz w:val="14"/>
                <w:szCs w:val="14"/>
                <w:b w:val="1"/>
                <w:bCs w:val="1"/>
                <w:color w:val="auto"/>
                <w:w w:val="90"/>
              </w:rPr>
              <w:t>September 30, 2021 vs. 2020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9"/>
          </w:tcPr>
          <w:p>
            <w:pPr>
              <w:jc w:val="center"/>
              <w:ind w:right="670"/>
              <w:spacing w:after="0"/>
              <w:rPr>
                <w:sz w:val="20"/>
                <w:szCs w:val="20"/>
                <w:color w:val="auto"/>
              </w:rPr>
            </w:pPr>
            <w:r>
              <w:rPr>
                <w:rFonts w:ascii="Arial" w:cs="Arial" w:eastAsia="Arial" w:hAnsi="Arial"/>
                <w:sz w:val="14"/>
                <w:szCs w:val="14"/>
                <w:b w:val="1"/>
                <w:bCs w:val="1"/>
                <w:color w:val="auto"/>
                <w:w w:val="90"/>
              </w:rPr>
              <w:t>September 30, 2021 vs. 2020</w:t>
            </w: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right"/>
              <w:ind w:right="350"/>
              <w:spacing w:after="0" w:line="119" w:lineRule="exact"/>
              <w:rPr>
                <w:sz w:val="20"/>
                <w:szCs w:val="20"/>
                <w:color w:val="auto"/>
              </w:rPr>
            </w:pPr>
            <w:r>
              <w:rPr>
                <w:rFonts w:ascii="Arial" w:cs="Arial" w:eastAsia="Arial" w:hAnsi="Arial"/>
                <w:sz w:val="13"/>
                <w:szCs w:val="13"/>
                <w:b w:val="1"/>
                <w:bCs w:val="1"/>
                <w:color w:val="auto"/>
              </w:rPr>
              <w:t>As a % of</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110"/>
              <w:spacing w:after="0" w:line="119" w:lineRule="exact"/>
              <w:rPr>
                <w:sz w:val="20"/>
                <w:szCs w:val="20"/>
                <w:color w:val="auto"/>
              </w:rPr>
            </w:pPr>
            <w:r>
              <w:rPr>
                <w:rFonts w:ascii="Arial" w:cs="Arial" w:eastAsia="Arial" w:hAnsi="Arial"/>
                <w:sz w:val="13"/>
                <w:szCs w:val="13"/>
                <w:b w:val="1"/>
                <w:bCs w:val="1"/>
                <w:color w:val="auto"/>
              </w:rPr>
              <w:t>As a % of</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100" w:type="dxa"/>
            <w:vAlign w:val="bottom"/>
            <w:gridSpan w:val="3"/>
          </w:tcPr>
          <w:p>
            <w:pPr>
              <w:jc w:val="right"/>
              <w:ind w:right="430"/>
              <w:spacing w:after="0" w:line="149" w:lineRule="exact"/>
              <w:rPr>
                <w:sz w:val="20"/>
                <w:szCs w:val="20"/>
                <w:color w:val="auto"/>
              </w:rPr>
            </w:pPr>
            <w:r>
              <w:rPr>
                <w:rFonts w:ascii="Arial" w:cs="Arial" w:eastAsia="Arial" w:hAnsi="Arial"/>
                <w:sz w:val="14"/>
                <w:szCs w:val="14"/>
                <w:b w:val="1"/>
                <w:bCs w:val="1"/>
                <w:color w:val="auto"/>
              </w:rPr>
              <w:t>Related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8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Related</w:t>
            </w:r>
          </w:p>
        </w:tc>
        <w:tc>
          <w:tcPr>
            <w:tcW w:w="60" w:type="dxa"/>
            <w:vAlign w:val="bottom"/>
          </w:tcPr>
          <w:p>
            <w:pPr>
              <w:spacing w:after="0"/>
              <w:rPr>
                <w:sz w:val="12"/>
                <w:szCs w:val="12"/>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9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720" w:type="dxa"/>
            <w:vAlign w:val="bottom"/>
            <w:gridSpan w:val="6"/>
          </w:tcPr>
          <w:p>
            <w:pPr>
              <w:ind w:left="140"/>
              <w:spacing w:after="0"/>
              <w:rPr>
                <w:sz w:val="20"/>
                <w:szCs w:val="20"/>
                <w:color w:val="auto"/>
              </w:rPr>
            </w:pPr>
            <w:r>
              <w:rPr>
                <w:rFonts w:ascii="Arial" w:cs="Arial" w:eastAsia="Arial" w:hAnsi="Arial"/>
                <w:sz w:val="14"/>
                <w:szCs w:val="14"/>
                <w:b w:val="1"/>
                <w:bCs w:val="1"/>
                <w:color w:val="auto"/>
              </w:rPr>
              <w:t>Business(a)   Amount</w:t>
            </w:r>
          </w:p>
        </w:tc>
        <w:tc>
          <w:tcPr>
            <w:tcW w:w="106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w w:val="95"/>
              </w:rPr>
              <w:t>Company(b)</w:t>
            </w: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Business(a)</w:t>
            </w:r>
          </w:p>
        </w:tc>
        <w:tc>
          <w:tcPr>
            <w:tcW w:w="6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020" w:type="dxa"/>
            <w:vAlign w:val="bottom"/>
            <w:gridSpan w:val="3"/>
          </w:tcPr>
          <w:p>
            <w:pPr>
              <w:jc w:val="center"/>
              <w:ind w:right="10"/>
              <w:spacing w:after="0"/>
              <w:rPr>
                <w:sz w:val="20"/>
                <w:szCs w:val="20"/>
                <w:color w:val="auto"/>
              </w:rPr>
            </w:pPr>
            <w:r>
              <w:rPr>
                <w:rFonts w:ascii="Arial" w:cs="Arial" w:eastAsia="Arial" w:hAnsi="Arial"/>
                <w:sz w:val="14"/>
                <w:szCs w:val="14"/>
                <w:b w:val="1"/>
                <w:bCs w:val="1"/>
                <w:color w:val="auto"/>
                <w:w w:val="93"/>
              </w:rPr>
              <w:t>Company(b)</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Recycling (c)</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180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mandated fees</w:t>
            </w:r>
          </w:p>
        </w:tc>
        <w:tc>
          <w:tcPr>
            <w:tcW w:w="1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220"/>
              <w:spacing w:after="0"/>
              <w:rPr>
                <w:sz w:val="20"/>
                <w:szCs w:val="20"/>
                <w:color w:val="auto"/>
              </w:rPr>
            </w:pPr>
            <w:r>
              <w:rPr>
                <w:rFonts w:ascii="Arial" w:cs="Arial" w:eastAsia="Arial" w:hAnsi="Arial"/>
                <w:sz w:val="18"/>
                <w:szCs w:val="18"/>
                <w:color w:val="auto"/>
              </w:rPr>
              <w:t>Total average yield (d)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354</w:t>
            </w: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220"/>
              <w:spacing w:after="0"/>
              <w:rPr>
                <w:sz w:val="20"/>
                <w:szCs w:val="20"/>
                <w:color w:val="auto"/>
              </w:rPr>
            </w:pPr>
            <w:r>
              <w:rPr>
                <w:rFonts w:ascii="Arial" w:cs="Arial" w:eastAsia="Arial" w:hAnsi="Arial"/>
                <w:sz w:val="18"/>
                <w:szCs w:val="18"/>
                <w:color w:val="auto"/>
                <w:w w:val="97"/>
              </w:rPr>
              <w:t>Internal revenue growth</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impact of commodity price variability and changes in fees.</w:t>
      </w:r>
    </w:p>
    <w:p>
      <w:pPr>
        <w:spacing w:after="0" w:line="117" w:lineRule="exact"/>
        <w:rPr>
          <w:rFonts w:ascii="Arial" w:cs="Arial" w:eastAsia="Arial" w:hAnsi="Arial"/>
          <w:sz w:val="18"/>
          <w:szCs w:val="18"/>
          <w:color w:val="auto"/>
        </w:rPr>
      </w:pPr>
    </w:p>
    <w:p>
      <w:pPr>
        <w:ind w:left="380" w:right="179" w:hanging="330"/>
        <w:spacing w:after="0" w:line="530"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amounts reported herein represent the changes in our revenue attributable to average yield for the total Company. The following provides further details associated with our period-to-period change in revenues: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Collection and Disposal Average Yield </w:t>
      </w:r>
      <w:r>
        <w:rPr>
          <w:rFonts w:ascii="Arial" w:cs="Arial" w:eastAsia="Arial" w:hAnsi="Arial"/>
          <w:sz w:val="16"/>
          <w:szCs w:val="16"/>
          <w:color w:val="auto"/>
        </w:rPr>
        <w:t>— This measure reflects the effect on our revenue from the pricing activities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 w:name="page34"/>
    <w:bookmarkEnd w:id="33"/>
    <w:p>
      <w:pPr>
        <w:ind w:left="380"/>
        <w:spacing w:after="0"/>
        <w:rPr>
          <w:sz w:val="20"/>
          <w:szCs w:val="20"/>
          <w:color w:val="auto"/>
        </w:rPr>
      </w:pPr>
      <w:r>
        <w:rPr>
          <w:rFonts w:ascii="Arial" w:cs="Arial" w:eastAsia="Arial" w:hAnsi="Arial"/>
          <w:sz w:val="17"/>
          <w:szCs w:val="17"/>
          <w:color w:val="auto"/>
        </w:rPr>
        <w:t>The details of our revenue growth from collection and disposal average yield are as follows (dollars in millions):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38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3"/>
              </w:rPr>
              <w:t>Period-to-Period Change for the</w:t>
            </w:r>
          </w:p>
        </w:tc>
        <w:tc>
          <w:tcPr>
            <w:tcW w:w="2280" w:type="dxa"/>
            <w:vAlign w:val="bottom"/>
            <w:gridSpan w:val="5"/>
          </w:tcPr>
          <w:p>
            <w:pPr>
              <w:jc w:val="center"/>
              <w:ind w:right="50"/>
              <w:spacing w:after="0"/>
              <w:rPr>
                <w:sz w:val="20"/>
                <w:szCs w:val="20"/>
                <w:color w:val="auto"/>
              </w:rPr>
            </w:pPr>
            <w:r>
              <w:rPr>
                <w:rFonts w:ascii="Arial" w:cs="Arial" w:eastAsia="Arial" w:hAnsi="Arial"/>
                <w:sz w:val="14"/>
                <w:szCs w:val="14"/>
                <w:b w:val="1"/>
                <w:bCs w:val="1"/>
                <w:color w:val="auto"/>
                <w:w w:val="93"/>
              </w:rPr>
              <w:t>Period-to-Period Change for the</w:t>
            </w: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31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2"/>
                <w:szCs w:val="12"/>
                <w:color w:val="auto"/>
              </w:rPr>
            </w:pPr>
          </w:p>
        </w:tc>
        <w:tc>
          <w:tcPr>
            <w:tcW w:w="214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91"/>
              </w:rPr>
              <w:t>September 30, 2021 vs. 2020</w:t>
            </w:r>
          </w:p>
        </w:tc>
        <w:tc>
          <w:tcPr>
            <w:tcW w:w="140" w:type="dxa"/>
            <w:vAlign w:val="bottom"/>
          </w:tcPr>
          <w:p>
            <w:pPr>
              <w:spacing w:after="0"/>
              <w:rPr>
                <w:sz w:val="14"/>
                <w:szCs w:val="14"/>
                <w:color w:val="auto"/>
              </w:rPr>
            </w:pPr>
          </w:p>
        </w:tc>
        <w:tc>
          <w:tcPr>
            <w:tcW w:w="214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90"/>
              </w:rPr>
              <w:t>September 30, 2021 vs. 2020</w:t>
            </w:r>
          </w:p>
        </w:tc>
      </w:tr>
      <w:tr>
        <w:trPr>
          <w:trHeight w:val="119"/>
        </w:trPr>
        <w:tc>
          <w:tcPr>
            <w:tcW w:w="4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0"/>
              </w:rPr>
              <w:t>Related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0"/>
              </w:rPr>
              <w:t>Related</w:t>
            </w:r>
          </w:p>
        </w:tc>
      </w:tr>
      <w:tr>
        <w:trPr>
          <w:trHeight w:val="17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6"/>
              </w:rPr>
              <w:t>Business</w:t>
            </w:r>
          </w:p>
        </w:tc>
        <w:tc>
          <w:tcPr>
            <w:tcW w:w="14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0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3"/>
              </w:rPr>
              <w:t>Business</w:t>
            </w: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5"/>
              </w:rPr>
              <w:t>4.0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w w:val="95"/>
              </w:rPr>
              <w:t>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5"/>
              </w:rPr>
              <w:t>5.0</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220" w:type="dxa"/>
            <w:vAlign w:val="bottom"/>
            <w:gridSpan w:val="2"/>
          </w:tcPr>
          <w:p>
            <w:pPr>
              <w:ind w:left="960"/>
              <w:spacing w:after="0"/>
              <w:rPr>
                <w:sz w:val="20"/>
                <w:szCs w:val="20"/>
                <w:color w:val="auto"/>
              </w:rPr>
            </w:pPr>
            <w:r>
              <w:rPr>
                <w:rFonts w:ascii="Arial" w:cs="Arial" w:eastAsia="Arial" w:hAnsi="Arial"/>
                <w:sz w:val="18"/>
                <w:szCs w:val="18"/>
                <w:color w:val="auto"/>
                <w:w w:val="95"/>
              </w:rPr>
              <w:t>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5"/>
              </w:rPr>
              <w:t>2.0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Transfer</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20" w:type="dxa"/>
            <w:vAlign w:val="bottom"/>
            <w:tcBorders>
              <w:bottom w:val="single" w:sz="8" w:color="CCEEFF"/>
            </w:tcBorders>
            <w:gridSpan w:val="2"/>
          </w:tcPr>
          <w:p>
            <w:pPr>
              <w:ind w:left="960"/>
              <w:spacing w:after="0"/>
              <w:rPr>
                <w:sz w:val="20"/>
                <w:szCs w:val="20"/>
                <w:color w:val="auto"/>
              </w:rPr>
            </w:pPr>
            <w:r>
              <w:rPr>
                <w:rFonts w:ascii="Arial" w:cs="Arial" w:eastAsia="Arial" w:hAnsi="Arial"/>
                <w:sz w:val="18"/>
                <w:szCs w:val="18"/>
                <w:color w:val="auto"/>
                <w:w w:val="95"/>
              </w:rPr>
              <w:t>2.5</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CCEEFF"/>
            </w:tcBorders>
            <w:gridSpan w:val="2"/>
          </w:tcPr>
          <w:p>
            <w:pPr>
              <w:ind w:left="94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r>
      <w:tr>
        <w:trPr>
          <w:trHeight w:val="210"/>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8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3.5 %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38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8"/>
                <w:szCs w:val="18"/>
                <w:color w:val="auto"/>
                <w:w w:val="91"/>
              </w:rPr>
              <w:t>3.3 %</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Our overall strategic pricing efforts are focused on improving our average unit rate as well as recovering any inflationary cost increases. We experienced strong average yield growth in our collection line of business of 4.4% and 4.1% for the three and nine months ended September 30, 2021, respectively, as compared with the prior year periods. We are driving improvements in our residential line of business, aligning the price charged for services we provide to our customers with the costs to provide the services, which has increased our average yield 5.0% and 4.7% for the three and nine months ended September 30, 2021, respectively, as compared with the prior year periods. We are also continuing to see growth in our landfill and transfer businesses with our municipal solid waste business experiencing 3.5% and 3.0% average yield growth for the three and nine months ended September 30, 2021, respectively, as compared with the prior year periods.</w:t>
      </w:r>
    </w:p>
    <w:p>
      <w:pPr>
        <w:spacing w:after="0" w:line="19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Recycling </w:t>
      </w:r>
      <w:r>
        <w:rPr>
          <w:rFonts w:ascii="Arial" w:cs="Arial" w:eastAsia="Arial" w:hAnsi="Arial"/>
          <w:sz w:val="17"/>
          <w:szCs w:val="17"/>
          <w:color w:val="auto"/>
        </w:rPr>
        <w:t>— Recycling revenue increased $180 million and $361 million for the three months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respectively, as compared with the prior year periods primarily from higher market prices for recycling commodities. During the three and nine months ended September 30, 2021, average market prices for recycling commodities at the Company’s facilities were approximately 160% and 115% higher, respectively, as compared to the prior year periods. We currently expect the year-over-year increase to continue for the remainder of 2021 as we see strong demand for recycled materials outpacing supply, driven by the growth in e-commerce, businesses re-opening, and manufacturers committing to use more recycled content in their packaging. We have also maintained our focus on converting to a fee-based pricing model that ensures fees paid by customers address the cost of processing materials and the impact on our cost structure of managing contamination in the recycling stream.</w:t>
      </w:r>
    </w:p>
    <w:p>
      <w:pPr>
        <w:spacing w:after="0" w:line="181"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fees, which are predominantly generated by our fuel surcharge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$51 million and $88 million for the three and nine months ended September 30, 2021, respectively, as compared with the prior year periods. These revenues are based on and fluctuate in response to changes in the national average prices for diesel fuel, and also vary with changes in our volume-based revenue activity. Market prices for diesel fuel increased approximately 35% and 20% for the three and nine months ended September 30, 2021, respectively, as compared with the prior year periods. The mandated fees are primarily related to fees and taxes assessed by various state, county and municipal government agencies at our landfills and transfer stations. These amounts have not significantly impacted the change in revenue for the three and nine months ended September 30, 2021, as compared with the prior year periods.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revenues from volumes (excluding volumes from acquisitions and divestitures) increased $144 million, or 3.8%, and $384 million, or 3.5%, for the three and nine months ended September 30, 2021, respectively, as compared with the prior year periods.</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Over the last year, our volumes have been recovering from the sharp decline experienced in April 2020 as a result of COVID-19. The pace of recovery in our volumes accelerated in the second quarter of 2021, and continued into the third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4" w:name="page35"/>
    <w:bookmarkEnd w:id="34"/>
    <w:p>
      <w:pPr>
        <w:jc w:val="both"/>
        <w:ind w:left="60" w:right="59"/>
        <w:spacing w:after="0" w:line="269" w:lineRule="auto"/>
        <w:rPr>
          <w:sz w:val="20"/>
          <w:szCs w:val="20"/>
          <w:color w:val="auto"/>
        </w:rPr>
      </w:pPr>
      <w:r>
        <w:rPr>
          <w:rFonts w:ascii="Arial" w:cs="Arial" w:eastAsia="Arial" w:hAnsi="Arial"/>
          <w:sz w:val="17"/>
          <w:szCs w:val="17"/>
          <w:color w:val="auto"/>
        </w:rPr>
        <w:t>quarter of 2021 with minimal impact from the resurgence in transmission of COVID-19 as communities and businesses remained open. The portions of our business that had the most pronounced decreases in volume due to the pandemic were our industrial and commercial collection businesses and construction and demolition and special waste volumes at our landfills. As we completed the third quarter of 2021, volumes in each of these lines of business were either on par with pre-pandemic levels or have now surpassed 2019 volumes. Additionally, for the three and nine months ended September 30, 2021, volumes in our recycling business are also up partially due to the re-opening of facilities where we temporarily suspended operations in the second quarter of 2020 during the pandemic. We continue to be optimistic about volume recovery and overall economic recovery from the impacts of the COVID-19 pandemic. However, uncertainty remains with respect to various factors that influence the pace of economic recovery, including workforce regulation and the potential for future resurgence in transmission of COVID-19 and related business closures due to virus variants or otherwise. Such conditions could adversely impact our volumes in the future.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left="60" w:right="59" w:firstLine="259"/>
        <w:spacing w:after="0" w:line="263" w:lineRule="auto"/>
        <w:rPr>
          <w:sz w:val="20"/>
          <w:szCs w:val="20"/>
          <w:color w:val="auto"/>
        </w:rPr>
      </w:pPr>
      <w:r>
        <w:rPr>
          <w:rFonts w:ascii="Arial" w:cs="Arial" w:eastAsia="Arial" w:hAnsi="Arial"/>
          <w:sz w:val="18"/>
          <w:szCs w:val="18"/>
          <w:color w:val="auto"/>
        </w:rPr>
        <w:t>Revenues increased $311 million, or 8.0%, and $929 million, or 8.3%, for the three and nine months ended September 30, 2021, respectively, as compared with the prior year periods, primarily due to our acquisition of Advanced Disposal and was principally in our collection and disposal lines of business.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operating expenses (in millions of dollars and as a percentage of revenues):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 and related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17.9 %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17.7 %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$ 2,372</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17.9 %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$ 2,007</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18.0 %</w:t>
            </w: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Transfer and disposal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r>
      <w:tr>
        <w:trPr>
          <w:trHeight w:val="43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and repairs</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24"/>
                <w:szCs w:val="24"/>
                <w:color w:val="auto"/>
              </w:rPr>
            </w:pPr>
          </w:p>
        </w:tc>
      </w:tr>
      <w:tr>
        <w:trPr>
          <w:trHeight w:val="432"/>
        </w:trPr>
        <w:tc>
          <w:tcPr>
            <w:tcW w:w="3160" w:type="dxa"/>
            <w:vAlign w:val="bottom"/>
          </w:tcPr>
          <w:p>
            <w:pPr>
              <w:ind w:left="20"/>
              <w:spacing w:after="0"/>
              <w:rPr>
                <w:sz w:val="20"/>
                <w:szCs w:val="20"/>
                <w:color w:val="auto"/>
              </w:rPr>
            </w:pPr>
            <w:r>
              <w:rPr>
                <w:rFonts w:ascii="Arial" w:cs="Arial" w:eastAsia="Arial" w:hAnsi="Arial"/>
                <w:sz w:val="18"/>
                <w:szCs w:val="18"/>
                <w:color w:val="auto"/>
              </w:rPr>
              <w:t>Subcontractor costs</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1,303</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Fuel</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 and franchise fees and taxes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Landfill operating costs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management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r>
      <w:tr>
        <w:trPr>
          <w:trHeight w:val="216"/>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tcPr>
          <w:p>
            <w:pPr>
              <w:spacing w:after="0"/>
              <w:rPr>
                <w:sz w:val="18"/>
                <w:szCs w:val="18"/>
                <w:color w:val="auto"/>
              </w:rPr>
            </w:pPr>
          </w:p>
        </w:tc>
      </w:tr>
      <w:tr>
        <w:trPr>
          <w:trHeight w:val="425"/>
        </w:trPr>
        <w:tc>
          <w:tcPr>
            <w:tcW w:w="3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2,906</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62.3 %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2,332</w:t>
            </w:r>
          </w:p>
        </w:tc>
        <w:tc>
          <w:tcPr>
            <w:tcW w:w="1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60.4 %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$ 8,156</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61.5 %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$ 6,841</w:t>
            </w:r>
          </w:p>
        </w:tc>
        <w:tc>
          <w:tcPr>
            <w:tcW w:w="1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61.3 %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operating expenses for the three and nine months ended September 30, 2021 increased primarily due to</w:t>
      </w:r>
    </w:p>
    <w:p>
      <w:pPr>
        <w:spacing w:after="0" w:line="35" w:lineRule="exact"/>
        <w:rPr>
          <w:sz w:val="20"/>
          <w:szCs w:val="20"/>
          <w:color w:val="auto"/>
        </w:rPr>
      </w:pPr>
    </w:p>
    <w:p>
      <w:pPr>
        <w:jc w:val="both"/>
        <w:ind w:left="60" w:right="59" w:hanging="10"/>
        <w:spacing w:after="0" w:line="251" w:lineRule="auto"/>
        <w:tabs>
          <w:tab w:leader="none" w:pos="2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volumes from the acquisition of Advanced Disposal; (ii) volume recovery from the pandemic; (iii) labor cost pressure from frontline employee wage adjustments, increased turnover driving up training costs and accelerated overtime due to driver shortages and volume growth and (iv) inflationary cost pressures. Additionally, during the third quarter of 2021, we saw significant increases in operating costs as a percentage of revenue primarily due to commodity-driven business impacts, particularly in our recycling brokerage services. For the three and nine months ended September 30, 2021, these impacts were partially offset by our continued focus on operating efficiency, efforts to control costs as volumes grow and our disciplined integration of Advanced Disposal, which historically has generated lower operating margins.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items affecting the comparability of operating expenses for the reported periods include:</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increase in labor and related benefits costs was largely driven by (i) increased labor</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costs related to our acquisition of Advanced Disposal; (ii) merit and proactive market wage adjustments to hire and retain talent; (iii) volume increases, particularly in our commercial and industrial collection businesses, which</w:t>
      </w:r>
    </w:p>
    <w:p>
      <w:pPr>
        <w:sectPr>
          <w:pgSz w:w="11900" w:h="16838" w:orient="portrait"/>
          <w:cols w:equalWidth="0" w:num="1">
            <w:col w:w="9019"/>
          </w:cols>
          <w:pgMar w:left="1440" w:top="881"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type w:val="continuous"/>
        </w:sectPr>
      </w:pPr>
    </w:p>
    <w:bookmarkStart w:id="35" w:name="page36"/>
    <w:bookmarkEnd w:id="35"/>
    <w:p>
      <w:pPr>
        <w:jc w:val="both"/>
        <w:ind w:left="60" w:right="59"/>
        <w:spacing w:after="0" w:line="263" w:lineRule="auto"/>
        <w:rPr>
          <w:sz w:val="20"/>
          <w:szCs w:val="20"/>
          <w:color w:val="auto"/>
        </w:rPr>
      </w:pPr>
      <w:r>
        <w:rPr>
          <w:rFonts w:ascii="Arial" w:cs="Arial" w:eastAsia="Arial" w:hAnsi="Arial"/>
          <w:sz w:val="18"/>
          <w:szCs w:val="18"/>
          <w:color w:val="auto"/>
        </w:rPr>
        <w:t>when combined with driver shortages and turnover in certain markets, increased overtime and training hours; (iv) higher incentive compensations costs and (v) increases in health and welfare costs attributable to medical care activity generally returning to pre-pandemic levels from the lower levels experienced during 2020.</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Transfer and Disposal Costs </w:t>
      </w:r>
      <w:r>
        <w:rPr>
          <w:rFonts w:ascii="Arial" w:cs="Arial" w:eastAsia="Arial" w:hAnsi="Arial"/>
          <w:sz w:val="18"/>
          <w:szCs w:val="18"/>
          <w:color w:val="auto"/>
        </w:rPr>
        <w:t>— The increase in transfer and disposal costs was largely driven by additional disposal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 a result of our acquisition of Advanced Disposal, increased volume and inflationary cost increases from our third-party haulers.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in maintenance and repairs costs was largely driven by (i) our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Disposal, including intentional investments in the fleet acquired to bring the trucks to WM standards;</w:t>
      </w:r>
    </w:p>
    <w:p>
      <w:pPr>
        <w:jc w:val="both"/>
        <w:ind w:left="60" w:right="59" w:hanging="10"/>
        <w:spacing w:after="0" w:line="273" w:lineRule="auto"/>
        <w:tabs>
          <w:tab w:leader="none" w:pos="3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inflationary cost increases for parts, supplies and third-party services; (iii) labor cost pressure from our technicians, including accelerated overtime from labor shortages; (iv) additional fleet maintenance driven by commercial and industrial volume increases and (v) an increase in container repairs driven by volume increases and delays in normal-course capital expenditures for steel containers due to both steel costs and supply chain constraints.</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i w:val="1"/>
          <w:iCs w:val="1"/>
          <w:color w:val="auto"/>
        </w:rPr>
        <w:t xml:space="preserve">Subcontractor Costs </w:t>
      </w:r>
      <w:r>
        <w:rPr>
          <w:rFonts w:ascii="Arial" w:cs="Arial" w:eastAsia="Arial" w:hAnsi="Arial"/>
          <w:sz w:val="17"/>
          <w:szCs w:val="17"/>
          <w:color w:val="auto"/>
        </w:rPr>
        <w:t>— The increase in subcontractor costs was largely driven by (i) inflationary cost increases from</w:t>
      </w:r>
      <w:r>
        <w:rPr>
          <w:rFonts w:ascii="Arial" w:cs="Arial" w:eastAsia="Arial" w:hAnsi="Arial"/>
          <w:sz w:val="17"/>
          <w:szCs w:val="17"/>
          <w:i w:val="1"/>
          <w:iCs w:val="1"/>
          <w:color w:val="auto"/>
        </w:rPr>
        <w:t xml:space="preserve"> </w:t>
      </w:r>
      <w:r>
        <w:rPr>
          <w:rFonts w:ascii="Arial" w:cs="Arial" w:eastAsia="Arial" w:hAnsi="Arial"/>
          <w:sz w:val="17"/>
          <w:szCs w:val="17"/>
          <w:color w:val="auto"/>
        </w:rPr>
        <w:t>third-party haulers; (ii) an increase in volumes in our WMSBS business, which relies more extensively on subcontracted hauling than our collection and disposal business and (iii) the acquisition of Advanced Disposal.</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 The increase in cost of goods sold was primarily driven by increases in market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commodities of approximately 160% and 115% during the three and nine months ended September 30, 2021, respectively, as compared to the prior year periods.</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Fuel </w:t>
      </w:r>
      <w:r>
        <w:rPr>
          <w:rFonts w:ascii="Arial" w:cs="Arial" w:eastAsia="Arial" w:hAnsi="Arial"/>
          <w:sz w:val="16"/>
          <w:szCs w:val="16"/>
          <w:color w:val="auto"/>
        </w:rPr>
        <w:t>— The increase in fuel costs was primarily due to (i) increases of approximately 35% and 20% in market fuel</w:t>
      </w:r>
      <w:r>
        <w:rPr>
          <w:rFonts w:ascii="Arial" w:cs="Arial" w:eastAsia="Arial" w:hAnsi="Arial"/>
          <w:sz w:val="16"/>
          <w:szCs w:val="16"/>
          <w:i w:val="1"/>
          <w:iCs w:val="1"/>
          <w:color w:val="auto"/>
        </w:rPr>
        <w:t xml:space="preserve"> </w:t>
      </w:r>
      <w:r>
        <w:rPr>
          <w:rFonts w:ascii="Arial" w:cs="Arial" w:eastAsia="Arial" w:hAnsi="Arial"/>
          <w:sz w:val="16"/>
          <w:szCs w:val="16"/>
          <w:color w:val="auto"/>
        </w:rPr>
        <w:t>prices during the three and nine months ended September 30, 2021, respectively, as compared with the prior year periods; (ii) the acquisition of Advanced Disposal and (iii) volume increases in our commercial and industrial collection businesses.</w:t>
      </w:r>
    </w:p>
    <w:p>
      <w:pPr>
        <w:spacing w:after="0" w:line="14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Disposal and Franchise Fees and Taxes </w:t>
      </w:r>
      <w:r>
        <w:rPr>
          <w:rFonts w:ascii="Arial" w:cs="Arial" w:eastAsia="Arial" w:hAnsi="Arial"/>
          <w:sz w:val="18"/>
          <w:szCs w:val="18"/>
          <w:color w:val="auto"/>
        </w:rPr>
        <w:t>— The increase in disposal and franchise fees and taxes as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periods was primarily driven by (i) landfill volume increases; (ii) disposal rate increases at certain landfills and (iii) additional costs attributable to our acquisition of Advanced Disposal.</w:t>
      </w:r>
    </w:p>
    <w:p>
      <w:pPr>
        <w:spacing w:after="0" w:line="184"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Landfill Operating Costs </w:t>
      </w:r>
      <w:r>
        <w:rPr>
          <w:rFonts w:ascii="Arial" w:cs="Arial" w:eastAsia="Arial" w:hAnsi="Arial"/>
          <w:sz w:val="17"/>
          <w:szCs w:val="17"/>
          <w:color w:val="auto"/>
        </w:rPr>
        <w:t>— The increase in landfill operating costs for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as compared to the prior year periods was primarily due to the Advanced Disposal acquisition and increased testing and monitoring costs due, in part, to volume increases. These increases were partially offset by lower leachate management costs primarily due to the cessation of certain transportation costs in our Tier 3 segment.</w:t>
      </w:r>
    </w:p>
    <w:p>
      <w:pPr>
        <w:spacing w:after="0" w:line="17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Additionally, the increase in landfill operating costs for the nine months ended September 30, 2021 was partially offset by the impacts of changes in the measurement of our environmental remediation obligations and recovery assets in both the first quarter of 2020 and 2021. Our measurement of these balances includes application of a risk-free discount rate, which is based on the rate for U.S. Treasury bonds. In the first quarter of 2021, there was an increase in the discount rate, which resulted in a reduction in the net liability balance and a credit to expense. Conversely, in the first quarter of 2020, there was a decrease in the discount rate, which resulted in an increase in the net liability balance and a charge to expense.</w:t>
      </w:r>
    </w:p>
    <w:p>
      <w:pPr>
        <w:spacing w:after="0" w:line="16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i w:val="1"/>
          <w:iCs w:val="1"/>
          <w:color w:val="auto"/>
        </w:rPr>
        <w:t xml:space="preserve">Risk Management </w:t>
      </w:r>
      <w:r>
        <w:rPr>
          <w:rFonts w:ascii="Arial" w:cs="Arial" w:eastAsia="Arial" w:hAnsi="Arial"/>
          <w:sz w:val="17"/>
          <w:szCs w:val="17"/>
          <w:color w:val="auto"/>
        </w:rPr>
        <w:t>— The increase in risk management costs was primarily due to our acquisition of Advanced</w:t>
      </w:r>
      <w:r>
        <w:rPr>
          <w:rFonts w:ascii="Arial" w:cs="Arial" w:eastAsia="Arial" w:hAnsi="Arial"/>
          <w:sz w:val="17"/>
          <w:szCs w:val="17"/>
          <w:i w:val="1"/>
          <w:iCs w:val="1"/>
          <w:color w:val="auto"/>
        </w:rPr>
        <w:t xml:space="preserve"> </w:t>
      </w:r>
      <w:r>
        <w:rPr>
          <w:rFonts w:ascii="Arial" w:cs="Arial" w:eastAsia="Arial" w:hAnsi="Arial"/>
          <w:sz w:val="17"/>
          <w:szCs w:val="17"/>
          <w:color w:val="auto"/>
        </w:rPr>
        <w:t>Disposal and, to a lesser extent, the overall economic recovery, increasing business activity and claim volumes.</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Other operating cost increases were due to our acquisition of Advanced Disposal and increased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rental costs attributable, in part, to increased volumes and supply chain constraints slowing normal-course fleet and equipment orders. Additionally, the three months ended September 30, 2021, additional volumes drove increases in supplies and vehicle transportation costs. Partially offsetting these increases for the nine months ended September 30, 2021 was a favorable litigation settlement in the second quarter of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6" w:name="page37"/>
    <w:bookmarkEnd w:id="36"/>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(in millions of dollars and as a percentage of revenues):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$ 311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Professional fees</w:t>
            </w: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r>
      <w:tr>
        <w:trPr>
          <w:trHeight w:val="216"/>
        </w:trPr>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8"/>
                <w:szCs w:val="18"/>
                <w:color w:val="auto"/>
              </w:rPr>
            </w:pPr>
          </w:p>
        </w:tc>
      </w:tr>
      <w:tr>
        <w:trPr>
          <w:trHeight w:val="209"/>
        </w:trPr>
        <w:tc>
          <w:tcPr>
            <w:tcW w:w="3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$ 469</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$ 416</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1,372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1,218</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Selling, general and administrative expenses have increased primarily due to (i) increased labor, support and integration costs from our acquisition of Advanced Disposal; (ii) higher incentive compensation costs and (iii) strategic investments in our digital platform. Although our costs increased, the significant revenue increase positioned us to reduce our overall selling, general and administrative expenses as a percentage of revenues when compared with the prior year periods.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Significant items affecting the comparison of our selling, general and administrative expenses between reported periods include:</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i w:val="1"/>
          <w:iCs w:val="1"/>
          <w:color w:val="auto"/>
        </w:rPr>
        <w:t xml:space="preserve">Labor and Related Benefits </w:t>
      </w:r>
      <w:r>
        <w:rPr>
          <w:rFonts w:ascii="Arial" w:cs="Arial" w:eastAsia="Arial" w:hAnsi="Arial"/>
          <w:sz w:val="16"/>
          <w:szCs w:val="16"/>
          <w:color w:val="auto"/>
        </w:rPr>
        <w:t>— The increase in labor and related benefits costs was primarily related to (i)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headcount, including from our acquisition of Advanced Disposal; (ii) higher incentive compensation costs; (iii) annual merit increases for our employees; (iv) costs associated with our strategic investments in our digital platform and</w:t>
      </w:r>
    </w:p>
    <w:p>
      <w:pPr>
        <w:spacing w:after="0" w:line="2" w:lineRule="exact"/>
        <w:rPr>
          <w:sz w:val="20"/>
          <w:szCs w:val="20"/>
          <w:color w:val="auto"/>
        </w:rPr>
      </w:pPr>
    </w:p>
    <w:p>
      <w:pPr>
        <w:ind w:left="60" w:right="79" w:hanging="10"/>
        <w:spacing w:after="0" w:line="260"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health and welfare costs attributable to medical care activity generally returning to pre-pandemic levels from the lower levels experienced during 2020.</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Professional Fees </w:t>
      </w:r>
      <w:r>
        <w:rPr>
          <w:rFonts w:ascii="Arial" w:cs="Arial" w:eastAsia="Arial" w:hAnsi="Arial"/>
          <w:sz w:val="18"/>
          <w:szCs w:val="18"/>
          <w:color w:val="auto"/>
        </w:rPr>
        <w:t>— Professional fees decreased for the nine months ended September 30, 2021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consulting, advisory and legal fees following the completion of the acquisition of Advanced Disposal in the fourth quarter of 2020, offset by increased strategic investments in our digital platform and integration costs related to our acquisition of Advanced Disposal.</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For the nine months ended September 30, 2021, the decrease in provision for bad debts</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overall improvement in customer account collections and decreased collection risk with certain customers. The increase for the three months ended September 30, 2021, as compared to the prior year period, was primarily due to adjustments in the third quarter of 2020 to our reserve for bad debts as collection efforts began to improve in 2020.</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The increase in other expenses was primarily driven by costs associated with the acquisition of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Disposal and increased digital costs.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7" w:name="page38"/>
    <w:bookmarkEnd w:id="37"/>
    <w:p>
      <w:pPr>
        <w:ind w:left="1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components of our depreciation and amortization expenses (in millions of dollars and as a percentage of revenues):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5"/>
        </w:trPr>
        <w:tc>
          <w:tcPr>
            <w:tcW w:w="32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Depreciation of tangible property and</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$ 282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$ 247</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432"/>
        </w:trPr>
        <w:tc>
          <w:tcPr>
            <w:tcW w:w="3260" w:type="dxa"/>
            <w:vAlign w:val="bottom"/>
          </w:tcPr>
          <w:p>
            <w:pPr>
              <w:ind w:left="20"/>
              <w:spacing w:after="0"/>
              <w:rPr>
                <w:sz w:val="20"/>
                <w:szCs w:val="20"/>
                <w:color w:val="auto"/>
              </w:rPr>
            </w:pPr>
            <w:r>
              <w:rPr>
                <w:rFonts w:ascii="Arial" w:cs="Arial" w:eastAsia="Arial" w:hAnsi="Arial"/>
                <w:sz w:val="18"/>
                <w:szCs w:val="18"/>
                <w:color w:val="auto"/>
              </w:rPr>
              <w:t>Amortization of landfill airspace</w:t>
            </w: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425"/>
        </w:trPr>
        <w:tc>
          <w:tcPr>
            <w:tcW w:w="3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$ 517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11.1 %</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$ 419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1,489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11.2 %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1,235</w:t>
            </w:r>
          </w:p>
        </w:tc>
        <w:tc>
          <w:tcPr>
            <w:tcW w:w="1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11.1 %</w:t>
            </w:r>
          </w:p>
        </w:tc>
      </w:tr>
      <w:tr>
        <w:trPr>
          <w:trHeight w:val="20"/>
        </w:trPr>
        <w:tc>
          <w:tcPr>
            <w:tcW w:w="3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increase in depreciation of tangible property and equipment was primarily related to our acquisition of Advanced Disposal and investments in capital assets, including our fleet and facilities. The increase in amortization of landfill airspace was driven by (i) our acquisition of Advanced Disposal; (ii) changes in landfill estimates and amortization rates, including a $15 million charge due to management’s decision to close a landfill in our Tier 3 segment earlier than expected, resulting in acceleration of the timing of capping, closure and post-closure activities and (iii) landfill volume increases from the continued economic recovery. The increase in amortization of intangible assets is primarily driven by the amortization of acquired intangible assets related to the acquisition of Advanced Disposal.</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During the nine months ended September 30, 2021, we recognized net gains of $17 million consisting of (i) a $35 million pre-tax gain in the third quarter of 2021 from the recognition of cumulative translation adjustments on the divestiture of certain non-strategic Canadian operations in our Tier 3 segment and (ii) an $8 million gain in the first quarter of 2021 from divestitures of certain ancillary operations in our Other segment. These gains were partially offset by (i) a $20 million charge pertaining to reserves for loss contingencies in our Corporate and Other segment and (ii) $6 million of asset impairment charges primarily related to our WM Renewable Energy business within our Other segment.</w:t>
      </w:r>
    </w:p>
    <w:p>
      <w:pPr>
        <w:spacing w:after="0" w:line="16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nine months ended September 30, 2020, we recognized non-cash impairment charges of $68 million primarily related to the following:</w:t>
      </w:r>
    </w:p>
    <w:p>
      <w:pPr>
        <w:spacing w:after="0" w:line="17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Energy Services Asset Impairments </w:t>
      </w:r>
      <w:r>
        <w:rPr>
          <w:rFonts w:ascii="Arial" w:cs="Arial" w:eastAsia="Arial" w:hAnsi="Arial"/>
          <w:sz w:val="18"/>
          <w:szCs w:val="18"/>
          <w:color w:val="auto"/>
        </w:rPr>
        <w:t>— During the second quarter of 2020, the Company tested the recoverability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energy services assets in our Tier 2 segment. Indicators of impairment included (i) the sharp downturn in oil demand that has led to a significant decline in oil prices and production activities, which we project will have long-term impacts on the utilization of our assets and (ii) significant shifts in our business, including increases in competition and customers choosing to bury waste on site versus in a landfill, reducing our revenue outlook. The Company determined that the carrying amount of the asset group was not fully recoverable. As a result, we recognized $41 million of non-cash impairment charges primarily related to two landfills and an oil field waste injection facility in our Tier 2 segment. We wrote down the net book value of these assets to their estimated fair value using an income approach based on estimated future cash flow projections (Level 3). The aggregate fair value of the impaired asset group was $8 million as of June 30, 2020.</w:t>
      </w:r>
    </w:p>
    <w:p>
      <w:pPr>
        <w:spacing w:after="0" w:line="194"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Other Impairments </w:t>
      </w:r>
      <w:r>
        <w:rPr>
          <w:rFonts w:ascii="Arial" w:cs="Arial" w:eastAsia="Arial" w:hAnsi="Arial"/>
          <w:sz w:val="17"/>
          <w:szCs w:val="17"/>
          <w:color w:val="auto"/>
        </w:rPr>
        <w:t>— In addition to the energy services impairments noted above, during the second quarter of 2020,</w:t>
      </w:r>
      <w:r>
        <w:rPr>
          <w:rFonts w:ascii="Arial" w:cs="Arial" w:eastAsia="Arial" w:hAnsi="Arial"/>
          <w:sz w:val="17"/>
          <w:szCs w:val="17"/>
          <w:i w:val="1"/>
          <w:iCs w:val="1"/>
          <w:color w:val="auto"/>
        </w:rPr>
        <w:t xml:space="preserve"> </w:t>
      </w:r>
      <w:r>
        <w:rPr>
          <w:rFonts w:ascii="Arial" w:cs="Arial" w:eastAsia="Arial" w:hAnsi="Arial"/>
          <w:sz w:val="17"/>
          <w:szCs w:val="17"/>
          <w:color w:val="auto"/>
        </w:rPr>
        <w:t>we recognized a $20 million non-cash impairment charge in our Tier 3 segment due to management’s decision to close a landfill once its constructed airspace is filled and abandon any remaining permitted airspace, which was considered an impairment indicator. As the carrying value was not recoverable, we wrote off the entire net book value of the asset using an income approach based on estimated future cash flow projections (Level 3). The impairment charge was comprised of $12 million related to the carrying value of the asset and $8 million related to the acceleration of the expected timing of capping, closure and post-closure activities.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8" w:name="page39"/>
    <w:bookmarkEnd w:id="38"/>
    <w:p>
      <w:pPr>
        <w:jc w:val="both"/>
        <w:ind w:left="60" w:right="59" w:firstLine="324"/>
        <w:spacing w:after="0" w:line="259" w:lineRule="auto"/>
        <w:rPr>
          <w:sz w:val="20"/>
          <w:szCs w:val="20"/>
          <w:color w:val="auto"/>
        </w:rPr>
      </w:pPr>
      <w:r>
        <w:rPr>
          <w:rFonts w:ascii="Arial" w:cs="Arial" w:eastAsia="Arial" w:hAnsi="Arial"/>
          <w:sz w:val="18"/>
          <w:szCs w:val="18"/>
          <w:color w:val="auto"/>
        </w:rPr>
        <w:t>Additionally, during the third quarter of 2020, we recognized $7 million of net charges primarily related to non-cash impairments of certain assets within our WM Renewable Energy business in our Other segment. As the carrying values of the assets were not recoverable, we wrote off their entire net carrying value using an income approach based on estimated future cash flow projections (Level 3).</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the second quarter of 2021, we combined our Eastern and Western Canada Areas reducing the number of Areas we manage from 17 to 16, and realigned our Solid Waste tiers. Reclassifications have been made to our prior period condensed consolidated financial information to conform to the current year presentation.</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7"/>
          </w:tcPr>
          <w:p>
            <w:pPr>
              <w:jc w:val="center"/>
              <w:ind w:right="17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Period-to-Period</w:t>
            </w:r>
          </w:p>
        </w:tc>
        <w:tc>
          <w:tcPr>
            <w:tcW w:w="140" w:type="dxa"/>
            <w:vAlign w:val="bottom"/>
          </w:tcPr>
          <w:p>
            <w:pPr>
              <w:spacing w:after="0"/>
              <w:rPr>
                <w:sz w:val="14"/>
                <w:szCs w:val="14"/>
                <w:color w:val="auto"/>
              </w:rPr>
            </w:pPr>
          </w:p>
        </w:tc>
        <w:tc>
          <w:tcPr>
            <w:tcW w:w="178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6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center"/>
              <w:ind w:right="31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2"/>
                <w:szCs w:val="12"/>
                <w:color w:val="auto"/>
              </w:rPr>
            </w:pPr>
          </w:p>
        </w:tc>
        <w:tc>
          <w:tcPr>
            <w:tcW w:w="58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ind w:left="220"/>
              <w:spacing w:after="0"/>
              <w:rPr>
                <w:sz w:val="20"/>
                <w:szCs w:val="20"/>
                <w:color w:val="auto"/>
              </w:rPr>
            </w:pPr>
            <w:r>
              <w:rPr>
                <w:rFonts w:ascii="Arial" w:cs="Arial" w:eastAsia="Arial" w:hAnsi="Arial"/>
                <w:sz w:val="18"/>
                <w:szCs w:val="18"/>
                <w:color w:val="auto"/>
              </w:rPr>
              <w:t>Tier 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$ 1,014</w:t>
            </w:r>
          </w:p>
        </w:tc>
        <w:tc>
          <w:tcPr>
            <w:tcW w:w="2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Tier 3</w:t>
            </w: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Solid Waste</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1,087</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2,511</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 (a)</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(b)</w:t>
            </w:r>
          </w:p>
        </w:tc>
        <w:tc>
          <w:tcPr>
            <w:tcW w:w="2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2220" w:type="dxa"/>
            <w:vAlign w:val="bottom"/>
          </w:tcPr>
          <w:p>
            <w:pPr>
              <w:ind w:left="4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126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18.5 %</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$ 2,247</w:t>
            </w:r>
          </w:p>
        </w:tc>
        <w:tc>
          <w:tcPr>
            <w:tcW w:w="26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1,780</w:t>
            </w:r>
          </w:p>
        </w:tc>
        <w:tc>
          <w:tcPr>
            <w:tcW w:w="2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Percentage of revenues</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change does not provide a meaningful comparison.</w:t>
      </w:r>
    </w:p>
    <w:p>
      <w:pPr>
        <w:spacing w:after="0" w:line="117" w:lineRule="exact"/>
        <w:rPr>
          <w:sz w:val="20"/>
          <w:szCs w:val="20"/>
          <w:color w:val="auto"/>
        </w:rPr>
      </w:pPr>
    </w:p>
    <w:p>
      <w:pPr>
        <w:jc w:val="both"/>
        <w:ind w:left="380" w:right="79" w:hanging="330"/>
        <w:spacing w:after="0" w:line="293" w:lineRule="auto"/>
        <w:tabs>
          <w:tab w:leader="none" w:pos="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includes (i) elements of our WMSBS business; (ii) elements of our landfill gas-to-energy operations managed by our WM Renewable Energy business and not included in the operations of our reportable segments; (iii) elements of our third-party subcontract and administration revenues managed by our EES business and not included in the operations of our reportable segments; (iv) our recycling brokerage services and (v) certain other expanded service offerings and solutions. In addition, our “Other” segment reflects the results of non-operating entities that provide financial assurance and self-insurance support for our Solid Waste business, net of intercompany activity.</w:t>
      </w:r>
    </w:p>
    <w:p>
      <w:pPr>
        <w:spacing w:after="0" w:line="56" w:lineRule="exact"/>
        <w:rPr>
          <w:rFonts w:ascii="Arial" w:cs="Arial" w:eastAsia="Arial" w:hAnsi="Arial"/>
          <w:sz w:val="16"/>
          <w:szCs w:val="16"/>
          <w:color w:val="auto"/>
        </w:rPr>
      </w:pPr>
    </w:p>
    <w:p>
      <w:pPr>
        <w:jc w:val="both"/>
        <w:ind w:left="380" w:right="79" w:hanging="330"/>
        <w:spacing w:after="0" w:line="25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and Other” operating results reflect certain costs incurred for various support services that are not allocated to our reportable segments. These support services include, among other things, treasury, legal, digital, tax, insurance, centralized service center processes, other administrative functions and the maintenance of our closed landfills. Income from operations for “Corporate and Other” also includes costs associated with our long-term incentive program.</w:t>
      </w:r>
    </w:p>
    <w:p>
      <w:pPr>
        <w:spacing w:after="0" w:line="80"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The significant items affecting income from operations, as well as the percentage of revenues, for our segments during the three and nine months ended September 30, 2021, as compared with the prior year periods, are summarized below:</w:t>
      </w:r>
    </w:p>
    <w:p>
      <w:pPr>
        <w:spacing w:after="0" w:line="16" w:lineRule="exact"/>
        <w:rPr>
          <w:sz w:val="20"/>
          <w:szCs w:val="20"/>
          <w:color w:val="auto"/>
        </w:rPr>
      </w:pPr>
    </w:p>
    <w:p>
      <w:pPr>
        <w:jc w:val="both"/>
        <w:ind w:left="720" w:right="79" w:hanging="319"/>
        <w:spacing w:after="0" w:line="283"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Solid Waste </w:t>
      </w:r>
      <w:r>
        <w:rPr>
          <w:rFonts w:ascii="Arial" w:cs="Arial" w:eastAsia="Arial" w:hAnsi="Arial"/>
          <w:sz w:val="16"/>
          <w:szCs w:val="16"/>
          <w:color w:val="auto"/>
        </w:rPr>
        <w:t>— Income from operations in our Solid Waste business increased for the three and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2021, as compared to the prior year periods, primarily due to (i) revenue growth in our collection and disposal businesses driven by both volume and yield; (ii) improved profitability in our recycling business from higher market prices for recycling commodities and improved costs at facilities where we have made investments in enhanced technology and equipment and (iii) a pre-tax gain from the recognition of cumulative translation adjustments on the divestiture of certain non-strategic Canadian operations in our Tier 3 segment during the third quarter of 2021. The nine months ended September 30, 2021 also benefited from a reduction in the provision for bad debts because these expenses were higher during the nine months ended 2020, due to the impacts of the pandemic on our outlook for customer receipts. These increases were partially offset by</w:t>
      </w:r>
    </w:p>
    <w:p>
      <w:pPr>
        <w:spacing w:after="0" w:line="5" w:lineRule="exact"/>
        <w:rPr>
          <w:rFonts w:ascii="Arial" w:cs="Arial" w:eastAsia="Arial" w:hAnsi="Arial"/>
          <w:sz w:val="16"/>
          <w:szCs w:val="16"/>
          <w:color w:val="auto"/>
        </w:rPr>
      </w:pPr>
    </w:p>
    <w:p>
      <w:pPr>
        <w:jc w:val="both"/>
        <w:ind w:left="720" w:right="79" w:firstLine="5"/>
        <w:spacing w:after="0" w:line="302" w:lineRule="auto"/>
        <w:tabs>
          <w:tab w:leader="none" w:pos="956" w:val="left"/>
        </w:tabs>
        <w:numPr>
          <w:ilvl w:val="1"/>
          <w:numId w:val="28"/>
        </w:numPr>
        <w:rPr>
          <w:rFonts w:ascii="Arial" w:cs="Arial" w:eastAsia="Arial" w:hAnsi="Arial"/>
          <w:sz w:val="16"/>
          <w:szCs w:val="16"/>
          <w:color w:val="auto"/>
        </w:rPr>
      </w:pPr>
      <w:r>
        <w:rPr>
          <w:rFonts w:ascii="Arial" w:cs="Arial" w:eastAsia="Arial" w:hAnsi="Arial"/>
          <w:sz w:val="16"/>
          <w:szCs w:val="16"/>
          <w:color w:val="auto"/>
        </w:rPr>
        <w:t>labor cost pressure from frontline employee wage adjustments, increased turnover driving up training costs and accelerated overtime due to driver shortages and volume growth; (ii) inflationary cost pressures; (iii) higher incentive compensation costs and (iv) a landfill amortization charge in our Tier 3 segment due to management’s</w:t>
      </w:r>
    </w:p>
    <w:p>
      <w:pPr>
        <w:sectPr>
          <w:pgSz w:w="11900" w:h="16838" w:orient="portrait"/>
          <w:cols w:equalWidth="0" w:num="1">
            <w:col w:w="9019"/>
          </w:cols>
          <w:pgMar w:left="1440" w:top="881"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type w:val="continuous"/>
        </w:sectPr>
      </w:pPr>
    </w:p>
    <w:bookmarkStart w:id="39" w:name="page40"/>
    <w:bookmarkEnd w:id="39"/>
    <w:p>
      <w:pPr>
        <w:jc w:val="both"/>
        <w:ind w:left="720" w:right="79"/>
        <w:spacing w:after="0" w:line="273" w:lineRule="auto"/>
        <w:rPr>
          <w:sz w:val="20"/>
          <w:szCs w:val="20"/>
          <w:color w:val="auto"/>
        </w:rPr>
      </w:pPr>
      <w:r>
        <w:rPr>
          <w:rFonts w:ascii="Arial" w:cs="Arial" w:eastAsia="Arial" w:hAnsi="Arial"/>
          <w:sz w:val="17"/>
          <w:szCs w:val="17"/>
          <w:color w:val="auto"/>
        </w:rPr>
        <w:t>decision to close a landfill earlier than expected. Labor and inflationary cost increases were more pronounced during the three months ended September 30, 2021 than the first half of 2021, resulting in a slight reduction in income from operations as a percentage of revenue during the current period. Despite the current quarter margin pressure, income from operations as a percentage of revenue for the nine-month period has improved driven by the strong performance and volume growth in our commercial collection and landfill businesses as well as the improved profitability of our recycling business.</w:t>
      </w:r>
    </w:p>
    <w:p>
      <w:pPr>
        <w:spacing w:after="0" w:line="70"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Additionally, the prior year periods were impacted by non-cash impairment charges, as further discussed below. The positive earnings contributions of Advanced Disposal were offset by elevated depreciation and amortization of acquired assets.</w:t>
      </w:r>
    </w:p>
    <w:p>
      <w:pPr>
        <w:spacing w:after="0" w:line="76" w:lineRule="exact"/>
        <w:rPr>
          <w:sz w:val="20"/>
          <w:szCs w:val="20"/>
          <w:color w:val="auto"/>
        </w:rPr>
      </w:pPr>
    </w:p>
    <w:p>
      <w:pPr>
        <w:jc w:val="both"/>
        <w:ind w:left="700" w:right="59"/>
        <w:spacing w:after="0" w:line="275" w:lineRule="auto"/>
        <w:rPr>
          <w:sz w:val="20"/>
          <w:szCs w:val="20"/>
          <w:color w:val="auto"/>
        </w:rPr>
      </w:pPr>
      <w:r>
        <w:rPr>
          <w:rFonts w:ascii="Arial" w:cs="Arial" w:eastAsia="Arial" w:hAnsi="Arial"/>
          <w:sz w:val="17"/>
          <w:szCs w:val="17"/>
          <w:color w:val="auto"/>
        </w:rPr>
        <w:t>During the nine months ended September 30, 2020, income from operations was impacted by $61 million of non-cash impairments consisting of (i) $41 million of non-cash asset impairment charges in our Tier 2 segment primarily related to two landfills and an oil field waste injection facility and (ii) a $20 million non-cash impairment charge in our Tier 3 segment related to management’s decision during the second quarter of 2020 to close a landfill once its constructed airspace is filled and abandon any remaining permitted airspace.</w:t>
      </w:r>
    </w:p>
    <w:p>
      <w:pPr>
        <w:spacing w:after="0" w:line="68" w:lineRule="exact"/>
        <w:rPr>
          <w:sz w:val="20"/>
          <w:szCs w:val="20"/>
          <w:color w:val="auto"/>
        </w:rPr>
      </w:pPr>
    </w:p>
    <w:p>
      <w:pPr>
        <w:jc w:val="both"/>
        <w:ind w:left="720" w:right="79" w:hanging="319"/>
        <w:spacing w:after="0" w:line="279"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The increase in income from operations was primarily driven by increased market values for renewable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credits generated by our WM Renewable Energy business. The increase in income from operations for the nine months ended September 30, 2021, as compared with the prior year period, was also due to a gain from the divestitures of certain ancillary operations during the first quarter of 2021.</w:t>
      </w:r>
    </w:p>
    <w:p>
      <w:pPr>
        <w:spacing w:after="0" w:line="63" w:lineRule="exact"/>
        <w:rPr>
          <w:rFonts w:ascii="Arial" w:cs="Arial" w:eastAsia="Arial" w:hAnsi="Arial"/>
          <w:sz w:val="17"/>
          <w:szCs w:val="17"/>
          <w:color w:val="auto"/>
        </w:rPr>
      </w:pPr>
    </w:p>
    <w:p>
      <w:pPr>
        <w:jc w:val="both"/>
        <w:ind w:left="720" w:right="79" w:hanging="319"/>
        <w:spacing w:after="0" w:line="289"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 These costs have increased during the three and nine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due to (i) increased labor, support and integration costs from our acquisition of Advanced Disposal; (ii) strategic investments in our digital platform; (iii) higher incentive compensation costs and (iv) increased health and welfare costs attributable to medical care activity generally returning to pre-pandemic levels from the lower levels experienced during 2020. The nine months ended September 30, 2021, as compared with the prior year period, was further impacted by a charge pertaining to reserves for certain loss contingencies during 2021, as well as changes in the measurement of our environmental remediation obligations and recovery assets in both the first quarter of 2020 and 2021. These increases were partially offset by lower consulting, advisory and legal fees following the completion of our acquisition of Advanced Disposal in the fourth quarter of 2020.</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259"/>
        <w:spacing w:after="0" w:line="255" w:lineRule="auto"/>
        <w:rPr>
          <w:sz w:val="20"/>
          <w:szCs w:val="20"/>
          <w:color w:val="auto"/>
        </w:rPr>
      </w:pPr>
      <w:r>
        <w:rPr>
          <w:rFonts w:ascii="Arial" w:cs="Arial" w:eastAsia="Arial" w:hAnsi="Arial"/>
          <w:sz w:val="17"/>
          <w:szCs w:val="17"/>
          <w:color w:val="auto"/>
        </w:rPr>
        <w:t>Our interest expense, net was $87 million and $282 million for the three and nine months ended September 30, 2021, respectively, compared to $97 million and $328 million for the three and nine months ended September 30, 2020, respectively. The decreases are primarily due to certain refinancing activities, including (i) the redemption of $3.0 billion of senior notes in July 2020 and the issuance of $2.5 billion of senior notes in November 2020 at lower rates and (ii) the retirement of $1.3 billion of certain high-coupon senior notes and concurrent issuance of $950 million of lower coupon senior notes in May 2021, as discussed further below. The decreases were partially offset by decreases in interest income as a result of lower cash and cash equivalents balances in 2021.</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jc w:val="both"/>
        <w:ind w:left="60" w:right="59" w:firstLine="259"/>
        <w:spacing w:after="0" w:line="255" w:lineRule="auto"/>
        <w:rPr>
          <w:sz w:val="20"/>
          <w:szCs w:val="20"/>
          <w:color w:val="auto"/>
        </w:rPr>
      </w:pPr>
      <w:r>
        <w:rPr>
          <w:rFonts w:ascii="Arial" w:cs="Arial" w:eastAsia="Arial" w:hAnsi="Arial"/>
          <w:sz w:val="18"/>
          <w:szCs w:val="18"/>
          <w:color w:val="auto"/>
        </w:rPr>
        <w:t xml:space="preserve">In May 2021, WM issued $950 million of senior notes, which are discussed further below in </w:t>
      </w:r>
      <w:r>
        <w:rPr>
          <w:rFonts w:ascii="Arial" w:cs="Arial" w:eastAsia="Arial" w:hAnsi="Arial"/>
          <w:sz w:val="18"/>
          <w:szCs w:val="18"/>
          <w:i w:val="1"/>
          <w:iCs w:val="1"/>
          <w:color w:val="auto"/>
        </w:rPr>
        <w:t>Summary of Cash and</w:t>
      </w:r>
      <w:r>
        <w:rPr>
          <w:rFonts w:ascii="Arial" w:cs="Arial" w:eastAsia="Arial" w:hAnsi="Arial"/>
          <w:sz w:val="18"/>
          <w:szCs w:val="18"/>
          <w:color w:val="auto"/>
        </w:rPr>
        <w:t xml:space="preserve"> </w:t>
      </w:r>
      <w:r>
        <w:rPr>
          <w:rFonts w:ascii="Arial" w:cs="Arial" w:eastAsia="Arial" w:hAnsi="Arial"/>
          <w:sz w:val="18"/>
          <w:szCs w:val="18"/>
          <w:i w:val="1"/>
          <w:iCs w:val="1"/>
          <w:color w:val="auto"/>
        </w:rPr>
        <w:t>Cash Equivalents, Restricted Trust and Escrow Accounts and Debt Obligations</w:t>
      </w:r>
      <w:r>
        <w:rPr>
          <w:rFonts w:ascii="Arial" w:cs="Arial" w:eastAsia="Arial" w:hAnsi="Arial"/>
          <w:sz w:val="18"/>
          <w:szCs w:val="18"/>
          <w:color w:val="auto"/>
        </w:rPr>
        <w:t>. Concurrently, we used the net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newly issued senior notes of $942 million and available cash on hand, to retire $1.3 billion of certain high-coupon senior notes. The loss on early extinguishment of debt for the nine months ended September 30, 2021 includes $220 million of charges related to the tender offer, including cash paid of $211 million related to premiums and other third-party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0" w:name="page41"/>
    <w:bookmarkEnd w:id="40"/>
    <w:p>
      <w:pPr>
        <w:jc w:val="both"/>
        <w:ind w:left="60" w:right="79"/>
        <w:spacing w:after="0" w:line="277" w:lineRule="auto"/>
        <w:rPr>
          <w:sz w:val="20"/>
          <w:szCs w:val="20"/>
          <w:color w:val="auto"/>
        </w:rPr>
      </w:pPr>
      <w:r>
        <w:rPr>
          <w:rFonts w:ascii="Arial" w:cs="Arial" w:eastAsia="Arial" w:hAnsi="Arial"/>
          <w:sz w:val="18"/>
          <w:szCs w:val="18"/>
          <w:color w:val="auto"/>
        </w:rPr>
        <w:t>and $9 million primarily related to unamortized discounts and debt issuance costs. Refer to Note 3 to the Condensed Consolidated Financial Statements for additional information related to these transactions.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recognized equity in net losses of unconsolidated entities of $14 million and $34 million for the three and nine months ended September 30, 2021, respectively, compared to $16 million and $56 million for the three months and nine months ended September 30, 2020, respectively. The losses for each period were primarily related to our noncontrolling interests in entities established to invest in and manage low-income housing properties. We generate tax benefits, including tax credits, from the losses incurred from these investments. During the three months ended March 31, 2020, the entity that held and managed our ownership interest in a refined coal facility sold a majority of its assets resulting in a $7 million non-cash impairment charge at that time. Refer to Note 4 to the Condensed Consolidated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ind w:left="60" w:right="339" w:firstLine="272"/>
        <w:spacing w:after="0" w:line="342" w:lineRule="auto"/>
        <w:rPr>
          <w:sz w:val="20"/>
          <w:szCs w:val="20"/>
          <w:color w:val="auto"/>
        </w:rPr>
      </w:pPr>
      <w:r>
        <w:rPr>
          <w:rFonts w:ascii="Arial" w:cs="Arial" w:eastAsia="Arial" w:hAnsi="Arial"/>
          <w:sz w:val="16"/>
          <w:szCs w:val="16"/>
          <w:color w:val="auto"/>
        </w:rPr>
        <w:t xml:space="preserve">During the second quarter of 2021, we recognized an $8 million loss upon settlement of a reverse Treasury rate lock associated with the refinancing of certain senior notes as discussed above in </w:t>
      </w:r>
      <w:r>
        <w:rPr>
          <w:rFonts w:ascii="Arial" w:cs="Arial" w:eastAsia="Arial" w:hAnsi="Arial"/>
          <w:sz w:val="16"/>
          <w:szCs w:val="16"/>
          <w:i w:val="1"/>
          <w:iCs w:val="1"/>
          <w:color w:val="auto"/>
        </w:rPr>
        <w:t>Loss on Early Extinguishment of Debt.</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Our income tax expense was $167 million and $396 million for the three and nine months ended September 30, 2021, respectively, compared to $126 million and $288 million for the three and nine months ended September 30, 2020, respectively. Our effective income tax rate was 23.7% and 23.2% for the three and nine months ended September 30, 2021, respectively, compared to 24.5% and 21.4% for the three and nine months ended September 30, 2020, respectively.</w:t>
      </w:r>
    </w:p>
    <w:p>
      <w:pPr>
        <w:spacing w:after="0" w:line="15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decrease in our effective income tax rate when comparing the three months ended September 30, 2021 with the prior year period was due to the detrimental impact of non-deductible transaction costs incurred during the prior year period related to our acquisition of Advanced Disposal which did not reoccur in the current period. The decrease was partially offset by a net nominal increase in our effective income tax rate during the current year period resulting from a pre-tax gain from the recognition of cumulative translation adjustments on the divestiture of certain non-strategic Canadian operations in 2021 which was not taxable and unfavorable adjustments to accruals and related deferred taxes primarily due to a change from our initial expectations of the tax effects of the Advanced Disposal acquisition and related divestitures.</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increase in our effective income tax rate for the nine-month period ended September 30, 2021 as compared with the prior year period was due to (i) lower federal tax credits in 2021; (ii) unfavorable adjustments to accruals and related deferred taxes discussed above and (iii) a decrease in excess tax benefits associated with equity-based compensation in the current year period, partially offset by a pre-tax gain from the recognition of cumulative translation adjustments on the divestiture of certain non-strategic Canadian operations in 2021 which was not taxable. In addition, our effective income tax rate in 2020 included the detrimental impact of non-deductible transaction costs related to closing the acquisition of Advanced Disposal in 2020.</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4 to the Condensed Consolidated Financial Statements for more information related to income taxes.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consistently generates cash flow from operations that meets and exceeds our working capital needs, payment of our dividends and investment in the business through capital expenditures and tuck-in acquisitions. We continually monitor our actual and forecasted cash flows, our liquidity and our capital resources, enabling us to plan for our present needs and fund unbudgeted business requirements that may arise during the year. The Company believes that its investment grade credit ratings, large value of unencumbered assets and modest leverage enable it to obtain adequate financing to meet its ongoing capital, operating, strategic and other liquidity requirements.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1" w:name="page42"/>
    <w:bookmarkEnd w:id="41"/>
    <w:p>
      <w:pPr>
        <w:ind w:left="18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60" w:type="dxa"/>
            <w:vAlign w:val="bottom"/>
            <w:gridSpan w:val="4"/>
          </w:tcPr>
          <w:p>
            <w:pPr>
              <w:ind w:left="7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ind w:left="20"/>
              <w:spacing w:after="0"/>
              <w:rPr>
                <w:sz w:val="20"/>
                <w:szCs w:val="20"/>
                <w:color w:val="auto"/>
              </w:rPr>
            </w:pPr>
            <w:r>
              <w:rPr>
                <w:rFonts w:ascii="Arial" w:cs="Arial" w:eastAsia="Arial" w:hAnsi="Arial"/>
                <w:sz w:val="18"/>
                <w:szCs w:val="18"/>
                <w:color w:val="auto"/>
              </w:rPr>
              <w:t>Restricted trust and escrow accounts:</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restricted trust and escrow accounts (a)</w:t>
            </w:r>
          </w:p>
        </w:tc>
        <w:tc>
          <w:tcPr>
            <w:tcW w:w="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ind w:left="220"/>
              <w:spacing w:after="0"/>
              <w:rPr>
                <w:sz w:val="20"/>
                <w:szCs w:val="20"/>
                <w:color w:val="auto"/>
              </w:rPr>
            </w:pPr>
            <w:r>
              <w:rPr>
                <w:rFonts w:ascii="Arial" w:cs="Arial" w:eastAsia="Arial" w:hAnsi="Arial"/>
                <w:sz w:val="18"/>
                <w:szCs w:val="18"/>
                <w:color w:val="auto"/>
              </w:rPr>
              <w:t>Current portion</w:t>
            </w:r>
          </w:p>
        </w:tc>
        <w:tc>
          <w:tcPr>
            <w:tcW w:w="9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20" w:type="dxa"/>
            <w:vAlign w:val="bottom"/>
            <w:gridSpan w:val="2"/>
          </w:tcPr>
          <w:p>
            <w:pPr>
              <w:ind w:left="320"/>
              <w:spacing w:after="0"/>
              <w:rPr>
                <w:sz w:val="20"/>
                <w:szCs w:val="20"/>
                <w:color w:val="auto"/>
              </w:rPr>
            </w:pPr>
            <w:r>
              <w:rPr>
                <w:rFonts w:ascii="Arial" w:cs="Arial" w:eastAsia="Arial" w:hAnsi="Arial"/>
                <w:sz w:val="18"/>
                <w:szCs w:val="18"/>
                <w:color w:val="auto"/>
              </w:rPr>
              <w:t>Total debt</w:t>
            </w:r>
          </w:p>
        </w:tc>
        <w:tc>
          <w:tcPr>
            <w:tcW w:w="7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September 30, 2021 and December 31, 2020, $75 million of these account balances was included in other current assets in our Condensed Consolidated Balance Sheets.</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As of September 30, 2021, we had $2.8 billion of debt maturing within the next 12 months, including (i) $1.4 billion of short-term borrowings under our commercial paper program (net of related discount on issuance); (ii) $745 million of tax-exempt bonds with term interest rate periods that expire within the next 12 months, which is prior to their scheduled maturities; (iii) $500 million of 2.90% senior notes that mature in September 2022 and (iv) $168 million of other debt with scheduled maturities within the next 12 months, including $64 million of tax-exempt bonds. As of September 30, 2021, we have classified $2.2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The remaining $601 million of debt maturing in the next 12 months is classified as current obligations.</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May 2021, WM issued $950 million of senior notes consisting of $475 million of 2.00% senior notes due June 1, 2029 and $475 million of 2.95% senior notes due June 15, 2041. The net proceeds from these debt issuances were $942 million, all of which were used along with available cash on hand, to retire $1.3 billion of certain high-coupon senior notes. The cash paid includes the principal amount of the debt retired, $211 million of related premiums and other third-party costs, which are classified as loss on early extinguishment of debt in our Condensed Consolidated Statement of Operations, and $15 million of accrued interest.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2" w:name="page43"/>
    <w:bookmarkEnd w:id="42"/>
    <w:p>
      <w:pPr>
        <w:ind w:left="180"/>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In lieu of providing separate financial statements for the subsidiary issuer and guarantor (WM and WM Holdings), we have presented the accompanying supplemental summarized combined balance sheet and income statement information for WM and WM Holdings on a combined basis after elimination of intercompany transactions between WM and WM Holdings and amounts related to investments in any subsidiary that is a non-guarantor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Information:</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Advances due to affiliates</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18,501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16,505</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r>
      <w:tr>
        <w:trPr>
          <w:trHeight w:val="355"/>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September 30, 2021</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Information:</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w:t>
            </w:r>
          </w:p>
        </w:tc>
      </w:tr>
    </w:tbl>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our cash flows for the nine months ended September 30 (in millions):</w:t>
      </w:r>
    </w:p>
    <w:p>
      <w:pPr>
        <w:spacing w:after="0" w:line="122"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Nine Months Ended</w:t>
      </w:r>
    </w:p>
    <w:p>
      <w:pPr>
        <w:ind w:left="75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60" w:type="dxa"/>
        <w:tblCellMar>
          <w:top w:w="0" w:type="dxa"/>
          <w:left w:w="0" w:type="dxa"/>
          <w:bottom w:w="0" w:type="dxa"/>
          <w:right w:w="0" w:type="dxa"/>
        </w:tblCellMar>
      </w:tblPr>
      <w:tr>
        <w:trPr>
          <w:trHeight w:val="142"/>
        </w:trPr>
        <w:tc>
          <w:tcPr>
            <w:tcW w:w="6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(1,106)</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197"/>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Net Cash Provided by Operating Activities — </w:t>
      </w:r>
      <w:r>
        <w:rPr>
          <w:rFonts w:ascii="Arial" w:cs="Arial" w:eastAsia="Arial" w:hAnsi="Arial"/>
          <w:sz w:val="17"/>
          <w:szCs w:val="17"/>
          <w:color w:val="auto"/>
        </w:rPr>
        <w:t>Our operating cash flows increased by $697 million as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prior year period, as a result of (i) an increase in earnings primarily attributable to our collection, disposal and recycling lines of business; (ii) lower interest payments in the current year period primarily due to certain refinancing activities and the retirement of high-coupon debt during 2020 reducing our overall interest rates; (iii) favorable changes in our working capital, net of effects of acquisitions and divestitures; (iv) the acquisition of Advanced Disposal and (v) lower annual incentive compensation payments in the current year. Our working capital was favorably impacted by system and process improvements that contributed to a significant improvement in our days-to-pay metrics. These favorable impacts were partially offset by (i) higher income tax payments in the current year period; (ii) the timing of cash tax benefits received in 2020 associated with federal alternative fuel tax credits and (iii) timing differences in the payment of payroll taxes due to a temporary deferral taken through the third quarter of 2020 as provided for by the Coronavirus Aid, Relief and Economic Security Act.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3" w:name="page44"/>
    <w:bookmarkEnd w:id="43"/>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2021 and 2020 are summarized below:</w:t>
      </w:r>
    </w:p>
    <w:p>
      <w:pPr>
        <w:spacing w:after="0" w:line="62" w:lineRule="exact"/>
        <w:rPr>
          <w:sz w:val="20"/>
          <w:szCs w:val="20"/>
          <w:color w:val="auto"/>
        </w:rPr>
      </w:pPr>
    </w:p>
    <w:p>
      <w:pPr>
        <w:jc w:val="both"/>
        <w:ind w:left="720" w:right="79" w:hanging="319"/>
        <w:spacing w:after="0" w:line="275"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 </w:t>
      </w:r>
      <w:r>
        <w:rPr>
          <w:rFonts w:ascii="Arial" w:cs="Arial" w:eastAsia="Arial" w:hAnsi="Arial"/>
          <w:sz w:val="17"/>
          <w:szCs w:val="17"/>
          <w:color w:val="auto"/>
        </w:rPr>
        <w:t>We used $1,130 million and $1,238 million for capital expenditures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2021 and 2020, respectively. The decrease in capital spending was primarily driven by timing differences in our fleet purchases as well as supply chain constraints in advancing current year projects. The Company continues to maintain a disciplined focus on capital management to prioritize investments in the long-term growth of our business and for the replacement of aging assets.</w:t>
      </w:r>
    </w:p>
    <w:p>
      <w:pPr>
        <w:spacing w:after="0" w:line="68"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nine months ended September 30, 2021 and 2020 are summarized below:</w:t>
      </w:r>
    </w:p>
    <w:p>
      <w:pPr>
        <w:spacing w:after="0" w:line="62" w:lineRule="exact"/>
        <w:rPr>
          <w:sz w:val="20"/>
          <w:szCs w:val="20"/>
          <w:color w:val="auto"/>
        </w:rPr>
      </w:pPr>
    </w:p>
    <w:p>
      <w:pPr>
        <w:ind w:left="720" w:right="7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Debt (Repayments) Borrowings — </w:t>
      </w:r>
      <w:r>
        <w:rPr>
          <w:rFonts w:ascii="Arial" w:cs="Arial" w:eastAsia="Arial" w:hAnsi="Arial"/>
          <w:sz w:val="18"/>
          <w:szCs w:val="18"/>
          <w:color w:val="auto"/>
        </w:rPr>
        <w:t>The following summarizes our cash borrowings and repayments of debt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(in millions):</w:t>
      </w:r>
    </w:p>
    <w:p>
      <w:pPr>
        <w:spacing w:after="0" w:line="6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22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 paper (a)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w:t>
            </w:r>
          </w:p>
        </w:tc>
      </w:tr>
      <w:tr>
        <w:trPr>
          <w:trHeight w:val="216"/>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Other debt</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09"/>
        </w:trPr>
        <w:tc>
          <w:tcPr>
            <w:tcW w:w="564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Commercial paper (a)</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(5,798)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(1,822)</w:t>
            </w:r>
          </w:p>
        </w:tc>
      </w:tr>
      <w:tr>
        <w:trPr>
          <w:trHeight w:val="216"/>
        </w:trPr>
        <w:tc>
          <w:tcPr>
            <w:tcW w:w="5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(1,289)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(3,600)</w:t>
            </w:r>
          </w:p>
        </w:tc>
      </w:tr>
      <w:tr>
        <w:trPr>
          <w:trHeight w:val="216"/>
        </w:trPr>
        <w:tc>
          <w:tcPr>
            <w:tcW w:w="564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9"/>
        </w:trPr>
        <w:tc>
          <w:tcPr>
            <w:tcW w:w="222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(7,237)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(5,764)</w:t>
            </w:r>
          </w:p>
        </w:tc>
      </w:tr>
      <w:tr>
        <w:trPr>
          <w:trHeight w:val="210"/>
        </w:trPr>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Net cash repayments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(3,114)</w:t>
            </w:r>
          </w:p>
        </w:tc>
      </w:tr>
      <w:tr>
        <w:trPr>
          <w:trHeight w:val="20"/>
        </w:trPr>
        <w:tc>
          <w:tcPr>
            <w:tcW w:w="2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8"/>
        </w:trPr>
        <w:tc>
          <w:tcPr>
            <w:tcW w:w="222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8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Beginning in the second quarter of 2021 we elected to report these cash flows on a gross basis.</w:t>
      </w:r>
    </w:p>
    <w:p>
      <w:pPr>
        <w:spacing w:after="0" w:line="117" w:lineRule="exact"/>
        <w:rPr>
          <w:sz w:val="20"/>
          <w:szCs w:val="20"/>
          <w:color w:val="auto"/>
        </w:rPr>
      </w:pPr>
    </w:p>
    <w:p>
      <w:pPr>
        <w:ind w:left="700" w:right="79"/>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debt borrowings and repayments.</w:t>
      </w:r>
    </w:p>
    <w:p>
      <w:pPr>
        <w:spacing w:after="0" w:line="62" w:lineRule="exact"/>
        <w:rPr>
          <w:sz w:val="20"/>
          <w:szCs w:val="20"/>
          <w:color w:val="auto"/>
        </w:rPr>
      </w:pPr>
    </w:p>
    <w:p>
      <w:pPr>
        <w:jc w:val="both"/>
        <w:ind w:left="720" w:right="79" w:hanging="319"/>
        <w:spacing w:after="0" w:line="259"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Premiums and Other Paid on Early Extinguishment of Debt — </w:t>
      </w:r>
      <w:r>
        <w:rPr>
          <w:rFonts w:ascii="Arial" w:cs="Arial" w:eastAsia="Arial" w:hAnsi="Arial"/>
          <w:sz w:val="18"/>
          <w:szCs w:val="18"/>
          <w:color w:val="auto"/>
        </w:rPr>
        <w:t>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we paid premiums and other third-party costs of $211 million to retire certain high-coupon senior notes. See Note 3 to the Condensed Consolidated Financial Statements for further discussion of this debt transaction.</w:t>
      </w:r>
    </w:p>
    <w:p>
      <w:pPr>
        <w:spacing w:after="0" w:line="78" w:lineRule="exact"/>
        <w:rPr>
          <w:rFonts w:ascii="Arial" w:cs="Arial" w:eastAsia="Arial" w:hAnsi="Arial"/>
          <w:sz w:val="18"/>
          <w:szCs w:val="18"/>
          <w:color w:val="auto"/>
        </w:rPr>
      </w:pPr>
    </w:p>
    <w:p>
      <w:pPr>
        <w:jc w:val="both"/>
        <w:ind w:left="720" w:right="79" w:hanging="319"/>
        <w:spacing w:after="0" w:line="291"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Repurchase Program — </w:t>
      </w:r>
      <w:r>
        <w:rPr>
          <w:rFonts w:ascii="Arial" w:cs="Arial" w:eastAsia="Arial" w:hAnsi="Arial"/>
          <w:sz w:val="16"/>
          <w:szCs w:val="16"/>
          <w:color w:val="auto"/>
        </w:rPr>
        <w:t>During the nine months ended September 30, 2021, we repurchased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$1.0 billion of our common stock pursuant to three accelerated share repurchase (“ASR”) agreements, as discussed further in Note 11 to the Condensed Consolidated Financial Statements. We expect to repurchase the full amount of our remaining authorization of $350 million of common stock during the fourth quarter of 2021. During the three months ended March 31, 2020, we repurchased $402 million of our common stock, which included $313 million related to a February 2020 ASR agreement and $89 million in open market transactions. We did not repurchase any of our common stock during the second and third quarters of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4" w:name="page45"/>
    <w:bookmarkEnd w:id="44"/>
    <w:p>
      <w:pPr>
        <w:ind w:left="720" w:hanging="319"/>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For the periods presented, all dividends have been declared by our Board of Directors.</w:t>
      </w:r>
    </w:p>
    <w:p>
      <w:pPr>
        <w:spacing w:after="0" w:line="129" w:lineRule="exact"/>
        <w:rPr>
          <w:sz w:val="20"/>
          <w:szCs w:val="20"/>
          <w:color w:val="auto"/>
        </w:rPr>
      </w:pPr>
    </w:p>
    <w:p>
      <w:pPr>
        <w:jc w:val="both"/>
        <w:ind w:left="700" w:right="79"/>
        <w:spacing w:after="0" w:line="263" w:lineRule="auto"/>
        <w:rPr>
          <w:sz w:val="20"/>
          <w:szCs w:val="20"/>
          <w:color w:val="auto"/>
        </w:rPr>
      </w:pPr>
      <w:r>
        <w:rPr>
          <w:rFonts w:ascii="Arial" w:cs="Arial" w:eastAsia="Arial" w:hAnsi="Arial"/>
          <w:sz w:val="18"/>
          <w:szCs w:val="18"/>
          <w:color w:val="auto"/>
        </w:rPr>
        <w:t>We paid cash dividends of $730 million and $696 million during the nine months ended September 30, 2021 and 2020, respectively. The increase in dividend payments is primarily due to our quarterly per share dividend increasing from $0.545 in 2020 to $0.575 in 2021.</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1"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74"/>
              <w:spacing w:after="0"/>
              <w:rPr>
                <w:sz w:val="20"/>
                <w:szCs w:val="20"/>
                <w:color w:val="auto"/>
              </w:rPr>
            </w:pPr>
            <w:r>
              <w:rPr>
                <w:rFonts w:ascii="Arial" w:cs="Arial" w:eastAsia="Arial" w:hAnsi="Arial"/>
                <w:sz w:val="14"/>
                <w:szCs w:val="14"/>
                <w:b w:val="1"/>
                <w:bCs w:val="1"/>
                <w:color w:val="auto"/>
                <w:w w:val="96"/>
              </w:rPr>
              <w:t>Nine Months Ended</w:t>
            </w:r>
          </w:p>
        </w:tc>
      </w:tr>
      <w:tr>
        <w:trPr>
          <w:trHeight w:val="171"/>
        </w:trPr>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(1,238)</w:t>
            </w: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Proceeds from divestitures of businesses and other assets, net of cash</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divested</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5620" w:type="dxa"/>
            <w:vAlign w:val="bottom"/>
          </w:tcPr>
          <w:p>
            <w:pPr>
              <w:ind w:left="100"/>
              <w:spacing w:after="0"/>
              <w:rPr>
                <w:sz w:val="20"/>
                <w:szCs w:val="20"/>
                <w:color w:val="auto"/>
              </w:rPr>
            </w:pPr>
            <w:r>
              <w:rPr>
                <w:rFonts w:ascii="Arial" w:cs="Arial" w:eastAsia="Arial" w:hAnsi="Arial"/>
                <w:sz w:val="18"/>
                <w:szCs w:val="18"/>
                <w:color w:val="auto"/>
              </w:rPr>
              <w:t>Free cash flow</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the fair value of assets and liabilities acquired in business combinations or as asset acquisitions and reserves associated with our insured and self-insured claims, as described in Item 7 of our Annual Report on Form 10-K for the year ended December 31, 2020. Actual results could differ materially from the estimates and assumptions that we use in the preparation of our financial statements.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financial interests in unconsolidated variable interest entities as discussed in Note 13 to the Condensed Consolidated Financial Statements. Additionally, we are party to guarantee arrangements with unconsolidated entities as discussed in the Guarantees section of Note 6 to the Condensed Consolidated Financial Statements. These arrangements have not materially affected our financial position, results of operations or liquidity during the nine months ended September 30, 2021, nor are they expected to have a material impact on our future financial position, results of operations or liquidity.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Service disruptions caused by severe storms, extended periods of inclement weather or climate events can significantly impact the operating results of the Areas affected. On the other hand, certain destructive weather and climate conditions, such as wildfires in the Western U.S. and hurricanes that most often impact our operations in the Southern and Eastern U.S. during the second half of the year, can increase our revenues in the Areas affected as a result of the waste volumes generated by these events. While weather-related and other event-driven special projects can boost revenues through additional work for a limited time, as a result of significant start-up costs and other factors, such revenue can generate earnings at comparatively lower margins.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 Accelerated and pronounced economic pressures, particularly related to inflationary cost pressures on labor and the goods and services we rely upon to deliver service to our customers, have had a more significant impact on our cost structure and capital expenditures in 2021. We are taking proactive steps to increase the price of our service and to manage our costs through efficiency, productivity and automation in order to mitigate the inflationary cost pressures we have seen in our business. Refer to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below for further discussion.</w:t>
      </w:r>
    </w:p>
    <w:p>
      <w:pPr>
        <w:spacing w:after="0" w:line="174"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Information about market risks as of September 30, 2021 does not differ materially from that discussed under Item 7A in our Annual Report on Form 10-K for the year ended December 31, 2020.</w:t>
      </w:r>
    </w:p>
    <w:p>
      <w:pPr>
        <w:spacing w:after="0" w:line="166"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2021 (the end of the period covered by this Quarterly Report on Form 10-Q).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2021. We determined that there were no changes in our internal control over financial reporting during the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Except as set forth below, there have been no material changes to the risk factors previously disclosed in Part I, Item 1A of our Annual Report on Form 10-K for the year ended December 31, 2020.</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Macroeconomic pressures and market disruption have adversely impacted our business and results of operations.</w:t>
      </w:r>
    </w:p>
    <w:p>
      <w:pPr>
        <w:spacing w:after="0" w:line="24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Certain macroeconomic pressures and market disruption, driven in part by the COVID-19 pandemic, have intensified during the third quarter of 2021. The constrained labor market has resulted in increased costs for wage adjustments, overtime hours and training new hires to address operational challenges servicing customers. The COVID-19 pandemic and the constrained labor market have also contributed to significant global supply chain disruption and inflationary pressure for the goods and services we purchase, with a particular impact on our repair and maintenance costs. Supply chain constraints have also caused delayed delivery of fleet, steel containers and other purchases. Aspects of our business rely on third-party transportation providers, and such services have become more limited and expensive.</w:t>
      </w:r>
    </w:p>
    <w:p>
      <w:pPr>
        <w:spacing w:after="0" w:line="16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extent and duration of the impact of these labor market, supply chain and transportation challenges are subject to numerous factors, including the continuing impact of the COVID-19 pandemic; size, location and qualifications of the labor pool; behavioral changes; wage and price structures; adoption of new or revised regulations; and broader macroeconomic conditions. If we are not able to overcome limitations on labor availability, it could materially impact our ability to service our customers and our financial results. A significant portion of our revenue is tied to a price escalation index with a lookback provision, resulting in a timing lag in our ability to recover increased costs during this period of rapid inflation under those contracts. Additionally, for many of our customers we provide services under multi-year contracts that can restrict our ability to increase prices and the timing of such increases. The inability to adequately increase prices to offset increased costs and inflationary pressures, or otherwise mitigate the impact of these macroeconomic conditions and market disruptions on our business, will increase our costs of doing business and reduce our margins. If such impacts are prolonged and substantial, they could have a material negative effect on our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180" w:right="79" w:firstLine="324"/>
        <w:spacing w:after="0" w:line="277" w:lineRule="auto"/>
        <w:rPr>
          <w:sz w:val="20"/>
          <w:szCs w:val="20"/>
          <w:color w:val="auto"/>
        </w:rPr>
      </w:pPr>
      <w:r>
        <w:rPr>
          <w:rFonts w:ascii="Arial" w:cs="Arial" w:eastAsia="Arial" w:hAnsi="Arial"/>
          <w:sz w:val="18"/>
          <w:szCs w:val="18"/>
          <w:color w:val="auto"/>
        </w:rPr>
        <w:t>The following table summarizes common stock repurchases made during the third quarter of 2021 (shares in millions):</w:t>
      </w:r>
    </w:p>
    <w:p>
      <w:pPr>
        <w:spacing w:after="0" w:line="5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400" w:type="dxa"/>
            <w:vAlign w:val="bottom"/>
          </w:tcPr>
          <w:p>
            <w:pPr>
              <w:spacing w:after="0"/>
              <w:rPr>
                <w:sz w:val="12"/>
                <w:szCs w:val="12"/>
                <w:color w:val="auto"/>
              </w:rPr>
            </w:pPr>
          </w:p>
        </w:tc>
        <w:tc>
          <w:tcPr>
            <w:tcW w:w="2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per Share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 31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99"/>
              </w:rPr>
              <w:t>850 million</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August 1 — 31</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145.77</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880"/>
              <w:spacing w:after="0"/>
              <w:rPr>
                <w:sz w:val="20"/>
                <w:szCs w:val="20"/>
                <w:color w:val="auto"/>
              </w:rPr>
            </w:pPr>
            <w:r>
              <w:rPr>
                <w:rFonts w:ascii="Arial" w:cs="Arial" w:eastAsia="Arial" w:hAnsi="Arial"/>
                <w:sz w:val="18"/>
                <w:szCs w:val="18"/>
                <w:color w:val="auto"/>
              </w:rPr>
              <w:t>350 million</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30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350 million</w:t>
            </w:r>
          </w:p>
        </w:tc>
        <w:tc>
          <w:tcPr>
            <w:tcW w:w="0" w:type="dxa"/>
            <w:vAlign w:val="bottom"/>
          </w:tcPr>
          <w:p>
            <w:pPr>
              <w:spacing w:after="0"/>
              <w:rPr>
                <w:sz w:val="1"/>
                <w:szCs w:val="1"/>
                <w:color w:val="auto"/>
              </w:rPr>
            </w:pPr>
          </w:p>
        </w:tc>
      </w:tr>
      <w:tr>
        <w:trPr>
          <w:trHeight w:val="209"/>
        </w:trPr>
        <w:tc>
          <w:tcPr>
            <w:tcW w:w="22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145.77</w:t>
            </w:r>
          </w:p>
        </w:tc>
        <w:tc>
          <w:tcPr>
            <w:tcW w:w="4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May 2021, we entered into an ASR agreement to repurchase $250 million of our common stock. At the beginning of the repurchase period, we delivered $250 million cash and received 1.4 million shares based on a stock price of $141.42. The ASR agreement completed in the third quarter of 2021, at which time we received 0.4 million additional shares based on a final weighted average price of $140.04.</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7" w:name="page48"/>
    <w:bookmarkEnd w:id="47"/>
    <w:p>
      <w:pPr>
        <w:jc w:val="both"/>
        <w:ind w:left="60" w:right="59" w:firstLine="324"/>
        <w:spacing w:after="0" w:line="275" w:lineRule="auto"/>
        <w:rPr>
          <w:sz w:val="20"/>
          <w:szCs w:val="20"/>
          <w:color w:val="auto"/>
        </w:rPr>
      </w:pPr>
      <w:r>
        <w:rPr>
          <w:rFonts w:ascii="Arial" w:cs="Arial" w:eastAsia="Arial" w:hAnsi="Arial"/>
          <w:sz w:val="17"/>
          <w:szCs w:val="17"/>
          <w:color w:val="auto"/>
        </w:rPr>
        <w:t>In August 2021, we entered into an ASR agreement to repurchase $500 million of our common stock. At the beginning of the repurchase period, we delivered $500 million cash and received 2.7 million shares based on a stock price of $147.27.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November 2021.</w:t>
      </w:r>
    </w:p>
    <w:p>
      <w:pPr>
        <w:spacing w:after="0" w:line="1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September 30, 2021, the Company has authorization for $350 million of future share repurchases. We expect to repurchase the full amount of our remaining authorization during the fourth quarter of 2021.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 growth and acquisitions.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5"/>
              </w:rPr>
              <w:t>Exhibit No.</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40" w:type="dxa"/>
            <w:vAlign w:val="bottom"/>
            <w:gridSpan w:val="5"/>
          </w:tcPr>
          <w:p>
            <w:pPr>
              <w:ind w:left="16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40" w:type="dxa"/>
            <w:vAlign w:val="bottom"/>
            <w:tcBorders>
              <w:top w:val="single" w:sz="8" w:color="auto"/>
            </w:tcBorders>
            <w:gridSpan w:val="8"/>
          </w:tcPr>
          <w:p>
            <w:pPr>
              <w:spacing w:after="0" w:line="169" w:lineRule="exact"/>
              <w:rPr>
                <w:rFonts w:ascii="Arial" w:cs="Arial" w:eastAsia="Arial" w:hAnsi="Arial"/>
                <w:sz w:val="18"/>
                <w:szCs w:val="18"/>
                <w:color w:val="0000EE"/>
              </w:rPr>
            </w:pPr>
            <w:hyperlink w:anchor="page51">
              <w:r>
                <w:rPr>
                  <w:rFonts w:ascii="Arial" w:cs="Arial" w:eastAsia="Arial" w:hAnsi="Arial"/>
                  <w:sz w:val="18"/>
                  <w:szCs w:val="18"/>
                  <w:color w:val="0000EE"/>
                </w:rPr>
                <w:t>Guarantor Subsidiary.</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amended, of James C. Fish, Jr., President and Chief Executive Officer.</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76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Certification Pursuant to Rules 13a-14(a) and 15d-14(a) under the Securities Exchange Act of 1934, as</w:t>
              </w:r>
            </w:hyperlink>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amended, of Devina A. Rankin, Executive Vice President and Chief Financial Officer.</w:t>
              </w:r>
            </w:hyperlink>
          </w:p>
        </w:tc>
        <w:tc>
          <w:tcPr>
            <w:tcW w:w="1560" w:type="dxa"/>
            <w:vAlign w:val="bottom"/>
            <w:gridSpan w:val="3"/>
          </w:tcPr>
          <w:p>
            <w:pPr>
              <w:spacing w:after="0"/>
              <w:rPr>
                <w:sz w:val="17"/>
                <w:szCs w:val="17"/>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Pursuant to 18 U.S.C. §1350 of James C. Fish, Jr., President and Chief Executive Officer.</w:t>
              </w:r>
            </w:hyperlink>
          </w:p>
        </w:tc>
        <w:tc>
          <w:tcPr>
            <w:tcW w:w="360" w:type="dxa"/>
            <w:vAlign w:val="bottom"/>
            <w:gridSpan w:val="2"/>
          </w:tcPr>
          <w:p>
            <w:pPr>
              <w:spacing w:after="0"/>
              <w:rPr>
                <w:sz w:val="24"/>
                <w:szCs w:val="24"/>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77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55">
              <w:r>
                <w:rPr>
                  <w:rFonts w:ascii="Arial" w:cs="Arial" w:eastAsia="Arial" w:hAnsi="Arial"/>
                  <w:sz w:val="18"/>
                  <w:szCs w:val="18"/>
                  <w:color w:val="0000EE"/>
                  <w:w w:val="98"/>
                </w:rPr>
                <w:t>Certification Pursuant to 18 U.S.C. §1350 of Devina A. Rankin, Executive Vice President and Chief</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Financial Officer.</w:t>
              </w:r>
            </w:hyperlink>
          </w:p>
        </w:tc>
      </w:tr>
      <w:tr>
        <w:trPr>
          <w:trHeight w:val="20"/>
        </w:trPr>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18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Mine Safety Disclosures.</w:t>
              </w:r>
            </w:hyperlink>
          </w:p>
        </w:tc>
        <w:tc>
          <w:tcPr>
            <w:tcW w:w="5940" w:type="dxa"/>
            <w:vAlign w:val="bottom"/>
            <w:gridSpan w:val="5"/>
          </w:tcPr>
          <w:p>
            <w:pPr>
              <w:spacing w:after="0"/>
              <w:rPr>
                <w:sz w:val="24"/>
                <w:szCs w:val="24"/>
                <w:color w:val="auto"/>
              </w:rPr>
            </w:pP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Instance.</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0" w:lineRule="exact"/>
        <w:rPr>
          <w:sz w:val="20"/>
          <w:szCs w:val="20"/>
          <w:color w:val="auto"/>
        </w:rPr>
      </w:pPr>
    </w:p>
    <w:p>
      <w:pPr>
        <w:ind w:left="300" w:hanging="250"/>
        <w:spacing w:after="0"/>
        <w:tabs>
          <w:tab w:leader="none" w:pos="3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Filed herewith.</w:t>
      </w:r>
    </w:p>
    <w:p>
      <w:pPr>
        <w:ind w:left="60"/>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Leslie K. Nagy</w:t>
            </w:r>
          </w:p>
        </w:tc>
      </w:tr>
    </w:tbl>
    <w:p>
      <w:pPr>
        <w:jc w:val="center"/>
        <w:ind w:left="4840"/>
        <w:spacing w:after="0"/>
        <w:rPr>
          <w:sz w:val="20"/>
          <w:szCs w:val="20"/>
          <w:color w:val="auto"/>
        </w:rPr>
      </w:pPr>
      <w:r>
        <w:rPr>
          <w:rFonts w:ascii="Arial" w:cs="Arial" w:eastAsia="Arial" w:hAnsi="Arial"/>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GUARANTOR SUBSIDIARY</w:t>
      </w:r>
    </w:p>
    <w:p>
      <w:pPr>
        <w:spacing w:after="0" w:line="20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September 30, 2021,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7"/>
              </w:rPr>
              <w:t>Principal</w:t>
            </w:r>
          </w:p>
        </w:tc>
        <w:tc>
          <w:tcPr>
            <w:tcW w:w="26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Interest Rate</w:t>
            </w: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5"/>
              </w:rPr>
              <w:t>Issued</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annum)</w:t>
            </w:r>
          </w:p>
        </w:tc>
        <w:tc>
          <w:tcPr>
            <w:tcW w:w="88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CCEEFF"/>
            </w:tcBorders>
            <w:vMerge w:val="continue"/>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million</w:t>
            </w:r>
          </w:p>
        </w:tc>
        <w:tc>
          <w:tcPr>
            <w:tcW w:w="8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250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7.375%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12/21/1999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5/21/2002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6.125%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11/12/2009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9/12/2012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9/15/2022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350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3.50%</w:t>
            </w: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5/8/2014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450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3.90%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3/1/2035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3/1/2045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2.40%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5/16/2016</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5/15/2023</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4.15%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6/15/2049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0.75%</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1.15%</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500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2.50%</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2.00%</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6/1/2029</w:t>
            </w:r>
          </w:p>
        </w:tc>
        <w:tc>
          <w:tcPr>
            <w:tcW w:w="0" w:type="dxa"/>
            <w:vAlign w:val="bottom"/>
          </w:tcPr>
          <w:p>
            <w:pPr>
              <w:spacing w:after="0"/>
              <w:rPr>
                <w:sz w:val="1"/>
                <w:szCs w:val="1"/>
                <w:color w:val="auto"/>
              </w:rPr>
            </w:pPr>
          </w:p>
        </w:tc>
      </w:t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380" w:type="dxa"/>
            <w:vAlign w:val="bottom"/>
            <w:gridSpan w:val="2"/>
          </w:tcPr>
          <w:p>
            <w:pPr>
              <w:jc w:val="right"/>
              <w:ind w:right="880"/>
              <w:spacing w:after="0"/>
              <w:rPr>
                <w:sz w:val="20"/>
                <w:szCs w:val="20"/>
                <w:color w:val="auto"/>
              </w:rPr>
            </w:pPr>
            <w:r>
              <w:rPr>
                <w:rFonts w:ascii="Arial" w:cs="Arial" w:eastAsia="Arial" w:hAnsi="Arial"/>
                <w:sz w:val="18"/>
                <w:szCs w:val="18"/>
                <w:color w:val="auto"/>
              </w:rPr>
              <w:t>475 million</w:t>
            </w:r>
          </w:p>
        </w:tc>
        <w:tc>
          <w:tcPr>
            <w:tcW w:w="2680" w:type="dxa"/>
            <w:vAlign w:val="bottom"/>
            <w:gridSpan w:val="2"/>
          </w:tcPr>
          <w:p>
            <w:pPr>
              <w:jc w:val="right"/>
              <w:ind w:right="740"/>
              <w:spacing w:after="0"/>
              <w:rPr>
                <w:sz w:val="20"/>
                <w:szCs w:val="20"/>
                <w:color w:val="auto"/>
              </w:rPr>
            </w:pPr>
            <w:r>
              <w:rPr>
                <w:rFonts w:ascii="Arial" w:cs="Arial" w:eastAsia="Arial" w:hAnsi="Arial"/>
                <w:sz w:val="18"/>
                <w:szCs w:val="18"/>
                <w:color w:val="auto"/>
              </w:rPr>
              <w:t>2.95%</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5/12/2021</w:t>
            </w:r>
          </w:p>
        </w:tc>
        <w:tc>
          <w:tcPr>
            <w:tcW w:w="8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6/1/2041</w:t>
            </w:r>
          </w:p>
        </w:tc>
        <w:tc>
          <w:tcPr>
            <w:tcW w:w="0" w:type="dxa"/>
            <w:vAlign w:val="bottom"/>
          </w:tcPr>
          <w:p>
            <w:pPr>
              <w:spacing w:after="0"/>
              <w:rPr>
                <w:sz w:val="1"/>
                <w:szCs w:val="1"/>
                <w:color w:val="auto"/>
              </w:rPr>
            </w:pPr>
          </w:p>
        </w:tc>
      </w:tr>
      <w:tr>
        <w:trPr>
          <w:trHeight w:val="749"/>
        </w:trPr>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51" w:name="page52"/>
    <w:bookmarkEnd w:id="5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600" w:hanging="226"/>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19" w:firstLine="314"/>
        <w:spacing w:after="0" w:line="286" w:lineRule="auto"/>
        <w:tabs>
          <w:tab w:leader="none" w:pos="59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79" w:firstLine="318"/>
        <w:spacing w:after="0" w:line="259" w:lineRule="auto"/>
        <w:tabs>
          <w:tab w:leader="none" w:pos="9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39" w:firstLine="318"/>
        <w:spacing w:after="0" w:line="263" w:lineRule="auto"/>
        <w:tabs>
          <w:tab w:leader="none" w:pos="9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96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59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5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79" w:firstLine="318"/>
        <w:spacing w:after="0" w:line="277" w:lineRule="auto"/>
        <w:tabs>
          <w:tab w:leader="none" w:pos="949"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6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600" w:hanging="226"/>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left="60" w:right="79" w:firstLine="314"/>
        <w:spacing w:after="0" w:line="263" w:lineRule="auto"/>
        <w:tabs>
          <w:tab w:leader="none" w:pos="6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0" w:right="239" w:firstLine="314"/>
        <w:spacing w:after="0" w:line="263" w:lineRule="auto"/>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0" w:right="119" w:firstLine="314"/>
        <w:spacing w:after="0" w:line="286" w:lineRule="auto"/>
        <w:tabs>
          <w:tab w:leader="none" w:pos="59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80" w:right="99" w:firstLine="318"/>
        <w:spacing w:after="0" w:line="259" w:lineRule="auto"/>
        <w:tabs>
          <w:tab w:leader="none" w:pos="9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80" w:right="79" w:firstLine="318"/>
        <w:spacing w:after="0" w:line="259" w:lineRule="auto"/>
        <w:tabs>
          <w:tab w:leader="none" w:pos="9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80" w:right="239" w:firstLine="318"/>
        <w:spacing w:after="0" w:line="263" w:lineRule="auto"/>
        <w:tabs>
          <w:tab w:leader="none" w:pos="9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80" w:right="99" w:firstLine="318"/>
        <w:spacing w:after="0" w:line="259" w:lineRule="auto"/>
        <w:tabs>
          <w:tab w:leader="none" w:pos="9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left="60" w:right="359" w:firstLine="314"/>
        <w:spacing w:after="0" w:line="263" w:lineRule="auto"/>
        <w:tabs>
          <w:tab w:leader="none" w:pos="5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380" w:right="99" w:firstLine="318"/>
        <w:spacing w:after="0" w:line="263" w:lineRule="auto"/>
        <w:tabs>
          <w:tab w:leader="none" w:pos="9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80" w:right="179" w:firstLine="318"/>
        <w:spacing w:after="0" w:line="277" w:lineRule="auto"/>
        <w:tabs>
          <w:tab w:leader="none" w:pos="94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28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2021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80" w:right="239" w:firstLine="318"/>
        <w:spacing w:after="0" w:line="277" w:lineRule="auto"/>
        <w:tabs>
          <w:tab w:leader="none" w:pos="10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319" w:firstLine="318"/>
        <w:spacing w:after="0" w:line="277" w:lineRule="auto"/>
        <w:tabs>
          <w:tab w:leader="none" w:pos="10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32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2021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80" w:right="239" w:firstLine="318"/>
        <w:spacing w:after="0" w:line="277" w:lineRule="auto"/>
        <w:tabs>
          <w:tab w:leader="none" w:pos="10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80" w:right="59" w:firstLine="318"/>
        <w:spacing w:after="0" w:line="277" w:lineRule="auto"/>
        <w:tabs>
          <w:tab w:leader="none" w:pos="10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1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20" w:type="dxa"/>
            <w:vAlign w:val="bottom"/>
          </w:tcPr>
          <w:p>
            <w:pPr>
              <w:spacing w:after="0"/>
              <w:rPr>
                <w:sz w:val="16"/>
                <w:szCs w:val="16"/>
                <w:color w:val="auto"/>
              </w:rPr>
            </w:pPr>
          </w:p>
        </w:tc>
        <w:tc>
          <w:tcPr>
            <w:tcW w:w="446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5" w:name="page56"/>
    <w:bookmarkEnd w:id="55"/>
    <w:p>
      <w:pPr>
        <w:jc w:val="right"/>
        <w:ind w:right="59"/>
        <w:spacing w:after="0"/>
        <w:rPr>
          <w:sz w:val="20"/>
          <w:szCs w:val="20"/>
          <w:color w:val="auto"/>
        </w:rPr>
      </w:pPr>
      <w:r>
        <w:rPr>
          <w:rFonts w:ascii="Arial" w:cs="Arial" w:eastAsia="Arial" w:hAnsi="Arial"/>
          <w:sz w:val="18"/>
          <w:szCs w:val="18"/>
          <w:b w:val="1"/>
          <w:bCs w:val="1"/>
          <w:color w:val="auto"/>
        </w:rPr>
        <w:t>Exhibit 95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0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5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7"/>
          <w:szCs w:val="17"/>
          <w:color w:val="auto"/>
        </w:rPr>
        <w:t>During the quarter ended September 30, 2021,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During the quarter ended September 30, 2021, CGS Services, Inc., an indirect wholly-owned subsidiary of Waste Management, Inc. was assessed penalties totaling $250 by the MSHA.</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6"/>
          <w:szCs w:val="16"/>
          <w:color w:val="auto"/>
        </w:rPr>
        <w:t>In addition, during the quarter ended September 30, 2021,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315595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1."/>
      <w:numFmt w:val="decimal"/>
      <w:start w:val="5"/>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1."/>
      <w:numFmt w:val="decimal"/>
      <w:start w:val="7"/>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2"/>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2"/>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decimal"/>
      <w:start w:val="9"/>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2"/>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2"/>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Roman"/>
      <w:start w:val="1"/>
    </w:lvl>
  </w:abstractNum>
  <w:abstractNum w:abstractNumId="24">
    <w:nsid w:val="6CEAF087"/>
    <w:multiLevelType w:val="hybridMultilevel"/>
    <w:lvl w:ilvl="0">
      <w:lvlJc w:val="left"/>
      <w:lvlText w:val="(%1)"/>
      <w:numFmt w:val="lowerRoman"/>
      <w:start w:val="2"/>
    </w:lvl>
  </w:abstractNum>
  <w:abstractNum w:abstractNumId="25">
    <w:nsid w:val="22221A70"/>
    <w:multiLevelType w:val="hybridMultilevel"/>
    <w:lvl w:ilvl="0">
      <w:lvlJc w:val="left"/>
      <w:lvlText w:val="(%1)"/>
      <w:numFmt w:val="lowerRoman"/>
      <w:start w:val="5"/>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
      <w:numFmt w:val="bullet"/>
      <w:start w:val="1"/>
    </w:lvl>
    <w:lvl w:ilvl="1">
      <w:lvlJc w:val="left"/>
      <w:lvlText w:val="(%2)"/>
      <w:numFmt w:val="lowerRoman"/>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lowerRoman"/>
      <w:start w:val="1"/>
    </w:lvl>
    <w:lvl w:ilvl="1">
      <w:lvlJc w:val="left"/>
      <w:lvlText w:val="%2."/>
      <w:numFmt w:val="upperLetter"/>
      <w:start w:val="1"/>
    </w:lvl>
  </w:abstractNum>
  <w:abstractNum w:abstractNumId="36">
    <w:nsid w:val="5C482A97"/>
    <w:multiLevelType w:val="hybridMultilevel"/>
    <w:lvl w:ilvl="0">
      <w:lvlJc w:val="left"/>
      <w:lvlText w:val="%1."/>
      <w:numFmt w:val="lowerRoman"/>
      <w:start w:val="1"/>
    </w:lvl>
    <w:lvl w:ilvl="1">
      <w:lvlJc w:val="left"/>
      <w:lvlText w:val="%2."/>
      <w:numFmt w:val="upp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2021-10-26T11:37:17Z</dcterms:created>
  <dcterms:modified xsi:type="dcterms:W3CDTF">2021-10-26T11:37:17Z</dcterms:modified>
</cp:coreProperties>
</file>