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27,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Waste Management,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56" w:right="339" w:bottom="1440" w:gutter="0" w:footer="0" w:header="0"/>
          <w:type w:val="continuous"/>
        </w:sectPr>
      </w:pPr>
    </w:p>
    <w:p>
      <w:pPr>
        <w:spacing w:after="0" w:line="3"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64"/>
        </w:trPr>
        <w:tc>
          <w:tcPr>
            <w:tcW w:w="3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Waste Management, Inc. (the “Company”) issued a press release this morning announcing its financial results for the second quarter of 2022, a copy of which is attached hereto as Exhibit 99.1. The Company is conducting an audio webcast to discuss these results beginning at 9:00 a.m. Central Time this morning. </w:t>
      </w:r>
      <w:r>
        <w:rPr>
          <w:rFonts w:ascii="Times New Roman" w:cs="Times New Roman" w:eastAsia="Times New Roman" w:hAnsi="Times New Roman"/>
          <w:sz w:val="18"/>
          <w:szCs w:val="18"/>
          <w:color w:val="0A0A0A"/>
        </w:rPr>
        <w:t>Listeners can access the live audio webcast by visiting investors.wm.com and selecting “Events &amp; Presentations” from the website menu.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replay of the audio webcast will be available at the same location.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webcast,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July 27, 2022</w:t>
      </w:r>
    </w:p>
    <w:p>
      <w:pPr>
        <w:spacing w:after="0" w:line="225" w:lineRule="exact"/>
        <w:rPr>
          <w:sz w:val="20"/>
          <w:szCs w:val="20"/>
          <w:color w:val="auto"/>
        </w:rPr>
      </w:pPr>
    </w:p>
    <w:p>
      <w:pPr>
        <w:ind w:left="5580" w:right="358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64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July 27, 2022</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Corporate Development and Chief Legal</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w:t>
            </w:r>
          </w:p>
        </w:tc>
      </w:tr>
      <w:tr>
        <w:trPr>
          <w:trHeight w:val="648"/>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IMMEDIATE RELEASE</w:t>
      </w:r>
    </w:p>
    <w:p>
      <w:pPr>
        <w:spacing w:after="0" w:line="190" w:lineRule="exact"/>
        <w:rPr>
          <w:sz w:val="20"/>
          <w:szCs w:val="20"/>
          <w:color w:val="auto"/>
        </w:rPr>
      </w:pPr>
    </w:p>
    <w:p>
      <w:pPr>
        <w:ind w:left="820"/>
        <w:spacing w:after="0"/>
        <w:rPr>
          <w:sz w:val="20"/>
          <w:szCs w:val="20"/>
          <w:color w:val="auto"/>
        </w:rPr>
      </w:pPr>
      <w:r>
        <w:rPr>
          <w:rFonts w:ascii="Arial" w:cs="Arial" w:eastAsia="Arial" w:hAnsi="Arial"/>
          <w:sz w:val="40"/>
          <w:szCs w:val="40"/>
          <w:color w:val="7AB800"/>
        </w:rPr>
        <w:t>WM Announces Second Quarter Earnings</w:t>
      </w:r>
    </w:p>
    <w:p>
      <w:pPr>
        <w:spacing w:after="0" w:line="355" w:lineRule="exact"/>
        <w:rPr>
          <w:sz w:val="20"/>
          <w:szCs w:val="20"/>
          <w:color w:val="auto"/>
        </w:rPr>
      </w:pPr>
    </w:p>
    <w:p>
      <w:pPr>
        <w:jc w:val="center"/>
        <w:ind w:left="20" w:right="380"/>
        <w:spacing w:after="0" w:line="445" w:lineRule="auto"/>
        <w:rPr>
          <w:sz w:val="20"/>
          <w:szCs w:val="20"/>
          <w:color w:val="auto"/>
        </w:rPr>
      </w:pPr>
      <w:r>
        <w:rPr>
          <w:rFonts w:ascii="Arial" w:cs="Arial" w:eastAsia="Arial" w:hAnsi="Arial"/>
          <w:sz w:val="22"/>
          <w:szCs w:val="22"/>
          <w:color w:val="auto"/>
        </w:rPr>
        <w:t>Robust Organic Revenue Growth Drives Strong Income from Operations Performance The Company Raises 2022 Financial Guidance</w:t>
      </w:r>
    </w:p>
    <w:p>
      <w:pPr>
        <w:spacing w:after="0" w:line="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HOUSTON — </w:t>
      </w:r>
      <w:r>
        <w:rPr>
          <w:rFonts w:ascii="Arial" w:cs="Arial" w:eastAsia="Arial" w:hAnsi="Arial"/>
          <w:sz w:val="17"/>
          <w:szCs w:val="17"/>
          <w:b w:val="1"/>
          <w:bCs w:val="1"/>
          <w:color w:val="auto"/>
        </w:rPr>
        <w:t>Jul. 27, 2022</w:t>
      </w:r>
      <w:r>
        <w:rPr>
          <w:rFonts w:ascii="Arial" w:cs="Arial" w:eastAsia="Arial" w:hAnsi="Arial"/>
          <w:sz w:val="16"/>
          <w:szCs w:val="16"/>
          <w:b w:val="1"/>
          <w:bCs w:val="1"/>
          <w:color w:val="auto"/>
        </w:rPr>
        <w:t xml:space="preserve"> </w:t>
      </w:r>
      <w:r>
        <w:rPr>
          <w:rFonts w:ascii="Arial" w:cs="Arial" w:eastAsia="Arial" w:hAnsi="Arial"/>
          <w:sz w:val="17"/>
          <w:szCs w:val="17"/>
          <w:color w:val="auto"/>
        </w:rPr>
        <w:t>— WM (NYSE: WM) today announced financial results for the quarter ended June 30,</w:t>
      </w:r>
      <w:r>
        <w:rPr>
          <w:rFonts w:ascii="Arial" w:cs="Arial" w:eastAsia="Arial" w:hAnsi="Arial"/>
          <w:sz w:val="16"/>
          <w:szCs w:val="16"/>
          <w:b w:val="1"/>
          <w:bCs w:val="1"/>
          <w:color w:val="auto"/>
        </w:rPr>
        <w:t xml:space="preserve"> </w:t>
      </w:r>
      <w:r>
        <w:rPr>
          <w:rFonts w:ascii="Arial" w:cs="Arial" w:eastAsia="Arial" w:hAnsi="Arial"/>
          <w:sz w:val="17"/>
          <w:szCs w:val="17"/>
          <w:color w:val="auto"/>
        </w:rPr>
        <w:t>2022.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80" w:type="dxa"/>
            <w:vAlign w:val="bottom"/>
            <w:gridSpan w:val="4"/>
          </w:tcPr>
          <w:p>
            <w:pPr>
              <w:ind w:left="640"/>
              <w:spacing w:after="0"/>
              <w:rPr>
                <w:sz w:val="20"/>
                <w:szCs w:val="20"/>
                <w:color w:val="auto"/>
              </w:rPr>
            </w:pPr>
            <w:r>
              <w:rPr>
                <w:rFonts w:ascii="Arial" w:cs="Arial" w:eastAsia="Arial" w:hAnsi="Arial"/>
                <w:sz w:val="16"/>
                <w:szCs w:val="16"/>
                <w:color w:val="auto"/>
              </w:rPr>
              <w:t>Three Months Ended</w:t>
            </w:r>
          </w:p>
        </w:tc>
        <w:tc>
          <w:tcPr>
            <w:tcW w:w="440" w:type="dxa"/>
            <w:vAlign w:val="bottom"/>
          </w:tcPr>
          <w:p>
            <w:pPr>
              <w:spacing w:after="0"/>
              <w:rPr>
                <w:sz w:val="18"/>
                <w:szCs w:val="18"/>
                <w:color w:val="auto"/>
              </w:rPr>
            </w:pPr>
          </w:p>
        </w:tc>
        <w:tc>
          <w:tcPr>
            <w:tcW w:w="2780" w:type="dxa"/>
            <w:vAlign w:val="bottom"/>
            <w:gridSpan w:val="4"/>
          </w:tcPr>
          <w:p>
            <w:pPr>
              <w:ind w:left="640"/>
              <w:spacing w:after="0"/>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178"/>
        </w:trPr>
        <w:tc>
          <w:tcPr>
            <w:tcW w:w="2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900" w:type="dxa"/>
            <w:vAlign w:val="bottom"/>
            <w:gridSpan w:val="3"/>
          </w:tcPr>
          <w:p>
            <w:pPr>
              <w:spacing w:after="0" w:line="178" w:lineRule="exact"/>
              <w:rPr>
                <w:sz w:val="20"/>
                <w:szCs w:val="20"/>
                <w:color w:val="auto"/>
              </w:rPr>
            </w:pPr>
            <w:r>
              <w:rPr>
                <w:rFonts w:ascii="Arial" w:cs="Arial" w:eastAsia="Arial" w:hAnsi="Arial"/>
                <w:sz w:val="16"/>
                <w:szCs w:val="16"/>
                <w:color w:val="auto"/>
              </w:rPr>
              <w:t>June 30, 2022</w:t>
            </w:r>
          </w:p>
        </w:tc>
        <w:tc>
          <w:tcPr>
            <w:tcW w:w="440" w:type="dxa"/>
            <w:vAlign w:val="bottom"/>
          </w:tcPr>
          <w:p>
            <w:pPr>
              <w:spacing w:after="0"/>
              <w:rPr>
                <w:sz w:val="15"/>
                <w:szCs w:val="15"/>
                <w:color w:val="auto"/>
              </w:rPr>
            </w:pPr>
          </w:p>
        </w:tc>
        <w:tc>
          <w:tcPr>
            <w:tcW w:w="2780" w:type="dxa"/>
            <w:vAlign w:val="bottom"/>
            <w:gridSpan w:val="4"/>
          </w:tcPr>
          <w:p>
            <w:pPr>
              <w:ind w:left="880"/>
              <w:spacing w:after="0" w:line="178" w:lineRule="exact"/>
              <w:rPr>
                <w:sz w:val="20"/>
                <w:szCs w:val="20"/>
                <w:color w:val="auto"/>
              </w:rPr>
            </w:pPr>
            <w:r>
              <w:rPr>
                <w:rFonts w:ascii="Arial" w:cs="Arial" w:eastAsia="Arial" w:hAnsi="Arial"/>
                <w:sz w:val="16"/>
                <w:szCs w:val="16"/>
                <w:color w:val="auto"/>
              </w:rPr>
              <w:t>June 30, 2021</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360" w:type="dxa"/>
            <w:vAlign w:val="bottom"/>
            <w:gridSpan w:val="2"/>
            <w:vMerge w:val="restart"/>
          </w:tcPr>
          <w:p>
            <w:pPr>
              <w:ind w:left="480"/>
              <w:spacing w:after="0"/>
              <w:rPr>
                <w:sz w:val="20"/>
                <w:szCs w:val="20"/>
                <w:color w:val="auto"/>
              </w:rPr>
            </w:pPr>
            <w:r>
              <w:rPr>
                <w:rFonts w:ascii="Arial" w:cs="Arial" w:eastAsia="Arial" w:hAnsi="Arial"/>
                <w:sz w:val="16"/>
                <w:szCs w:val="16"/>
                <w:color w:val="auto"/>
              </w:rPr>
              <w:t>(in millions,</w:t>
            </w:r>
          </w:p>
        </w:tc>
        <w:tc>
          <w:tcPr>
            <w:tcW w:w="1020" w:type="dxa"/>
            <w:vAlign w:val="bottom"/>
            <w:tcBorders>
              <w:bottom w:val="single" w:sz="8" w:color="auto"/>
            </w:tcBorders>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8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02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3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900" w:type="dxa"/>
            <w:vAlign w:val="bottom"/>
            <w:gridSpan w:val="3"/>
          </w:tcPr>
          <w:p>
            <w:pPr>
              <w:spacing w:after="0" w:line="149" w:lineRule="exact"/>
              <w:rPr>
                <w:sz w:val="20"/>
                <w:szCs w:val="20"/>
                <w:color w:val="auto"/>
              </w:rPr>
            </w:pPr>
            <w:r>
              <w:rPr>
                <w:rFonts w:ascii="Arial" w:cs="Arial" w:eastAsia="Arial" w:hAnsi="Arial"/>
                <w:sz w:val="16"/>
                <w:szCs w:val="16"/>
                <w:color w:val="auto"/>
                <w:w w:val="98"/>
              </w:rPr>
              <w:t>except per share amounts)</w:t>
            </w:r>
          </w:p>
        </w:tc>
        <w:tc>
          <w:tcPr>
            <w:tcW w:w="4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900" w:type="dxa"/>
            <w:vAlign w:val="bottom"/>
            <w:gridSpan w:val="3"/>
          </w:tcPr>
          <w:p>
            <w:pPr>
              <w:spacing w:after="0" w:line="149" w:lineRule="exact"/>
              <w:rPr>
                <w:sz w:val="20"/>
                <w:szCs w:val="20"/>
                <w:color w:val="auto"/>
              </w:rPr>
            </w:pPr>
            <w:r>
              <w:rPr>
                <w:rFonts w:ascii="Arial" w:cs="Arial" w:eastAsia="Arial" w:hAnsi="Arial"/>
                <w:sz w:val="16"/>
                <w:szCs w:val="16"/>
                <w:color w:val="auto"/>
                <w:w w:val="98"/>
              </w:rPr>
              <w:t>except per share amounts)</w:t>
            </w:r>
          </w:p>
        </w:tc>
        <w:tc>
          <w:tcPr>
            <w:tcW w:w="0" w:type="dxa"/>
            <w:vAlign w:val="bottom"/>
          </w:tcPr>
          <w:p>
            <w:pPr>
              <w:spacing w:after="0"/>
              <w:rPr>
                <w:sz w:val="1"/>
                <w:szCs w:val="1"/>
                <w:color w:val="auto"/>
              </w:rPr>
            </w:pPr>
          </w:p>
        </w:tc>
      </w:tr>
      <w:tr>
        <w:trPr>
          <w:trHeight w:val="367"/>
        </w:trPr>
        <w:tc>
          <w:tcPr>
            <w:tcW w:w="2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color w:val="auto"/>
              </w:rPr>
              <w:t>As Reported</w:t>
            </w:r>
          </w:p>
        </w:tc>
        <w:tc>
          <w:tcPr>
            <w:tcW w:w="1420" w:type="dxa"/>
            <w:vAlign w:val="bottom"/>
            <w:tcBorders>
              <w:top w:val="single" w:sz="8" w:color="auto"/>
            </w:tcBorders>
            <w:gridSpan w:val="2"/>
          </w:tcPr>
          <w:p>
            <w:pPr>
              <w:ind w:left="260"/>
              <w:spacing w:after="0"/>
              <w:rPr>
                <w:sz w:val="20"/>
                <w:szCs w:val="20"/>
                <w:color w:val="auto"/>
              </w:rPr>
            </w:pPr>
            <w:r>
              <w:rPr>
                <w:rFonts w:ascii="Arial" w:cs="Arial" w:eastAsia="Arial" w:hAnsi="Arial"/>
                <w:sz w:val="16"/>
                <w:szCs w:val="16"/>
                <w:color w:val="auto"/>
              </w:rPr>
              <w:t>As Adjusted</w:t>
            </w:r>
            <w:r>
              <w:rPr>
                <w:rFonts w:ascii="Arial" w:cs="Arial" w:eastAsia="Arial" w:hAnsi="Arial"/>
                <w:sz w:val="26"/>
                <w:szCs w:val="26"/>
                <w:color w:val="auto"/>
                <w:vertAlign w:val="superscript"/>
              </w:rPr>
              <w:t>(a)</w:t>
            </w:r>
          </w:p>
        </w:tc>
        <w:tc>
          <w:tcPr>
            <w:tcW w:w="440" w:type="dxa"/>
            <w:vAlign w:val="bottom"/>
          </w:tcPr>
          <w:p>
            <w:pPr>
              <w:spacing w:after="0"/>
              <w:rPr>
                <w:sz w:val="24"/>
                <w:szCs w:val="24"/>
                <w:color w:val="auto"/>
              </w:rPr>
            </w:pPr>
          </w:p>
        </w:tc>
        <w:tc>
          <w:tcPr>
            <w:tcW w:w="136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color w:val="auto"/>
              </w:rPr>
              <w:t>As Reported</w:t>
            </w:r>
          </w:p>
        </w:tc>
        <w:tc>
          <w:tcPr>
            <w:tcW w:w="1420" w:type="dxa"/>
            <w:vAlign w:val="bottom"/>
            <w:tcBorders>
              <w:top w:val="single" w:sz="8" w:color="auto"/>
            </w:tcBorders>
            <w:gridSpan w:val="2"/>
          </w:tcPr>
          <w:p>
            <w:pPr>
              <w:ind w:left="260"/>
              <w:spacing w:after="0"/>
              <w:rPr>
                <w:sz w:val="20"/>
                <w:szCs w:val="20"/>
                <w:color w:val="auto"/>
              </w:rPr>
            </w:pPr>
            <w:r>
              <w:rPr>
                <w:rFonts w:ascii="Arial" w:cs="Arial" w:eastAsia="Arial" w:hAnsi="Arial"/>
                <w:sz w:val="16"/>
                <w:szCs w:val="16"/>
                <w:color w:val="auto"/>
              </w:rPr>
              <w:t>As Adjusted</w:t>
            </w:r>
            <w:r>
              <w:rPr>
                <w:rFonts w:ascii="Arial" w:cs="Arial" w:eastAsia="Arial" w:hAnsi="Arial"/>
                <w:sz w:val="26"/>
                <w:szCs w:val="26"/>
                <w:color w:val="auto"/>
                <w:vertAlign w:val="superscript"/>
              </w:rPr>
              <w:t>(a)</w:t>
            </w:r>
          </w:p>
        </w:tc>
        <w:tc>
          <w:tcPr>
            <w:tcW w:w="0" w:type="dxa"/>
            <w:vAlign w:val="bottom"/>
          </w:tcPr>
          <w:p>
            <w:pPr>
              <w:spacing w:after="0"/>
              <w:rPr>
                <w:sz w:val="1"/>
                <w:szCs w:val="1"/>
                <w:color w:val="auto"/>
              </w:rPr>
            </w:pPr>
          </w:p>
        </w:tc>
      </w:tr>
      <w:tr>
        <w:trPr>
          <w:trHeight w:val="380"/>
        </w:trPr>
        <w:tc>
          <w:tcPr>
            <w:tcW w:w="2360" w:type="dxa"/>
            <w:vAlign w:val="bottom"/>
          </w:tcPr>
          <w:p>
            <w:pPr>
              <w:spacing w:after="0"/>
              <w:rPr>
                <w:sz w:val="20"/>
                <w:szCs w:val="20"/>
                <w:color w:val="auto"/>
              </w:rPr>
            </w:pPr>
            <w:r>
              <w:rPr>
                <w:rFonts w:ascii="Arial" w:cs="Arial" w:eastAsia="Arial" w:hAnsi="Arial"/>
                <w:sz w:val="16"/>
                <w:szCs w:val="16"/>
                <w:color w:val="auto"/>
              </w:rPr>
              <w:t>Revenue</w:t>
            </w:r>
          </w:p>
        </w:tc>
        <w:tc>
          <w:tcPr>
            <w:tcW w:w="1840" w:type="dxa"/>
            <w:vAlign w:val="bottom"/>
            <w:gridSpan w:val="3"/>
          </w:tcPr>
          <w:p>
            <w:pPr>
              <w:jc w:val="center"/>
              <w:ind w:left="339"/>
              <w:spacing w:after="0"/>
              <w:rPr>
                <w:sz w:val="20"/>
                <w:szCs w:val="20"/>
                <w:color w:val="auto"/>
              </w:rPr>
            </w:pPr>
            <w:r>
              <w:rPr>
                <w:rFonts w:ascii="Arial" w:cs="Arial" w:eastAsia="Arial" w:hAnsi="Arial"/>
                <w:sz w:val="16"/>
                <w:szCs w:val="16"/>
                <w:color w:val="auto"/>
              </w:rPr>
              <w:t>$5,027</w:t>
            </w:r>
          </w:p>
        </w:tc>
        <w:tc>
          <w:tcPr>
            <w:tcW w:w="1420" w:type="dxa"/>
            <w:vAlign w:val="bottom"/>
            <w:gridSpan w:val="2"/>
          </w:tcPr>
          <w:p>
            <w:pPr>
              <w:jc w:val="center"/>
              <w:ind w:left="39"/>
              <w:spacing w:after="0"/>
              <w:rPr>
                <w:sz w:val="20"/>
                <w:szCs w:val="20"/>
                <w:color w:val="auto"/>
              </w:rPr>
            </w:pPr>
            <w:r>
              <w:rPr>
                <w:rFonts w:ascii="Arial" w:cs="Arial" w:eastAsia="Arial" w:hAnsi="Arial"/>
                <w:sz w:val="16"/>
                <w:szCs w:val="16"/>
                <w:color w:val="auto"/>
              </w:rPr>
              <w:t>$5,027</w:t>
            </w:r>
          </w:p>
        </w:tc>
        <w:tc>
          <w:tcPr>
            <w:tcW w:w="1800" w:type="dxa"/>
            <w:vAlign w:val="bottom"/>
            <w:gridSpan w:val="3"/>
          </w:tcPr>
          <w:p>
            <w:pPr>
              <w:jc w:val="center"/>
              <w:ind w:left="299"/>
              <w:spacing w:after="0"/>
              <w:rPr>
                <w:sz w:val="20"/>
                <w:szCs w:val="20"/>
                <w:color w:val="auto"/>
              </w:rPr>
            </w:pPr>
            <w:r>
              <w:rPr>
                <w:rFonts w:ascii="Arial" w:cs="Arial" w:eastAsia="Arial" w:hAnsi="Arial"/>
                <w:sz w:val="16"/>
                <w:szCs w:val="16"/>
                <w:color w:val="auto"/>
              </w:rPr>
              <w:t>$4,476</w:t>
            </w:r>
          </w:p>
        </w:tc>
        <w:tc>
          <w:tcPr>
            <w:tcW w:w="1420" w:type="dxa"/>
            <w:vAlign w:val="bottom"/>
            <w:gridSpan w:val="2"/>
          </w:tcPr>
          <w:p>
            <w:pPr>
              <w:jc w:val="center"/>
              <w:ind w:left="39"/>
              <w:spacing w:after="0"/>
              <w:rPr>
                <w:sz w:val="20"/>
                <w:szCs w:val="20"/>
                <w:color w:val="auto"/>
              </w:rPr>
            </w:pPr>
            <w:r>
              <w:rPr>
                <w:rFonts w:ascii="Arial" w:cs="Arial" w:eastAsia="Arial" w:hAnsi="Arial"/>
                <w:sz w:val="16"/>
                <w:szCs w:val="16"/>
                <w:color w:val="auto"/>
              </w:rPr>
              <w:t>$4,476</w:t>
            </w:r>
          </w:p>
        </w:tc>
        <w:tc>
          <w:tcPr>
            <w:tcW w:w="0" w:type="dxa"/>
            <w:vAlign w:val="bottom"/>
          </w:tcPr>
          <w:p>
            <w:pPr>
              <w:spacing w:after="0"/>
              <w:rPr>
                <w:sz w:val="1"/>
                <w:szCs w:val="1"/>
                <w:color w:val="auto"/>
              </w:rPr>
            </w:pPr>
          </w:p>
        </w:tc>
      </w:tr>
      <w:tr>
        <w:trPr>
          <w:trHeight w:val="378"/>
        </w:trPr>
        <w:tc>
          <w:tcPr>
            <w:tcW w:w="236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360" w:type="dxa"/>
            <w:vAlign w:val="bottom"/>
            <w:gridSpan w:val="2"/>
          </w:tcPr>
          <w:p>
            <w:pPr>
              <w:jc w:val="center"/>
              <w:ind w:left="799"/>
              <w:spacing w:after="0"/>
              <w:rPr>
                <w:sz w:val="20"/>
                <w:szCs w:val="20"/>
                <w:color w:val="auto"/>
              </w:rPr>
            </w:pPr>
            <w:r>
              <w:rPr>
                <w:rFonts w:ascii="Arial" w:cs="Arial" w:eastAsia="Arial" w:hAnsi="Arial"/>
                <w:sz w:val="16"/>
                <w:szCs w:val="16"/>
                <w:color w:val="auto"/>
              </w:rPr>
              <w:t>$890</w:t>
            </w:r>
          </w:p>
        </w:tc>
        <w:tc>
          <w:tcPr>
            <w:tcW w:w="480" w:type="dxa"/>
            <w:vAlign w:val="bottom"/>
          </w:tcPr>
          <w:p>
            <w:pPr>
              <w:spacing w:after="0"/>
              <w:rPr>
                <w:sz w:val="24"/>
                <w:szCs w:val="24"/>
                <w:color w:val="auto"/>
              </w:rPr>
            </w:pPr>
          </w:p>
        </w:tc>
        <w:tc>
          <w:tcPr>
            <w:tcW w:w="1420" w:type="dxa"/>
            <w:vAlign w:val="bottom"/>
            <w:gridSpan w:val="2"/>
          </w:tcPr>
          <w:p>
            <w:pPr>
              <w:jc w:val="center"/>
              <w:ind w:left="59"/>
              <w:spacing w:after="0"/>
              <w:rPr>
                <w:sz w:val="20"/>
                <w:szCs w:val="20"/>
                <w:color w:val="auto"/>
              </w:rPr>
            </w:pPr>
            <w:r>
              <w:rPr>
                <w:rFonts w:ascii="Arial" w:cs="Arial" w:eastAsia="Arial" w:hAnsi="Arial"/>
                <w:sz w:val="16"/>
                <w:szCs w:val="16"/>
                <w:color w:val="auto"/>
              </w:rPr>
              <w:t>$907</w:t>
            </w:r>
          </w:p>
        </w:tc>
        <w:tc>
          <w:tcPr>
            <w:tcW w:w="1320" w:type="dxa"/>
            <w:vAlign w:val="bottom"/>
            <w:gridSpan w:val="2"/>
          </w:tcPr>
          <w:p>
            <w:pPr>
              <w:jc w:val="center"/>
              <w:ind w:left="799"/>
              <w:spacing w:after="0"/>
              <w:rPr>
                <w:sz w:val="20"/>
                <w:szCs w:val="20"/>
                <w:color w:val="auto"/>
              </w:rPr>
            </w:pPr>
            <w:r>
              <w:rPr>
                <w:rFonts w:ascii="Arial" w:cs="Arial" w:eastAsia="Arial" w:hAnsi="Arial"/>
                <w:sz w:val="16"/>
                <w:szCs w:val="16"/>
                <w:color w:val="auto"/>
              </w:rPr>
              <w:t>$791</w:t>
            </w:r>
          </w:p>
        </w:tc>
        <w:tc>
          <w:tcPr>
            <w:tcW w:w="480" w:type="dxa"/>
            <w:vAlign w:val="bottom"/>
          </w:tcPr>
          <w:p>
            <w:pPr>
              <w:spacing w:after="0"/>
              <w:rPr>
                <w:sz w:val="24"/>
                <w:szCs w:val="24"/>
                <w:color w:val="auto"/>
              </w:rPr>
            </w:pPr>
          </w:p>
        </w:tc>
        <w:tc>
          <w:tcPr>
            <w:tcW w:w="1420" w:type="dxa"/>
            <w:vAlign w:val="bottom"/>
            <w:gridSpan w:val="2"/>
          </w:tcPr>
          <w:p>
            <w:pPr>
              <w:jc w:val="center"/>
              <w:ind w:left="59"/>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538"/>
        </w:trPr>
        <w:tc>
          <w:tcPr>
            <w:tcW w:w="2360" w:type="dxa"/>
            <w:vAlign w:val="bottom"/>
          </w:tcPr>
          <w:p>
            <w:pPr>
              <w:spacing w:after="0"/>
              <w:rPr>
                <w:sz w:val="20"/>
                <w:szCs w:val="20"/>
                <w:color w:val="auto"/>
              </w:rPr>
            </w:pPr>
            <w:r>
              <w:rPr>
                <w:rFonts w:ascii="Arial" w:cs="Arial" w:eastAsia="Arial" w:hAnsi="Arial"/>
                <w:sz w:val="16"/>
                <w:szCs w:val="16"/>
                <w:color w:val="auto"/>
              </w:rPr>
              <w:t>Operating EBITDA</w:t>
            </w:r>
            <w:r>
              <w:rPr>
                <w:rFonts w:ascii="Arial" w:cs="Arial" w:eastAsia="Arial" w:hAnsi="Arial"/>
                <w:sz w:val="26"/>
                <w:szCs w:val="26"/>
                <w:color w:val="auto"/>
                <w:vertAlign w:val="superscript"/>
              </w:rPr>
              <w:t>(b)</w:t>
            </w:r>
          </w:p>
        </w:tc>
        <w:tc>
          <w:tcPr>
            <w:tcW w:w="1840" w:type="dxa"/>
            <w:vAlign w:val="bottom"/>
            <w:gridSpan w:val="3"/>
          </w:tcPr>
          <w:p>
            <w:pPr>
              <w:jc w:val="center"/>
              <w:ind w:left="339"/>
              <w:spacing w:after="0"/>
              <w:rPr>
                <w:sz w:val="20"/>
                <w:szCs w:val="20"/>
                <w:color w:val="auto"/>
              </w:rPr>
            </w:pPr>
            <w:r>
              <w:rPr>
                <w:rFonts w:ascii="Arial" w:cs="Arial" w:eastAsia="Arial" w:hAnsi="Arial"/>
                <w:sz w:val="16"/>
                <w:szCs w:val="16"/>
                <w:color w:val="auto"/>
              </w:rPr>
              <w:t>$1,398</w:t>
            </w:r>
          </w:p>
        </w:tc>
        <w:tc>
          <w:tcPr>
            <w:tcW w:w="1420" w:type="dxa"/>
            <w:vAlign w:val="bottom"/>
            <w:gridSpan w:val="2"/>
          </w:tcPr>
          <w:p>
            <w:pPr>
              <w:jc w:val="center"/>
              <w:ind w:left="39"/>
              <w:spacing w:after="0"/>
              <w:rPr>
                <w:sz w:val="20"/>
                <w:szCs w:val="20"/>
                <w:color w:val="auto"/>
              </w:rPr>
            </w:pPr>
            <w:r>
              <w:rPr>
                <w:rFonts w:ascii="Arial" w:cs="Arial" w:eastAsia="Arial" w:hAnsi="Arial"/>
                <w:sz w:val="16"/>
                <w:szCs w:val="16"/>
                <w:color w:val="auto"/>
              </w:rPr>
              <w:t>$1,415</w:t>
            </w:r>
          </w:p>
        </w:tc>
        <w:tc>
          <w:tcPr>
            <w:tcW w:w="1800" w:type="dxa"/>
            <w:vAlign w:val="bottom"/>
            <w:gridSpan w:val="3"/>
          </w:tcPr>
          <w:p>
            <w:pPr>
              <w:jc w:val="center"/>
              <w:ind w:left="299"/>
              <w:spacing w:after="0"/>
              <w:rPr>
                <w:sz w:val="20"/>
                <w:szCs w:val="20"/>
                <w:color w:val="auto"/>
              </w:rPr>
            </w:pPr>
            <w:r>
              <w:rPr>
                <w:rFonts w:ascii="Arial" w:cs="Arial" w:eastAsia="Arial" w:hAnsi="Arial"/>
                <w:sz w:val="16"/>
                <w:szCs w:val="16"/>
                <w:color w:val="auto"/>
              </w:rPr>
              <w:t>$1,291</w:t>
            </w:r>
          </w:p>
        </w:tc>
        <w:tc>
          <w:tcPr>
            <w:tcW w:w="1420" w:type="dxa"/>
            <w:vAlign w:val="bottom"/>
            <w:gridSpan w:val="2"/>
          </w:tcPr>
          <w:p>
            <w:pPr>
              <w:jc w:val="center"/>
              <w:ind w:left="39"/>
              <w:spacing w:after="0"/>
              <w:rPr>
                <w:sz w:val="20"/>
                <w:szCs w:val="20"/>
                <w:color w:val="auto"/>
              </w:rPr>
            </w:pPr>
            <w:r>
              <w:rPr>
                <w:rFonts w:ascii="Arial" w:cs="Arial" w:eastAsia="Arial" w:hAnsi="Arial"/>
                <w:sz w:val="16"/>
                <w:szCs w:val="16"/>
                <w:color w:val="auto"/>
              </w:rPr>
              <w:t>$1,313</w:t>
            </w:r>
          </w:p>
        </w:tc>
        <w:tc>
          <w:tcPr>
            <w:tcW w:w="0" w:type="dxa"/>
            <w:vAlign w:val="bottom"/>
          </w:tcPr>
          <w:p>
            <w:pPr>
              <w:spacing w:after="0"/>
              <w:rPr>
                <w:sz w:val="1"/>
                <w:szCs w:val="1"/>
                <w:color w:val="auto"/>
              </w:rPr>
            </w:pPr>
          </w:p>
        </w:tc>
      </w:tr>
      <w:tr>
        <w:trPr>
          <w:trHeight w:val="286"/>
        </w:trPr>
        <w:tc>
          <w:tcPr>
            <w:tcW w:w="2360" w:type="dxa"/>
            <w:vAlign w:val="bottom"/>
          </w:tcPr>
          <w:p>
            <w:pPr>
              <w:spacing w:after="0"/>
              <w:rPr>
                <w:sz w:val="20"/>
                <w:szCs w:val="20"/>
                <w:color w:val="auto"/>
              </w:rPr>
            </w:pPr>
            <w:r>
              <w:rPr>
                <w:rFonts w:ascii="Arial" w:cs="Arial" w:eastAsia="Arial" w:hAnsi="Arial"/>
                <w:sz w:val="16"/>
                <w:szCs w:val="16"/>
                <w:color w:val="auto"/>
              </w:rPr>
              <w:t>Operating EBITDA Margin</w:t>
            </w:r>
          </w:p>
        </w:tc>
        <w:tc>
          <w:tcPr>
            <w:tcW w:w="1840" w:type="dxa"/>
            <w:vAlign w:val="bottom"/>
            <w:gridSpan w:val="3"/>
          </w:tcPr>
          <w:p>
            <w:pPr>
              <w:jc w:val="center"/>
              <w:ind w:left="339"/>
              <w:spacing w:after="0"/>
              <w:rPr>
                <w:sz w:val="20"/>
                <w:szCs w:val="20"/>
                <w:color w:val="auto"/>
              </w:rPr>
            </w:pPr>
            <w:r>
              <w:rPr>
                <w:rFonts w:ascii="Arial" w:cs="Arial" w:eastAsia="Arial" w:hAnsi="Arial"/>
                <w:sz w:val="16"/>
                <w:szCs w:val="16"/>
                <w:color w:val="auto"/>
              </w:rPr>
              <w:t>27.8%</w:t>
            </w:r>
          </w:p>
        </w:tc>
        <w:tc>
          <w:tcPr>
            <w:tcW w:w="1420" w:type="dxa"/>
            <w:vAlign w:val="bottom"/>
            <w:gridSpan w:val="2"/>
          </w:tcPr>
          <w:p>
            <w:pPr>
              <w:jc w:val="center"/>
              <w:ind w:left="39"/>
              <w:spacing w:after="0"/>
              <w:rPr>
                <w:sz w:val="20"/>
                <w:szCs w:val="20"/>
                <w:color w:val="auto"/>
              </w:rPr>
            </w:pPr>
            <w:r>
              <w:rPr>
                <w:rFonts w:ascii="Arial" w:cs="Arial" w:eastAsia="Arial" w:hAnsi="Arial"/>
                <w:sz w:val="16"/>
                <w:szCs w:val="16"/>
                <w:color w:val="auto"/>
              </w:rPr>
              <w:t>28.1%</w:t>
            </w:r>
          </w:p>
        </w:tc>
        <w:tc>
          <w:tcPr>
            <w:tcW w:w="1800" w:type="dxa"/>
            <w:vAlign w:val="bottom"/>
            <w:gridSpan w:val="3"/>
          </w:tcPr>
          <w:p>
            <w:pPr>
              <w:jc w:val="center"/>
              <w:ind w:left="299"/>
              <w:spacing w:after="0"/>
              <w:rPr>
                <w:sz w:val="20"/>
                <w:szCs w:val="20"/>
                <w:color w:val="auto"/>
              </w:rPr>
            </w:pPr>
            <w:r>
              <w:rPr>
                <w:rFonts w:ascii="Arial" w:cs="Arial" w:eastAsia="Arial" w:hAnsi="Arial"/>
                <w:sz w:val="16"/>
                <w:szCs w:val="16"/>
                <w:color w:val="auto"/>
              </w:rPr>
              <w:t>28.8%</w:t>
            </w:r>
          </w:p>
        </w:tc>
        <w:tc>
          <w:tcPr>
            <w:tcW w:w="1420" w:type="dxa"/>
            <w:vAlign w:val="bottom"/>
            <w:gridSpan w:val="2"/>
          </w:tcPr>
          <w:p>
            <w:pPr>
              <w:jc w:val="center"/>
              <w:ind w:left="39"/>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538"/>
        </w:trPr>
        <w:tc>
          <w:tcPr>
            <w:tcW w:w="2360" w:type="dxa"/>
            <w:vAlign w:val="bottom"/>
          </w:tcPr>
          <w:p>
            <w:pPr>
              <w:spacing w:after="0"/>
              <w:rPr>
                <w:sz w:val="20"/>
                <w:szCs w:val="20"/>
                <w:color w:val="auto"/>
              </w:rPr>
            </w:pPr>
            <w:r>
              <w:rPr>
                <w:rFonts w:ascii="Arial" w:cs="Arial" w:eastAsia="Arial" w:hAnsi="Arial"/>
                <w:sz w:val="16"/>
                <w:szCs w:val="16"/>
                <w:color w:val="auto"/>
              </w:rPr>
              <w:t>Net Income</w:t>
            </w:r>
            <w:r>
              <w:rPr>
                <w:rFonts w:ascii="Arial" w:cs="Arial" w:eastAsia="Arial" w:hAnsi="Arial"/>
                <w:sz w:val="26"/>
                <w:szCs w:val="26"/>
                <w:color w:val="auto"/>
                <w:vertAlign w:val="superscript"/>
              </w:rPr>
              <w:t>(c)</w:t>
            </w:r>
          </w:p>
        </w:tc>
        <w:tc>
          <w:tcPr>
            <w:tcW w:w="1360" w:type="dxa"/>
            <w:vAlign w:val="bottom"/>
            <w:gridSpan w:val="2"/>
          </w:tcPr>
          <w:p>
            <w:pPr>
              <w:jc w:val="center"/>
              <w:ind w:left="799"/>
              <w:spacing w:after="0"/>
              <w:rPr>
                <w:sz w:val="20"/>
                <w:szCs w:val="20"/>
                <w:color w:val="auto"/>
              </w:rPr>
            </w:pPr>
            <w:r>
              <w:rPr>
                <w:rFonts w:ascii="Arial" w:cs="Arial" w:eastAsia="Arial" w:hAnsi="Arial"/>
                <w:sz w:val="16"/>
                <w:szCs w:val="16"/>
                <w:color w:val="auto"/>
              </w:rPr>
              <w:t>$587</w:t>
            </w:r>
          </w:p>
        </w:tc>
        <w:tc>
          <w:tcPr>
            <w:tcW w:w="480" w:type="dxa"/>
            <w:vAlign w:val="bottom"/>
          </w:tcPr>
          <w:p>
            <w:pPr>
              <w:spacing w:after="0"/>
              <w:rPr>
                <w:sz w:val="24"/>
                <w:szCs w:val="24"/>
                <w:color w:val="auto"/>
              </w:rPr>
            </w:pPr>
          </w:p>
        </w:tc>
        <w:tc>
          <w:tcPr>
            <w:tcW w:w="1420" w:type="dxa"/>
            <w:vAlign w:val="bottom"/>
            <w:gridSpan w:val="2"/>
          </w:tcPr>
          <w:p>
            <w:pPr>
              <w:jc w:val="center"/>
              <w:ind w:left="59"/>
              <w:spacing w:after="0"/>
              <w:rPr>
                <w:sz w:val="20"/>
                <w:szCs w:val="20"/>
                <w:color w:val="auto"/>
              </w:rPr>
            </w:pPr>
            <w:r>
              <w:rPr>
                <w:rFonts w:ascii="Arial" w:cs="Arial" w:eastAsia="Arial" w:hAnsi="Arial"/>
                <w:sz w:val="16"/>
                <w:szCs w:val="16"/>
                <w:color w:val="auto"/>
              </w:rPr>
              <w:t>$599</w:t>
            </w:r>
          </w:p>
        </w:tc>
        <w:tc>
          <w:tcPr>
            <w:tcW w:w="1320" w:type="dxa"/>
            <w:vAlign w:val="bottom"/>
            <w:gridSpan w:val="2"/>
          </w:tcPr>
          <w:p>
            <w:pPr>
              <w:jc w:val="center"/>
              <w:ind w:left="799"/>
              <w:spacing w:after="0"/>
              <w:rPr>
                <w:sz w:val="20"/>
                <w:szCs w:val="20"/>
                <w:color w:val="auto"/>
              </w:rPr>
            </w:pPr>
            <w:r>
              <w:rPr>
                <w:rFonts w:ascii="Arial" w:cs="Arial" w:eastAsia="Arial" w:hAnsi="Arial"/>
                <w:sz w:val="16"/>
                <w:szCs w:val="16"/>
                <w:color w:val="auto"/>
              </w:rPr>
              <w:t>$351</w:t>
            </w:r>
          </w:p>
        </w:tc>
        <w:tc>
          <w:tcPr>
            <w:tcW w:w="480" w:type="dxa"/>
            <w:vAlign w:val="bottom"/>
          </w:tcPr>
          <w:p>
            <w:pPr>
              <w:spacing w:after="0"/>
              <w:rPr>
                <w:sz w:val="24"/>
                <w:szCs w:val="24"/>
                <w:color w:val="auto"/>
              </w:rPr>
            </w:pPr>
          </w:p>
        </w:tc>
        <w:tc>
          <w:tcPr>
            <w:tcW w:w="1420" w:type="dxa"/>
            <w:vAlign w:val="bottom"/>
            <w:gridSpan w:val="2"/>
          </w:tcPr>
          <w:p>
            <w:pPr>
              <w:jc w:val="center"/>
              <w:ind w:left="59"/>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86"/>
        </w:trPr>
        <w:tc>
          <w:tcPr>
            <w:tcW w:w="2360" w:type="dxa"/>
            <w:vAlign w:val="bottom"/>
          </w:tcPr>
          <w:p>
            <w:pPr>
              <w:spacing w:after="0"/>
              <w:rPr>
                <w:sz w:val="20"/>
                <w:szCs w:val="20"/>
                <w:color w:val="auto"/>
              </w:rPr>
            </w:pPr>
            <w:r>
              <w:rPr>
                <w:rFonts w:ascii="Arial" w:cs="Arial" w:eastAsia="Arial" w:hAnsi="Arial"/>
                <w:sz w:val="16"/>
                <w:szCs w:val="16"/>
                <w:color w:val="auto"/>
              </w:rPr>
              <w:t>Diluted EPS</w:t>
            </w:r>
          </w:p>
        </w:tc>
        <w:tc>
          <w:tcPr>
            <w:tcW w:w="1360" w:type="dxa"/>
            <w:vAlign w:val="bottom"/>
            <w:gridSpan w:val="2"/>
          </w:tcPr>
          <w:p>
            <w:pPr>
              <w:jc w:val="center"/>
              <w:ind w:left="799"/>
              <w:spacing w:after="0"/>
              <w:rPr>
                <w:sz w:val="20"/>
                <w:szCs w:val="20"/>
                <w:color w:val="auto"/>
              </w:rPr>
            </w:pPr>
            <w:r>
              <w:rPr>
                <w:rFonts w:ascii="Arial" w:cs="Arial" w:eastAsia="Arial" w:hAnsi="Arial"/>
                <w:sz w:val="16"/>
                <w:szCs w:val="16"/>
                <w:color w:val="auto"/>
                <w:w w:val="99"/>
              </w:rPr>
              <w:t>$1.41</w:t>
            </w:r>
          </w:p>
        </w:tc>
        <w:tc>
          <w:tcPr>
            <w:tcW w:w="480" w:type="dxa"/>
            <w:vAlign w:val="bottom"/>
          </w:tcPr>
          <w:p>
            <w:pPr>
              <w:spacing w:after="0"/>
              <w:rPr>
                <w:sz w:val="24"/>
                <w:szCs w:val="24"/>
                <w:color w:val="auto"/>
              </w:rPr>
            </w:pPr>
          </w:p>
        </w:tc>
        <w:tc>
          <w:tcPr>
            <w:tcW w:w="1420" w:type="dxa"/>
            <w:vAlign w:val="bottom"/>
            <w:gridSpan w:val="2"/>
          </w:tcPr>
          <w:p>
            <w:pPr>
              <w:jc w:val="center"/>
              <w:ind w:left="39"/>
              <w:spacing w:after="0"/>
              <w:rPr>
                <w:sz w:val="20"/>
                <w:szCs w:val="20"/>
                <w:color w:val="auto"/>
              </w:rPr>
            </w:pPr>
            <w:r>
              <w:rPr>
                <w:rFonts w:ascii="Arial" w:cs="Arial" w:eastAsia="Arial" w:hAnsi="Arial"/>
                <w:sz w:val="16"/>
                <w:szCs w:val="16"/>
                <w:color w:val="auto"/>
              </w:rPr>
              <w:t>$1.44</w:t>
            </w:r>
          </w:p>
        </w:tc>
        <w:tc>
          <w:tcPr>
            <w:tcW w:w="1320" w:type="dxa"/>
            <w:vAlign w:val="bottom"/>
            <w:gridSpan w:val="2"/>
          </w:tcPr>
          <w:p>
            <w:pPr>
              <w:jc w:val="center"/>
              <w:ind w:left="779"/>
              <w:spacing w:after="0"/>
              <w:rPr>
                <w:sz w:val="20"/>
                <w:szCs w:val="20"/>
                <w:color w:val="auto"/>
              </w:rPr>
            </w:pPr>
            <w:r>
              <w:rPr>
                <w:rFonts w:ascii="Arial" w:cs="Arial" w:eastAsia="Arial" w:hAnsi="Arial"/>
                <w:sz w:val="16"/>
                <w:szCs w:val="16"/>
                <w:color w:val="auto"/>
              </w:rPr>
              <w:t>$0.83</w:t>
            </w:r>
          </w:p>
        </w:tc>
        <w:tc>
          <w:tcPr>
            <w:tcW w:w="480" w:type="dxa"/>
            <w:vAlign w:val="bottom"/>
          </w:tcPr>
          <w:p>
            <w:pPr>
              <w:spacing w:after="0"/>
              <w:rPr>
                <w:sz w:val="24"/>
                <w:szCs w:val="24"/>
                <w:color w:val="auto"/>
              </w:rPr>
            </w:pPr>
          </w:p>
        </w:tc>
        <w:tc>
          <w:tcPr>
            <w:tcW w:w="14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$1.27</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the second quarter, we exceeded expectations as our team delivered outstanding results, building on our first quarter momentum and positioning us to increase our full-year financial outlook,” said Jim Fish, WM’s President and Chief Executive Officer. “Exceptionally strong organic revenue growth, combined with diligent management</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of our costs, translated into an almost 8% increase in adjusted operating EBITDA in the second quarter.</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I am proud of how our team continues to diligently manage costs in this inflationary environment while remaining focused on advancing our long-term strategic priorities of providing the best workplace for our employees, investing in technology and automation that differentiates WM and permanently reduces our cost structure, and leveraging our sustainability platform for growth.”</w:t>
      </w:r>
    </w:p>
    <w:p>
      <w:pPr>
        <w:spacing w:after="0" w:line="1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Fish continued, “During the quarter, we achieved two exciting milestones in our sustainability growth journey. We brought our fifth WM-owned and operated renewable natural gas plant into service in Oklahoma, which is expected to generate about 570,000 MMBtu of RNG and progresses us towards the 21 million MMBtu planned increase in RNG generation by 2026. We also completed technology and automation upgrades at our materials recovery facility in Houston, which keeps us on track to deliver on our planned recycling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rebuchet MS" w:cs="Trebuchet MS" w:eastAsia="Trebuchet MS" w:hAnsi="Trebuchet MS"/>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720"/>
        <w:spacing w:after="0" w:line="296" w:lineRule="auto"/>
        <w:rPr>
          <w:sz w:val="20"/>
          <w:szCs w:val="20"/>
          <w:color w:val="auto"/>
        </w:rPr>
      </w:pPr>
      <w:r>
        <w:rPr>
          <w:rFonts w:ascii="Arial" w:cs="Arial" w:eastAsia="Arial" w:hAnsi="Arial"/>
          <w:sz w:val="16"/>
          <w:szCs w:val="16"/>
          <w:b w:val="1"/>
          <w:bCs w:val="1"/>
          <w:color w:val="00693A"/>
        </w:rPr>
        <w:t>FOR MORE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Website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www.wm.com</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Analysts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57584F"/>
        </w:rPr>
        <w:t>Ed Egl</w:t>
      </w:r>
    </w:p>
    <w:p>
      <w:pPr>
        <w:ind w:left="40" w:right="560"/>
        <w:spacing w:after="0" w:line="260" w:lineRule="auto"/>
        <w:rPr>
          <w:sz w:val="20"/>
          <w:szCs w:val="20"/>
          <w:color w:val="auto"/>
        </w:rPr>
      </w:pPr>
      <w:r>
        <w:rPr>
          <w:rFonts w:ascii="Arial" w:cs="Arial" w:eastAsia="Arial" w:hAnsi="Arial"/>
          <w:sz w:val="18"/>
          <w:szCs w:val="18"/>
          <w:color w:val="57584F"/>
        </w:rPr>
        <w:t xml:space="preserve">713.265.1656 </w:t>
      </w:r>
      <w:r>
        <w:rPr>
          <w:rFonts w:ascii="Arial" w:cs="Arial" w:eastAsia="Arial" w:hAnsi="Arial"/>
          <w:sz w:val="18"/>
          <w:szCs w:val="18"/>
          <w:b w:val="1"/>
          <w:bCs w:val="1"/>
          <w:u w:val="single" w:color="auto"/>
          <w:color w:val="0000FF"/>
        </w:rPr>
        <w:t>eegl@wm.com</w:t>
      </w:r>
    </w:p>
    <w:p>
      <w:pPr>
        <w:spacing w:after="0" w:line="37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Media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57584F"/>
        </w:rPr>
        <w:t>Toni Werner</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media@wm.com</w:t>
      </w:r>
    </w:p>
    <w:p>
      <w:pPr>
        <w:sectPr>
          <w:pgSz w:w="11900" w:h="16838" w:orient="portrait"/>
          <w:cols w:equalWidth="0" w:num="2">
            <w:col w:w="9000" w:space="380"/>
            <w:col w:w="1860"/>
          </w:cols>
          <w:pgMar w:left="320" w:top="38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KEY HIGHLIGHTS FOR THE SECOND QUARTER OF 2022</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Revenue</w:t>
      </w:r>
    </w:p>
    <w:p>
      <w:pPr>
        <w:spacing w:after="0" w:line="132" w:lineRule="exact"/>
        <w:rPr>
          <w:sz w:val="20"/>
          <w:szCs w:val="20"/>
          <w:color w:val="auto"/>
        </w:rPr>
      </w:pPr>
    </w:p>
    <w:p>
      <w:pPr>
        <w:ind w:left="680" w:hanging="335"/>
        <w:spacing w:after="0"/>
        <w:tabs>
          <w:tab w:leader="none" w:pos="680" w:val="left"/>
        </w:tabs>
        <w:numPr>
          <w:ilvl w:val="0"/>
          <w:numId w:val="3"/>
        </w:numPr>
        <w:rPr>
          <w:rFonts w:ascii="Arial" w:cs="Arial" w:eastAsia="Arial" w:hAnsi="Arial"/>
          <w:sz w:val="32"/>
          <w:szCs w:val="32"/>
          <w:color w:val="auto"/>
          <w:vertAlign w:val="superscript"/>
        </w:rPr>
      </w:pPr>
      <w:r>
        <w:rPr>
          <w:rFonts w:ascii="Arial" w:cs="Arial" w:eastAsia="Arial" w:hAnsi="Arial"/>
          <w:sz w:val="18"/>
          <w:szCs w:val="18"/>
          <w:color w:val="auto"/>
        </w:rPr>
        <w:t>Core price for the second quarter of 2022 was 7.5% compared to 6.2% in the second quarter of 2021.</w:t>
      </w:r>
      <w:r>
        <w:rPr>
          <w:rFonts w:ascii="Arial" w:cs="Arial" w:eastAsia="Arial" w:hAnsi="Arial"/>
          <w:sz w:val="29"/>
          <w:szCs w:val="29"/>
          <w:color w:val="auto"/>
          <w:vertAlign w:val="superscript"/>
        </w:rPr>
        <w:t>(d)</w:t>
      </w:r>
    </w:p>
    <w:p>
      <w:pPr>
        <w:ind w:left="680" w:right="1139" w:hanging="335"/>
        <w:spacing w:after="0" w:line="234"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8"/>
          <w:szCs w:val="18"/>
          <w:color w:val="auto"/>
        </w:rPr>
        <w:t>Collection and disposal yield was 6.2% in the second quarter of 2022 compared to 3.7% in the second quarter of 2021.</w:t>
      </w:r>
    </w:p>
    <w:p>
      <w:pPr>
        <w:spacing w:after="0" w:line="1" w:lineRule="exact"/>
        <w:rPr>
          <w:rFonts w:ascii="Arial" w:cs="Arial" w:eastAsia="Arial" w:hAnsi="Arial"/>
          <w:sz w:val="16"/>
          <w:szCs w:val="16"/>
          <w:color w:val="auto"/>
        </w:rPr>
      </w:pPr>
    </w:p>
    <w:p>
      <w:pPr>
        <w:jc w:val="both"/>
        <w:ind w:left="680" w:right="1139" w:hanging="335"/>
        <w:spacing w:after="0" w:line="259"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8"/>
          <w:szCs w:val="18"/>
          <w:color w:val="auto"/>
        </w:rPr>
        <w:t>Total Company volumes increased 1.6% in the second quarter of 2022 and collection and disposal volumes increased 2.3%. Total Company and collection and disposal volumes increased 9.2% in the second quarter of 2021 driven largely by strong recovery from the pandemic.</w:t>
      </w:r>
      <w:r>
        <w:rPr>
          <w:rFonts w:ascii="Arial" w:cs="Arial" w:eastAsia="Arial" w:hAnsi="Arial"/>
          <w:sz w:val="29"/>
          <w:szCs w:val="29"/>
          <w:color w:val="auto"/>
          <w:vertAlign w:val="superscript"/>
        </w:rPr>
        <w:t>(f)</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Cost Management</w:t>
      </w:r>
    </w:p>
    <w:p>
      <w:pPr>
        <w:spacing w:after="0" w:line="198" w:lineRule="exact"/>
        <w:rPr>
          <w:sz w:val="20"/>
          <w:szCs w:val="20"/>
          <w:color w:val="auto"/>
        </w:rPr>
      </w:pPr>
    </w:p>
    <w:p>
      <w:pPr>
        <w:jc w:val="both"/>
        <w:ind w:left="680" w:right="1139" w:hanging="335"/>
        <w:spacing w:after="0" w:line="223" w:lineRule="auto"/>
        <w:tabs>
          <w:tab w:leader="none" w:pos="680" w:val="left"/>
        </w:tabs>
        <w:numPr>
          <w:ilvl w:val="0"/>
          <w:numId w:val="4"/>
        </w:numPr>
        <w:rPr>
          <w:rFonts w:ascii="Arial" w:cs="Arial" w:eastAsia="Arial" w:hAnsi="Arial"/>
          <w:sz w:val="16"/>
          <w:szCs w:val="16"/>
          <w:color w:val="auto"/>
        </w:rPr>
      </w:pPr>
      <w:r>
        <w:rPr>
          <w:rFonts w:ascii="Arial" w:cs="Arial" w:eastAsia="Arial" w:hAnsi="Arial"/>
          <w:sz w:val="18"/>
          <w:szCs w:val="18"/>
          <w:color w:val="auto"/>
        </w:rPr>
        <w:t>Operating expenses as a percentage of revenue increased 140 basis points to 62.5% when compared to the second quarter of 2021. On an adjusted basis, operating expenses as a percentage of revenue increased 130 basis points to 62.4% in the second quarter of 2022.</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Operating expense margin in the second quarter, when compared to the prior year, was 100 basis points higher due to the impacts of higher commodity prices for fuel and recyclables and 30 basis points higher related to alternative fuel tax credits received in the prior year that have not yet been renewed for 2022.</w:t>
      </w:r>
    </w:p>
    <w:p>
      <w:pPr>
        <w:spacing w:after="0" w:line="2" w:lineRule="exact"/>
        <w:rPr>
          <w:rFonts w:ascii="Arial" w:cs="Arial" w:eastAsia="Arial" w:hAnsi="Arial"/>
          <w:sz w:val="16"/>
          <w:szCs w:val="16"/>
          <w:color w:val="auto"/>
        </w:rPr>
      </w:pPr>
    </w:p>
    <w:p>
      <w:pPr>
        <w:jc w:val="both"/>
        <w:ind w:left="680" w:right="1139" w:hanging="335"/>
        <w:spacing w:after="0" w:line="259" w:lineRule="auto"/>
        <w:tabs>
          <w:tab w:leader="none" w:pos="680" w:val="left"/>
        </w:tabs>
        <w:numPr>
          <w:ilvl w:val="0"/>
          <w:numId w:val="4"/>
        </w:numPr>
        <w:rPr>
          <w:rFonts w:ascii="Arial" w:cs="Arial" w:eastAsia="Arial" w:hAnsi="Arial"/>
          <w:sz w:val="16"/>
          <w:szCs w:val="16"/>
          <w:color w:val="auto"/>
        </w:rPr>
      </w:pPr>
      <w:r>
        <w:rPr>
          <w:rFonts w:ascii="Arial" w:cs="Arial" w:eastAsia="Arial" w:hAnsi="Arial"/>
          <w:sz w:val="18"/>
          <w:szCs w:val="18"/>
          <w:color w:val="auto"/>
        </w:rPr>
        <w:t>SG&amp;A expenses were 9.7% of revenue in the second quarter of 2022 compared to 9.9% in the second quarter of 2021. On an adjusted basis, SG&amp;A expenses were 9.4% of revenue in the second quarter of 2022 compared to 9.6% in the second quarter of 2021.</w:t>
      </w:r>
      <w:r>
        <w:rPr>
          <w:rFonts w:ascii="Arial" w:cs="Arial" w:eastAsia="Arial" w:hAnsi="Arial"/>
          <w:sz w:val="29"/>
          <w:szCs w:val="29"/>
          <w:color w:val="auto"/>
          <w:vertAlign w:val="superscript"/>
        </w:rPr>
        <w:t>(a)</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Profitability</w:t>
      </w:r>
    </w:p>
    <w:p>
      <w:pPr>
        <w:spacing w:after="0" w:line="264" w:lineRule="exact"/>
        <w:rPr>
          <w:sz w:val="20"/>
          <w:szCs w:val="20"/>
          <w:color w:val="auto"/>
        </w:rPr>
      </w:pPr>
    </w:p>
    <w:p>
      <w:pPr>
        <w:jc w:val="both"/>
        <w:ind w:left="680" w:right="1139" w:hanging="335"/>
        <w:spacing w:after="0" w:line="225" w:lineRule="auto"/>
        <w:tabs>
          <w:tab w:leader="none" w:pos="680" w:val="left"/>
        </w:tabs>
        <w:numPr>
          <w:ilvl w:val="0"/>
          <w:numId w:val="5"/>
        </w:numPr>
        <w:rPr>
          <w:rFonts w:ascii="Arial" w:cs="Arial" w:eastAsia="Arial" w:hAnsi="Arial"/>
          <w:sz w:val="16"/>
          <w:szCs w:val="16"/>
          <w:color w:val="auto"/>
        </w:rPr>
      </w:pPr>
      <w:r>
        <w:rPr>
          <w:rFonts w:ascii="Trebuchet MS" w:cs="Trebuchet MS" w:eastAsia="Trebuchet MS" w:hAnsi="Trebuchet MS"/>
          <w:sz w:val="18"/>
          <w:szCs w:val="18"/>
          <w:color w:val="auto"/>
        </w:rPr>
        <w:t>Operating EBITDA in the Company’s collection and disposal business, adjusted on the same basis as total Company operating EBITDA, increased by approximately $107 million to $1.53 billion for the second quarter of 2022. Operating EBITDA as a percentage of revenue in the Company’s collection and disposal business was 31.2% for the second quarter of 2022 compared to 32.0% for the second quarter of 2021.</w:t>
      </w:r>
      <w:r>
        <w:rPr>
          <w:rFonts w:ascii="Trebuchet MS" w:cs="Trebuchet MS" w:eastAsia="Trebuchet MS" w:hAnsi="Trebuchet MS"/>
          <w:sz w:val="29"/>
          <w:szCs w:val="29"/>
          <w:color w:val="auto"/>
          <w:vertAlign w:val="superscript"/>
        </w:rPr>
        <w:t>(e)</w:t>
      </w:r>
    </w:p>
    <w:p>
      <w:pPr>
        <w:ind w:left="680" w:right="1139" w:hanging="335"/>
        <w:spacing w:after="0" w:line="234"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8"/>
          <w:szCs w:val="18"/>
          <w:color w:val="auto"/>
        </w:rPr>
        <w:t>Operating EBITDA in the Company’s recycling line of business increased by $5 million compared to the second quarter of 2021.</w:t>
      </w:r>
    </w:p>
    <w:p>
      <w:pPr>
        <w:spacing w:after="0" w:line="1" w:lineRule="exact"/>
        <w:rPr>
          <w:rFonts w:ascii="Arial" w:cs="Arial" w:eastAsia="Arial" w:hAnsi="Arial"/>
          <w:sz w:val="16"/>
          <w:szCs w:val="16"/>
          <w:color w:val="auto"/>
        </w:rPr>
      </w:pPr>
    </w:p>
    <w:p>
      <w:pPr>
        <w:jc w:val="both"/>
        <w:ind w:left="680" w:right="1139" w:hanging="335"/>
        <w:spacing w:after="0" w:line="242"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8"/>
          <w:szCs w:val="18"/>
          <w:color w:val="auto"/>
        </w:rPr>
        <w:t>Operating EBITDA in the Company’s renewable energy business increased by $14 million compared to the second quarter of 2021, primarily driven by increases in the value for electricity, renewable natural gas and environmental credits.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u w:val="single" w:color="auto"/>
          <w:color w:val="auto"/>
        </w:rPr>
        <w:t>Free Cash Flow &amp; Capital Allocation</w:t>
      </w:r>
    </w:p>
    <w:p>
      <w:pPr>
        <w:spacing w:after="0" w:line="198" w:lineRule="exact"/>
        <w:rPr>
          <w:sz w:val="20"/>
          <w:szCs w:val="20"/>
          <w:color w:val="auto"/>
        </w:rPr>
      </w:pPr>
    </w:p>
    <w:p>
      <w:pPr>
        <w:ind w:left="680" w:right="1139" w:hanging="335"/>
        <w:spacing w:after="0" w:line="245"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8"/>
          <w:szCs w:val="18"/>
          <w:color w:val="auto"/>
        </w:rPr>
        <w:t>In the second quarter of 2022, net cash provided by operating activities was $1.05 billion compared to $1.04 billion in the second quarter of 2021.</w:t>
      </w:r>
    </w:p>
    <w:p>
      <w:pPr>
        <w:jc w:val="both"/>
        <w:ind w:left="680" w:right="1139" w:hanging="335"/>
        <w:spacing w:after="0" w:line="234"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8"/>
          <w:szCs w:val="18"/>
          <w:color w:val="auto"/>
        </w:rPr>
        <w:t>In the second quarter of 2022, capital expenditures to support the business were $485 million compared to $387 million in the second quarter of 2021. In addition, capital expenditures for sustainability growth investments were $65 million compared to $9 million in the second quarter of 2021.</w:t>
      </w:r>
    </w:p>
    <w:p>
      <w:pPr>
        <w:spacing w:after="0" w:line="2" w:lineRule="exact"/>
        <w:rPr>
          <w:rFonts w:ascii="Arial" w:cs="Arial" w:eastAsia="Arial" w:hAnsi="Arial"/>
          <w:sz w:val="16"/>
          <w:szCs w:val="16"/>
          <w:color w:val="auto"/>
        </w:rPr>
      </w:pPr>
    </w:p>
    <w:p>
      <w:pPr>
        <w:jc w:val="both"/>
        <w:ind w:left="680" w:right="1139" w:hanging="335"/>
        <w:spacing w:after="0" w:line="197"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8"/>
          <w:szCs w:val="18"/>
          <w:color w:val="auto"/>
        </w:rPr>
        <w:t>In the second quarter of 2022, free cash flow was $503 million compared to $649 million in the second quarter of 2021.</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Free cash flow without sustainability growth investments was $568 million compared to $658 million in the second quarter of 2021.</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The year-over-year decline in free cash flow was primarily driven by the timing of capital spending.</w:t>
      </w:r>
    </w:p>
    <w:p>
      <w:pPr>
        <w:spacing w:after="0" w:line="3" w:lineRule="exact"/>
        <w:rPr>
          <w:rFonts w:ascii="Arial" w:cs="Arial" w:eastAsia="Arial" w:hAnsi="Arial"/>
          <w:sz w:val="16"/>
          <w:szCs w:val="16"/>
          <w:color w:val="auto"/>
        </w:rPr>
      </w:pPr>
    </w:p>
    <w:p>
      <w:pPr>
        <w:ind w:left="680" w:right="1139" w:hanging="335"/>
        <w:spacing w:after="0" w:line="250"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8"/>
          <w:szCs w:val="18"/>
          <w:color w:val="auto"/>
        </w:rPr>
        <w:t>During the second quarter of 2022, $539 million was returned to shareholders, including $269 million of cash dividends and $270 million allocated to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90"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REVISED 2022 OUTLOOK</w:t>
      </w:r>
    </w:p>
    <w:p>
      <w:pPr>
        <w:spacing w:after="0" w:line="239" w:lineRule="exact"/>
        <w:rPr>
          <w:sz w:val="20"/>
          <w:szCs w:val="20"/>
          <w:color w:val="auto"/>
        </w:rPr>
      </w:pPr>
    </w:p>
    <w:p>
      <w:pPr>
        <w:jc w:val="both"/>
        <w:ind w:left="680" w:right="1139" w:hanging="335"/>
        <w:spacing w:after="0" w:line="241"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8"/>
          <w:szCs w:val="18"/>
          <w:color w:val="auto"/>
        </w:rPr>
        <w:t>Total Company revenue growth in 2022 is expected to be approximately 10%, an increase of 400 basis points from the midpoint of prior guidance. Combined internal revenue growth from yield and volume in the collection and disposal business is now expected to approach 8.5%.</w:t>
      </w:r>
    </w:p>
    <w:p>
      <w:pPr>
        <w:spacing w:after="0" w:line="1" w:lineRule="exact"/>
        <w:rPr>
          <w:rFonts w:ascii="Arial" w:cs="Arial" w:eastAsia="Arial" w:hAnsi="Arial"/>
          <w:sz w:val="16"/>
          <w:szCs w:val="16"/>
          <w:color w:val="auto"/>
        </w:rPr>
      </w:pPr>
    </w:p>
    <w:p>
      <w:pPr>
        <w:ind w:left="680" w:right="1159" w:hanging="335"/>
        <w:spacing w:after="0" w:line="204"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8"/>
          <w:szCs w:val="18"/>
          <w:color w:val="auto"/>
        </w:rPr>
        <w:t>Adjusted operating EBITDA is now expected to be between $5.5 and $5.6 billion in 2022, an increase of $175 million from prior guidance.</w:t>
      </w:r>
      <w:r>
        <w:rPr>
          <w:rFonts w:ascii="Arial" w:cs="Arial" w:eastAsia="Arial" w:hAnsi="Arial"/>
          <w:sz w:val="26"/>
          <w:szCs w:val="26"/>
          <w:color w:val="auto"/>
          <w:vertAlign w:val="superscript"/>
        </w:rPr>
        <w:t>(a)</w:t>
      </w:r>
    </w:p>
    <w:p>
      <w:pPr>
        <w:spacing w:after="0" w:line="1" w:lineRule="exact"/>
        <w:rPr>
          <w:rFonts w:ascii="Arial" w:cs="Arial" w:eastAsia="Arial" w:hAnsi="Arial"/>
          <w:sz w:val="16"/>
          <w:szCs w:val="16"/>
          <w:color w:val="auto"/>
        </w:rPr>
      </w:pPr>
    </w:p>
    <w:p>
      <w:pPr>
        <w:ind w:left="680" w:right="1159" w:hanging="335"/>
        <w:spacing w:after="0" w:line="204"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8"/>
          <w:szCs w:val="18"/>
          <w:color w:val="auto"/>
        </w:rPr>
        <w:t>The Company’s projected adjusted operating EBITDA margin at the midpoint of its guidance range is 28.1%, which includes an estimated 60-basis-point headwind related to increased fuel costs.</w:t>
      </w:r>
      <w:r>
        <w:rPr>
          <w:rFonts w:ascii="Arial" w:cs="Arial" w:eastAsia="Arial" w:hAnsi="Arial"/>
          <w:sz w:val="26"/>
          <w:szCs w:val="26"/>
          <w:color w:val="auto"/>
          <w:vertAlign w:val="superscript"/>
        </w:rPr>
        <w:t>(a)</w:t>
      </w:r>
    </w:p>
    <w:p>
      <w:pPr>
        <w:spacing w:after="0" w:line="1" w:lineRule="exact"/>
        <w:rPr>
          <w:rFonts w:ascii="Arial" w:cs="Arial" w:eastAsia="Arial" w:hAnsi="Arial"/>
          <w:sz w:val="16"/>
          <w:szCs w:val="16"/>
          <w:color w:val="auto"/>
        </w:rPr>
      </w:pPr>
    </w:p>
    <w:p>
      <w:pPr>
        <w:jc w:val="both"/>
        <w:ind w:left="680" w:right="1159" w:hanging="335"/>
        <w:spacing w:after="0" w:line="213"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8"/>
          <w:szCs w:val="18"/>
          <w:color w:val="auto"/>
        </w:rPr>
        <w:t>Free cash flow is projected to exceed the upper end of the Company’s previous guidance range of $2.6 to $2.7 billion excluding the targeted sustainability growth investments, or $2.05 to $2.15 billion including sustainability growth investments.</w:t>
      </w:r>
      <w:r>
        <w:rPr>
          <w:rFonts w:ascii="Arial" w:cs="Arial" w:eastAsia="Arial" w:hAnsi="Arial"/>
          <w:sz w:val="26"/>
          <w:szCs w:val="26"/>
          <w:color w:val="auto"/>
          <w:vertAlign w:val="superscript"/>
        </w:rPr>
        <w:t>(a)</w:t>
      </w:r>
    </w:p>
    <w:p>
      <w:pPr>
        <w:spacing w:after="0" w:line="1" w:lineRule="exact"/>
        <w:rPr>
          <w:rFonts w:ascii="Arial" w:cs="Arial" w:eastAsia="Arial" w:hAnsi="Arial"/>
          <w:sz w:val="16"/>
          <w:szCs w:val="16"/>
          <w:color w:val="auto"/>
        </w:rPr>
      </w:pPr>
    </w:p>
    <w:p>
      <w:pPr>
        <w:jc w:val="both"/>
        <w:ind w:left="680" w:right="1139" w:hanging="335"/>
        <w:spacing w:after="0" w:line="234"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8"/>
          <w:szCs w:val="18"/>
          <w:color w:val="auto"/>
        </w:rPr>
        <w:t>The Company expects to complete between $300 and $400 million of acquisitions in 2022. The Company’s revenue and operating EBITDA guidance provided above exclude incremental contributions from acquisitions.</w:t>
      </w:r>
    </w:p>
    <w:p>
      <w:pPr>
        <w:spacing w:after="0" w:line="2" w:lineRule="exact"/>
        <w:rPr>
          <w:rFonts w:ascii="Arial" w:cs="Arial" w:eastAsia="Arial" w:hAnsi="Arial"/>
          <w:sz w:val="16"/>
          <w:szCs w:val="16"/>
          <w:color w:val="auto"/>
        </w:rPr>
      </w:pPr>
    </w:p>
    <w:p>
      <w:pPr>
        <w:ind w:left="680" w:right="1139" w:hanging="335"/>
        <w:spacing w:after="0" w:line="250"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8"/>
          <w:szCs w:val="18"/>
          <w:color w:val="auto"/>
        </w:rPr>
        <w:t>The Company expects to repurchase an additional $980 million of its common stock in 2022, exhausting the full $1.5 billion of share repurchase authorization previously announced.</w:t>
      </w:r>
    </w:p>
    <w:p>
      <w:pPr>
        <w:spacing w:after="0" w:line="199" w:lineRule="exact"/>
        <w:rPr>
          <w:sz w:val="20"/>
          <w:szCs w:val="20"/>
          <w:color w:val="auto"/>
        </w:rPr>
      </w:pPr>
    </w:p>
    <w:p>
      <w:pPr>
        <w:jc w:val="both"/>
        <w:ind w:right="1139"/>
        <w:spacing w:after="0" w:line="247" w:lineRule="auto"/>
        <w:rPr>
          <w:sz w:val="20"/>
          <w:szCs w:val="20"/>
          <w:color w:val="auto"/>
        </w:rPr>
      </w:pPr>
      <w:r>
        <w:rPr>
          <w:rFonts w:ascii="Arial" w:cs="Arial" w:eastAsia="Arial" w:hAnsi="Arial"/>
          <w:sz w:val="18"/>
          <w:szCs w:val="18"/>
          <w:color w:val="auto"/>
        </w:rPr>
        <w:t>Fish concluded, “WM is well positioned in any economic environment given the essential nature of the services we provide, the annuity-like characteristics of our revenue, and our reliable business model. Our solid results in the first half of 2022, driven by our focus on disciplined pricing and cost management, give us confidence in our ability to deliver on our new, higher outlook.”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6" w:lineRule="exact"/>
        <w:rPr>
          <w:sz w:val="20"/>
          <w:szCs w:val="20"/>
          <w:color w:val="auto"/>
        </w:rPr>
      </w:pPr>
    </w:p>
    <w:p>
      <w:pPr>
        <w:ind w:left="680" w:right="1139" w:hanging="335"/>
        <w:spacing w:after="0" w:line="285"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information labeled as adjusted in this press release, as well as free cash flow, are non-GAAP measures. Please see "Non-GAAP Financial Measures" below and the reconciliations in the accompanying schedules for more information.</w:t>
      </w:r>
    </w:p>
    <w:p>
      <w:pPr>
        <w:spacing w:after="0" w:line="184" w:lineRule="exact"/>
        <w:rPr>
          <w:rFonts w:ascii="Arial" w:cs="Arial" w:eastAsia="Arial" w:hAnsi="Arial"/>
          <w:sz w:val="14"/>
          <w:szCs w:val="14"/>
          <w:color w:val="auto"/>
        </w:rPr>
      </w:pPr>
    </w:p>
    <w:p>
      <w:pPr>
        <w:ind w:left="680" w:right="1139" w:hanging="335"/>
        <w:spacing w:after="0" w:line="285"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Management defines operating EBITDA as GAAP income from operations before depreciation and amortization; this measure may not be comparable to similarly-titled measures reported by other companies.</w:t>
      </w:r>
    </w:p>
    <w:p>
      <w:pPr>
        <w:spacing w:after="0" w:line="184" w:lineRule="exact"/>
        <w:rPr>
          <w:rFonts w:ascii="Arial" w:cs="Arial" w:eastAsia="Arial" w:hAnsi="Arial"/>
          <w:sz w:val="14"/>
          <w:szCs w:val="14"/>
          <w:color w:val="auto"/>
        </w:rPr>
      </w:pPr>
    </w:p>
    <w:p>
      <w:pPr>
        <w:ind w:left="680" w:right="1139" w:hanging="335"/>
        <w:spacing w:after="0" w:line="285"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purposes of this press release, all references to "Net income" refer to the financial statement line item "Net income attributable to Waste Management, Inc."</w:t>
      </w:r>
    </w:p>
    <w:p>
      <w:pPr>
        <w:spacing w:after="0" w:line="184" w:lineRule="exact"/>
        <w:rPr>
          <w:rFonts w:ascii="Arial" w:cs="Arial" w:eastAsia="Arial" w:hAnsi="Arial"/>
          <w:sz w:val="14"/>
          <w:szCs w:val="14"/>
          <w:color w:val="auto"/>
        </w:rPr>
      </w:pPr>
    </w:p>
    <w:p>
      <w:pPr>
        <w:jc w:val="both"/>
        <w:ind w:left="680" w:right="1139" w:hanging="335"/>
        <w:spacing w:after="0" w:line="256"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204" w:lineRule="exact"/>
        <w:rPr>
          <w:rFonts w:ascii="Arial" w:cs="Arial" w:eastAsia="Arial" w:hAnsi="Arial"/>
          <w:sz w:val="14"/>
          <w:szCs w:val="14"/>
          <w:color w:val="auto"/>
        </w:rPr>
      </w:pPr>
    </w:p>
    <w:p>
      <w:pPr>
        <w:jc w:val="both"/>
        <w:ind w:left="680" w:right="1139" w:hanging="335"/>
        <w:spacing w:after="0" w:line="263"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the fourth quarter of 2021, the Company updated its collection and disposal operating EBITDA calculation with a more accurate allocation of costs to this line of business. The Company has restated the prior periods to be consistent with the current year presentation.</w:t>
      </w:r>
    </w:p>
    <w:p>
      <w:pPr>
        <w:spacing w:after="0" w:line="199" w:lineRule="exact"/>
        <w:rPr>
          <w:rFonts w:ascii="Arial" w:cs="Arial" w:eastAsia="Arial" w:hAnsi="Arial"/>
          <w:sz w:val="14"/>
          <w:szCs w:val="14"/>
          <w:color w:val="auto"/>
        </w:rPr>
      </w:pPr>
    </w:p>
    <w:p>
      <w:pPr>
        <w:jc w:val="both"/>
        <w:ind w:left="680" w:right="1139" w:hanging="335"/>
        <w:spacing w:after="0" w:line="263"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Beginning in the fourth quarter of 2021, changes in the Company’s renewable energy revenue are reflected as components of the changes in revenue attributable to yield (included in “Fuel &amp; Other”) and volume. The Company has restated the prior periods to be consistent with the current year presentation.</w:t>
      </w:r>
    </w:p>
    <w:p>
      <w:pPr>
        <w:spacing w:after="0" w:line="190" w:lineRule="exact"/>
        <w:rPr>
          <w:sz w:val="20"/>
          <w:szCs w:val="20"/>
          <w:color w:val="auto"/>
        </w:rPr>
      </w:pPr>
    </w:p>
    <w:p>
      <w:pPr>
        <w:ind w:right="1159"/>
        <w:spacing w:after="0" w:line="271" w:lineRule="auto"/>
        <w:rPr>
          <w:sz w:val="20"/>
          <w:szCs w:val="20"/>
          <w:color w:val="auto"/>
        </w:rPr>
      </w:pPr>
      <w:r>
        <w:rPr>
          <w:rFonts w:ascii="Arial" w:cs="Arial" w:eastAsia="Arial" w:hAnsi="Arial"/>
          <w:sz w:val="18"/>
          <w:szCs w:val="18"/>
          <w:color w:val="auto"/>
        </w:rPr>
        <w:t>The Company will host a conference call at 10 a.m. ET today to discuss the second quarter results. Information contained within this press release will be referenced and should be considered in conjunction with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6" w:name="page7"/>
    <w:bookmarkEnd w:id="6"/>
    <w:p>
      <w:pPr>
        <w:jc w:val="both"/>
        <w:ind w:right="1139"/>
        <w:spacing w:after="0" w:line="253" w:lineRule="auto"/>
        <w:rPr>
          <w:sz w:val="20"/>
          <w:szCs w:val="20"/>
          <w:color w:val="auto"/>
        </w:rPr>
      </w:pPr>
      <w:r>
        <w:rPr>
          <w:rFonts w:ascii="Arial" w:cs="Arial" w:eastAsia="Arial" w:hAnsi="Arial"/>
          <w:sz w:val="18"/>
          <w:szCs w:val="18"/>
          <w:color w:val="auto"/>
        </w:rPr>
        <w:t xml:space="preserve">Listeners can access a live audio webcast of the conference call by visiting </w:t>
      </w:r>
      <w:r>
        <w:rPr>
          <w:rFonts w:ascii="Arial" w:cs="Arial" w:eastAsia="Arial" w:hAnsi="Arial"/>
          <w:sz w:val="18"/>
          <w:szCs w:val="18"/>
          <w:u w:val="single" w:color="auto"/>
          <w:color w:val="auto"/>
        </w:rPr>
        <w:t>investors.wm.com</w:t>
      </w:r>
      <w:r>
        <w:rPr>
          <w:rFonts w:ascii="Arial" w:cs="Arial" w:eastAsia="Arial" w:hAnsi="Arial"/>
          <w:sz w:val="18"/>
          <w:szCs w:val="18"/>
          <w:color w:val="auto"/>
        </w:rPr>
        <w:t xml:space="preserve"> and selecting “Events &amp; Presentations” from the website menu. A replay of the audio webcast will be available at the same location following the conclusion of the call.</w:t>
      </w:r>
    </w:p>
    <w:p>
      <w:pPr>
        <w:spacing w:after="0" w:line="155" w:lineRule="exact"/>
        <w:rPr>
          <w:sz w:val="20"/>
          <w:szCs w:val="20"/>
          <w:color w:val="auto"/>
        </w:rPr>
      </w:pPr>
    </w:p>
    <w:p>
      <w:pPr>
        <w:jc w:val="both"/>
        <w:ind w:right="1139"/>
        <w:spacing w:after="0" w:line="271" w:lineRule="auto"/>
        <w:rPr>
          <w:sz w:val="20"/>
          <w:szCs w:val="20"/>
          <w:color w:val="auto"/>
        </w:rPr>
      </w:pPr>
      <w:r>
        <w:rPr>
          <w:rFonts w:ascii="Arial" w:cs="Arial" w:eastAsia="Arial" w:hAnsi="Arial"/>
          <w:sz w:val="18"/>
          <w:szCs w:val="18"/>
          <w:color w:val="auto"/>
        </w:rPr>
        <w:t xml:space="preserve">Beginning this quarter, conference call participants must </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to obtain their dial in and passcode details. The new, streamlined process improves security and eliminates wait times when joining the call.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4" w:lineRule="exact"/>
        <w:rPr>
          <w:sz w:val="20"/>
          <w:szCs w:val="20"/>
          <w:color w:val="auto"/>
        </w:rPr>
      </w:pPr>
    </w:p>
    <w:p>
      <w:pPr>
        <w:jc w:val="both"/>
        <w:ind w:right="1139"/>
        <w:spacing w:after="0" w:line="236" w:lineRule="auto"/>
        <w:rPr>
          <w:sz w:val="20"/>
          <w:szCs w:val="20"/>
          <w:color w:val="auto"/>
        </w:rPr>
      </w:pPr>
      <w:r>
        <w:rPr>
          <w:rFonts w:ascii="Arial" w:cs="Arial" w:eastAsia="Arial" w:hAnsi="Arial"/>
          <w:sz w:val="18"/>
          <w:szCs w:val="18"/>
          <w:color w:val="auto"/>
        </w:rPr>
        <w:t>WM (</w:t>
      </w:r>
      <w:r>
        <w:rPr>
          <w:rFonts w:ascii="Arial" w:cs="Arial" w:eastAsia="Arial" w:hAnsi="Arial"/>
          <w:sz w:val="18"/>
          <w:szCs w:val="18"/>
          <w:u w:val="single" w:color="auto"/>
          <w:color w:val="auto"/>
        </w:rPr>
        <w:t>WM.com</w:t>
      </w:r>
      <w:r>
        <w:rPr>
          <w:rFonts w:ascii="Arial" w:cs="Arial" w:eastAsia="Arial" w:hAnsi="Arial"/>
          <w:sz w:val="18"/>
          <w:szCs w:val="18"/>
          <w:color w:val="auto"/>
        </w:rPr>
        <w:t xml:space="preserve">) is North America's largest comprehensive waste management environmental solutions provider.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and municipal customers throughout the U.S. and Canada. With innovative infrastructure and capabilities in recycling, organics and renewable energy, WM provides environmental solutions to and collaborates with its customers in helping them achieve their sustainability goals. WM has the largest disposal network and collection fleet in North America, is the largest recycler of post-consumer materials and is the leader in beneficial reuse of landfill gas, with a growing network of renewable natural gas plants and the most gas-to-electricity plants in North America. WM's fleet includes nearly 11,000 natural gas trucks – the largest heavy-duty natural gas truck fleet of its kind in North America – where more than half are fueled by renewable natural gas. To learn more about WM and the company's sustainability progress and solutions, visit </w:t>
      </w:r>
      <w:r>
        <w:rPr>
          <w:rFonts w:ascii="Arial" w:cs="Arial" w:eastAsia="Arial" w:hAnsi="Arial"/>
          <w:sz w:val="18"/>
          <w:szCs w:val="18"/>
          <w:u w:val="single" w:color="auto"/>
          <w:color w:val="auto"/>
        </w:rPr>
        <w:t>Sustainability.WM.com</w:t>
      </w:r>
      <w:r>
        <w:rPr>
          <w:rFonts w:ascii="Arial" w:cs="Arial" w:eastAsia="Arial" w:hAnsi="Arial"/>
          <w:sz w:val="18"/>
          <w:szCs w:val="18"/>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 w:lineRule="exact"/>
        <w:rPr>
          <w:sz w:val="20"/>
          <w:szCs w:val="20"/>
          <w:color w:val="auto"/>
        </w:rPr>
      </w:pPr>
    </w:p>
    <w:p>
      <w:pPr>
        <w:jc w:val="both"/>
        <w:ind w:right="1139"/>
        <w:spacing w:after="0" w:line="247" w:lineRule="auto"/>
        <w:rPr>
          <w:sz w:val="20"/>
          <w:szCs w:val="20"/>
          <w:color w:val="auto"/>
        </w:rPr>
      </w:pPr>
      <w:r>
        <w:rPr>
          <w:rFonts w:ascii="Arial" w:cs="Arial" w:eastAsia="Arial" w:hAnsi="Arial"/>
          <w:sz w:val="16"/>
          <w:szCs w:val="16"/>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statements under the heading “Revised 2022 Outlook” and all statements regarding future performance or financial results of our business; achievement of financial guidance; future share repurchases; future demand for services, volumes and economic activity; and future execution of strategic priorities, including pricing, cost management, investments and sustainability projects, results and growth.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growth, and cost savings initiatives and overall business strategy; failure to identify acquisition targets, consummate and integrate acquisitions; failure to obtain the results anticipated from acquisitions; environmental and other regulations, including developments related to emerging contaminants, gas emissions and renewable fuel; significant environmental, safety or other incidents resulting in liabilities or brand damage; failure to obtain and maintain necessary permits; failure to attract, hire and retain key team members and a high quality workforce; changes in wage and labor related regulations; significant storms and destructive climate events; public health risk and other impacts of COVID-19 or similar pandemic conditions, including related regulations, resulting in increased costs and social, labor and commercial disruption; macroeconomic pressures and market disruption resulting in labor, supply chain and transportation constraints and inflationary cost pressure; increased competition; pricing actions; commodity price fluctuations; impacts from Russia’s invasion of Ukraine and the resulting geopolitical conflict and international response, including increased risk of cyber incidents and exacerbation of market disruption, inflationary cost pressure and changes in commodity prices, fuel and other energy costs; international trade restrictions; disposal alternatives and waste diversion; declining waste volumes; weakness in general economic conditions and capital markets; adoption of new tax legislation; fuel shortages; failure to develop and protect new technology; failure of technology to perform as expected, including implementation of a new enterprise resource planning and human capital management system; failure to prevent, detect and address cybersecurity incidents or comply with privacy regulations; negative outcomes of litigation or governmental proceedings; and decisions or developments that result in impairment charges. Please also see the Company’s filings with the SEC, including Part I, Item 1A of the Company’s most recently filed Annual Report on Form 10-K,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90"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NON-GAAP FINANCIAL MEASURES</w:t>
      </w:r>
    </w:p>
    <w:p>
      <w:pPr>
        <w:spacing w:after="0" w:line="14" w:lineRule="exact"/>
        <w:rPr>
          <w:sz w:val="20"/>
          <w:szCs w:val="20"/>
          <w:color w:val="auto"/>
        </w:rPr>
      </w:pPr>
    </w:p>
    <w:p>
      <w:pPr>
        <w:jc w:val="both"/>
        <w:ind w:right="1139"/>
        <w:spacing w:after="0" w:line="236" w:lineRule="auto"/>
        <w:rPr>
          <w:sz w:val="20"/>
          <w:szCs w:val="20"/>
          <w:color w:val="auto"/>
        </w:rPr>
      </w:pPr>
      <w:r>
        <w:rPr>
          <w:rFonts w:ascii="Arial" w:cs="Arial" w:eastAsia="Arial" w:hAnsi="Arial"/>
          <w:sz w:val="18"/>
          <w:szCs w:val="18"/>
          <w:color w:val="auto"/>
        </w:rPr>
        <w:t>To supplement its financial information, the Company has presented, and/or may discuss on the conference call, adjusted earnings per diluted share, adjusted net income, adjusted income from operations, adjusted operating EBITDA, adjusted operating EBITDA margin, adjusted operating expenses, adjusted SG&amp;A expenses and free cash flow, as well as projections of adjusted operating EBITDA and free cash flow for 2022. All of these items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215" w:lineRule="exact"/>
        <w:rPr>
          <w:sz w:val="20"/>
          <w:szCs w:val="20"/>
          <w:color w:val="auto"/>
        </w:rPr>
      </w:pPr>
    </w:p>
    <w:p>
      <w:pPr>
        <w:jc w:val="both"/>
        <w:ind w:right="1139"/>
        <w:spacing w:after="0" w:line="242" w:lineRule="auto"/>
        <w:rPr>
          <w:sz w:val="20"/>
          <w:szCs w:val="20"/>
          <w:color w:val="auto"/>
        </w:rPr>
      </w:pPr>
      <w:r>
        <w:rPr>
          <w:rFonts w:ascii="Arial" w:cs="Arial" w:eastAsia="Arial" w:hAnsi="Arial"/>
          <w:sz w:val="18"/>
          <w:szCs w:val="18"/>
          <w:color w:val="auto"/>
        </w:rPr>
        <w:t>In addition, the Company’s projected future adjusted operating EBITDA is anticipated to exclude the effects of events or circumstances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 to the comparable GAAP measure.</w:t>
      </w:r>
    </w:p>
    <w:p>
      <w:pPr>
        <w:spacing w:after="0" w:line="206" w:lineRule="exact"/>
        <w:rPr>
          <w:sz w:val="20"/>
          <w:szCs w:val="20"/>
          <w:color w:val="auto"/>
        </w:rPr>
      </w:pPr>
    </w:p>
    <w:p>
      <w:pPr>
        <w:jc w:val="both"/>
        <w:ind w:right="1139"/>
        <w:spacing w:after="0" w:line="239" w:lineRule="auto"/>
        <w:rPr>
          <w:sz w:val="20"/>
          <w:szCs w:val="20"/>
          <w:color w:val="auto"/>
        </w:rPr>
      </w:pPr>
      <w:r>
        <w:rPr>
          <w:rFonts w:ascii="Arial" w:cs="Arial" w:eastAsia="Arial" w:hAnsi="Arial"/>
          <w:sz w:val="18"/>
          <w:szCs w:val="18"/>
          <w:color w:val="auto"/>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207" w:lineRule="exact"/>
        <w:rPr>
          <w:sz w:val="20"/>
          <w:szCs w:val="20"/>
          <w:color w:val="auto"/>
        </w:rPr>
      </w:pPr>
    </w:p>
    <w:p>
      <w:pPr>
        <w:jc w:val="both"/>
        <w:ind w:right="1139"/>
        <w:spacing w:after="0" w:line="253" w:lineRule="auto"/>
        <w:rPr>
          <w:sz w:val="20"/>
          <w:szCs w:val="20"/>
          <w:color w:val="auto"/>
        </w:rPr>
      </w:pPr>
      <w:r>
        <w:rPr>
          <w:rFonts w:ascii="Arial" w:cs="Arial" w:eastAsia="Arial" w:hAnsi="Arial"/>
          <w:sz w:val="18"/>
          <w:szCs w:val="18"/>
          <w:color w:val="auto"/>
        </w:rPr>
        <w:t>The quantitative reconciliations of non-GAAP measures to the most comparable GAAP measures are included in the accompanying schedules, with the exception of projected adjusted operating EBITDA. Non-GAAP measures should not be considered a substitute for financial measures presented in accordance with GAAP.</w:t>
      </w:r>
    </w:p>
    <w:p>
      <w:pPr>
        <w:spacing w:after="0" w:line="2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00" w:type="dxa"/>
            <w:vAlign w:val="bottom"/>
            <w:gridSpan w:val="5"/>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7"/>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5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5,027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4,476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8"/>
              </w:rPr>
              <w:t>3,142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8"/>
              </w:rPr>
              <w:t>2,736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divestitures, asset impairments and unusual items, net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4,137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3,685</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 net losses of unconsolidated entities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5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3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38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0.83</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2.65</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8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ind w:right="6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0.83</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414.4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421.6</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415.0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422.3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416.4</w:t>
            </w: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423.6</w:t>
            </w: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417.0</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424.0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1"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120" w:right="300"/>
        <w:spacing w:after="0" w:line="253" w:lineRule="auto"/>
        <w:rPr>
          <w:sz w:val="20"/>
          <w:szCs w:val="20"/>
          <w:color w:val="auto"/>
        </w:rPr>
      </w:pPr>
      <w:r>
        <w:rPr>
          <w:rFonts w:ascii="Times New Roman" w:cs="Times New Roman" w:eastAsia="Times New Roman" w:hAnsi="Times New Roman"/>
          <w:sz w:val="18"/>
          <w:szCs w:val="18"/>
          <w:color w:val="auto"/>
        </w:rPr>
        <w:t>Cash and cash equivalents Receivables, net Other</w:t>
      </w:r>
    </w:p>
    <w:p>
      <w:pPr>
        <w:spacing w:after="0" w:line="2" w:lineRule="exact"/>
        <w:rPr>
          <w:sz w:val="20"/>
          <w:szCs w:val="20"/>
          <w:color w:val="auto"/>
        </w:rPr>
      </w:pPr>
    </w:p>
    <w:p>
      <w:pPr>
        <w:ind w:right="260" w:firstLine="216"/>
        <w:spacing w:after="0" w:line="257" w:lineRule="auto"/>
        <w:rPr>
          <w:sz w:val="20"/>
          <w:szCs w:val="20"/>
          <w:color w:val="auto"/>
        </w:rPr>
      </w:pPr>
      <w:r>
        <w:rPr>
          <w:rFonts w:ascii="Times New Roman" w:cs="Times New Roman" w:eastAsia="Times New Roman" w:hAnsi="Times New Roman"/>
          <w:sz w:val="18"/>
          <w:szCs w:val="18"/>
          <w:color w:val="auto"/>
        </w:rPr>
        <w:t>Total current assets Property and equipment, net Goodwill</w:t>
      </w:r>
    </w:p>
    <w:p>
      <w:pPr>
        <w:spacing w:after="0" w:line="1"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Other intangible assets, net Other</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60" w:type="dxa"/>
        <w:tblCellMar>
          <w:top w:w="0" w:type="dxa"/>
          <w:left w:w="0" w:type="dxa"/>
          <w:bottom w:w="0" w:type="dxa"/>
          <w:right w:w="0" w:type="dxa"/>
        </w:tblCellMar>
      </w:tblPr>
      <w:tr>
        <w:trPr>
          <w:trHeight w:val="238"/>
        </w:trPr>
        <w:tc>
          <w:tcPr>
            <w:tcW w:w="5160" w:type="dxa"/>
            <w:vAlign w:val="bottom"/>
            <w:gridSpan w:val="2"/>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160" w:type="dxa"/>
            <w:vAlign w:val="bottom"/>
            <w:gridSpan w:val="2"/>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60" w:type="dxa"/>
            <w:vAlign w:val="bottom"/>
            <w:gridSpan w:val="2"/>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9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5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191"/>
        </w:trPr>
        <w:tc>
          <w:tcPr>
            <w:tcW w:w="49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14,419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9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-1562735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-1279525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-1005205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-713740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-439420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-156845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-125095</wp:posOffset>
            </wp:positionV>
            <wp:extent cx="17056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2300" w:space="720"/>
            <w:col w:w="822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accrued liabilities and deferred revenues</w:t>
            </w:r>
          </w:p>
        </w:tc>
        <w:tc>
          <w:tcPr>
            <w:tcW w:w="2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3,491</w:t>
            </w:r>
          </w:p>
        </w:tc>
        <w:tc>
          <w:tcPr>
            <w:tcW w:w="4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3,374</w:t>
            </w:r>
          </w:p>
        </w:tc>
        <w:tc>
          <w:tcPr>
            <w:tcW w:w="80" w:type="dxa"/>
            <w:vAlign w:val="bottom"/>
          </w:tcPr>
          <w:p>
            <w:pPr>
              <w:spacing w:after="0"/>
              <w:rPr>
                <w:sz w:val="18"/>
                <w:szCs w:val="18"/>
                <w:color w:val="auto"/>
              </w:rPr>
            </w:pPr>
          </w:p>
        </w:tc>
      </w:tr>
      <w:tr>
        <w:trPr>
          <w:trHeight w:val="229"/>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shd w:val="clear" w:color="auto" w:fill="CCEEFF"/>
          </w:tcPr>
          <w:p>
            <w:pPr>
              <w:spacing w:after="0"/>
              <w:rPr>
                <w:sz w:val="19"/>
                <w:szCs w:val="19"/>
                <w:color w:val="auto"/>
              </w:rPr>
            </w:pPr>
          </w:p>
        </w:tc>
      </w:tr>
      <w:tr>
        <w:trPr>
          <w:trHeight w:val="210"/>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14,046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12,697</w:t>
            </w:r>
          </w:p>
        </w:tc>
        <w:tc>
          <w:tcPr>
            <w:tcW w:w="80" w:type="dxa"/>
            <w:vAlign w:val="bottom"/>
            <w:shd w:val="clear" w:color="auto" w:fill="CCEEFF"/>
          </w:tcPr>
          <w:p>
            <w:pPr>
              <w:spacing w:after="0"/>
              <w:rPr>
                <w:sz w:val="18"/>
                <w:szCs w:val="18"/>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5,192</w:t>
            </w:r>
          </w:p>
        </w:tc>
        <w:tc>
          <w:tcPr>
            <w:tcW w:w="80" w:type="dxa"/>
            <w:vAlign w:val="bottom"/>
          </w:tcPr>
          <w:p>
            <w:pPr>
              <w:spacing w:after="0"/>
              <w:rPr>
                <w:sz w:val="19"/>
                <w:szCs w:val="19"/>
                <w:color w:val="auto"/>
              </w:rPr>
            </w:pPr>
          </w:p>
        </w:tc>
      </w:tr>
      <w:tr>
        <w:trPr>
          <w:trHeight w:val="210"/>
        </w:trPr>
        <w:tc>
          <w:tcPr>
            <w:tcW w:w="64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Waste Management, Inc. stockholders’ equity</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7,124</w:t>
            </w:r>
          </w:p>
        </w:tc>
        <w:tc>
          <w:tcPr>
            <w:tcW w:w="80" w:type="dxa"/>
            <w:vAlign w:val="bottom"/>
            <w:shd w:val="clear" w:color="auto" w:fill="CCEEFF"/>
          </w:tcPr>
          <w:p>
            <w:pPr>
              <w:spacing w:after="0"/>
              <w:rPr>
                <w:sz w:val="18"/>
                <w:szCs w:val="18"/>
                <w:color w:val="auto"/>
              </w:rPr>
            </w:pPr>
          </w:p>
        </w:tc>
      </w:tr>
      <w:tr>
        <w:trPr>
          <w:trHeight w:val="229"/>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r>
      <w:tr>
        <w:trPr>
          <w:trHeight w:val="210"/>
        </w:trPr>
        <w:tc>
          <w:tcPr>
            <w:tcW w:w="64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equity</w:t>
            </w:r>
          </w:p>
        </w:tc>
        <w:tc>
          <w:tcPr>
            <w:tcW w:w="20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4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7"/>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1,101</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consolidated net income to net cash provided by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r>
      <w:tr>
        <w:trPr>
          <w:trHeight w:val="230"/>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effects of acquisitions and divestitures</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9"/>
                <w:szCs w:val="19"/>
                <w:color w:val="auto"/>
              </w:rPr>
            </w:pPr>
          </w:p>
        </w:tc>
      </w:tr>
      <w:tr>
        <w:trPr>
          <w:trHeight w:val="209"/>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expenditures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r>
      <w:tr>
        <w:trPr>
          <w:trHeight w:val="229"/>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10"/>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borrowings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5,360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repayments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(4,683)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(2,326)</w:t>
            </w: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Premiums and other paid on early extinguishment of debt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 repurchase program</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dividends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payments associated with equity-based compensation transactions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and cash equivalents</w:t>
            </w:r>
          </w:p>
        </w:tc>
        <w:tc>
          <w:tcPr>
            <w:tcW w:w="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 and cash equivalents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gridSpan w:val="2"/>
          </w:tcPr>
          <w:p>
            <w:pPr>
              <w:spacing w:after="0"/>
              <w:rPr>
                <w:sz w:val="18"/>
                <w:szCs w:val="18"/>
                <w:color w:val="auto"/>
              </w:rPr>
            </w:pPr>
          </w:p>
        </w:tc>
      </w:tr>
      <w:tr>
        <w:trPr>
          <w:trHeight w:val="23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beginning of period</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shd w:val="clear" w:color="auto" w:fill="CCEEFF"/>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end of period</w:t>
            </w:r>
          </w:p>
        </w:tc>
        <w:tc>
          <w:tcPr>
            <w:tcW w:w="6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7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11"/>
          </w:tcPr>
          <w:p>
            <w:pPr>
              <w:jc w:val="center"/>
              <w:ind w:left="376"/>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60" w:type="dxa"/>
            <w:vAlign w:val="bottom"/>
            <w:gridSpan w:val="10"/>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8"/>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8"/>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Operating Revenues by Line of Business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7"/>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11"/>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357"/>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1,178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3"/>
              </w:rPr>
              <w:t>2,642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942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1,554</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09"/>
        </w:trPr>
        <w:tc>
          <w:tcPr>
            <w:tcW w:w="25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2,918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3"/>
              </w:rPr>
              <w:t>6,391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1,194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1,075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Recycling</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70"/>
        </w:trPr>
        <w:tc>
          <w:tcPr>
            <w:tcW w:w="25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Intercompany </w:t>
            </w:r>
            <w:r>
              <w:rPr>
                <w:rFonts w:ascii="Times New Roman" w:cs="Times New Roman" w:eastAsia="Times New Roman" w:hAnsi="Times New Roman"/>
                <w:sz w:val="29"/>
                <w:szCs w:val="29"/>
                <w:color w:val="auto"/>
                <w:vertAlign w:val="superscript"/>
              </w:rPr>
              <w:t>(a)</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(1,095)</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(959)</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3"/>
              </w:rPr>
              <w:t>9,688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Internal Revenue Growth</w:t>
            </w: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60" w:type="dxa"/>
            <w:vAlign w:val="bottom"/>
            <w:gridSpan w:val="1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60" w:type="dxa"/>
            <w:vAlign w:val="bottom"/>
            <w:gridSpan w:val="18"/>
          </w:tcPr>
          <w:p>
            <w:pPr>
              <w:ind w:left="20"/>
              <w:spacing w:after="0"/>
              <w:rPr>
                <w:sz w:val="20"/>
                <w:szCs w:val="20"/>
                <w:color w:val="auto"/>
              </w:rPr>
            </w:pPr>
            <w:r>
              <w:rPr>
                <w:rFonts w:ascii="Times New Roman" w:cs="Times New Roman" w:eastAsia="Times New Roman" w:hAnsi="Times New Roman"/>
                <w:sz w:val="14"/>
                <w:szCs w:val="14"/>
                <w:b w:val="1"/>
                <w:bCs w:val="1"/>
                <w:color w:val="auto"/>
              </w:rPr>
              <w:t>Period-to-Period Change for the Six Months</w:t>
            </w:r>
          </w:p>
        </w:tc>
        <w:tc>
          <w:tcPr>
            <w:tcW w:w="0" w:type="dxa"/>
            <w:vAlign w:val="bottom"/>
          </w:tcPr>
          <w:p>
            <w:pPr>
              <w:spacing w:after="0"/>
              <w:rPr>
                <w:sz w:val="1"/>
                <w:szCs w:val="1"/>
                <w:color w:val="auto"/>
              </w:rPr>
            </w:pPr>
          </w:p>
        </w:tc>
      </w:tr>
      <w:tr>
        <w:trPr>
          <w:trHeight w:val="213"/>
        </w:trPr>
        <w:tc>
          <w:tcPr>
            <w:tcW w:w="2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Ended June 30, 2022 vs. 2021</w:t>
            </w: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11"/>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Ended June 30, 2022 vs. 2021</w:t>
            </w: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jc w:val="center"/>
              <w:ind w:right="423"/>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423"/>
              <w:spacing w:after="0" w:line="15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jc w:val="center"/>
              <w:ind w:right="64"/>
              <w:spacing w:after="0" w:line="15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4"/>
          </w:tcPr>
          <w:p>
            <w:pPr>
              <w:jc w:val="center"/>
              <w:ind w:right="140"/>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4"/>
        </w:trPr>
        <w:tc>
          <w:tcPr>
            <w:tcW w:w="25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w w:val="96"/>
              </w:rPr>
              <w:t>Business</w:t>
            </w:r>
            <w:r>
              <w:rPr>
                <w:rFonts w:ascii="Times New Roman" w:cs="Times New Roman" w:eastAsia="Times New Roman" w:hAnsi="Times New Roman"/>
                <w:sz w:val="23"/>
                <w:szCs w:val="23"/>
                <w:b w:val="1"/>
                <w:bCs w:val="1"/>
                <w:color w:val="auto"/>
                <w:w w:val="96"/>
                <w:vertAlign w:val="superscript"/>
              </w:rPr>
              <w:t>(b)</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CEEFF"/>
            </w:tcBorders>
            <w:gridSpan w:val="2"/>
          </w:tcPr>
          <w:p>
            <w:pPr>
              <w:spacing w:after="0"/>
              <w:rPr>
                <w:sz w:val="17"/>
                <w:szCs w:val="17"/>
                <w:color w:val="auto"/>
              </w:rPr>
            </w:pPr>
          </w:p>
        </w:tc>
        <w:tc>
          <w:tcPr>
            <w:tcW w:w="90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w w:val="98"/>
              </w:rPr>
              <w:t>Company</w:t>
            </w:r>
            <w:r>
              <w:rPr>
                <w:rFonts w:ascii="Times New Roman" w:cs="Times New Roman" w:eastAsia="Times New Roman" w:hAnsi="Times New Roman"/>
                <w:sz w:val="23"/>
                <w:szCs w:val="23"/>
                <w:b w:val="1"/>
                <w:bCs w:val="1"/>
                <w:color w:val="auto"/>
                <w:w w:val="98"/>
                <w:vertAlign w:val="superscript"/>
              </w:rPr>
              <w:t>(c)</w:t>
            </w:r>
          </w:p>
        </w:tc>
        <w:tc>
          <w:tcPr>
            <w:tcW w:w="2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4"/>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w w:val="96"/>
              </w:rPr>
              <w:t>Business</w:t>
            </w:r>
            <w:r>
              <w:rPr>
                <w:rFonts w:ascii="Times New Roman" w:cs="Times New Roman" w:eastAsia="Times New Roman" w:hAnsi="Times New Roman"/>
                <w:sz w:val="23"/>
                <w:szCs w:val="23"/>
                <w:b w:val="1"/>
                <w:bCs w:val="1"/>
                <w:color w:val="auto"/>
                <w:w w:val="96"/>
                <w:vertAlign w:val="superscript"/>
              </w:rPr>
              <w:t>(b)</w:t>
            </w: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5"/>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w w:val="98"/>
              </w:rPr>
              <w:t>Company</w:t>
            </w:r>
            <w:r>
              <w:rPr>
                <w:rFonts w:ascii="Times New Roman" w:cs="Times New Roman" w:eastAsia="Times New Roman" w:hAnsi="Times New Roman"/>
                <w:sz w:val="23"/>
                <w:szCs w:val="23"/>
                <w:b w:val="1"/>
                <w:bCs w:val="1"/>
                <w:color w:val="auto"/>
                <w:w w:val="98"/>
                <w:vertAlign w:val="superscript"/>
              </w:rPr>
              <w:t>(c)</w:t>
            </w:r>
          </w:p>
        </w:tc>
        <w:tc>
          <w:tcPr>
            <w:tcW w:w="120" w:type="dxa"/>
            <w:vAlign w:val="bottom"/>
            <w:tcBorders>
              <w:bottom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Collection and disposal</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241</w:t>
            </w:r>
          </w:p>
        </w:tc>
        <w:tc>
          <w:tcPr>
            <w:tcW w:w="11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442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line="216" w:lineRule="exact"/>
              <w:rPr>
                <w:sz w:val="20"/>
                <w:szCs w:val="20"/>
                <w:color w:val="auto"/>
              </w:rPr>
            </w:pPr>
            <w:r>
              <w:rPr>
                <w:rFonts w:ascii="Times New Roman" w:cs="Times New Roman" w:eastAsia="Times New Roman" w:hAnsi="Times New Roman"/>
                <w:sz w:val="14"/>
                <w:szCs w:val="14"/>
                <w:color w:val="auto"/>
              </w:rPr>
              <w:t xml:space="preserve">Recycling </w:t>
            </w:r>
            <w:r>
              <w:rPr>
                <w:rFonts w:ascii="Times New Roman" w:cs="Times New Roman" w:eastAsia="Times New Roman" w:hAnsi="Times New Roman"/>
                <w:sz w:val="23"/>
                <w:szCs w:val="23"/>
                <w:color w:val="auto"/>
                <w:vertAlign w:val="superscript"/>
              </w:rPr>
              <w:t>(d)</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96</w:t>
            </w:r>
          </w:p>
        </w:tc>
        <w:tc>
          <w:tcPr>
            <w:tcW w:w="11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212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4"/>
                <w:szCs w:val="14"/>
                <w:color w:val="auto"/>
              </w:rPr>
              <w:t xml:space="preserve">Fuel surcharges and other </w:t>
            </w:r>
            <w:r>
              <w:rPr>
                <w:rFonts w:ascii="Times New Roman" w:cs="Times New Roman" w:eastAsia="Times New Roman" w:hAnsi="Times New Roman"/>
                <w:sz w:val="23"/>
                <w:szCs w:val="23"/>
                <w:color w:val="auto"/>
                <w:vertAlign w:val="superscript"/>
              </w:rPr>
              <w:t>(e)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153</w:t>
            </w:r>
          </w:p>
        </w:tc>
        <w:tc>
          <w:tcPr>
            <w:tcW w:w="11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243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00" w:type="dxa"/>
            <w:vAlign w:val="bottom"/>
          </w:tcPr>
          <w:p>
            <w:pPr>
              <w:ind w:left="120"/>
              <w:spacing w:after="0" w:line="169" w:lineRule="exact"/>
              <w:rPr>
                <w:sz w:val="20"/>
                <w:szCs w:val="20"/>
                <w:color w:val="auto"/>
              </w:rPr>
            </w:pPr>
            <w:r>
              <w:rPr>
                <w:rFonts w:ascii="Times New Roman" w:cs="Times New Roman" w:eastAsia="Times New Roman" w:hAnsi="Times New Roman"/>
                <w:sz w:val="12"/>
                <w:szCs w:val="12"/>
                <w:color w:val="auto"/>
              </w:rPr>
              <w:t xml:space="preserve">Total average yield </w:t>
            </w:r>
            <w:r>
              <w:rPr>
                <w:rFonts w:ascii="Times New Roman" w:cs="Times New Roman" w:eastAsia="Times New Roman" w:hAnsi="Times New Roman"/>
                <w:sz w:val="19"/>
                <w:szCs w:val="19"/>
                <w:color w:val="auto"/>
                <w:vertAlign w:val="superscript"/>
              </w:rPr>
              <w:t>(f)</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4"/>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10.9%</w:t>
            </w:r>
          </w:p>
        </w:tc>
        <w:tc>
          <w:tcPr>
            <w:tcW w:w="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897</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4"/>
                <w:szCs w:val="14"/>
                <w:color w:val="auto"/>
              </w:rPr>
              <w:t xml:space="preserve">Volume </w:t>
            </w:r>
            <w:r>
              <w:rPr>
                <w:rFonts w:ascii="Times New Roman" w:cs="Times New Roman" w:eastAsia="Times New Roman" w:hAnsi="Times New Roman"/>
                <w:sz w:val="23"/>
                <w:szCs w:val="23"/>
                <w:color w:val="auto"/>
                <w:vertAlign w:val="superscript"/>
              </w:rPr>
              <w:t>(e)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217</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50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Internal revenue growth</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1,114</w:t>
            </w:r>
          </w:p>
        </w:tc>
        <w:tc>
          <w:tcPr>
            <w:tcW w:w="22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12.9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Acquisitions</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Divestitures</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4"/>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2"/>
                <w:szCs w:val="12"/>
                <w:color w:val="auto"/>
              </w:rPr>
            </w:pPr>
          </w:p>
        </w:tc>
        <w:tc>
          <w:tcPr>
            <w:tcW w:w="11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90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w:t>
            </w:r>
          </w:p>
        </w:tc>
        <w:tc>
          <w:tcPr>
            <w:tcW w:w="9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55"/>
        </w:trPr>
        <w:tc>
          <w:tcPr>
            <w:tcW w:w="250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551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12.3</w:t>
            </w:r>
          </w:p>
        </w:tc>
        <w:tc>
          <w:tcPr>
            <w:tcW w:w="22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1,100</w:t>
            </w:r>
          </w:p>
        </w:tc>
        <w:tc>
          <w:tcPr>
            <w:tcW w:w="220" w:type="dxa"/>
            <w:vAlign w:val="bottom"/>
          </w:tcPr>
          <w:p>
            <w:pPr>
              <w:spacing w:after="0"/>
              <w:rPr>
                <w:sz w:val="13"/>
                <w:szCs w:val="13"/>
                <w:color w:val="auto"/>
              </w:rPr>
            </w:pPr>
          </w:p>
        </w:tc>
        <w:tc>
          <w:tcPr>
            <w:tcW w:w="7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12.8</w:t>
            </w:r>
          </w:p>
        </w:tc>
        <w:tc>
          <w:tcPr>
            <w:tcW w:w="1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gridSpan w:val="1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Period-to-Period Change for the Three Months</w:t>
            </w:r>
          </w:p>
        </w:tc>
        <w:tc>
          <w:tcPr>
            <w:tcW w:w="35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Period-to-Period Change for the Six Months</w:t>
            </w: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11"/>
          </w:tcPr>
          <w:p>
            <w:pPr>
              <w:jc w:val="center"/>
              <w:ind w:left="336"/>
              <w:spacing w:after="0"/>
              <w:rPr>
                <w:sz w:val="20"/>
                <w:szCs w:val="20"/>
                <w:color w:val="auto"/>
              </w:rPr>
            </w:pPr>
            <w:r>
              <w:rPr>
                <w:rFonts w:ascii="Times New Roman" w:cs="Times New Roman" w:eastAsia="Times New Roman" w:hAnsi="Times New Roman"/>
                <w:sz w:val="18"/>
                <w:szCs w:val="18"/>
                <w:b w:val="1"/>
                <w:bCs w:val="1"/>
                <w:color w:val="auto"/>
                <w:w w:val="99"/>
              </w:rPr>
              <w:t>Ended June 30, 2022 vs. 2021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14"/>
          </w:tcPr>
          <w:p>
            <w:pPr>
              <w:ind w:left="20"/>
              <w:spacing w:after="0"/>
              <w:rPr>
                <w:sz w:val="20"/>
                <w:szCs w:val="20"/>
                <w:color w:val="auto"/>
              </w:rPr>
            </w:pPr>
            <w:r>
              <w:rPr>
                <w:rFonts w:ascii="Times New Roman" w:cs="Times New Roman" w:eastAsia="Times New Roman" w:hAnsi="Times New Roman"/>
                <w:sz w:val="18"/>
                <w:szCs w:val="18"/>
                <w:b w:val="1"/>
                <w:bCs w:val="1"/>
                <w:color w:val="auto"/>
              </w:rPr>
              <w:t>Ended June 30, 2022 vs. 2021</w:t>
            </w:r>
          </w:p>
        </w:tc>
        <w:tc>
          <w:tcPr>
            <w:tcW w:w="0" w:type="dxa"/>
            <w:vAlign w:val="bottom"/>
          </w:tcPr>
          <w:p>
            <w:pPr>
              <w:spacing w:after="0"/>
              <w:rPr>
                <w:sz w:val="1"/>
                <w:szCs w:val="1"/>
                <w:color w:val="auto"/>
              </w:rPr>
            </w:pPr>
          </w:p>
        </w:tc>
      </w:tr>
      <w:tr>
        <w:trPr>
          <w:trHeight w:val="250"/>
        </w:trPr>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tcBorders>
              <w:top w:val="single" w:sz="8" w:color="auto"/>
              <w:bottom w:val="single" w:sz="8" w:color="auto"/>
            </w:tcBorders>
            <w:gridSpan w:val="11"/>
          </w:tcPr>
          <w:p>
            <w:pPr>
              <w:jc w:val="center"/>
              <w:ind w:left="336"/>
              <w:spacing w:after="0" w:line="250" w:lineRule="exact"/>
              <w:rPr>
                <w:sz w:val="20"/>
                <w:szCs w:val="20"/>
                <w:color w:val="auto"/>
              </w:rPr>
            </w:pPr>
            <w:r>
              <w:rPr>
                <w:rFonts w:ascii="Times New Roman" w:cs="Times New Roman" w:eastAsia="Times New Roman" w:hAnsi="Times New Roman"/>
                <w:sz w:val="17"/>
                <w:szCs w:val="17"/>
                <w:b w:val="1"/>
                <w:bCs w:val="1"/>
                <w:color w:val="auto"/>
              </w:rPr>
              <w:t>As a % of Related Business</w:t>
            </w:r>
            <w:r>
              <w:rPr>
                <w:rFonts w:ascii="Times New Roman" w:cs="Times New Roman" w:eastAsia="Times New Roman" w:hAnsi="Times New Roman"/>
                <w:sz w:val="28"/>
                <w:szCs w:val="28"/>
                <w:b w:val="1"/>
                <w:bCs w:val="1"/>
                <w:color w:val="auto"/>
                <w:vertAlign w:val="superscript"/>
              </w:rPr>
              <w:t>(b)</w:t>
            </w:r>
          </w:p>
        </w:tc>
        <w:tc>
          <w:tcPr>
            <w:tcW w:w="2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980" w:type="dxa"/>
            <w:vAlign w:val="bottom"/>
            <w:tcBorders>
              <w:top w:val="single" w:sz="8" w:color="auto"/>
              <w:bottom w:val="single" w:sz="8" w:color="auto"/>
            </w:tcBorders>
            <w:gridSpan w:val="12"/>
          </w:tcPr>
          <w:p>
            <w:pPr>
              <w:ind w:left="140"/>
              <w:spacing w:after="0" w:line="250" w:lineRule="exact"/>
              <w:rPr>
                <w:sz w:val="20"/>
                <w:szCs w:val="20"/>
                <w:color w:val="auto"/>
              </w:rPr>
            </w:pPr>
            <w:r>
              <w:rPr>
                <w:rFonts w:ascii="Times New Roman" w:cs="Times New Roman" w:eastAsia="Times New Roman" w:hAnsi="Times New Roman"/>
                <w:sz w:val="17"/>
                <w:szCs w:val="17"/>
                <w:b w:val="1"/>
                <w:bCs w:val="1"/>
                <w:color w:val="auto"/>
              </w:rPr>
              <w:t>As a % of Related Business</w:t>
            </w:r>
            <w:r>
              <w:rPr>
                <w:rFonts w:ascii="Times New Roman" w:cs="Times New Roman" w:eastAsia="Times New Roman" w:hAnsi="Times New Roman"/>
                <w:sz w:val="28"/>
                <w:szCs w:val="28"/>
                <w:b w:val="1"/>
                <w:bCs w:val="1"/>
                <w:color w:val="auto"/>
                <w:vertAlign w:val="superscript"/>
              </w:rPr>
              <w:t>(b)</w:t>
            </w:r>
          </w:p>
        </w:tc>
        <w:tc>
          <w:tcPr>
            <w:tcW w:w="1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ind w:right="316"/>
              <w:spacing w:after="0" w:line="250" w:lineRule="exact"/>
              <w:rPr>
                <w:sz w:val="20"/>
                <w:szCs w:val="20"/>
                <w:color w:val="auto"/>
              </w:rPr>
            </w:pPr>
            <w:r>
              <w:rPr>
                <w:rFonts w:ascii="Times New Roman" w:cs="Times New Roman" w:eastAsia="Times New Roman" w:hAnsi="Times New Roman"/>
                <w:sz w:val="17"/>
                <w:szCs w:val="17"/>
                <w:b w:val="1"/>
                <w:bCs w:val="1"/>
                <w:color w:val="auto"/>
                <w:w w:val="96"/>
              </w:rPr>
              <w:t>Volume</w:t>
            </w:r>
            <w:r>
              <w:rPr>
                <w:rFonts w:ascii="Times New Roman" w:cs="Times New Roman" w:eastAsia="Times New Roman" w:hAnsi="Times New Roman"/>
                <w:sz w:val="28"/>
                <w:szCs w:val="28"/>
                <w:b w:val="1"/>
                <w:bCs w:val="1"/>
                <w:color w:val="auto"/>
                <w:w w:val="96"/>
                <w:vertAlign w:val="superscript"/>
              </w:rPr>
              <w:t>(g)</w:t>
            </w:r>
          </w:p>
        </w:tc>
        <w:tc>
          <w:tcPr>
            <w:tcW w:w="160" w:type="dxa"/>
            <w:vAlign w:val="bottom"/>
            <w:tcBorders>
              <w:bottom w:val="single" w:sz="8" w:color="CCEEFF"/>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MSW</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83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revenues between lines of business are eliminated in the Condensed Consolidated Financial Statements included herein.</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related business revenue adjusted to exclude the impacts of divestitures for the current year period.</w:t>
      </w:r>
    </w:p>
    <w:p>
      <w:pPr>
        <w:ind w:left="340" w:hanging="332"/>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total Company revenue adjusted to exclude the impacts of divestitures for the current year period.</w:t>
      </w: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and changes in fees.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fourth quarter of 2021, includes changes in our revenue attributable to our WM Renewable Energy business. We have revised our prior year results to conform with the current year presentation.</w:t>
      </w: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 attributable to average yield for the total Company.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252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380" w:type="dxa"/>
            <w:vAlign w:val="bottom"/>
          </w:tcPr>
          <w:p>
            <w:pPr>
              <w:spacing w:after="0"/>
              <w:rPr>
                <w:sz w:val="24"/>
                <w:szCs w:val="24"/>
                <w:color w:val="auto"/>
              </w:rPr>
            </w:pPr>
          </w:p>
        </w:tc>
        <w:tc>
          <w:tcPr>
            <w:tcW w:w="252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52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252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29"/>
                <w:szCs w:val="29"/>
                <w:b w:val="1"/>
                <w:bCs w:val="1"/>
                <w:color w:val="auto"/>
                <w:vertAlign w:val="superscript"/>
              </w:rPr>
              <w:t>(a)</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(856)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198"/>
        </w:trPr>
        <w:tc>
          <w:tcPr>
            <w:tcW w:w="57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 cash</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divested</w:t>
            </w: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Free cash flow without sustainability growth investments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4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10"/>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6"/>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Data</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Internalization of waste, based on disposal costs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amortizable tons (in millions)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3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Acquisition Summary</w:t>
            </w:r>
            <w:r>
              <w:rPr>
                <w:rFonts w:ascii="Times New Roman" w:cs="Times New Roman" w:eastAsia="Times New Roman" w:hAnsi="Times New Roman"/>
                <w:sz w:val="29"/>
                <w:szCs w:val="29"/>
                <w:b w:val="1"/>
                <w:bCs w:val="1"/>
                <w:color w:val="auto"/>
                <w:vertAlign w:val="superscript"/>
              </w:rPr>
              <w:t>(b)</w:t>
            </w: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annualized revenue acquired</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net of cash acquired</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acquisitions consummated during the period, net of cash</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acquired</w:t>
            </w: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acquisitions including contingent consideration and other</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items from prior periods, net of cash acquired</w:t>
            </w: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Landfill Amortization and Accretion Expenses: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amortization expense: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basis of landfill assets</w:t>
            </w:r>
          </w:p>
        </w:tc>
        <w:tc>
          <w:tcPr>
            <w:tcW w:w="1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34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retirement costs</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ind w:left="220"/>
              <w:spacing w:after="0" w:line="256" w:lineRule="exact"/>
              <w:rPr>
                <w:sz w:val="20"/>
                <w:szCs w:val="20"/>
                <w:color w:val="auto"/>
              </w:rPr>
            </w:pPr>
            <w:r>
              <w:rPr>
                <w:rFonts w:ascii="Times New Roman" w:cs="Times New Roman" w:eastAsia="Times New Roman" w:hAnsi="Times New Roman"/>
                <w:sz w:val="18"/>
                <w:szCs w:val="18"/>
                <w:color w:val="auto"/>
              </w:rPr>
              <w:t>Total landfill amortization expense</w:t>
            </w:r>
            <w:r>
              <w:rPr>
                <w:rFonts w:ascii="Times New Roman" w:cs="Times New Roman" w:eastAsia="Times New Roman" w:hAnsi="Times New Roman"/>
                <w:sz w:val="29"/>
                <w:szCs w:val="29"/>
                <w:color w:val="auto"/>
                <w:vertAlign w:val="superscript"/>
              </w:rPr>
              <w:t>(c)</w:t>
            </w: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8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355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Landfill amortization and accretion expense</w:t>
            </w:r>
          </w:p>
        </w:tc>
        <w:tc>
          <w:tcPr>
            <w:tcW w:w="114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jc w:val="both"/>
        <w:ind w:left="340" w:hanging="332"/>
        <w:spacing w:after="0" w:line="257"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associated with business acquisitions consummated during the applicable period except where noted.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landfill amortization was driven by landfill volume increases and changes in landfill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9"/>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b w:val="1"/>
                <w:bCs w:val="1"/>
                <w:color w:val="auto"/>
              </w:rPr>
              <w:t>Income from</w:t>
            </w:r>
          </w:p>
        </w:tc>
        <w:tc>
          <w:tcPr>
            <w:tcW w:w="220" w:type="dxa"/>
            <w:vAlign w:val="bottom"/>
          </w:tcPr>
          <w:p>
            <w:pPr>
              <w:spacing w:after="0"/>
              <w:rPr>
                <w:sz w:val="16"/>
                <w:szCs w:val="16"/>
                <w:color w:val="auto"/>
              </w:rPr>
            </w:pPr>
          </w:p>
        </w:tc>
        <w:tc>
          <w:tcPr>
            <w:tcW w:w="112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425"/>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220" w:type="dxa"/>
            <w:vAlign w:val="bottom"/>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tcPr>
          <w:p>
            <w:pPr>
              <w:jc w:val="center"/>
              <w:ind w:right="425"/>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line="276" w:lineRule="exact"/>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100" w:type="dxa"/>
            <w:vAlign w:val="bottom"/>
          </w:tcPr>
          <w:p>
            <w:pPr>
              <w:spacing w:after="0"/>
              <w:rPr>
                <w:sz w:val="23"/>
                <w:szCs w:val="23"/>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Amount</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resource planning system</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implementation-related costs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Advanced Disposal integration-related costs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25"/>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63"/>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w:t>
            </w:r>
          </w:p>
        </w:tc>
        <w:tc>
          <w:tcPr>
            <w:tcW w:w="2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300" w:type="dxa"/>
            <w:vAlign w:val="bottom"/>
            <w:tcBorders>
              <w:bottom w:val="single" w:sz="8" w:color="CCEEFF"/>
            </w:tcBorders>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w w:val="87"/>
              </w:rPr>
              <w:t>(b)</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960" w:type="dxa"/>
            <w:vAlign w:val="bottom"/>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gridSpan w:val="9"/>
            <w:vMerge w:val="restart"/>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 June 30, 2021</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9"/>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b w:val="1"/>
                <w:bCs w:val="1"/>
                <w:color w:val="auto"/>
              </w:rPr>
              <w:t>Income from</w:t>
            </w:r>
          </w:p>
        </w:tc>
        <w:tc>
          <w:tcPr>
            <w:tcW w:w="220" w:type="dxa"/>
            <w:vAlign w:val="bottom"/>
          </w:tcPr>
          <w:p>
            <w:pPr>
              <w:spacing w:after="0"/>
              <w:rPr>
                <w:sz w:val="16"/>
                <w:szCs w:val="16"/>
                <w:color w:val="auto"/>
              </w:rPr>
            </w:pPr>
          </w:p>
        </w:tc>
        <w:tc>
          <w:tcPr>
            <w:tcW w:w="112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425"/>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220" w:type="dxa"/>
            <w:vAlign w:val="bottom"/>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tcPr>
          <w:p>
            <w:pPr>
              <w:jc w:val="center"/>
              <w:ind w:right="425"/>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line="276" w:lineRule="exact"/>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100" w:type="dxa"/>
            <w:vAlign w:val="bottom"/>
          </w:tcPr>
          <w:p>
            <w:pPr>
              <w:spacing w:after="0"/>
              <w:rPr>
                <w:sz w:val="23"/>
                <w:szCs w:val="23"/>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Amount</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960" w:type="dxa"/>
            <w:vAlign w:val="bottom"/>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Loss and other costs associated with extinguishment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3960" w:type="dxa"/>
            <w:vAlign w:val="bottom"/>
            <w:shd w:val="clear" w:color="auto" w:fill="CCEEFF"/>
          </w:tcPr>
          <w:p>
            <w:pPr>
              <w:ind w:left="240"/>
              <w:spacing w:after="0" w:line="284" w:lineRule="exact"/>
              <w:rPr>
                <w:sz w:val="20"/>
                <w:szCs w:val="20"/>
                <w:color w:val="auto"/>
              </w:rPr>
            </w:pPr>
            <w:r>
              <w:rPr>
                <w:rFonts w:ascii="Times New Roman" w:cs="Times New Roman" w:eastAsia="Times New Roman" w:hAnsi="Times New Roman"/>
                <w:sz w:val="18"/>
                <w:szCs w:val="18"/>
                <w:color w:val="auto"/>
              </w:rPr>
              <w:t xml:space="preserve">of debt </w:t>
            </w:r>
            <w:r>
              <w:rPr>
                <w:rFonts w:ascii="Times New Roman" w:cs="Times New Roman" w:eastAsia="Times New Roman" w:hAnsi="Times New Roman"/>
                <w:sz w:val="29"/>
                <w:szCs w:val="29"/>
                <w:color w:val="auto"/>
                <w:vertAlign w:val="superscript"/>
              </w:rPr>
              <w:t>(c)</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Advanced Disposal integration-related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25"/>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resource planning system</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implementation-related costs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300" w:type="dxa"/>
            <w:vAlign w:val="bottom"/>
            <w:tcBorders>
              <w:top w:val="single" w:sz="8" w:color="CCEEFF"/>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w w:val="87"/>
              </w:rPr>
              <w:t>(b)</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1,313</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ind w:left="340" w:right="20" w:hanging="332"/>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press release table, all references to “Net income” refer to the financial statement line item “Net income attributable to Waste Management, Inc.”</w:t>
      </w:r>
    </w:p>
    <w:p>
      <w:pPr>
        <w:jc w:val="both"/>
        <w:ind w:left="34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second quarter 2022 and 2021 adjusted effective tax rates were 24.3% and 23.5%, respectively.</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charges of $220 million reflected in the “Loss on early extinguishment of debt” financial caption and $6 million reflected in the “Interest expense, net” financial caption related to the retirement of $1.3 billion of certain high-coupon senior notes through a cash tender offer in May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20" w:type="dxa"/>
            <w:vAlign w:val="bottom"/>
            <w:gridSpan w:val="1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10"/>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Expenses and Adjusted Operating Expenses Margin</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as reported</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62.5%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Advanced Disposal integration-related costs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expenses</w:t>
            </w:r>
          </w:p>
        </w:tc>
        <w:tc>
          <w:tcPr>
            <w:tcW w:w="80" w:type="dxa"/>
            <w:vAlign w:val="bottom"/>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3,139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62.4</w:t>
            </w:r>
          </w:p>
        </w:tc>
        <w:tc>
          <w:tcPr>
            <w:tcW w:w="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9"/>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gridSpan w:val="14"/>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19"/>
                <w:szCs w:val="19"/>
                <w:color w:val="auto"/>
              </w:rPr>
            </w:pPr>
          </w:p>
        </w:tc>
        <w:tc>
          <w:tcPr>
            <w:tcW w:w="248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4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1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SG&amp;A Expenses and Adjusted SG&amp;A Expenses Margin</w:t>
            </w: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5,027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4,476</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expenses, as reported</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487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resource planning system implementation-related costs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Advanced Disposal integration-related costs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SG&amp;A expenses</w:t>
            </w: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300" w:type="dxa"/>
            <w:vAlign w:val="bottom"/>
            <w:tcBorders>
              <w:top w:val="single" w:sz="8" w:color="CCEEFF"/>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2022 Projected Free Cash Flow Reconciliation</w:t>
            </w:r>
            <w:r>
              <w:rPr>
                <w:rFonts w:ascii="Times New Roman" w:cs="Times New Roman" w:eastAsia="Times New Roman" w:hAnsi="Times New Roman"/>
                <w:sz w:val="29"/>
                <w:szCs w:val="29"/>
                <w:b w:val="1"/>
                <w:bCs w:val="1"/>
                <w:i w:val="1"/>
                <w:iCs w:val="1"/>
                <w:color w:val="auto"/>
                <w:vertAlign w:val="superscript"/>
              </w:rPr>
              <w:t>(a)</w:t>
            </w: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Scenario 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Scenario 2</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(2,050)</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 cash</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divested</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 without sustainability growth investments</w:t>
            </w:r>
          </w:p>
        </w:tc>
        <w:tc>
          <w:tcPr>
            <w:tcW w:w="120" w:type="dxa"/>
            <w:vAlign w:val="bottom"/>
            <w:gridSpan w:val="2"/>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2,750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20" w:type="dxa"/>
            <w:vAlign w:val="bottom"/>
            <w:gridSpan w:val="2"/>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2,150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-5133975</wp:posOffset>
            </wp:positionV>
            <wp:extent cx="1834515" cy="728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34515" cy="72898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-4268470</wp:posOffset>
            </wp:positionV>
            <wp:extent cx="183451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34515" cy="13716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-3994150</wp:posOffset>
            </wp:positionV>
            <wp:extent cx="183451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34515" cy="13716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-3719830</wp:posOffset>
            </wp:positionV>
            <wp:extent cx="183451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34515" cy="1454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-1199515</wp:posOffset>
            </wp:positionV>
            <wp:extent cx="1834515"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34515" cy="30861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-753745</wp:posOffset>
            </wp:positionV>
            <wp:extent cx="1834515" cy="282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34515" cy="28257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-325120</wp:posOffset>
            </wp:positionV>
            <wp:extent cx="183451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3451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reconciliation includes two scenarios that illustrate our projected free cash flow range for 2022.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SUPPLEMENTAL INFORMATION PROVIDED FOR ILLUSTRATIVE PURPOSES ONLY</w:t>
      </w:r>
    </w:p>
    <w:p>
      <w:pPr>
        <w:spacing w:after="0" w:line="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Additionally, there are differences in whether companies adjust for accretion expense in their calculation of EBITDA. Our Company does not adjust for landfill accretion expenses when calculating operating EBITDA, while other companies do adjust it for the calculation of their EBITDA measure.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illustrates the impact that differing contract structures and treatment of accretion expense has on the Company’s adjusted operating EBITDA margin results. This information has been provided to enhance comparability and is not intended to replace or adjust GAAP reported results.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4"/>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19"/>
                <w:szCs w:val="19"/>
                <w:color w:val="auto"/>
              </w:rPr>
            </w:pPr>
          </w:p>
        </w:tc>
        <w:tc>
          <w:tcPr>
            <w:tcW w:w="248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60" w:type="dxa"/>
            <w:vAlign w:val="bottom"/>
          </w:tcPr>
          <w:p>
            <w:pPr>
              <w:spacing w:after="0"/>
              <w:rPr>
                <w:sz w:val="19"/>
                <w:szCs w:val="19"/>
                <w:color w:val="auto"/>
              </w:rPr>
            </w:pPr>
          </w:p>
        </w:tc>
      </w:tr>
      <w:tr>
        <w:trPr>
          <w:trHeight w:val="187"/>
        </w:trPr>
        <w:tc>
          <w:tcPr>
            <w:tcW w:w="54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Change in</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EBITDA</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EBITDA</w:t>
            </w:r>
          </w:p>
        </w:tc>
      </w:tr>
      <w:tr>
        <w:trPr>
          <w:trHeight w:val="238"/>
        </w:trPr>
        <w:tc>
          <w:tcPr>
            <w:tcW w:w="5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60" w:type="dxa"/>
            <w:vAlign w:val="bottom"/>
            <w:tcBorders>
              <w:bottom w:val="single" w:sz="8" w:color="CCEEFF"/>
            </w:tcBorders>
          </w:tcPr>
          <w:p>
            <w:pPr>
              <w:spacing w:after="0"/>
              <w:rPr>
                <w:sz w:val="20"/>
                <w:szCs w:val="20"/>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454"/>
        </w:trPr>
        <w:tc>
          <w:tcPr>
            <w:tcW w:w="5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4"/>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19"/>
                <w:szCs w:val="19"/>
                <w:color w:val="auto"/>
              </w:rPr>
            </w:pPr>
          </w:p>
        </w:tc>
        <w:tc>
          <w:tcPr>
            <w:tcW w:w="248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60" w:type="dxa"/>
            <w:vAlign w:val="bottom"/>
          </w:tcPr>
          <w:p>
            <w:pPr>
              <w:spacing w:after="0"/>
              <w:rPr>
                <w:sz w:val="19"/>
                <w:szCs w:val="19"/>
                <w:color w:val="auto"/>
              </w:rPr>
            </w:pPr>
          </w:p>
        </w:tc>
      </w:tr>
      <w:tr>
        <w:trPr>
          <w:trHeight w:val="187"/>
        </w:trPr>
        <w:tc>
          <w:tcPr>
            <w:tcW w:w="54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Change in</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EBITDA</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EBITDA</w:t>
            </w:r>
          </w:p>
        </w:tc>
      </w:tr>
      <w:tr>
        <w:trPr>
          <w:trHeight w:val="238"/>
        </w:trPr>
        <w:tc>
          <w:tcPr>
            <w:tcW w:w="5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60" w:type="dxa"/>
            <w:vAlign w:val="bottom"/>
            <w:tcBorders>
              <w:bottom w:val="single" w:sz="8" w:color="CCEEFF"/>
            </w:tcBorders>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657"/>
        </w:trPr>
        <w:tc>
          <w:tcPr>
            <w:tcW w:w="5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0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2022-07-27T06:50:14Z</dcterms:created>
  <dcterms:modified xsi:type="dcterms:W3CDTF">2022-07-27T06:50:14Z</dcterms:modified>
</cp:coreProperties>
</file>