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5180"/>
        <w:spacing w:after="0"/>
        <w:rPr>
          <w:sz w:val="20"/>
          <w:szCs w:val="20"/>
          <w:color w:val="auto"/>
        </w:rPr>
      </w:pPr>
      <w:r>
        <w:rPr>
          <w:rFonts w:ascii="Arial" w:cs="Arial" w:eastAsia="Arial" w:hAnsi="Arial"/>
          <w:sz w:val="13"/>
          <w:szCs w:val="13"/>
          <w:b w:val="1"/>
          <w:bCs w:val="1"/>
          <w:color w:val="auto"/>
        </w:rPr>
        <w:t>SCHEDULE 14A</w:t>
      </w:r>
    </w:p>
    <w:p>
      <w:pPr>
        <w:spacing w:after="0" w:line="92" w:lineRule="exact"/>
        <w:rPr>
          <w:sz w:val="20"/>
          <w:szCs w:val="20"/>
          <w:color w:val="auto"/>
        </w:rPr>
      </w:pPr>
    </w:p>
    <w:p>
      <w:pPr>
        <w:ind w:left="3340"/>
        <w:spacing w:after="0"/>
        <w:rPr>
          <w:sz w:val="20"/>
          <w:szCs w:val="20"/>
          <w:color w:val="auto"/>
        </w:rPr>
      </w:pPr>
      <w:r>
        <w:rPr>
          <w:rFonts w:ascii="Arial" w:cs="Arial" w:eastAsia="Arial" w:hAnsi="Arial"/>
          <w:sz w:val="13"/>
          <w:szCs w:val="13"/>
          <w:b w:val="1"/>
          <w:bCs w:val="1"/>
          <w:color w:val="auto"/>
        </w:rPr>
        <w:t>PROXY STATEMENT PURSUANT TO SECTION 14(a) OF THE SECURITIES</w:t>
      </w:r>
    </w:p>
    <w:p>
      <w:pPr>
        <w:spacing w:after="0" w:line="24" w:lineRule="exact"/>
        <w:rPr>
          <w:sz w:val="20"/>
          <w:szCs w:val="20"/>
          <w:color w:val="auto"/>
        </w:rPr>
      </w:pPr>
    </w:p>
    <w:p>
      <w:pPr>
        <w:ind w:left="4860"/>
        <w:spacing w:after="0"/>
        <w:rPr>
          <w:sz w:val="20"/>
          <w:szCs w:val="20"/>
          <w:color w:val="auto"/>
        </w:rPr>
      </w:pPr>
      <w:r>
        <w:rPr>
          <w:rFonts w:ascii="Arial" w:cs="Arial" w:eastAsia="Arial" w:hAnsi="Arial"/>
          <w:sz w:val="13"/>
          <w:szCs w:val="13"/>
          <w:b w:val="1"/>
          <w:bCs w:val="1"/>
          <w:color w:val="auto"/>
        </w:rPr>
        <w:t>EXCHANGE ACT OF 1934</w:t>
      </w:r>
    </w:p>
    <w:p>
      <w:pPr>
        <w:spacing w:after="0" w:line="107" w:lineRule="exact"/>
        <w:rPr>
          <w:sz w:val="20"/>
          <w:szCs w:val="20"/>
          <w:color w:val="auto"/>
        </w:rPr>
      </w:pPr>
    </w:p>
    <w:p>
      <w:pPr>
        <w:ind w:left="680"/>
        <w:spacing w:after="0" w:line="150" w:lineRule="exact"/>
        <w:rPr>
          <w:sz w:val="20"/>
          <w:szCs w:val="20"/>
          <w:color w:val="auto"/>
        </w:rPr>
      </w:pPr>
      <w:r>
        <w:rPr>
          <w:rFonts w:ascii="Arial" w:cs="Arial" w:eastAsia="Arial" w:hAnsi="Arial"/>
          <w:sz w:val="13"/>
          <w:szCs w:val="13"/>
          <w:color w:val="auto"/>
        </w:rPr>
        <w:t xml:space="preserve">Filed by the Registrant </w:t>
      </w:r>
      <w:r>
        <w:rPr>
          <w:rFonts w:ascii="MS PGothic" w:cs="MS PGothic" w:eastAsia="MS PGothic" w:hAnsi="MS PGothic"/>
          <w:sz w:val="13"/>
          <w:szCs w:val="13"/>
          <w:color w:val="auto"/>
        </w:rPr>
        <w:t>☑</w:t>
      </w:r>
    </w:p>
    <w:p>
      <w:pPr>
        <w:spacing w:after="0" w:line="8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Filed by a Party other than the Registrant o</w:t>
      </w:r>
    </w:p>
    <w:p>
      <w:pPr>
        <w:spacing w:after="0" w:line="10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Check the appropriate box:</w:t>
      </w:r>
    </w:p>
    <w:p>
      <w:pPr>
        <w:spacing w:after="0" w:line="102" w:lineRule="exact"/>
        <w:rPr>
          <w:sz w:val="20"/>
          <w:szCs w:val="20"/>
          <w:color w:val="auto"/>
        </w:rPr>
      </w:pPr>
    </w:p>
    <w:p>
      <w:pPr>
        <w:ind w:left="820" w:hanging="132"/>
        <w:spacing w:after="0"/>
        <w:tabs>
          <w:tab w:leader="none" w:pos="820" w:val="left"/>
        </w:tabs>
        <w:numPr>
          <w:ilvl w:val="0"/>
          <w:numId w:val="1"/>
        </w:numPr>
        <w:rPr>
          <w:rFonts w:ascii="Arial" w:cs="Arial" w:eastAsia="Arial" w:hAnsi="Arial"/>
          <w:sz w:val="13"/>
          <w:szCs w:val="13"/>
          <w:color w:val="auto"/>
        </w:rPr>
      </w:pPr>
      <w:r>
        <w:rPr>
          <w:rFonts w:ascii="Arial" w:cs="Arial" w:eastAsia="Arial" w:hAnsi="Arial"/>
          <w:sz w:val="13"/>
          <w:szCs w:val="13"/>
          <w:color w:val="auto"/>
        </w:rPr>
        <w:t>Preliminary Proxy Statement</w:t>
      </w:r>
    </w:p>
    <w:p>
      <w:pPr>
        <w:spacing w:after="0" w:line="22" w:lineRule="exact"/>
        <w:rPr>
          <w:rFonts w:ascii="Arial" w:cs="Arial" w:eastAsia="Arial" w:hAnsi="Arial"/>
          <w:sz w:val="13"/>
          <w:szCs w:val="13"/>
          <w:color w:val="auto"/>
        </w:rPr>
      </w:pPr>
    </w:p>
    <w:p>
      <w:pPr>
        <w:ind w:left="680" w:right="5420" w:firstLine="8"/>
        <w:spacing w:after="0" w:line="162" w:lineRule="exact"/>
        <w:tabs>
          <w:tab w:leader="none" w:pos="814"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Confidential, for Use of the Commission Only (as permitted by Rule 14a-6(e)(2)) </w:t>
      </w:r>
      <w:r>
        <w:rPr>
          <w:rFonts w:ascii="MS PGothic" w:cs="MS PGothic" w:eastAsia="MS PGothic" w:hAnsi="MS PGothic"/>
          <w:sz w:val="13"/>
          <w:szCs w:val="13"/>
          <w:color w:val="auto"/>
        </w:rPr>
        <w:t>☑</w:t>
      </w:r>
      <w:r>
        <w:rPr>
          <w:rFonts w:ascii="Arial" w:cs="Arial" w:eastAsia="Arial" w:hAnsi="Arial"/>
          <w:sz w:val="13"/>
          <w:szCs w:val="13"/>
          <w:color w:val="auto"/>
        </w:rPr>
        <w:t xml:space="preserve"> Definitive Proxy Statement</w:t>
      </w:r>
    </w:p>
    <w:p>
      <w:pPr>
        <w:ind w:left="820" w:hanging="132"/>
        <w:spacing w:after="0"/>
        <w:tabs>
          <w:tab w:leader="none" w:pos="820" w:val="left"/>
        </w:tabs>
        <w:numPr>
          <w:ilvl w:val="0"/>
          <w:numId w:val="1"/>
        </w:numPr>
        <w:rPr>
          <w:rFonts w:ascii="Arial" w:cs="Arial" w:eastAsia="Arial" w:hAnsi="Arial"/>
          <w:sz w:val="13"/>
          <w:szCs w:val="13"/>
          <w:color w:val="auto"/>
        </w:rPr>
      </w:pPr>
      <w:r>
        <w:rPr>
          <w:rFonts w:ascii="Arial" w:cs="Arial" w:eastAsia="Arial" w:hAnsi="Arial"/>
          <w:sz w:val="13"/>
          <w:szCs w:val="13"/>
          <w:color w:val="auto"/>
        </w:rPr>
        <w:t>Definitive Additional Materials</w:t>
      </w:r>
    </w:p>
    <w:p>
      <w:pPr>
        <w:spacing w:after="0" w:line="10" w:lineRule="exact"/>
        <w:rPr>
          <w:rFonts w:ascii="Arial" w:cs="Arial" w:eastAsia="Arial" w:hAnsi="Arial"/>
          <w:sz w:val="13"/>
          <w:szCs w:val="13"/>
          <w:color w:val="auto"/>
        </w:rPr>
      </w:pPr>
    </w:p>
    <w:p>
      <w:pPr>
        <w:ind w:left="820" w:hanging="132"/>
        <w:spacing w:after="0"/>
        <w:tabs>
          <w:tab w:leader="none" w:pos="820" w:val="left"/>
        </w:tabs>
        <w:numPr>
          <w:ilvl w:val="0"/>
          <w:numId w:val="1"/>
        </w:numPr>
        <w:rPr>
          <w:rFonts w:ascii="Arial" w:cs="Arial" w:eastAsia="Arial" w:hAnsi="Arial"/>
          <w:sz w:val="13"/>
          <w:szCs w:val="13"/>
          <w:color w:val="auto"/>
        </w:rPr>
      </w:pPr>
      <w:r>
        <w:rPr>
          <w:rFonts w:ascii="Arial" w:cs="Arial" w:eastAsia="Arial" w:hAnsi="Arial"/>
          <w:sz w:val="13"/>
          <w:szCs w:val="13"/>
          <w:color w:val="auto"/>
        </w:rPr>
        <w:t>Soliciting Material Pursuant to Rule 14a-12</w:t>
      </w:r>
    </w:p>
    <w:p>
      <w:pPr>
        <w:spacing w:after="0" w:line="90"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Waste Management, Inc.</w:t>
      </w:r>
    </w:p>
    <w:p>
      <w:pPr>
        <w:spacing w:after="0" w:line="24" w:lineRule="exact"/>
        <w:rPr>
          <w:sz w:val="20"/>
          <w:szCs w:val="20"/>
          <w:color w:val="auto"/>
        </w:rPr>
      </w:pPr>
    </w:p>
    <w:p>
      <w:pPr>
        <w:jc w:val="center"/>
        <w:ind w:right="-739"/>
        <w:spacing w:after="0"/>
        <w:rPr>
          <w:sz w:val="20"/>
          <w:szCs w:val="20"/>
          <w:color w:val="auto"/>
        </w:rPr>
      </w:pPr>
      <w:r>
        <w:rPr>
          <w:rFonts w:ascii="Arial" w:cs="Arial" w:eastAsia="Arial" w:hAnsi="Arial"/>
          <w:sz w:val="11"/>
          <w:szCs w:val="11"/>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-79375</wp:posOffset>
            </wp:positionV>
            <wp:extent cx="6334125"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34125" cy="6350"/>
                    </a:xfrm>
                    <a:prstGeom prst="rect">
                      <a:avLst/>
                    </a:prstGeom>
                    <a:noFill/>
                  </pic:spPr>
                </pic:pic>
              </a:graphicData>
            </a:graphic>
          </wp:anchor>
        </w:drawing>
      </w:r>
    </w:p>
    <w:p>
      <w:pPr>
        <w:spacing w:after="0" w:line="62" w:lineRule="exact"/>
        <w:rPr>
          <w:sz w:val="20"/>
          <w:szCs w:val="20"/>
          <w:color w:val="auto"/>
        </w:rPr>
      </w:pPr>
    </w:p>
    <w:p>
      <w:pPr>
        <w:jc w:val="center"/>
        <w:ind w:right="-739"/>
        <w:spacing w:after="0"/>
        <w:rPr>
          <w:sz w:val="20"/>
          <w:szCs w:val="20"/>
          <w:color w:val="auto"/>
        </w:rPr>
      </w:pPr>
      <w:r>
        <w:rPr>
          <w:rFonts w:ascii="Arial" w:cs="Arial" w:eastAsia="Arial" w:hAnsi="Arial"/>
          <w:sz w:val="11"/>
          <w:szCs w:val="11"/>
          <w:color w:val="auto"/>
        </w:rPr>
        <w:t>(Name of Person(s) Filing Proxy Statement, if other than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-78105</wp:posOffset>
            </wp:positionV>
            <wp:extent cx="633412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34125" cy="6350"/>
                    </a:xfrm>
                    <a:prstGeom prst="rect">
                      <a:avLst/>
                    </a:prstGeom>
                    <a:noFill/>
                  </pic:spPr>
                </pic:pic>
              </a:graphicData>
            </a:graphic>
          </wp:anchor>
        </w:drawing>
      </w:r>
    </w:p>
    <w:p>
      <w:pPr>
        <w:spacing w:after="0" w:line="5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Payment of Filing Fee (Check the appropriate box):</w:t>
      </w:r>
    </w:p>
    <w:p>
      <w:pPr>
        <w:spacing w:after="0" w:line="102" w:lineRule="exact"/>
        <w:rPr>
          <w:sz w:val="20"/>
          <w:szCs w:val="20"/>
          <w:color w:val="auto"/>
        </w:rPr>
      </w:pPr>
    </w:p>
    <w:p>
      <w:pPr>
        <w:ind w:left="1000" w:hanging="312"/>
        <w:spacing w:after="0"/>
        <w:tabs>
          <w:tab w:leader="none" w:pos="1000" w:val="left"/>
        </w:tabs>
        <w:numPr>
          <w:ilvl w:val="0"/>
          <w:numId w:val="2"/>
        </w:numPr>
        <w:rPr>
          <w:rFonts w:ascii="MS PGothic" w:cs="MS PGothic" w:eastAsia="MS PGothic" w:hAnsi="MS PGothic"/>
          <w:sz w:val="13"/>
          <w:szCs w:val="13"/>
          <w:color w:val="auto"/>
        </w:rPr>
      </w:pPr>
      <w:r>
        <w:rPr>
          <w:rFonts w:ascii="Arial" w:cs="Arial" w:eastAsia="Arial" w:hAnsi="Arial"/>
          <w:sz w:val="13"/>
          <w:szCs w:val="13"/>
          <w:color w:val="auto"/>
        </w:rPr>
        <w:t>No fee required.</w:t>
      </w:r>
    </w:p>
    <w:p>
      <w:pPr>
        <w:spacing w:after="0" w:line="52" w:lineRule="exact"/>
        <w:rPr>
          <w:sz w:val="20"/>
          <w:szCs w:val="20"/>
          <w:color w:val="auto"/>
        </w:rPr>
      </w:pPr>
    </w:p>
    <w:p>
      <w:pPr>
        <w:ind w:left="1000" w:hanging="312"/>
        <w:spacing w:after="0"/>
        <w:tabs>
          <w:tab w:leader="none" w:pos="1000" w:val="left"/>
        </w:tabs>
        <w:numPr>
          <w:ilvl w:val="0"/>
          <w:numId w:val="3"/>
        </w:numPr>
        <w:rPr>
          <w:rFonts w:ascii="Arial" w:cs="Arial" w:eastAsia="Arial" w:hAnsi="Arial"/>
          <w:sz w:val="13"/>
          <w:szCs w:val="13"/>
          <w:color w:val="auto"/>
        </w:rPr>
      </w:pPr>
      <w:r>
        <w:rPr>
          <w:rFonts w:ascii="Arial" w:cs="Arial" w:eastAsia="Arial" w:hAnsi="Arial"/>
          <w:sz w:val="13"/>
          <w:szCs w:val="13"/>
          <w:color w:val="auto"/>
        </w:rPr>
        <w:t>Fee computed on table below per Exchange Act Rules 14a-6(i)(4) and 0-11.</w:t>
      </w:r>
    </w:p>
    <w:p>
      <w:pPr>
        <w:spacing w:after="0" w:line="102" w:lineRule="exact"/>
        <w:rPr>
          <w:rFonts w:ascii="Arial" w:cs="Arial" w:eastAsia="Arial" w:hAnsi="Arial"/>
          <w:sz w:val="13"/>
          <w:szCs w:val="13"/>
          <w:color w:val="auto"/>
        </w:rPr>
      </w:pPr>
    </w:p>
    <w:p>
      <w:pPr>
        <w:ind w:left="1500" w:hanging="509"/>
        <w:spacing w:after="0"/>
        <w:tabs>
          <w:tab w:leader="none" w:pos="1500" w:val="left"/>
        </w:tabs>
        <w:numPr>
          <w:ilvl w:val="1"/>
          <w:numId w:val="3"/>
        </w:numPr>
        <w:rPr>
          <w:rFonts w:ascii="Arial" w:cs="Arial" w:eastAsia="Arial" w:hAnsi="Arial"/>
          <w:sz w:val="13"/>
          <w:szCs w:val="13"/>
          <w:color w:val="auto"/>
        </w:rPr>
      </w:pPr>
      <w:r>
        <w:rPr>
          <w:rFonts w:ascii="Arial" w:cs="Arial" w:eastAsia="Arial" w:hAnsi="Arial"/>
          <w:sz w:val="13"/>
          <w:szCs w:val="13"/>
          <w:color w:val="auto"/>
        </w:rPr>
        <w:t>Title of each class of securities to which transaction applies:</w:t>
      </w:r>
    </w:p>
    <w:p>
      <w:pPr>
        <w:spacing w:after="0" w:line="213" w:lineRule="exact"/>
        <w:rPr>
          <w:rFonts w:ascii="Arial" w:cs="Arial" w:eastAsia="Arial" w:hAnsi="Arial"/>
          <w:sz w:val="13"/>
          <w:szCs w:val="13"/>
          <w:color w:val="auto"/>
        </w:rPr>
      </w:pPr>
    </w:p>
    <w:p>
      <w:pPr>
        <w:ind w:left="1500" w:hanging="509"/>
        <w:spacing w:after="0"/>
        <w:tabs>
          <w:tab w:leader="none" w:pos="1500" w:val="left"/>
        </w:tabs>
        <w:numPr>
          <w:ilvl w:val="1"/>
          <w:numId w:val="3"/>
        </w:numPr>
        <w:rPr>
          <w:rFonts w:ascii="Arial" w:cs="Arial" w:eastAsia="Arial" w:hAnsi="Arial"/>
          <w:sz w:val="13"/>
          <w:szCs w:val="13"/>
          <w:color w:val="auto"/>
        </w:rPr>
      </w:pPr>
      <w:r>
        <w:rPr>
          <w:rFonts w:ascii="Arial" w:cs="Arial" w:eastAsia="Arial" w:hAnsi="Arial"/>
          <w:sz w:val="13"/>
          <w:szCs w:val="13"/>
          <w:color w:val="auto"/>
        </w:rPr>
        <w:t>Aggregate number of securities to which transaction applies:</w:t>
      </w:r>
    </w:p>
    <w:p>
      <w:pPr>
        <w:spacing w:after="0" w:line="203" w:lineRule="exact"/>
        <w:rPr>
          <w:rFonts w:ascii="Arial" w:cs="Arial" w:eastAsia="Arial" w:hAnsi="Arial"/>
          <w:sz w:val="13"/>
          <w:szCs w:val="13"/>
          <w:color w:val="auto"/>
        </w:rPr>
      </w:pPr>
    </w:p>
    <w:p>
      <w:pPr>
        <w:ind w:left="1500" w:right="60" w:hanging="509"/>
        <w:spacing w:after="0" w:line="294" w:lineRule="auto"/>
        <w:tabs>
          <w:tab w:leader="none" w:pos="1500" w:val="left"/>
        </w:tabs>
        <w:numPr>
          <w:ilvl w:val="1"/>
          <w:numId w:val="3"/>
        </w:numPr>
        <w:rPr>
          <w:rFonts w:ascii="Arial" w:cs="Arial" w:eastAsia="Arial" w:hAnsi="Arial"/>
          <w:sz w:val="13"/>
          <w:szCs w:val="13"/>
          <w:color w:val="auto"/>
        </w:rPr>
      </w:pPr>
      <w:r>
        <w:rPr>
          <w:rFonts w:ascii="Arial" w:cs="Arial" w:eastAsia="Arial" w:hAnsi="Arial"/>
          <w:sz w:val="13"/>
          <w:szCs w:val="13"/>
          <w:color w:val="auto"/>
        </w:rPr>
        <w:t>Per unit price or other underlying value of transaction computed pursuant to Exchange Act Rule 0-11 (Set forth the amount on which the filing fee is calculated and state how it was determined):</w:t>
      </w:r>
    </w:p>
    <w:p>
      <w:pPr>
        <w:spacing w:after="0" w:line="147" w:lineRule="exact"/>
        <w:rPr>
          <w:rFonts w:ascii="Arial" w:cs="Arial" w:eastAsia="Arial" w:hAnsi="Arial"/>
          <w:sz w:val="13"/>
          <w:szCs w:val="13"/>
          <w:color w:val="auto"/>
        </w:rPr>
      </w:pPr>
    </w:p>
    <w:p>
      <w:pPr>
        <w:ind w:left="1500" w:hanging="509"/>
        <w:spacing w:after="0"/>
        <w:tabs>
          <w:tab w:leader="none" w:pos="1500" w:val="left"/>
        </w:tabs>
        <w:numPr>
          <w:ilvl w:val="1"/>
          <w:numId w:val="3"/>
        </w:numPr>
        <w:rPr>
          <w:rFonts w:ascii="Arial" w:cs="Arial" w:eastAsia="Arial" w:hAnsi="Arial"/>
          <w:sz w:val="13"/>
          <w:szCs w:val="13"/>
          <w:color w:val="auto"/>
        </w:rPr>
      </w:pPr>
      <w:r>
        <w:rPr>
          <w:rFonts w:ascii="Arial" w:cs="Arial" w:eastAsia="Arial" w:hAnsi="Arial"/>
          <w:sz w:val="13"/>
          <w:szCs w:val="13"/>
          <w:color w:val="auto"/>
        </w:rPr>
        <w:t>Proposed maximum aggregate value of transaction:</w:t>
      </w:r>
    </w:p>
    <w:p>
      <w:pPr>
        <w:spacing w:after="0" w:line="213" w:lineRule="exact"/>
        <w:rPr>
          <w:rFonts w:ascii="Arial" w:cs="Arial" w:eastAsia="Arial" w:hAnsi="Arial"/>
          <w:sz w:val="13"/>
          <w:szCs w:val="13"/>
          <w:color w:val="auto"/>
        </w:rPr>
      </w:pPr>
    </w:p>
    <w:p>
      <w:pPr>
        <w:ind w:left="1500" w:hanging="509"/>
        <w:spacing w:after="0"/>
        <w:tabs>
          <w:tab w:leader="none" w:pos="1500" w:val="left"/>
        </w:tabs>
        <w:numPr>
          <w:ilvl w:val="1"/>
          <w:numId w:val="3"/>
        </w:numPr>
        <w:rPr>
          <w:rFonts w:ascii="Arial" w:cs="Arial" w:eastAsia="Arial" w:hAnsi="Arial"/>
          <w:sz w:val="13"/>
          <w:szCs w:val="13"/>
          <w:color w:val="auto"/>
        </w:rPr>
      </w:pPr>
      <w:r>
        <w:rPr>
          <w:rFonts w:ascii="Arial" w:cs="Arial" w:eastAsia="Arial" w:hAnsi="Arial"/>
          <w:sz w:val="13"/>
          <w:szCs w:val="13"/>
          <w:color w:val="auto"/>
        </w:rPr>
        <w:t>Total fee paid:</w:t>
      </w:r>
    </w:p>
    <w:p>
      <w:pPr>
        <w:spacing w:after="0" w:line="203" w:lineRule="exact"/>
        <w:rPr>
          <w:rFonts w:ascii="Arial" w:cs="Arial" w:eastAsia="Arial" w:hAnsi="Arial"/>
          <w:sz w:val="13"/>
          <w:szCs w:val="13"/>
          <w:color w:val="auto"/>
        </w:rPr>
      </w:pPr>
    </w:p>
    <w:p>
      <w:pPr>
        <w:ind w:left="1000" w:hanging="312"/>
        <w:spacing w:after="0"/>
        <w:tabs>
          <w:tab w:leader="none" w:pos="1000" w:val="left"/>
        </w:tabs>
        <w:numPr>
          <w:ilvl w:val="0"/>
          <w:numId w:val="3"/>
        </w:numPr>
        <w:rPr>
          <w:rFonts w:ascii="Arial" w:cs="Arial" w:eastAsia="Arial" w:hAnsi="Arial"/>
          <w:sz w:val="13"/>
          <w:szCs w:val="13"/>
          <w:color w:val="auto"/>
        </w:rPr>
      </w:pPr>
      <w:r>
        <w:rPr>
          <w:rFonts w:ascii="Arial" w:cs="Arial" w:eastAsia="Arial" w:hAnsi="Arial"/>
          <w:sz w:val="13"/>
          <w:szCs w:val="13"/>
          <w:color w:val="auto"/>
        </w:rPr>
        <w:t>Fee paid previously with preliminary materials:</w:t>
      </w:r>
    </w:p>
    <w:p>
      <w:pPr>
        <w:spacing w:after="0" w:line="22" w:lineRule="exact"/>
        <w:rPr>
          <w:rFonts w:ascii="Arial" w:cs="Arial" w:eastAsia="Arial" w:hAnsi="Arial"/>
          <w:sz w:val="13"/>
          <w:szCs w:val="13"/>
          <w:color w:val="auto"/>
        </w:rPr>
      </w:pPr>
    </w:p>
    <w:p>
      <w:pPr>
        <w:ind w:left="1000" w:hanging="312"/>
        <w:spacing w:after="0" w:line="277" w:lineRule="auto"/>
        <w:tabs>
          <w:tab w:leader="none" w:pos="1000" w:val="left"/>
        </w:tabs>
        <w:numPr>
          <w:ilvl w:val="0"/>
          <w:numId w:val="3"/>
        </w:numPr>
        <w:rPr>
          <w:rFonts w:ascii="Arial" w:cs="Arial" w:eastAsia="Arial" w:hAnsi="Arial"/>
          <w:sz w:val="13"/>
          <w:szCs w:val="13"/>
          <w:color w:val="auto"/>
        </w:rPr>
      </w:pPr>
      <w:r>
        <w:rPr>
          <w:rFonts w:ascii="Arial" w:cs="Arial" w:eastAsia="Arial" w:hAnsi="Arial"/>
          <w:sz w:val="13"/>
          <w:szCs w:val="13"/>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57" w:lineRule="exact"/>
        <w:rPr>
          <w:rFonts w:ascii="Arial" w:cs="Arial" w:eastAsia="Arial" w:hAnsi="Arial"/>
          <w:sz w:val="13"/>
          <w:szCs w:val="13"/>
          <w:color w:val="auto"/>
        </w:rPr>
      </w:pPr>
    </w:p>
    <w:p>
      <w:pPr>
        <w:ind w:left="1500" w:hanging="509"/>
        <w:spacing w:after="0"/>
        <w:tabs>
          <w:tab w:leader="none" w:pos="1500" w:val="left"/>
        </w:tabs>
        <w:numPr>
          <w:ilvl w:val="1"/>
          <w:numId w:val="3"/>
        </w:numPr>
        <w:rPr>
          <w:rFonts w:ascii="Arial" w:cs="Arial" w:eastAsia="Arial" w:hAnsi="Arial"/>
          <w:sz w:val="13"/>
          <w:szCs w:val="13"/>
          <w:color w:val="auto"/>
        </w:rPr>
      </w:pPr>
      <w:r>
        <w:rPr>
          <w:rFonts w:ascii="Arial" w:cs="Arial" w:eastAsia="Arial" w:hAnsi="Arial"/>
          <w:sz w:val="13"/>
          <w:szCs w:val="13"/>
          <w:color w:val="auto"/>
        </w:rPr>
        <w:t>Amount Previously Paid:</w:t>
      </w:r>
    </w:p>
    <w:p>
      <w:pPr>
        <w:spacing w:after="0" w:line="203" w:lineRule="exact"/>
        <w:rPr>
          <w:rFonts w:ascii="Arial" w:cs="Arial" w:eastAsia="Arial" w:hAnsi="Arial"/>
          <w:sz w:val="13"/>
          <w:szCs w:val="13"/>
          <w:color w:val="auto"/>
        </w:rPr>
      </w:pPr>
    </w:p>
    <w:p>
      <w:pPr>
        <w:ind w:left="1500" w:hanging="509"/>
        <w:spacing w:after="0"/>
        <w:tabs>
          <w:tab w:leader="none" w:pos="1500" w:val="left"/>
        </w:tabs>
        <w:numPr>
          <w:ilvl w:val="1"/>
          <w:numId w:val="3"/>
        </w:numPr>
        <w:rPr>
          <w:rFonts w:ascii="Arial" w:cs="Arial" w:eastAsia="Arial" w:hAnsi="Arial"/>
          <w:sz w:val="13"/>
          <w:szCs w:val="13"/>
          <w:color w:val="auto"/>
        </w:rPr>
      </w:pPr>
      <w:r>
        <w:rPr>
          <w:rFonts w:ascii="Arial" w:cs="Arial" w:eastAsia="Arial" w:hAnsi="Arial"/>
          <w:sz w:val="13"/>
          <w:szCs w:val="13"/>
          <w:color w:val="auto"/>
        </w:rPr>
        <w:t>Form, Schedule or Registration Statement No.:</w:t>
      </w:r>
    </w:p>
    <w:p>
      <w:pPr>
        <w:spacing w:after="0" w:line="213" w:lineRule="exact"/>
        <w:rPr>
          <w:rFonts w:ascii="Arial" w:cs="Arial" w:eastAsia="Arial" w:hAnsi="Arial"/>
          <w:sz w:val="13"/>
          <w:szCs w:val="13"/>
          <w:color w:val="auto"/>
        </w:rPr>
      </w:pPr>
    </w:p>
    <w:p>
      <w:pPr>
        <w:ind w:left="1500" w:hanging="509"/>
        <w:spacing w:after="0"/>
        <w:tabs>
          <w:tab w:leader="none" w:pos="1500" w:val="left"/>
        </w:tabs>
        <w:numPr>
          <w:ilvl w:val="1"/>
          <w:numId w:val="3"/>
        </w:numPr>
        <w:rPr>
          <w:rFonts w:ascii="Arial" w:cs="Arial" w:eastAsia="Arial" w:hAnsi="Arial"/>
          <w:sz w:val="13"/>
          <w:szCs w:val="13"/>
          <w:color w:val="auto"/>
        </w:rPr>
      </w:pPr>
      <w:r>
        <w:rPr>
          <w:rFonts w:ascii="Arial" w:cs="Arial" w:eastAsia="Arial" w:hAnsi="Arial"/>
          <w:sz w:val="13"/>
          <w:szCs w:val="13"/>
          <w:color w:val="auto"/>
        </w:rPr>
        <w:t>Filing Party:</w:t>
      </w:r>
    </w:p>
    <w:p>
      <w:pPr>
        <w:spacing w:after="0" w:line="203" w:lineRule="exact"/>
        <w:rPr>
          <w:rFonts w:ascii="Arial" w:cs="Arial" w:eastAsia="Arial" w:hAnsi="Arial"/>
          <w:sz w:val="13"/>
          <w:szCs w:val="13"/>
          <w:color w:val="auto"/>
        </w:rPr>
      </w:pPr>
    </w:p>
    <w:p>
      <w:pPr>
        <w:ind w:left="1500" w:hanging="509"/>
        <w:spacing w:after="0"/>
        <w:tabs>
          <w:tab w:leader="none" w:pos="1500" w:val="left"/>
        </w:tabs>
        <w:numPr>
          <w:ilvl w:val="1"/>
          <w:numId w:val="3"/>
        </w:numPr>
        <w:rPr>
          <w:rFonts w:ascii="Arial" w:cs="Arial" w:eastAsia="Arial" w:hAnsi="Arial"/>
          <w:sz w:val="13"/>
          <w:szCs w:val="13"/>
          <w:color w:val="auto"/>
        </w:rPr>
      </w:pPr>
      <w:r>
        <w:rPr>
          <w:rFonts w:ascii="Arial" w:cs="Arial" w:eastAsia="Arial" w:hAnsi="Arial"/>
          <w:sz w:val="13"/>
          <w:szCs w:val="13"/>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941070</wp:posOffset>
            </wp:positionH>
            <wp:positionV relativeFrom="paragraph">
              <wp:posOffset>-2199005</wp:posOffset>
            </wp:positionV>
            <wp:extent cx="634111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41110" cy="6350"/>
                    </a:xfrm>
                    <a:prstGeom prst="rect">
                      <a:avLst/>
                    </a:prstGeom>
                    <a:noFill/>
                  </pic:spPr>
                </pic:pic>
              </a:graphicData>
            </a:graphic>
          </wp:anchor>
        </w:drawing>
        <w:drawing>
          <wp:anchor simplePos="0" relativeHeight="251657728" behindDoc="1" locked="0" layoutInCell="0" allowOverlap="1">
            <wp:simplePos x="0" y="0"/>
            <wp:positionH relativeFrom="column">
              <wp:posOffset>941070</wp:posOffset>
            </wp:positionH>
            <wp:positionV relativeFrom="paragraph">
              <wp:posOffset>-1974850</wp:posOffset>
            </wp:positionV>
            <wp:extent cx="634111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41110" cy="6350"/>
                    </a:xfrm>
                    <a:prstGeom prst="rect">
                      <a:avLst/>
                    </a:prstGeom>
                    <a:noFill/>
                  </pic:spPr>
                </pic:pic>
              </a:graphicData>
            </a:graphic>
          </wp:anchor>
        </w:drawing>
        <w:drawing>
          <wp:anchor simplePos="0" relativeHeight="251657728" behindDoc="1" locked="0" layoutInCell="0" allowOverlap="1">
            <wp:simplePos x="0" y="0"/>
            <wp:positionH relativeFrom="column">
              <wp:posOffset>941070</wp:posOffset>
            </wp:positionH>
            <wp:positionV relativeFrom="paragraph">
              <wp:posOffset>-1648460</wp:posOffset>
            </wp:positionV>
            <wp:extent cx="634111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41110" cy="6350"/>
                    </a:xfrm>
                    <a:prstGeom prst="rect">
                      <a:avLst/>
                    </a:prstGeom>
                    <a:noFill/>
                  </pic:spPr>
                </pic:pic>
              </a:graphicData>
            </a:graphic>
          </wp:anchor>
        </w:drawing>
        <w:drawing>
          <wp:anchor simplePos="0" relativeHeight="251657728" behindDoc="1" locked="0" layoutInCell="0" allowOverlap="1">
            <wp:simplePos x="0" y="0"/>
            <wp:positionH relativeFrom="column">
              <wp:posOffset>941070</wp:posOffset>
            </wp:positionH>
            <wp:positionV relativeFrom="paragraph">
              <wp:posOffset>-1418590</wp:posOffset>
            </wp:positionV>
            <wp:extent cx="634111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41110" cy="6350"/>
                    </a:xfrm>
                    <a:prstGeom prst="rect">
                      <a:avLst/>
                    </a:prstGeom>
                    <a:noFill/>
                  </pic:spPr>
                </pic:pic>
              </a:graphicData>
            </a:graphic>
          </wp:anchor>
        </w:drawing>
        <w:drawing>
          <wp:anchor simplePos="0" relativeHeight="251657728" behindDoc="1" locked="0" layoutInCell="0" allowOverlap="1">
            <wp:simplePos x="0" y="0"/>
            <wp:positionH relativeFrom="column">
              <wp:posOffset>941070</wp:posOffset>
            </wp:positionH>
            <wp:positionV relativeFrom="paragraph">
              <wp:posOffset>-1194435</wp:posOffset>
            </wp:positionV>
            <wp:extent cx="634111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41110" cy="6350"/>
                    </a:xfrm>
                    <a:prstGeom prst="rect">
                      <a:avLst/>
                    </a:prstGeom>
                    <a:noFill/>
                  </pic:spPr>
                </pic:pic>
              </a:graphicData>
            </a:graphic>
          </wp:anchor>
        </w:drawing>
        <w:drawing>
          <wp:anchor simplePos="0" relativeHeight="251657728" behindDoc="1" locked="0" layoutInCell="0" allowOverlap="1">
            <wp:simplePos x="0" y="0"/>
            <wp:positionH relativeFrom="column">
              <wp:posOffset>941070</wp:posOffset>
            </wp:positionH>
            <wp:positionV relativeFrom="paragraph">
              <wp:posOffset>-605790</wp:posOffset>
            </wp:positionV>
            <wp:extent cx="634111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41110" cy="6350"/>
                    </a:xfrm>
                    <a:prstGeom prst="rect">
                      <a:avLst/>
                    </a:prstGeom>
                    <a:noFill/>
                  </pic:spPr>
                </pic:pic>
              </a:graphicData>
            </a:graphic>
          </wp:anchor>
        </w:drawing>
        <w:drawing>
          <wp:anchor simplePos="0" relativeHeight="251657728" behindDoc="1" locked="0" layoutInCell="0" allowOverlap="1">
            <wp:simplePos x="0" y="0"/>
            <wp:positionH relativeFrom="column">
              <wp:posOffset>941070</wp:posOffset>
            </wp:positionH>
            <wp:positionV relativeFrom="paragraph">
              <wp:posOffset>-375285</wp:posOffset>
            </wp:positionV>
            <wp:extent cx="634111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41110" cy="6350"/>
                    </a:xfrm>
                    <a:prstGeom prst="rect">
                      <a:avLst/>
                    </a:prstGeom>
                    <a:noFill/>
                  </pic:spPr>
                </pic:pic>
              </a:graphicData>
            </a:graphic>
          </wp:anchor>
        </w:drawing>
        <w:drawing>
          <wp:anchor simplePos="0" relativeHeight="251657728" behindDoc="1" locked="0" layoutInCell="0" allowOverlap="1">
            <wp:simplePos x="0" y="0"/>
            <wp:positionH relativeFrom="column">
              <wp:posOffset>941070</wp:posOffset>
            </wp:positionH>
            <wp:positionV relativeFrom="paragraph">
              <wp:posOffset>-151130</wp:posOffset>
            </wp:positionV>
            <wp:extent cx="634111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41110" cy="6350"/>
                    </a:xfrm>
                    <a:prstGeom prst="rect">
                      <a:avLst/>
                    </a:prstGeom>
                    <a:noFill/>
                  </pic:spPr>
                </pic:pic>
              </a:graphicData>
            </a:graphic>
          </wp:anchor>
        </w:drawing>
        <w:drawing>
          <wp:anchor simplePos="0" relativeHeight="251657728" behindDoc="1" locked="0" layoutInCell="0" allowOverlap="1">
            <wp:simplePos x="0" y="0"/>
            <wp:positionH relativeFrom="column">
              <wp:posOffset>941070</wp:posOffset>
            </wp:positionH>
            <wp:positionV relativeFrom="paragraph">
              <wp:posOffset>71755</wp:posOffset>
            </wp:positionV>
            <wp:extent cx="634111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4111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234950</wp:posOffset>
            </wp:positionV>
            <wp:extent cx="728789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20"/>
          </w:cols>
          <w:pgMar w:left="220" w:top="127" w:right="1059" w:bottom="1440" w:gutter="0" w:footer="0" w:header="0"/>
        </w:sectPr>
      </w:pPr>
    </w:p>
    <w:bookmarkStart w:id="2" w:name="page3"/>
    <w:bookmarkEnd w:id="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2707005</wp:posOffset>
            </wp:positionH>
            <wp:positionV relativeFrom="paragraph">
              <wp:posOffset>156210</wp:posOffset>
            </wp:positionV>
            <wp:extent cx="1797685" cy="6400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97685" cy="640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619"/>
        <w:spacing w:after="0"/>
        <w:rPr>
          <w:sz w:val="20"/>
          <w:szCs w:val="20"/>
          <w:color w:val="auto"/>
        </w:rPr>
      </w:pPr>
      <w:r>
        <w:rPr>
          <w:rFonts w:ascii="Arial" w:cs="Arial" w:eastAsia="Arial" w:hAnsi="Arial"/>
          <w:sz w:val="13"/>
          <w:szCs w:val="13"/>
          <w:b w:val="1"/>
          <w:bCs w:val="1"/>
          <w:color w:val="auto"/>
        </w:rPr>
        <w:t>1001 Fannin Street, Suite 4000</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3"/>
          <w:szCs w:val="13"/>
          <w:b w:val="1"/>
          <w:bCs w:val="1"/>
          <w:color w:val="auto"/>
        </w:rPr>
        <w:t>Houston, Texas 77002</w:t>
      </w:r>
    </w:p>
    <w:p>
      <w:pPr>
        <w:spacing w:after="0" w:line="112" w:lineRule="exact"/>
        <w:rPr>
          <w:sz w:val="20"/>
          <w:szCs w:val="20"/>
          <w:color w:val="auto"/>
        </w:rPr>
      </w:pPr>
    </w:p>
    <w:p>
      <w:pPr>
        <w:jc w:val="center"/>
        <w:ind w:right="-619"/>
        <w:spacing w:after="0"/>
        <w:rPr>
          <w:sz w:val="20"/>
          <w:szCs w:val="20"/>
          <w:color w:val="auto"/>
        </w:rPr>
      </w:pPr>
      <w:r>
        <w:rPr>
          <w:rFonts w:ascii="Arial" w:cs="Arial" w:eastAsia="Arial" w:hAnsi="Arial"/>
          <w:sz w:val="16"/>
          <w:szCs w:val="16"/>
          <w:b w:val="1"/>
          <w:bCs w:val="1"/>
          <w:color w:val="auto"/>
        </w:rPr>
        <w:t>NOTICE OF ANNUAL MEETING OF STOCKHOLDERS</w:t>
      </w:r>
    </w:p>
    <w:p>
      <w:pPr>
        <w:spacing w:after="0" w:line="15" w:lineRule="exact"/>
        <w:rPr>
          <w:sz w:val="20"/>
          <w:szCs w:val="20"/>
          <w:color w:val="auto"/>
        </w:rPr>
      </w:pPr>
    </w:p>
    <w:p>
      <w:pPr>
        <w:jc w:val="center"/>
        <w:ind w:right="-619"/>
        <w:spacing w:after="0"/>
        <w:rPr>
          <w:sz w:val="20"/>
          <w:szCs w:val="20"/>
          <w:color w:val="auto"/>
        </w:rPr>
      </w:pPr>
      <w:r>
        <w:rPr>
          <w:rFonts w:ascii="Arial" w:cs="Arial" w:eastAsia="Arial" w:hAnsi="Arial"/>
          <w:sz w:val="16"/>
          <w:szCs w:val="16"/>
          <w:b w:val="1"/>
          <w:bCs w:val="1"/>
          <w:color w:val="auto"/>
        </w:rPr>
        <w:t>OF WASTE MANAGEMENT, INC.</w:t>
      </w:r>
    </w:p>
    <w:p>
      <w:pPr>
        <w:spacing w:after="0" w:line="10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Date and Time:</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May 11, 2010 at 11:00 a.m., Central Time</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Place:</w:t>
      </w:r>
    </w:p>
    <w:p>
      <w:pPr>
        <w:spacing w:after="0" w:line="18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Maury Myers Conference Center</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Waste Management, Inc.</w:t>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1021 Main Street</w:t>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Houston, Texas 77002</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Purpose:</w:t>
      </w:r>
    </w:p>
    <w:p>
      <w:pPr>
        <w:spacing w:after="0" w:line="84" w:lineRule="exact"/>
        <w:rPr>
          <w:sz w:val="20"/>
          <w:szCs w:val="20"/>
          <w:color w:val="auto"/>
        </w:rPr>
      </w:pPr>
    </w:p>
    <w:p>
      <w:pPr>
        <w:ind w:left="1300" w:hanging="208"/>
        <w:spacing w:after="0"/>
        <w:tabs>
          <w:tab w:leader="none" w:pos="1300" w:val="left"/>
        </w:tabs>
        <w:numPr>
          <w:ilvl w:val="0"/>
          <w:numId w:val="4"/>
        </w:numPr>
        <w:rPr>
          <w:rFonts w:ascii="Arial" w:cs="Arial" w:eastAsia="Arial" w:hAnsi="Arial"/>
          <w:sz w:val="13"/>
          <w:szCs w:val="13"/>
          <w:color w:val="auto"/>
        </w:rPr>
      </w:pPr>
      <w:r>
        <w:rPr>
          <w:rFonts w:ascii="Arial" w:cs="Arial" w:eastAsia="Arial" w:hAnsi="Arial"/>
          <w:sz w:val="13"/>
          <w:szCs w:val="13"/>
          <w:color w:val="auto"/>
        </w:rPr>
        <w:t>To elect eight directors;</w:t>
      </w:r>
    </w:p>
    <w:p>
      <w:pPr>
        <w:spacing w:after="0" w:line="62" w:lineRule="exact"/>
        <w:rPr>
          <w:rFonts w:ascii="Arial" w:cs="Arial" w:eastAsia="Arial" w:hAnsi="Arial"/>
          <w:sz w:val="13"/>
          <w:szCs w:val="13"/>
          <w:color w:val="auto"/>
        </w:rPr>
      </w:pPr>
    </w:p>
    <w:p>
      <w:pPr>
        <w:ind w:left="1300" w:hanging="208"/>
        <w:spacing w:after="0"/>
        <w:tabs>
          <w:tab w:leader="none" w:pos="1300" w:val="left"/>
        </w:tabs>
        <w:numPr>
          <w:ilvl w:val="0"/>
          <w:numId w:val="4"/>
        </w:numPr>
        <w:rPr>
          <w:rFonts w:ascii="Arial" w:cs="Arial" w:eastAsia="Arial" w:hAnsi="Arial"/>
          <w:sz w:val="13"/>
          <w:szCs w:val="13"/>
          <w:color w:val="auto"/>
        </w:rPr>
      </w:pPr>
      <w:r>
        <w:rPr>
          <w:rFonts w:ascii="Arial" w:cs="Arial" w:eastAsia="Arial" w:hAnsi="Arial"/>
          <w:sz w:val="13"/>
          <w:szCs w:val="13"/>
          <w:color w:val="auto"/>
        </w:rPr>
        <w:t>To ratify the appointment of Ernst &amp; Young LLP as our independent registered public accounting firm for the fiscal year ending December 31, 2010;</w:t>
      </w:r>
    </w:p>
    <w:p>
      <w:pPr>
        <w:spacing w:after="0" w:line="62" w:lineRule="exact"/>
        <w:rPr>
          <w:rFonts w:ascii="Arial" w:cs="Arial" w:eastAsia="Arial" w:hAnsi="Arial"/>
          <w:sz w:val="13"/>
          <w:szCs w:val="13"/>
          <w:color w:val="auto"/>
        </w:rPr>
      </w:pPr>
    </w:p>
    <w:p>
      <w:pPr>
        <w:ind w:left="1300" w:hanging="208"/>
        <w:spacing w:after="0"/>
        <w:tabs>
          <w:tab w:leader="none" w:pos="1300" w:val="left"/>
        </w:tabs>
        <w:numPr>
          <w:ilvl w:val="0"/>
          <w:numId w:val="4"/>
        </w:numPr>
        <w:rPr>
          <w:rFonts w:ascii="Arial" w:cs="Arial" w:eastAsia="Arial" w:hAnsi="Arial"/>
          <w:sz w:val="13"/>
          <w:szCs w:val="13"/>
          <w:color w:val="auto"/>
        </w:rPr>
      </w:pPr>
      <w:r>
        <w:rPr>
          <w:rFonts w:ascii="Arial" w:cs="Arial" w:eastAsia="Arial" w:hAnsi="Arial"/>
          <w:sz w:val="13"/>
          <w:szCs w:val="13"/>
          <w:color w:val="auto"/>
        </w:rPr>
        <w:t>To vote on our proposal to amend our Second Restated Certificate of Incorporation to eliminate any supermajority stockholder voting provisions;</w:t>
      </w:r>
    </w:p>
    <w:p>
      <w:pPr>
        <w:spacing w:after="0" w:line="62" w:lineRule="exact"/>
        <w:rPr>
          <w:rFonts w:ascii="Arial" w:cs="Arial" w:eastAsia="Arial" w:hAnsi="Arial"/>
          <w:sz w:val="13"/>
          <w:szCs w:val="13"/>
          <w:color w:val="auto"/>
        </w:rPr>
      </w:pPr>
    </w:p>
    <w:p>
      <w:pPr>
        <w:ind w:left="1300" w:hanging="208"/>
        <w:spacing w:after="0"/>
        <w:tabs>
          <w:tab w:leader="none" w:pos="1300" w:val="left"/>
        </w:tabs>
        <w:numPr>
          <w:ilvl w:val="0"/>
          <w:numId w:val="4"/>
        </w:numPr>
        <w:rPr>
          <w:rFonts w:ascii="Arial" w:cs="Arial" w:eastAsia="Arial" w:hAnsi="Arial"/>
          <w:sz w:val="13"/>
          <w:szCs w:val="13"/>
          <w:color w:val="auto"/>
        </w:rPr>
      </w:pPr>
      <w:r>
        <w:rPr>
          <w:rFonts w:ascii="Arial" w:cs="Arial" w:eastAsia="Arial" w:hAnsi="Arial"/>
          <w:sz w:val="13"/>
          <w:szCs w:val="13"/>
          <w:color w:val="auto"/>
        </w:rPr>
        <w:t>To vote on a stockholder proposal relating to disclosure of political contributions, if properly presented at the meeting;</w:t>
      </w:r>
    </w:p>
    <w:p>
      <w:pPr>
        <w:spacing w:after="0" w:line="62" w:lineRule="exact"/>
        <w:rPr>
          <w:rFonts w:ascii="Arial" w:cs="Arial" w:eastAsia="Arial" w:hAnsi="Arial"/>
          <w:sz w:val="13"/>
          <w:szCs w:val="13"/>
          <w:color w:val="auto"/>
        </w:rPr>
      </w:pPr>
    </w:p>
    <w:p>
      <w:pPr>
        <w:ind w:left="1300" w:hanging="208"/>
        <w:spacing w:after="0"/>
        <w:tabs>
          <w:tab w:leader="none" w:pos="1300" w:val="left"/>
        </w:tabs>
        <w:numPr>
          <w:ilvl w:val="0"/>
          <w:numId w:val="4"/>
        </w:numPr>
        <w:rPr>
          <w:rFonts w:ascii="Arial" w:cs="Arial" w:eastAsia="Arial" w:hAnsi="Arial"/>
          <w:sz w:val="13"/>
          <w:szCs w:val="13"/>
          <w:color w:val="auto"/>
        </w:rPr>
      </w:pPr>
      <w:r>
        <w:rPr>
          <w:rFonts w:ascii="Arial" w:cs="Arial" w:eastAsia="Arial" w:hAnsi="Arial"/>
          <w:sz w:val="13"/>
          <w:szCs w:val="13"/>
          <w:color w:val="auto"/>
        </w:rPr>
        <w:t>To vote on a stockholder proposal relating to the right of stockholders to call special stockholder meetings, if properly presented at the meeting; and</w:t>
      </w:r>
    </w:p>
    <w:p>
      <w:pPr>
        <w:spacing w:after="0" w:line="62" w:lineRule="exact"/>
        <w:rPr>
          <w:rFonts w:ascii="Arial" w:cs="Arial" w:eastAsia="Arial" w:hAnsi="Arial"/>
          <w:sz w:val="13"/>
          <w:szCs w:val="13"/>
          <w:color w:val="auto"/>
        </w:rPr>
      </w:pPr>
    </w:p>
    <w:p>
      <w:pPr>
        <w:ind w:left="1300" w:hanging="208"/>
        <w:spacing w:after="0"/>
        <w:tabs>
          <w:tab w:leader="none" w:pos="1300" w:val="left"/>
        </w:tabs>
        <w:numPr>
          <w:ilvl w:val="0"/>
          <w:numId w:val="4"/>
        </w:numPr>
        <w:rPr>
          <w:rFonts w:ascii="Arial" w:cs="Arial" w:eastAsia="Arial" w:hAnsi="Arial"/>
          <w:sz w:val="13"/>
          <w:szCs w:val="13"/>
          <w:color w:val="auto"/>
        </w:rPr>
      </w:pPr>
      <w:r>
        <w:rPr>
          <w:rFonts w:ascii="Arial" w:cs="Arial" w:eastAsia="Arial" w:hAnsi="Arial"/>
          <w:sz w:val="13"/>
          <w:szCs w:val="13"/>
          <w:color w:val="auto"/>
        </w:rPr>
        <w:t>To conduct other business that is properly raised at the meeting.</w:t>
      </w:r>
    </w:p>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Only stockholders of record on March 15, 2010 may vote at the meeting.</w:t>
      </w:r>
    </w:p>
    <w:p>
      <w:pPr>
        <w:spacing w:after="0" w:line="72" w:lineRule="exact"/>
        <w:rPr>
          <w:sz w:val="20"/>
          <w:szCs w:val="20"/>
          <w:color w:val="auto"/>
        </w:rPr>
      </w:pPr>
    </w:p>
    <w:p>
      <w:pPr>
        <w:ind w:left="680" w:right="140" w:firstLine="399"/>
        <w:spacing w:after="0" w:line="294" w:lineRule="auto"/>
        <w:rPr>
          <w:sz w:val="20"/>
          <w:szCs w:val="20"/>
          <w:color w:val="auto"/>
        </w:rPr>
      </w:pPr>
      <w:r>
        <w:rPr>
          <w:rFonts w:ascii="Arial" w:cs="Arial" w:eastAsia="Arial" w:hAnsi="Arial"/>
          <w:sz w:val="13"/>
          <w:szCs w:val="13"/>
          <w:color w:val="auto"/>
        </w:rPr>
        <w:t>Your vote is important. We urge you to promptly vote your shares by telephone, by the Internet or, if this Proxy Statement was mailed to you, by completing, signing, dating and returning your proxy card as soon as possible in the enclosed postage prepaid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3538855</wp:posOffset>
            </wp:positionH>
            <wp:positionV relativeFrom="paragraph">
              <wp:posOffset>126365</wp:posOffset>
            </wp:positionV>
            <wp:extent cx="1196340" cy="268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96340" cy="26860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LINDA J. SMITH</w:t>
      </w:r>
    </w:p>
    <w:p>
      <w:pPr>
        <w:spacing w:after="0" w:line="22" w:lineRule="exact"/>
        <w:rPr>
          <w:sz w:val="20"/>
          <w:szCs w:val="20"/>
          <w:color w:val="auto"/>
        </w:rPr>
      </w:pPr>
    </w:p>
    <w:p>
      <w:pPr>
        <w:ind w:left="5580"/>
        <w:spacing w:after="0"/>
        <w:rPr>
          <w:sz w:val="20"/>
          <w:szCs w:val="20"/>
          <w:color w:val="auto"/>
        </w:rPr>
      </w:pPr>
      <w:r>
        <w:rPr>
          <w:rFonts w:ascii="Arial" w:cs="Arial" w:eastAsia="Arial" w:hAnsi="Arial"/>
          <w:sz w:val="13"/>
          <w:szCs w:val="13"/>
          <w:i w:val="1"/>
          <w:iCs w:val="1"/>
          <w:color w:val="auto"/>
        </w:rPr>
        <w:t>Corporate Secretary</w:t>
      </w:r>
    </w:p>
    <w:p>
      <w:pPr>
        <w:spacing w:after="0" w:line="9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March 29,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432435</wp:posOffset>
            </wp:positionH>
            <wp:positionV relativeFrom="paragraph">
              <wp:posOffset>62230</wp:posOffset>
            </wp:positionV>
            <wp:extent cx="6558280" cy="5308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58280" cy="530860"/>
                    </a:xfrm>
                    <a:prstGeom prst="rect">
                      <a:avLst/>
                    </a:prstGeom>
                    <a:noFill/>
                  </pic:spPr>
                </pic:pic>
              </a:graphicData>
            </a:graphic>
          </wp:anchor>
        </w:drawing>
      </w:r>
    </w:p>
    <w:p>
      <w:pPr>
        <w:spacing w:after="0" w:line="242" w:lineRule="exact"/>
        <w:rPr>
          <w:sz w:val="20"/>
          <w:szCs w:val="20"/>
          <w:color w:val="auto"/>
        </w:rPr>
      </w:pPr>
    </w:p>
    <w:p>
      <w:pPr>
        <w:ind w:left="860"/>
        <w:spacing w:after="0" w:line="278" w:lineRule="auto"/>
        <w:rPr>
          <w:sz w:val="20"/>
          <w:szCs w:val="20"/>
          <w:color w:val="auto"/>
        </w:rPr>
      </w:pPr>
      <w:r>
        <w:rPr>
          <w:rFonts w:ascii="Arial" w:cs="Arial" w:eastAsia="Arial" w:hAnsi="Arial"/>
          <w:sz w:val="13"/>
          <w:szCs w:val="13"/>
          <w:b w:val="1"/>
          <w:bCs w:val="1"/>
          <w:color w:val="auto"/>
        </w:rPr>
        <w:t>IMPORTANT NOTICE REGARDING THE AVAILABILITY OF PROXY MATERIALS FOR THE ANNUAL MEETING OF STOCKHOLDERS TO BE HELD ON MAY 11, 2010: This Notice of Annual Meeting and Proxy Statement and the Company’s Annual Report on Form 10-K for the year ended December 31, 2009 are available at http://www.wm.com.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302260</wp:posOffset>
            </wp:positionV>
            <wp:extent cx="728789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720"/>
          </w:cols>
          <w:pgMar w:left="220" w:top="349" w:right="9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74"/>
        </w:trPr>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40" w:type="dxa"/>
            <w:vAlign w:val="bottom"/>
            <w:gridSpan w:val="5"/>
          </w:tcPr>
          <w:p>
            <w:pPr>
              <w:ind w:left="480"/>
              <w:spacing w:after="0"/>
              <w:rPr>
                <w:sz w:val="20"/>
                <w:szCs w:val="20"/>
                <w:color w:val="auto"/>
              </w:rPr>
            </w:pPr>
            <w:r>
              <w:rPr>
                <w:rFonts w:ascii="Arial" w:cs="Arial" w:eastAsia="Arial" w:hAnsi="Arial"/>
                <w:sz w:val="13"/>
                <w:szCs w:val="13"/>
                <w:b w:val="1"/>
                <w:bCs w:val="1"/>
                <w:color w:val="auto"/>
              </w:rPr>
              <w:t>TABLE OF CONTENTS</w:t>
            </w: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93"/>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8"/>
              </w:rPr>
              <w:t>Page</w:t>
            </w:r>
          </w:p>
        </w:tc>
        <w:tc>
          <w:tcPr>
            <w:tcW w:w="800" w:type="dxa"/>
            <w:vAlign w:val="bottom"/>
          </w:tcPr>
          <w:p>
            <w:pPr>
              <w:spacing w:after="0"/>
              <w:rPr>
                <w:sz w:val="24"/>
                <w:szCs w:val="24"/>
                <w:color w:val="auto"/>
              </w:rPr>
            </w:pPr>
          </w:p>
        </w:tc>
      </w:tr>
      <w:tr>
        <w:trPr>
          <w:trHeight w:val="181"/>
        </w:trPr>
        <w:tc>
          <w:tcPr>
            <w:tcW w:w="680" w:type="dxa"/>
            <w:vAlign w:val="bottom"/>
          </w:tcPr>
          <w:p>
            <w:pPr>
              <w:spacing w:after="0"/>
              <w:rPr>
                <w:sz w:val="15"/>
                <w:szCs w:val="15"/>
                <w:color w:val="auto"/>
              </w:rPr>
            </w:pPr>
          </w:p>
        </w:tc>
        <w:tc>
          <w:tcPr>
            <w:tcW w:w="9640" w:type="dxa"/>
            <w:vAlign w:val="bottom"/>
            <w:gridSpan w:val="25"/>
          </w:tcPr>
          <w:p>
            <w:pPr>
              <w:spacing w:after="0"/>
              <w:rPr>
                <w:sz w:val="20"/>
                <w:szCs w:val="20"/>
                <w:color w:val="auto"/>
              </w:rPr>
            </w:pPr>
            <w:r>
              <w:rPr>
                <w:rFonts w:ascii="Arial" w:cs="Arial" w:eastAsia="Arial" w:hAnsi="Arial"/>
                <w:sz w:val="13"/>
                <w:szCs w:val="13"/>
                <w:color w:val="auto"/>
              </w:rPr>
              <w:t>General Information</w:t>
            </w:r>
          </w:p>
        </w:tc>
        <w:tc>
          <w:tcPr>
            <w:tcW w:w="340" w:type="dxa"/>
            <w:vAlign w:val="bottom"/>
          </w:tcPr>
          <w:p>
            <w:pPr>
              <w:jc w:val="right"/>
              <w:spacing w:after="0"/>
              <w:rPr>
                <w:sz w:val="20"/>
                <w:szCs w:val="20"/>
                <w:color w:val="auto"/>
              </w:rPr>
            </w:pPr>
            <w:r>
              <w:rPr>
                <w:rFonts w:ascii="Arial" w:cs="Arial" w:eastAsia="Arial" w:hAnsi="Arial"/>
                <w:sz w:val="13"/>
                <w:szCs w:val="13"/>
                <w:color w:val="auto"/>
              </w:rPr>
              <w:t>1</w:t>
            </w:r>
          </w:p>
        </w:tc>
        <w:tc>
          <w:tcPr>
            <w:tcW w:w="800" w:type="dxa"/>
            <w:vAlign w:val="bottom"/>
          </w:tcPr>
          <w:p>
            <w:pPr>
              <w:spacing w:after="0"/>
              <w:rPr>
                <w:sz w:val="15"/>
                <w:szCs w:val="15"/>
                <w:color w:val="auto"/>
              </w:rPr>
            </w:pPr>
          </w:p>
        </w:tc>
      </w:tr>
      <w:tr>
        <w:trPr>
          <w:trHeight w:val="142"/>
        </w:trPr>
        <w:tc>
          <w:tcPr>
            <w:tcW w:w="680" w:type="dxa"/>
            <w:vAlign w:val="bottom"/>
          </w:tcPr>
          <w:p>
            <w:pPr>
              <w:spacing w:after="0"/>
              <w:rPr>
                <w:sz w:val="12"/>
                <w:szCs w:val="12"/>
                <w:color w:val="auto"/>
              </w:rPr>
            </w:pPr>
          </w:p>
        </w:tc>
        <w:tc>
          <w:tcPr>
            <w:tcW w:w="1020" w:type="dxa"/>
            <w:vAlign w:val="bottom"/>
            <w:tcBorders>
              <w:bottom w:val="single" w:sz="8" w:color="0000EE"/>
            </w:tcBorders>
            <w:gridSpan w:val="3"/>
          </w:tcPr>
          <w:p>
            <w:pPr>
              <w:spacing w:after="0" w:line="142" w:lineRule="exact"/>
              <w:rPr>
                <w:rFonts w:ascii="Arial" w:cs="Arial" w:eastAsia="Arial" w:hAnsi="Arial"/>
                <w:sz w:val="13"/>
                <w:szCs w:val="13"/>
                <w:color w:val="0000EE"/>
                <w:w w:val="95"/>
              </w:rPr>
            </w:pPr>
            <w:hyperlink w:anchor="page8">
              <w:r>
                <w:rPr>
                  <w:rFonts w:ascii="Arial" w:cs="Arial" w:eastAsia="Arial" w:hAnsi="Arial"/>
                  <w:sz w:val="13"/>
                  <w:szCs w:val="13"/>
                  <w:color w:val="0000EE"/>
                  <w:w w:val="95"/>
                </w:rPr>
                <w:t>Board of Directors</w:t>
              </w:r>
            </w:hyperlink>
          </w:p>
        </w:tc>
        <w:tc>
          <w:tcPr>
            <w:tcW w:w="8620" w:type="dxa"/>
            <w:vAlign w:val="bottom"/>
            <w:gridSpan w:val="22"/>
          </w:tcPr>
          <w:p>
            <w:pPr>
              <w:spacing w:after="0"/>
              <w:rPr>
                <w:sz w:val="12"/>
                <w:szCs w:val="12"/>
                <w:color w:val="auto"/>
              </w:rPr>
            </w:pPr>
          </w:p>
        </w:tc>
        <w:tc>
          <w:tcPr>
            <w:tcW w:w="340" w:type="dxa"/>
            <w:vAlign w:val="bottom"/>
          </w:tcPr>
          <w:p>
            <w:pPr>
              <w:jc w:val="right"/>
              <w:spacing w:after="0" w:line="142" w:lineRule="exact"/>
              <w:rPr>
                <w:sz w:val="20"/>
                <w:szCs w:val="20"/>
                <w:color w:val="auto"/>
              </w:rPr>
            </w:pPr>
            <w:r>
              <w:rPr>
                <w:rFonts w:ascii="Arial" w:cs="Arial" w:eastAsia="Arial" w:hAnsi="Arial"/>
                <w:sz w:val="13"/>
                <w:szCs w:val="13"/>
                <w:color w:val="auto"/>
              </w:rPr>
              <w:t>4</w:t>
            </w:r>
          </w:p>
        </w:tc>
        <w:tc>
          <w:tcPr>
            <w:tcW w:w="800" w:type="dxa"/>
            <w:vAlign w:val="bottom"/>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500" w:type="dxa"/>
            <w:vAlign w:val="bottom"/>
            <w:gridSpan w:val="24"/>
          </w:tcPr>
          <w:p>
            <w:pPr>
              <w:spacing w:after="0" w:line="141" w:lineRule="exact"/>
              <w:rPr>
                <w:rFonts w:ascii="Arial" w:cs="Arial" w:eastAsia="Arial" w:hAnsi="Arial"/>
                <w:sz w:val="13"/>
                <w:szCs w:val="13"/>
                <w:color w:val="0000EE"/>
              </w:rPr>
            </w:pPr>
            <w:hyperlink w:anchor="page8">
              <w:r>
                <w:rPr>
                  <w:rFonts w:ascii="Arial" w:cs="Arial" w:eastAsia="Arial" w:hAnsi="Arial"/>
                  <w:sz w:val="13"/>
                  <w:szCs w:val="13"/>
                  <w:color w:val="0000EE"/>
                </w:rPr>
                <w:t>Leadership Structure</w:t>
              </w:r>
            </w:hyperlink>
          </w:p>
        </w:tc>
        <w:tc>
          <w:tcPr>
            <w:tcW w:w="340" w:type="dxa"/>
            <w:vAlign w:val="bottom"/>
          </w:tcPr>
          <w:p>
            <w:pPr>
              <w:jc w:val="right"/>
              <w:spacing w:after="0" w:line="141" w:lineRule="exact"/>
              <w:rPr>
                <w:sz w:val="20"/>
                <w:szCs w:val="20"/>
                <w:color w:val="auto"/>
              </w:rPr>
            </w:pPr>
            <w:r>
              <w:rPr>
                <w:rFonts w:ascii="Arial" w:cs="Arial" w:eastAsia="Arial" w:hAnsi="Arial"/>
                <w:sz w:val="13"/>
                <w:szCs w:val="13"/>
                <w:color w:val="auto"/>
              </w:rPr>
              <w:t>4</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1"/>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Borders>
              <w:bottom w:val="single" w:sz="8" w:color="0000EE"/>
            </w:tcBorders>
            <w:gridSpan w:val="5"/>
          </w:tcPr>
          <w:p>
            <w:pPr>
              <w:spacing w:after="0" w:line="141" w:lineRule="exact"/>
              <w:rPr>
                <w:rFonts w:ascii="Arial" w:cs="Arial" w:eastAsia="Arial" w:hAnsi="Arial"/>
                <w:sz w:val="13"/>
                <w:szCs w:val="13"/>
                <w:color w:val="0000EE"/>
                <w:w w:val="94"/>
              </w:rPr>
            </w:pPr>
            <w:hyperlink w:anchor="page8">
              <w:r>
                <w:rPr>
                  <w:rFonts w:ascii="Arial" w:cs="Arial" w:eastAsia="Arial" w:hAnsi="Arial"/>
                  <w:sz w:val="13"/>
                  <w:szCs w:val="13"/>
                  <w:color w:val="0000EE"/>
                  <w:w w:val="94"/>
                </w:rPr>
                <w:t>Role in Risk Oversight</w:t>
              </w:r>
            </w:hyperlink>
          </w:p>
        </w:tc>
        <w:tc>
          <w:tcPr>
            <w:tcW w:w="8260" w:type="dxa"/>
            <w:vAlign w:val="bottom"/>
            <w:gridSpan w:val="19"/>
          </w:tcPr>
          <w:p>
            <w:pPr>
              <w:spacing w:after="0"/>
              <w:rPr>
                <w:sz w:val="12"/>
                <w:szCs w:val="12"/>
                <w:color w:val="auto"/>
              </w:rPr>
            </w:pPr>
          </w:p>
        </w:tc>
        <w:tc>
          <w:tcPr>
            <w:tcW w:w="340" w:type="dxa"/>
            <w:vAlign w:val="bottom"/>
          </w:tcPr>
          <w:p>
            <w:pPr>
              <w:jc w:val="right"/>
              <w:spacing w:after="0" w:line="141" w:lineRule="exact"/>
              <w:rPr>
                <w:sz w:val="20"/>
                <w:szCs w:val="20"/>
                <w:color w:val="auto"/>
              </w:rPr>
            </w:pPr>
            <w:r>
              <w:rPr>
                <w:rFonts w:ascii="Arial" w:cs="Arial" w:eastAsia="Arial" w:hAnsi="Arial"/>
                <w:sz w:val="13"/>
                <w:szCs w:val="13"/>
                <w:color w:val="auto"/>
              </w:rPr>
              <w:t>4</w:t>
            </w:r>
          </w:p>
        </w:tc>
        <w:tc>
          <w:tcPr>
            <w:tcW w:w="800" w:type="dxa"/>
            <w:vAlign w:val="bottom"/>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tcBorders>
              <w:bottom w:val="single" w:sz="8" w:color="0000EE"/>
            </w:tcBorders>
            <w:gridSpan w:val="11"/>
          </w:tcPr>
          <w:p>
            <w:pPr>
              <w:spacing w:after="0" w:line="141" w:lineRule="exact"/>
              <w:rPr>
                <w:rFonts w:ascii="Arial" w:cs="Arial" w:eastAsia="Arial" w:hAnsi="Arial"/>
                <w:sz w:val="13"/>
                <w:szCs w:val="13"/>
                <w:color w:val="0000EE"/>
                <w:w w:val="92"/>
              </w:rPr>
            </w:pPr>
            <w:hyperlink w:anchor="page9">
              <w:r>
                <w:rPr>
                  <w:rFonts w:ascii="Arial" w:cs="Arial" w:eastAsia="Arial" w:hAnsi="Arial"/>
                  <w:sz w:val="13"/>
                  <w:szCs w:val="13"/>
                  <w:color w:val="0000EE"/>
                  <w:w w:val="92"/>
                </w:rPr>
                <w:t>Independence of Board Members</w:t>
              </w:r>
            </w:hyperlink>
          </w:p>
        </w:tc>
        <w:tc>
          <w:tcPr>
            <w:tcW w:w="7700" w:type="dxa"/>
            <w:vAlign w:val="bottom"/>
            <w:gridSpan w:val="13"/>
          </w:tcPr>
          <w:p>
            <w:pPr>
              <w:spacing w:after="0"/>
              <w:rPr>
                <w:sz w:val="12"/>
                <w:szCs w:val="12"/>
                <w:color w:val="auto"/>
              </w:rPr>
            </w:pPr>
          </w:p>
        </w:tc>
        <w:tc>
          <w:tcPr>
            <w:tcW w:w="340" w:type="dxa"/>
            <w:vAlign w:val="bottom"/>
          </w:tcPr>
          <w:p>
            <w:pPr>
              <w:jc w:val="right"/>
              <w:spacing w:after="0" w:line="141" w:lineRule="exact"/>
              <w:rPr>
                <w:sz w:val="20"/>
                <w:szCs w:val="20"/>
                <w:color w:val="auto"/>
              </w:rPr>
            </w:pPr>
            <w:r>
              <w:rPr>
                <w:rFonts w:ascii="Arial" w:cs="Arial" w:eastAsia="Arial" w:hAnsi="Arial"/>
                <w:sz w:val="13"/>
                <w:szCs w:val="13"/>
                <w:color w:val="auto"/>
              </w:rPr>
              <w:t>5</w:t>
            </w:r>
          </w:p>
        </w:tc>
        <w:tc>
          <w:tcPr>
            <w:tcW w:w="800" w:type="dxa"/>
            <w:vAlign w:val="bottom"/>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Borders>
              <w:bottom w:val="single" w:sz="8" w:color="0000EE"/>
            </w:tcBorders>
            <w:gridSpan w:val="10"/>
          </w:tcPr>
          <w:p>
            <w:pPr>
              <w:spacing w:after="0" w:line="141" w:lineRule="exact"/>
              <w:rPr>
                <w:rFonts w:ascii="Arial" w:cs="Arial" w:eastAsia="Arial" w:hAnsi="Arial"/>
                <w:sz w:val="13"/>
                <w:szCs w:val="13"/>
                <w:color w:val="0000EE"/>
                <w:w w:val="92"/>
              </w:rPr>
            </w:pPr>
            <w:hyperlink w:anchor="page10">
              <w:r>
                <w:rPr>
                  <w:rFonts w:ascii="Arial" w:cs="Arial" w:eastAsia="Arial" w:hAnsi="Arial"/>
                  <w:sz w:val="13"/>
                  <w:szCs w:val="13"/>
                  <w:color w:val="0000EE"/>
                  <w:w w:val="92"/>
                </w:rPr>
                <w:t>Meetings and Board Committees</w:t>
              </w:r>
            </w:hyperlink>
          </w:p>
        </w:tc>
        <w:tc>
          <w:tcPr>
            <w:tcW w:w="7720" w:type="dxa"/>
            <w:vAlign w:val="bottom"/>
            <w:gridSpan w:val="14"/>
          </w:tcPr>
          <w:p>
            <w:pPr>
              <w:spacing w:after="0"/>
              <w:rPr>
                <w:sz w:val="12"/>
                <w:szCs w:val="12"/>
                <w:color w:val="auto"/>
              </w:rPr>
            </w:pPr>
          </w:p>
        </w:tc>
        <w:tc>
          <w:tcPr>
            <w:tcW w:w="340" w:type="dxa"/>
            <w:vAlign w:val="bottom"/>
          </w:tcPr>
          <w:p>
            <w:pPr>
              <w:jc w:val="right"/>
              <w:spacing w:after="0" w:line="141" w:lineRule="exact"/>
              <w:rPr>
                <w:sz w:val="20"/>
                <w:szCs w:val="20"/>
                <w:color w:val="auto"/>
              </w:rPr>
            </w:pPr>
            <w:r>
              <w:rPr>
                <w:rFonts w:ascii="Arial" w:cs="Arial" w:eastAsia="Arial" w:hAnsi="Arial"/>
                <w:sz w:val="13"/>
                <w:szCs w:val="13"/>
                <w:color w:val="auto"/>
              </w:rPr>
              <w:t>6</w:t>
            </w:r>
          </w:p>
        </w:tc>
        <w:tc>
          <w:tcPr>
            <w:tcW w:w="800" w:type="dxa"/>
            <w:vAlign w:val="bottom"/>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Borders>
              <w:bottom w:val="single" w:sz="8" w:color="0000EE"/>
            </w:tcBorders>
            <w:gridSpan w:val="6"/>
          </w:tcPr>
          <w:p>
            <w:pPr>
              <w:spacing w:after="0" w:line="141" w:lineRule="exact"/>
              <w:rPr>
                <w:rFonts w:ascii="Arial" w:cs="Arial" w:eastAsia="Arial" w:hAnsi="Arial"/>
                <w:sz w:val="13"/>
                <w:szCs w:val="13"/>
                <w:color w:val="0000EE"/>
                <w:w w:val="95"/>
              </w:rPr>
            </w:pPr>
            <w:hyperlink w:anchor="page11">
              <w:r>
                <w:rPr>
                  <w:rFonts w:ascii="Arial" w:cs="Arial" w:eastAsia="Arial" w:hAnsi="Arial"/>
                  <w:sz w:val="13"/>
                  <w:szCs w:val="13"/>
                  <w:color w:val="0000EE"/>
                  <w:w w:val="95"/>
                </w:rPr>
                <w:t>Audit Committee Report</w:t>
              </w:r>
            </w:hyperlink>
          </w:p>
        </w:tc>
        <w:tc>
          <w:tcPr>
            <w:tcW w:w="8160" w:type="dxa"/>
            <w:vAlign w:val="bottom"/>
            <w:gridSpan w:val="18"/>
          </w:tcPr>
          <w:p>
            <w:pPr>
              <w:spacing w:after="0"/>
              <w:rPr>
                <w:sz w:val="12"/>
                <w:szCs w:val="12"/>
                <w:color w:val="auto"/>
              </w:rPr>
            </w:pPr>
          </w:p>
        </w:tc>
        <w:tc>
          <w:tcPr>
            <w:tcW w:w="340" w:type="dxa"/>
            <w:vAlign w:val="bottom"/>
          </w:tcPr>
          <w:p>
            <w:pPr>
              <w:jc w:val="right"/>
              <w:spacing w:after="0" w:line="141" w:lineRule="exact"/>
              <w:rPr>
                <w:sz w:val="20"/>
                <w:szCs w:val="20"/>
                <w:color w:val="auto"/>
              </w:rPr>
            </w:pPr>
            <w:r>
              <w:rPr>
                <w:rFonts w:ascii="Arial" w:cs="Arial" w:eastAsia="Arial" w:hAnsi="Arial"/>
                <w:sz w:val="13"/>
                <w:szCs w:val="13"/>
                <w:color w:val="auto"/>
              </w:rPr>
              <w:t>7</w:t>
            </w:r>
          </w:p>
        </w:tc>
        <w:tc>
          <w:tcPr>
            <w:tcW w:w="800" w:type="dxa"/>
            <w:vAlign w:val="bottom"/>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500" w:type="dxa"/>
            <w:vAlign w:val="bottom"/>
            <w:gridSpan w:val="24"/>
          </w:tcPr>
          <w:p>
            <w:pPr>
              <w:spacing w:after="0" w:line="141" w:lineRule="exact"/>
              <w:rPr>
                <w:rFonts w:ascii="Arial" w:cs="Arial" w:eastAsia="Arial" w:hAnsi="Arial"/>
                <w:sz w:val="13"/>
                <w:szCs w:val="13"/>
                <w:color w:val="0000EE"/>
              </w:rPr>
            </w:pPr>
            <w:hyperlink w:anchor="page13">
              <w:r>
                <w:rPr>
                  <w:rFonts w:ascii="Arial" w:cs="Arial" w:eastAsia="Arial" w:hAnsi="Arial"/>
                  <w:sz w:val="13"/>
                  <w:szCs w:val="13"/>
                  <w:color w:val="0000EE"/>
                </w:rPr>
                <w:t>Compensation Committee Report</w:t>
              </w:r>
            </w:hyperlink>
          </w:p>
        </w:tc>
        <w:tc>
          <w:tcPr>
            <w:tcW w:w="340" w:type="dxa"/>
            <w:vAlign w:val="bottom"/>
          </w:tcPr>
          <w:p>
            <w:pPr>
              <w:jc w:val="right"/>
              <w:spacing w:after="0" w:line="141" w:lineRule="exact"/>
              <w:rPr>
                <w:sz w:val="20"/>
                <w:szCs w:val="20"/>
                <w:color w:val="auto"/>
              </w:rPr>
            </w:pPr>
            <w:r>
              <w:rPr>
                <w:rFonts w:ascii="Arial" w:cs="Arial" w:eastAsia="Arial" w:hAnsi="Arial"/>
                <w:sz w:val="13"/>
                <w:szCs w:val="13"/>
                <w:color w:val="auto"/>
              </w:rPr>
              <w:t>9</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1"/>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340" w:type="dxa"/>
            <w:vAlign w:val="bottom"/>
            <w:tcBorders>
              <w:bottom w:val="single" w:sz="8" w:color="0000EE"/>
            </w:tcBorders>
            <w:gridSpan w:val="18"/>
          </w:tcPr>
          <w:p>
            <w:pPr>
              <w:spacing w:after="0" w:line="141" w:lineRule="exact"/>
              <w:rPr>
                <w:rFonts w:ascii="Arial" w:cs="Arial" w:eastAsia="Arial" w:hAnsi="Arial"/>
                <w:sz w:val="13"/>
                <w:szCs w:val="13"/>
                <w:color w:val="0000EE"/>
                <w:w w:val="94"/>
              </w:rPr>
            </w:pPr>
            <w:hyperlink w:anchor="page13">
              <w:r>
                <w:rPr>
                  <w:rFonts w:ascii="Arial" w:cs="Arial" w:eastAsia="Arial" w:hAnsi="Arial"/>
                  <w:sz w:val="13"/>
                  <w:szCs w:val="13"/>
                  <w:color w:val="0000EE"/>
                  <w:w w:val="94"/>
                </w:rPr>
                <w:t>Compensation Committee Interlocks and Insider Participation</w:t>
              </w:r>
            </w:hyperlink>
          </w:p>
        </w:tc>
        <w:tc>
          <w:tcPr>
            <w:tcW w:w="6160" w:type="dxa"/>
            <w:vAlign w:val="bottom"/>
            <w:gridSpan w:val="6"/>
          </w:tcPr>
          <w:p>
            <w:pPr>
              <w:spacing w:after="0"/>
              <w:rPr>
                <w:sz w:val="12"/>
                <w:szCs w:val="12"/>
                <w:color w:val="auto"/>
              </w:rPr>
            </w:pPr>
          </w:p>
        </w:tc>
        <w:tc>
          <w:tcPr>
            <w:tcW w:w="340" w:type="dxa"/>
            <w:vAlign w:val="bottom"/>
          </w:tcPr>
          <w:p>
            <w:pPr>
              <w:jc w:val="right"/>
              <w:spacing w:after="0" w:line="141" w:lineRule="exact"/>
              <w:rPr>
                <w:sz w:val="20"/>
                <w:szCs w:val="20"/>
                <w:color w:val="auto"/>
              </w:rPr>
            </w:pPr>
            <w:r>
              <w:rPr>
                <w:rFonts w:ascii="Arial" w:cs="Arial" w:eastAsia="Arial" w:hAnsi="Arial"/>
                <w:sz w:val="13"/>
                <w:szCs w:val="13"/>
                <w:color w:val="auto"/>
              </w:rPr>
              <w:t>9</w:t>
            </w:r>
          </w:p>
        </w:tc>
        <w:tc>
          <w:tcPr>
            <w:tcW w:w="800" w:type="dxa"/>
            <w:vAlign w:val="bottom"/>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500" w:type="dxa"/>
            <w:vAlign w:val="bottom"/>
            <w:gridSpan w:val="24"/>
          </w:tcPr>
          <w:p>
            <w:pPr>
              <w:spacing w:after="0" w:line="141" w:lineRule="exact"/>
              <w:rPr>
                <w:rFonts w:ascii="Arial" w:cs="Arial" w:eastAsia="Arial" w:hAnsi="Arial"/>
                <w:sz w:val="13"/>
                <w:szCs w:val="13"/>
                <w:color w:val="0000EE"/>
              </w:rPr>
            </w:pPr>
            <w:hyperlink w:anchor="page15">
              <w:r>
                <w:rPr>
                  <w:rFonts w:ascii="Arial" w:cs="Arial" w:eastAsia="Arial" w:hAnsi="Arial"/>
                  <w:sz w:val="13"/>
                  <w:szCs w:val="13"/>
                  <w:color w:val="0000EE"/>
                </w:rPr>
                <w:t>Related Party Transactions</w:t>
              </w:r>
            </w:hyperlink>
          </w:p>
        </w:tc>
        <w:tc>
          <w:tcPr>
            <w:tcW w:w="340" w:type="dxa"/>
            <w:vAlign w:val="bottom"/>
          </w:tcPr>
          <w:p>
            <w:pPr>
              <w:jc w:val="right"/>
              <w:spacing w:after="0" w:line="141" w:lineRule="exact"/>
              <w:rPr>
                <w:sz w:val="20"/>
                <w:szCs w:val="20"/>
                <w:color w:val="auto"/>
              </w:rPr>
            </w:pPr>
            <w:r>
              <w:rPr>
                <w:rFonts w:ascii="Arial" w:cs="Arial" w:eastAsia="Arial" w:hAnsi="Arial"/>
                <w:sz w:val="13"/>
                <w:szCs w:val="13"/>
                <w:color w:val="auto"/>
              </w:rPr>
              <w:t>11</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1"/>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500" w:type="dxa"/>
            <w:vAlign w:val="bottom"/>
            <w:gridSpan w:val="24"/>
          </w:tcPr>
          <w:p>
            <w:pPr>
              <w:spacing w:after="0" w:line="141" w:lineRule="exact"/>
              <w:rPr>
                <w:rFonts w:ascii="Arial" w:cs="Arial" w:eastAsia="Arial" w:hAnsi="Arial"/>
                <w:sz w:val="13"/>
                <w:szCs w:val="13"/>
                <w:color w:val="0000EE"/>
              </w:rPr>
            </w:pPr>
            <w:hyperlink w:anchor="page16">
              <w:r>
                <w:rPr>
                  <w:rFonts w:ascii="Arial" w:cs="Arial" w:eastAsia="Arial" w:hAnsi="Arial"/>
                  <w:sz w:val="13"/>
                  <w:szCs w:val="13"/>
                  <w:color w:val="0000EE"/>
                </w:rPr>
                <w:t>Board of Directors Governing Documents</w:t>
              </w:r>
            </w:hyperlink>
          </w:p>
        </w:tc>
        <w:tc>
          <w:tcPr>
            <w:tcW w:w="340" w:type="dxa"/>
            <w:vAlign w:val="bottom"/>
          </w:tcPr>
          <w:p>
            <w:pPr>
              <w:jc w:val="right"/>
              <w:spacing w:after="0" w:line="141" w:lineRule="exact"/>
              <w:rPr>
                <w:sz w:val="20"/>
                <w:szCs w:val="20"/>
                <w:color w:val="auto"/>
              </w:rPr>
            </w:pPr>
            <w:r>
              <w:rPr>
                <w:rFonts w:ascii="Arial" w:cs="Arial" w:eastAsia="Arial" w:hAnsi="Arial"/>
                <w:sz w:val="13"/>
                <w:szCs w:val="13"/>
                <w:color w:val="auto"/>
              </w:rPr>
              <w:t>12</w:t>
            </w:r>
          </w:p>
        </w:tc>
        <w:tc>
          <w:tcPr>
            <w:tcW w:w="800" w:type="dxa"/>
            <w:vAlign w:val="bottom"/>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20" w:type="dxa"/>
            <w:vAlign w:val="bottom"/>
            <w:tcBorders>
              <w:top w:val="single" w:sz="8" w:color="0000EE"/>
              <w:bottom w:val="single" w:sz="8" w:color="0000EE"/>
            </w:tcBorders>
            <w:gridSpan w:val="12"/>
          </w:tcPr>
          <w:p>
            <w:pPr>
              <w:spacing w:after="0" w:line="141" w:lineRule="exact"/>
              <w:rPr>
                <w:rFonts w:ascii="Arial" w:cs="Arial" w:eastAsia="Arial" w:hAnsi="Arial"/>
                <w:sz w:val="13"/>
                <w:szCs w:val="13"/>
                <w:color w:val="0000EE"/>
                <w:w w:val="94"/>
              </w:rPr>
            </w:pPr>
            <w:hyperlink w:anchor="page16">
              <w:r>
                <w:rPr>
                  <w:rFonts w:ascii="Arial" w:cs="Arial" w:eastAsia="Arial" w:hAnsi="Arial"/>
                  <w:sz w:val="13"/>
                  <w:szCs w:val="13"/>
                  <w:color w:val="0000EE"/>
                  <w:w w:val="94"/>
                </w:rPr>
                <w:t>Non-Employee Director Compensation</w:t>
              </w:r>
            </w:hyperlink>
          </w:p>
        </w:tc>
        <w:tc>
          <w:tcPr>
            <w:tcW w:w="140" w:type="dxa"/>
            <w:vAlign w:val="bottom"/>
            <w:tcBorders>
              <w:top w:val="single" w:sz="8" w:color="0000EE"/>
            </w:tcBorders>
            <w:gridSpan w:val="2"/>
          </w:tcPr>
          <w:p>
            <w:pPr>
              <w:spacing w:after="0"/>
              <w:rPr>
                <w:sz w:val="12"/>
                <w:szCs w:val="12"/>
                <w:color w:val="auto"/>
              </w:rPr>
            </w:pPr>
          </w:p>
        </w:tc>
        <w:tc>
          <w:tcPr>
            <w:tcW w:w="7240" w:type="dxa"/>
            <w:vAlign w:val="bottom"/>
            <w:gridSpan w:val="10"/>
          </w:tcPr>
          <w:p>
            <w:pPr>
              <w:spacing w:after="0"/>
              <w:rPr>
                <w:sz w:val="12"/>
                <w:szCs w:val="12"/>
                <w:color w:val="auto"/>
              </w:rPr>
            </w:pPr>
          </w:p>
        </w:tc>
        <w:tc>
          <w:tcPr>
            <w:tcW w:w="340" w:type="dxa"/>
            <w:vAlign w:val="bottom"/>
          </w:tcPr>
          <w:p>
            <w:pPr>
              <w:jc w:val="right"/>
              <w:spacing w:after="0" w:line="141" w:lineRule="exact"/>
              <w:rPr>
                <w:sz w:val="20"/>
                <w:szCs w:val="20"/>
                <w:color w:val="auto"/>
              </w:rPr>
            </w:pPr>
            <w:r>
              <w:rPr>
                <w:rFonts w:ascii="Arial" w:cs="Arial" w:eastAsia="Arial" w:hAnsi="Arial"/>
                <w:sz w:val="13"/>
                <w:szCs w:val="13"/>
                <w:color w:val="auto"/>
              </w:rPr>
              <w:t>12</w:t>
            </w:r>
          </w:p>
        </w:tc>
        <w:tc>
          <w:tcPr>
            <w:tcW w:w="800" w:type="dxa"/>
            <w:vAlign w:val="bottom"/>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20" w:type="dxa"/>
            <w:vAlign w:val="bottom"/>
            <w:tcBorders>
              <w:bottom w:val="single" w:sz="8" w:color="0000EE"/>
            </w:tcBorders>
            <w:gridSpan w:val="16"/>
          </w:tcPr>
          <w:p>
            <w:pPr>
              <w:spacing w:after="0" w:line="141" w:lineRule="exact"/>
              <w:rPr>
                <w:rFonts w:ascii="Arial" w:cs="Arial" w:eastAsia="Arial" w:hAnsi="Arial"/>
                <w:sz w:val="13"/>
                <w:szCs w:val="13"/>
                <w:color w:val="0000EE"/>
                <w:w w:val="95"/>
              </w:rPr>
            </w:pPr>
            <w:hyperlink w:anchor="page18">
              <w:r>
                <w:rPr>
                  <w:rFonts w:ascii="Arial" w:cs="Arial" w:eastAsia="Arial" w:hAnsi="Arial"/>
                  <w:sz w:val="13"/>
                  <w:szCs w:val="13"/>
                  <w:color w:val="0000EE"/>
                  <w:w w:val="95"/>
                </w:rPr>
                <w:t>Election of Directors (Item 1 on the Proxy Card)</w:t>
              </w:r>
            </w:hyperlink>
          </w:p>
        </w:tc>
        <w:tc>
          <w:tcPr>
            <w:tcW w:w="6880" w:type="dxa"/>
            <w:vAlign w:val="bottom"/>
            <w:gridSpan w:val="8"/>
          </w:tcPr>
          <w:p>
            <w:pPr>
              <w:spacing w:after="0"/>
              <w:rPr>
                <w:sz w:val="12"/>
                <w:szCs w:val="12"/>
                <w:color w:val="auto"/>
              </w:rPr>
            </w:pPr>
          </w:p>
        </w:tc>
        <w:tc>
          <w:tcPr>
            <w:tcW w:w="340" w:type="dxa"/>
            <w:vAlign w:val="bottom"/>
          </w:tcPr>
          <w:p>
            <w:pPr>
              <w:jc w:val="right"/>
              <w:spacing w:after="0" w:line="141" w:lineRule="exact"/>
              <w:rPr>
                <w:sz w:val="20"/>
                <w:szCs w:val="20"/>
                <w:color w:val="auto"/>
              </w:rPr>
            </w:pPr>
            <w:r>
              <w:rPr>
                <w:rFonts w:ascii="Arial" w:cs="Arial" w:eastAsia="Arial" w:hAnsi="Arial"/>
                <w:sz w:val="13"/>
                <w:szCs w:val="13"/>
                <w:color w:val="auto"/>
              </w:rPr>
              <w:t>14</w:t>
            </w:r>
          </w:p>
        </w:tc>
        <w:tc>
          <w:tcPr>
            <w:tcW w:w="800" w:type="dxa"/>
            <w:vAlign w:val="bottom"/>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2600" w:type="dxa"/>
            <w:vAlign w:val="bottom"/>
            <w:tcBorders>
              <w:bottom w:val="single" w:sz="8" w:color="0000EE"/>
            </w:tcBorders>
            <w:gridSpan w:val="16"/>
          </w:tcPr>
          <w:p>
            <w:pPr>
              <w:spacing w:after="0" w:line="141" w:lineRule="exact"/>
              <w:rPr>
                <w:rFonts w:ascii="Arial" w:cs="Arial" w:eastAsia="Arial" w:hAnsi="Arial"/>
                <w:sz w:val="13"/>
                <w:szCs w:val="13"/>
                <w:color w:val="0000EE"/>
                <w:w w:val="95"/>
              </w:rPr>
            </w:pPr>
            <w:hyperlink w:anchor="page18">
              <w:r>
                <w:rPr>
                  <w:rFonts w:ascii="Arial" w:cs="Arial" w:eastAsia="Arial" w:hAnsi="Arial"/>
                  <w:sz w:val="13"/>
                  <w:szCs w:val="13"/>
                  <w:color w:val="0000EE"/>
                  <w:w w:val="95"/>
                </w:rPr>
                <w:t>Director Nominee and Officer Stock Ownership</w:t>
              </w:r>
            </w:hyperlink>
          </w:p>
        </w:tc>
        <w:tc>
          <w:tcPr>
            <w:tcW w:w="7040" w:type="dxa"/>
            <w:vAlign w:val="bottom"/>
            <w:gridSpan w:val="9"/>
          </w:tcPr>
          <w:p>
            <w:pPr>
              <w:spacing w:after="0"/>
              <w:rPr>
                <w:sz w:val="12"/>
                <w:szCs w:val="12"/>
                <w:color w:val="auto"/>
              </w:rPr>
            </w:pPr>
          </w:p>
        </w:tc>
        <w:tc>
          <w:tcPr>
            <w:tcW w:w="340" w:type="dxa"/>
            <w:vAlign w:val="bottom"/>
          </w:tcPr>
          <w:p>
            <w:pPr>
              <w:jc w:val="right"/>
              <w:spacing w:after="0" w:line="141" w:lineRule="exact"/>
              <w:rPr>
                <w:sz w:val="20"/>
                <w:szCs w:val="20"/>
                <w:color w:val="auto"/>
              </w:rPr>
            </w:pPr>
            <w:r>
              <w:rPr>
                <w:rFonts w:ascii="Arial" w:cs="Arial" w:eastAsia="Arial" w:hAnsi="Arial"/>
                <w:sz w:val="13"/>
                <w:szCs w:val="13"/>
                <w:color w:val="auto"/>
              </w:rPr>
              <w:t>16</w:t>
            </w:r>
          </w:p>
        </w:tc>
        <w:tc>
          <w:tcPr>
            <w:tcW w:w="800" w:type="dxa"/>
            <w:vAlign w:val="bottom"/>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9640" w:type="dxa"/>
            <w:vAlign w:val="bottom"/>
            <w:gridSpan w:val="25"/>
          </w:tcPr>
          <w:p>
            <w:pPr>
              <w:spacing w:after="0" w:line="141" w:lineRule="exact"/>
              <w:rPr>
                <w:rFonts w:ascii="Arial" w:cs="Arial" w:eastAsia="Arial" w:hAnsi="Arial"/>
                <w:sz w:val="13"/>
                <w:szCs w:val="13"/>
                <w:color w:val="0000EE"/>
              </w:rPr>
            </w:pPr>
            <w:hyperlink w:anchor="page22">
              <w:r>
                <w:rPr>
                  <w:rFonts w:ascii="Arial" w:cs="Arial" w:eastAsia="Arial" w:hAnsi="Arial"/>
                  <w:sz w:val="13"/>
                  <w:szCs w:val="13"/>
                  <w:color w:val="0000EE"/>
                </w:rPr>
                <w:t>Persons Owning More than 5% of Waste Management Common Stock</w:t>
              </w:r>
            </w:hyperlink>
          </w:p>
        </w:tc>
        <w:tc>
          <w:tcPr>
            <w:tcW w:w="340" w:type="dxa"/>
            <w:vAlign w:val="bottom"/>
          </w:tcPr>
          <w:p>
            <w:pPr>
              <w:jc w:val="right"/>
              <w:spacing w:after="0" w:line="141" w:lineRule="exact"/>
              <w:rPr>
                <w:sz w:val="20"/>
                <w:szCs w:val="20"/>
                <w:color w:val="auto"/>
              </w:rPr>
            </w:pPr>
            <w:r>
              <w:rPr>
                <w:rFonts w:ascii="Arial" w:cs="Arial" w:eastAsia="Arial" w:hAnsi="Arial"/>
                <w:sz w:val="13"/>
                <w:szCs w:val="13"/>
                <w:color w:val="auto"/>
              </w:rPr>
              <w:t>18</w:t>
            </w:r>
          </w:p>
        </w:tc>
        <w:tc>
          <w:tcPr>
            <w:tcW w:w="800" w:type="dxa"/>
            <w:vAlign w:val="bottom"/>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3800" w:type="dxa"/>
            <w:vAlign w:val="bottom"/>
            <w:tcBorders>
              <w:top w:val="single" w:sz="8" w:color="0000EE"/>
            </w:tcBorders>
            <w:gridSpan w:val="20"/>
          </w:tcPr>
          <w:p>
            <w:pPr>
              <w:spacing w:after="0" w:line="141" w:lineRule="exact"/>
              <w:rPr>
                <w:rFonts w:ascii="Arial" w:cs="Arial" w:eastAsia="Arial" w:hAnsi="Arial"/>
                <w:sz w:val="13"/>
                <w:szCs w:val="13"/>
                <w:color w:val="0000EE"/>
              </w:rPr>
            </w:pPr>
            <w:hyperlink w:anchor="page22">
              <w:r>
                <w:rPr>
                  <w:rFonts w:ascii="Arial" w:cs="Arial" w:eastAsia="Arial" w:hAnsi="Arial"/>
                  <w:sz w:val="13"/>
                  <w:szCs w:val="13"/>
                  <w:color w:val="0000EE"/>
                </w:rPr>
                <w:t>Section 16(a) Beneficial Ownership Reporting Compliance</w:t>
              </w:r>
            </w:hyperlink>
          </w:p>
        </w:tc>
        <w:tc>
          <w:tcPr>
            <w:tcW w:w="5840" w:type="dxa"/>
            <w:vAlign w:val="bottom"/>
            <w:gridSpan w:val="5"/>
          </w:tcPr>
          <w:p>
            <w:pPr>
              <w:spacing w:after="0"/>
              <w:rPr>
                <w:sz w:val="12"/>
                <w:szCs w:val="12"/>
                <w:color w:val="auto"/>
              </w:rPr>
            </w:pPr>
          </w:p>
        </w:tc>
        <w:tc>
          <w:tcPr>
            <w:tcW w:w="340" w:type="dxa"/>
            <w:vAlign w:val="bottom"/>
          </w:tcPr>
          <w:p>
            <w:pPr>
              <w:jc w:val="right"/>
              <w:spacing w:after="0" w:line="141" w:lineRule="exact"/>
              <w:rPr>
                <w:sz w:val="20"/>
                <w:szCs w:val="20"/>
                <w:color w:val="auto"/>
              </w:rPr>
            </w:pPr>
            <w:r>
              <w:rPr>
                <w:rFonts w:ascii="Arial" w:cs="Arial" w:eastAsia="Arial" w:hAnsi="Arial"/>
                <w:sz w:val="13"/>
                <w:szCs w:val="13"/>
                <w:color w:val="auto"/>
              </w:rPr>
              <w:t>18</w:t>
            </w:r>
          </w:p>
        </w:tc>
        <w:tc>
          <w:tcPr>
            <w:tcW w:w="800" w:type="dxa"/>
            <w:vAlign w:val="bottom"/>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1020" w:type="dxa"/>
            <w:vAlign w:val="bottom"/>
            <w:tcBorders>
              <w:top w:val="single" w:sz="8" w:color="0000EE"/>
              <w:bottom w:val="single" w:sz="8" w:color="0000EE"/>
            </w:tcBorders>
            <w:gridSpan w:val="3"/>
          </w:tcPr>
          <w:p>
            <w:pPr>
              <w:spacing w:after="0" w:line="141" w:lineRule="exact"/>
              <w:rPr>
                <w:rFonts w:ascii="Arial" w:cs="Arial" w:eastAsia="Arial" w:hAnsi="Arial"/>
                <w:sz w:val="13"/>
                <w:szCs w:val="13"/>
                <w:color w:val="0000EE"/>
                <w:w w:val="95"/>
              </w:rPr>
            </w:pPr>
            <w:hyperlink w:anchor="page23">
              <w:r>
                <w:rPr>
                  <w:rFonts w:ascii="Arial" w:cs="Arial" w:eastAsia="Arial" w:hAnsi="Arial"/>
                  <w:sz w:val="13"/>
                  <w:szCs w:val="13"/>
                  <w:color w:val="0000EE"/>
                  <w:w w:val="95"/>
                </w:rPr>
                <w:t>Executive Officers</w:t>
              </w:r>
            </w:hyperlink>
          </w:p>
        </w:tc>
        <w:tc>
          <w:tcPr>
            <w:tcW w:w="2160" w:type="dxa"/>
            <w:vAlign w:val="bottom"/>
            <w:tcBorders>
              <w:top w:val="single" w:sz="8" w:color="0000EE"/>
            </w:tcBorders>
            <w:gridSpan w:val="15"/>
          </w:tcPr>
          <w:p>
            <w:pPr>
              <w:spacing w:after="0"/>
              <w:rPr>
                <w:sz w:val="12"/>
                <w:szCs w:val="12"/>
                <w:color w:val="auto"/>
              </w:rPr>
            </w:pPr>
          </w:p>
        </w:tc>
        <w:tc>
          <w:tcPr>
            <w:tcW w:w="6460" w:type="dxa"/>
            <w:vAlign w:val="bottom"/>
            <w:gridSpan w:val="7"/>
          </w:tcPr>
          <w:p>
            <w:pPr>
              <w:spacing w:after="0"/>
              <w:rPr>
                <w:sz w:val="12"/>
                <w:szCs w:val="12"/>
                <w:color w:val="auto"/>
              </w:rPr>
            </w:pPr>
          </w:p>
        </w:tc>
        <w:tc>
          <w:tcPr>
            <w:tcW w:w="340" w:type="dxa"/>
            <w:vAlign w:val="bottom"/>
          </w:tcPr>
          <w:p>
            <w:pPr>
              <w:jc w:val="right"/>
              <w:spacing w:after="0" w:line="141" w:lineRule="exact"/>
              <w:rPr>
                <w:sz w:val="20"/>
                <w:szCs w:val="20"/>
                <w:color w:val="auto"/>
              </w:rPr>
            </w:pPr>
            <w:r>
              <w:rPr>
                <w:rFonts w:ascii="Arial" w:cs="Arial" w:eastAsia="Arial" w:hAnsi="Arial"/>
                <w:sz w:val="13"/>
                <w:szCs w:val="13"/>
                <w:color w:val="auto"/>
              </w:rPr>
              <w:t>19</w:t>
            </w:r>
          </w:p>
        </w:tc>
        <w:tc>
          <w:tcPr>
            <w:tcW w:w="800" w:type="dxa"/>
            <w:vAlign w:val="bottom"/>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1360" w:type="dxa"/>
            <w:vAlign w:val="bottom"/>
            <w:tcBorders>
              <w:bottom w:val="single" w:sz="8" w:color="0000EE"/>
            </w:tcBorders>
            <w:gridSpan w:val="5"/>
          </w:tcPr>
          <w:p>
            <w:pPr>
              <w:spacing w:after="0" w:line="141" w:lineRule="exact"/>
              <w:rPr>
                <w:rFonts w:ascii="Arial" w:cs="Arial" w:eastAsia="Arial" w:hAnsi="Arial"/>
                <w:sz w:val="13"/>
                <w:szCs w:val="13"/>
                <w:color w:val="0000EE"/>
                <w:w w:val="93"/>
              </w:rPr>
            </w:pPr>
            <w:hyperlink w:anchor="page24">
              <w:r>
                <w:rPr>
                  <w:rFonts w:ascii="Arial" w:cs="Arial" w:eastAsia="Arial" w:hAnsi="Arial"/>
                  <w:sz w:val="13"/>
                  <w:szCs w:val="13"/>
                  <w:color w:val="0000EE"/>
                  <w:w w:val="93"/>
                </w:rPr>
                <w:t>Executive Compensation</w:t>
              </w:r>
            </w:hyperlink>
          </w:p>
        </w:tc>
        <w:tc>
          <w:tcPr>
            <w:tcW w:w="8280" w:type="dxa"/>
            <w:vAlign w:val="bottom"/>
            <w:gridSpan w:val="20"/>
          </w:tcPr>
          <w:p>
            <w:pPr>
              <w:spacing w:after="0"/>
              <w:rPr>
                <w:sz w:val="12"/>
                <w:szCs w:val="12"/>
                <w:color w:val="auto"/>
              </w:rPr>
            </w:pPr>
          </w:p>
        </w:tc>
        <w:tc>
          <w:tcPr>
            <w:tcW w:w="340" w:type="dxa"/>
            <w:vAlign w:val="bottom"/>
          </w:tcPr>
          <w:p>
            <w:pPr>
              <w:jc w:val="right"/>
              <w:spacing w:after="0" w:line="141" w:lineRule="exact"/>
              <w:rPr>
                <w:sz w:val="20"/>
                <w:szCs w:val="20"/>
                <w:color w:val="auto"/>
              </w:rPr>
            </w:pPr>
            <w:r>
              <w:rPr>
                <w:rFonts w:ascii="Arial" w:cs="Arial" w:eastAsia="Arial" w:hAnsi="Arial"/>
                <w:sz w:val="13"/>
                <w:szCs w:val="13"/>
                <w:color w:val="auto"/>
              </w:rPr>
              <w:t>20</w:t>
            </w:r>
          </w:p>
        </w:tc>
        <w:tc>
          <w:tcPr>
            <w:tcW w:w="800" w:type="dxa"/>
            <w:vAlign w:val="bottom"/>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40" w:type="dxa"/>
            <w:vAlign w:val="bottom"/>
            <w:tcBorders>
              <w:bottom w:val="single" w:sz="8" w:color="0000EE"/>
            </w:tcBorders>
            <w:gridSpan w:val="13"/>
          </w:tcPr>
          <w:p>
            <w:pPr>
              <w:spacing w:after="0" w:line="141" w:lineRule="exact"/>
              <w:rPr>
                <w:rFonts w:ascii="Arial" w:cs="Arial" w:eastAsia="Arial" w:hAnsi="Arial"/>
                <w:sz w:val="13"/>
                <w:szCs w:val="13"/>
                <w:color w:val="0000EE"/>
                <w:w w:val="93"/>
              </w:rPr>
            </w:pPr>
            <w:hyperlink w:anchor="page24">
              <w:r>
                <w:rPr>
                  <w:rFonts w:ascii="Arial" w:cs="Arial" w:eastAsia="Arial" w:hAnsi="Arial"/>
                  <w:sz w:val="13"/>
                  <w:szCs w:val="13"/>
                  <w:color w:val="0000EE"/>
                  <w:w w:val="93"/>
                </w:rPr>
                <w:t>Compensation Discussion and Analysis</w:t>
              </w:r>
            </w:hyperlink>
          </w:p>
        </w:tc>
        <w:tc>
          <w:tcPr>
            <w:tcW w:w="7360" w:type="dxa"/>
            <w:vAlign w:val="bottom"/>
            <w:gridSpan w:val="11"/>
          </w:tcPr>
          <w:p>
            <w:pPr>
              <w:spacing w:after="0"/>
              <w:rPr>
                <w:sz w:val="12"/>
                <w:szCs w:val="12"/>
                <w:color w:val="auto"/>
              </w:rPr>
            </w:pPr>
          </w:p>
        </w:tc>
        <w:tc>
          <w:tcPr>
            <w:tcW w:w="340" w:type="dxa"/>
            <w:vAlign w:val="bottom"/>
          </w:tcPr>
          <w:p>
            <w:pPr>
              <w:jc w:val="right"/>
              <w:spacing w:after="0" w:line="141" w:lineRule="exact"/>
              <w:rPr>
                <w:sz w:val="20"/>
                <w:szCs w:val="20"/>
                <w:color w:val="auto"/>
              </w:rPr>
            </w:pPr>
            <w:r>
              <w:rPr>
                <w:rFonts w:ascii="Arial" w:cs="Arial" w:eastAsia="Arial" w:hAnsi="Arial"/>
                <w:sz w:val="13"/>
                <w:szCs w:val="13"/>
                <w:color w:val="auto"/>
              </w:rPr>
              <w:t>20</w:t>
            </w:r>
          </w:p>
        </w:tc>
        <w:tc>
          <w:tcPr>
            <w:tcW w:w="800" w:type="dxa"/>
            <w:vAlign w:val="bottom"/>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tcBorders>
              <w:bottom w:val="single" w:sz="8" w:color="0000EE"/>
            </w:tcBorders>
            <w:gridSpan w:val="9"/>
          </w:tcPr>
          <w:p>
            <w:pPr>
              <w:spacing w:after="0" w:line="141" w:lineRule="exact"/>
              <w:rPr>
                <w:rFonts w:ascii="Arial" w:cs="Arial" w:eastAsia="Arial" w:hAnsi="Arial"/>
                <w:sz w:val="13"/>
                <w:szCs w:val="13"/>
                <w:color w:val="0000EE"/>
                <w:w w:val="92"/>
              </w:rPr>
            </w:pPr>
            <w:hyperlink w:anchor="page34">
              <w:r>
                <w:rPr>
                  <w:rFonts w:ascii="Arial" w:cs="Arial" w:eastAsia="Arial" w:hAnsi="Arial"/>
                  <w:sz w:val="13"/>
                  <w:szCs w:val="13"/>
                  <w:color w:val="0000EE"/>
                  <w:w w:val="92"/>
                </w:rPr>
                <w:t>Executive Compensation Tables</w:t>
              </w:r>
            </w:hyperlink>
          </w:p>
        </w:tc>
        <w:tc>
          <w:tcPr>
            <w:tcW w:w="7760" w:type="dxa"/>
            <w:vAlign w:val="bottom"/>
            <w:gridSpan w:val="15"/>
          </w:tcPr>
          <w:p>
            <w:pPr>
              <w:spacing w:after="0"/>
              <w:rPr>
                <w:sz w:val="12"/>
                <w:szCs w:val="12"/>
                <w:color w:val="auto"/>
              </w:rPr>
            </w:pPr>
          </w:p>
        </w:tc>
        <w:tc>
          <w:tcPr>
            <w:tcW w:w="340" w:type="dxa"/>
            <w:vAlign w:val="bottom"/>
          </w:tcPr>
          <w:p>
            <w:pPr>
              <w:jc w:val="right"/>
              <w:spacing w:after="0" w:line="141" w:lineRule="exact"/>
              <w:rPr>
                <w:sz w:val="20"/>
                <w:szCs w:val="20"/>
                <w:color w:val="auto"/>
              </w:rPr>
            </w:pPr>
            <w:r>
              <w:rPr>
                <w:rFonts w:ascii="Arial" w:cs="Arial" w:eastAsia="Arial" w:hAnsi="Arial"/>
                <w:sz w:val="13"/>
                <w:szCs w:val="13"/>
                <w:color w:val="auto"/>
              </w:rPr>
              <w:t>30</w:t>
            </w:r>
          </w:p>
        </w:tc>
        <w:tc>
          <w:tcPr>
            <w:tcW w:w="800" w:type="dxa"/>
            <w:vAlign w:val="bottom"/>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9640" w:type="dxa"/>
            <w:vAlign w:val="bottom"/>
            <w:gridSpan w:val="25"/>
          </w:tcPr>
          <w:p>
            <w:pPr>
              <w:spacing w:after="0" w:line="141" w:lineRule="exact"/>
              <w:rPr>
                <w:rFonts w:ascii="Arial" w:cs="Arial" w:eastAsia="Arial" w:hAnsi="Arial"/>
                <w:sz w:val="13"/>
                <w:szCs w:val="13"/>
                <w:color w:val="0000EE"/>
              </w:rPr>
            </w:pPr>
            <w:hyperlink w:anchor="page47">
              <w:r>
                <w:rPr>
                  <w:rFonts w:ascii="Arial" w:cs="Arial" w:eastAsia="Arial" w:hAnsi="Arial"/>
                  <w:sz w:val="13"/>
                  <w:szCs w:val="13"/>
                  <w:color w:val="0000EE"/>
                </w:rPr>
                <w:t>Ratification of Independent Registered Public Accounting Firm (Item 2 on the Proxy Card)</w:t>
              </w:r>
            </w:hyperlink>
          </w:p>
        </w:tc>
        <w:tc>
          <w:tcPr>
            <w:tcW w:w="340" w:type="dxa"/>
            <w:vAlign w:val="bottom"/>
          </w:tcPr>
          <w:p>
            <w:pPr>
              <w:jc w:val="right"/>
              <w:spacing w:after="0" w:line="141" w:lineRule="exact"/>
              <w:rPr>
                <w:sz w:val="20"/>
                <w:szCs w:val="20"/>
                <w:color w:val="auto"/>
              </w:rPr>
            </w:pPr>
            <w:r>
              <w:rPr>
                <w:rFonts w:ascii="Arial" w:cs="Arial" w:eastAsia="Arial" w:hAnsi="Arial"/>
                <w:sz w:val="13"/>
                <w:szCs w:val="13"/>
                <w:color w:val="auto"/>
              </w:rPr>
              <w:t>43</w:t>
            </w:r>
          </w:p>
        </w:tc>
        <w:tc>
          <w:tcPr>
            <w:tcW w:w="800" w:type="dxa"/>
            <w:vAlign w:val="bottom"/>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4900" w:type="dxa"/>
            <w:vAlign w:val="bottom"/>
            <w:tcBorders>
              <w:top w:val="single" w:sz="8" w:color="0000EE"/>
            </w:tcBorders>
            <w:gridSpan w:val="22"/>
          </w:tcPr>
          <w:p>
            <w:pPr>
              <w:spacing w:after="0" w:line="141" w:lineRule="exact"/>
              <w:rPr>
                <w:rFonts w:ascii="Arial" w:cs="Arial" w:eastAsia="Arial" w:hAnsi="Arial"/>
                <w:sz w:val="13"/>
                <w:szCs w:val="13"/>
                <w:color w:val="0000EE"/>
                <w:w w:val="94"/>
              </w:rPr>
            </w:pPr>
            <w:hyperlink w:anchor="page48">
              <w:r>
                <w:rPr>
                  <w:rFonts w:ascii="Arial" w:cs="Arial" w:eastAsia="Arial" w:hAnsi="Arial"/>
                  <w:sz w:val="13"/>
                  <w:szCs w:val="13"/>
                  <w:color w:val="0000EE"/>
                  <w:w w:val="94"/>
                </w:rPr>
                <w:t>Proposal to Amend the Company’s Certificate of Incorporation (Item 3 on the Proxy Card)</w:t>
              </w:r>
            </w:hyperlink>
          </w:p>
        </w:tc>
        <w:tc>
          <w:tcPr>
            <w:tcW w:w="4740" w:type="dxa"/>
            <w:vAlign w:val="bottom"/>
            <w:gridSpan w:val="3"/>
          </w:tcPr>
          <w:p>
            <w:pPr>
              <w:spacing w:after="0"/>
              <w:rPr>
                <w:sz w:val="12"/>
                <w:szCs w:val="12"/>
                <w:color w:val="auto"/>
              </w:rPr>
            </w:pPr>
          </w:p>
        </w:tc>
        <w:tc>
          <w:tcPr>
            <w:tcW w:w="340" w:type="dxa"/>
            <w:vAlign w:val="bottom"/>
          </w:tcPr>
          <w:p>
            <w:pPr>
              <w:jc w:val="right"/>
              <w:spacing w:after="0" w:line="141" w:lineRule="exact"/>
              <w:rPr>
                <w:sz w:val="20"/>
                <w:szCs w:val="20"/>
                <w:color w:val="auto"/>
              </w:rPr>
            </w:pPr>
            <w:r>
              <w:rPr>
                <w:rFonts w:ascii="Arial" w:cs="Arial" w:eastAsia="Arial" w:hAnsi="Arial"/>
                <w:sz w:val="13"/>
                <w:szCs w:val="13"/>
                <w:color w:val="auto"/>
              </w:rPr>
              <w:t>44</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860" w:type="dxa"/>
            <w:vAlign w:val="bottom"/>
            <w:gridSpan w:val="7"/>
            <w:shd w:val="clear" w:color="auto" w:fill="0000EE"/>
          </w:tcPr>
          <w:p>
            <w:pPr>
              <w:spacing w:after="0" w:line="20" w:lineRule="exact"/>
              <w:rPr>
                <w:sz w:val="1"/>
                <w:szCs w:val="1"/>
                <w:color w:val="auto"/>
              </w:rPr>
            </w:pPr>
          </w:p>
        </w:tc>
        <w:tc>
          <w:tcPr>
            <w:tcW w:w="3260" w:type="dxa"/>
            <w:vAlign w:val="bottom"/>
            <w:gridSpan w:val="1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1"/>
        </w:trPr>
        <w:tc>
          <w:tcPr>
            <w:tcW w:w="680" w:type="dxa"/>
            <w:vAlign w:val="bottom"/>
          </w:tcPr>
          <w:p>
            <w:pPr>
              <w:spacing w:after="0"/>
              <w:rPr>
                <w:sz w:val="12"/>
                <w:szCs w:val="12"/>
                <w:color w:val="auto"/>
              </w:rPr>
            </w:pPr>
          </w:p>
        </w:tc>
        <w:tc>
          <w:tcPr>
            <w:tcW w:w="5280" w:type="dxa"/>
            <w:vAlign w:val="bottom"/>
            <w:tcBorders>
              <w:bottom w:val="single" w:sz="8" w:color="0000EE"/>
            </w:tcBorders>
            <w:gridSpan w:val="23"/>
          </w:tcPr>
          <w:p>
            <w:pPr>
              <w:spacing w:after="0" w:line="141" w:lineRule="exact"/>
              <w:rPr>
                <w:rFonts w:ascii="Arial" w:cs="Arial" w:eastAsia="Arial" w:hAnsi="Arial"/>
                <w:sz w:val="13"/>
                <w:szCs w:val="13"/>
                <w:color w:val="0000EE"/>
                <w:w w:val="95"/>
              </w:rPr>
            </w:pPr>
            <w:hyperlink w:anchor="page49">
              <w:r>
                <w:rPr>
                  <w:rFonts w:ascii="Arial" w:cs="Arial" w:eastAsia="Arial" w:hAnsi="Arial"/>
                  <w:sz w:val="13"/>
                  <w:szCs w:val="13"/>
                  <w:color w:val="0000EE"/>
                  <w:w w:val="95"/>
                </w:rPr>
                <w:t>Stockholder Proposal Relating to Disclosure of Political Contributions (Item 4 on the Proxy Card)</w:t>
              </w:r>
            </w:hyperlink>
          </w:p>
        </w:tc>
        <w:tc>
          <w:tcPr>
            <w:tcW w:w="4360" w:type="dxa"/>
            <w:vAlign w:val="bottom"/>
            <w:gridSpan w:val="2"/>
          </w:tcPr>
          <w:p>
            <w:pPr>
              <w:spacing w:after="0"/>
              <w:rPr>
                <w:sz w:val="12"/>
                <w:szCs w:val="12"/>
                <w:color w:val="auto"/>
              </w:rPr>
            </w:pPr>
          </w:p>
        </w:tc>
        <w:tc>
          <w:tcPr>
            <w:tcW w:w="340" w:type="dxa"/>
            <w:vAlign w:val="bottom"/>
          </w:tcPr>
          <w:p>
            <w:pPr>
              <w:jc w:val="right"/>
              <w:spacing w:after="0" w:line="141" w:lineRule="exact"/>
              <w:rPr>
                <w:sz w:val="20"/>
                <w:szCs w:val="20"/>
                <w:color w:val="auto"/>
              </w:rPr>
            </w:pPr>
            <w:r>
              <w:rPr>
                <w:rFonts w:ascii="Arial" w:cs="Arial" w:eastAsia="Arial" w:hAnsi="Arial"/>
                <w:sz w:val="13"/>
                <w:szCs w:val="13"/>
                <w:color w:val="auto"/>
              </w:rPr>
              <w:t>45</w:t>
            </w:r>
          </w:p>
        </w:tc>
        <w:tc>
          <w:tcPr>
            <w:tcW w:w="800" w:type="dxa"/>
            <w:vAlign w:val="bottom"/>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9640" w:type="dxa"/>
            <w:vAlign w:val="bottom"/>
            <w:gridSpan w:val="25"/>
          </w:tcPr>
          <w:p>
            <w:pPr>
              <w:spacing w:after="0" w:line="141" w:lineRule="exact"/>
              <w:rPr>
                <w:rFonts w:ascii="Arial" w:cs="Arial" w:eastAsia="Arial" w:hAnsi="Arial"/>
                <w:sz w:val="13"/>
                <w:szCs w:val="13"/>
                <w:color w:val="0000EE"/>
              </w:rPr>
            </w:pPr>
            <w:hyperlink w:anchor="page51">
              <w:r>
                <w:rPr>
                  <w:rFonts w:ascii="Arial" w:cs="Arial" w:eastAsia="Arial" w:hAnsi="Arial"/>
                  <w:sz w:val="13"/>
                  <w:szCs w:val="13"/>
                  <w:color w:val="0000EE"/>
                </w:rPr>
                <w:t>Stockholder Proposal Relating to Right of Stockholders to Call Special Stockholder Meetings (Item 5 on the Proxy Card)</w:t>
              </w:r>
            </w:hyperlink>
          </w:p>
        </w:tc>
        <w:tc>
          <w:tcPr>
            <w:tcW w:w="340" w:type="dxa"/>
            <w:vAlign w:val="bottom"/>
          </w:tcPr>
          <w:p>
            <w:pPr>
              <w:jc w:val="right"/>
              <w:spacing w:after="0" w:line="141" w:lineRule="exact"/>
              <w:rPr>
                <w:sz w:val="20"/>
                <w:szCs w:val="20"/>
                <w:color w:val="auto"/>
              </w:rPr>
            </w:pPr>
            <w:r>
              <w:rPr>
                <w:rFonts w:ascii="Arial" w:cs="Arial" w:eastAsia="Arial" w:hAnsi="Arial"/>
                <w:sz w:val="13"/>
                <w:szCs w:val="13"/>
                <w:color w:val="auto"/>
              </w:rPr>
              <w:t>47</w:t>
            </w:r>
          </w:p>
        </w:tc>
        <w:tc>
          <w:tcPr>
            <w:tcW w:w="800" w:type="dxa"/>
            <w:vAlign w:val="bottom"/>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760" w:type="dxa"/>
            <w:vAlign w:val="bottom"/>
            <w:tcBorders>
              <w:top w:val="single" w:sz="8" w:color="0000EE"/>
              <w:bottom w:val="single" w:sz="8" w:color="0000EE"/>
            </w:tcBorders>
            <w:gridSpan w:val="2"/>
          </w:tcPr>
          <w:p>
            <w:pPr>
              <w:spacing w:after="0" w:line="141" w:lineRule="exact"/>
              <w:rPr>
                <w:rFonts w:ascii="Arial" w:cs="Arial" w:eastAsia="Arial" w:hAnsi="Arial"/>
                <w:sz w:val="13"/>
                <w:szCs w:val="13"/>
                <w:color w:val="0000EE"/>
                <w:w w:val="93"/>
              </w:rPr>
            </w:pPr>
            <w:hyperlink w:anchor="page53">
              <w:r>
                <w:rPr>
                  <w:rFonts w:ascii="Arial" w:cs="Arial" w:eastAsia="Arial" w:hAnsi="Arial"/>
                  <w:sz w:val="13"/>
                  <w:szCs w:val="13"/>
                  <w:color w:val="0000EE"/>
                  <w:w w:val="93"/>
                </w:rPr>
                <w:t>Other Matters</w:t>
              </w:r>
            </w:hyperlink>
          </w:p>
        </w:tc>
        <w:tc>
          <w:tcPr>
            <w:tcW w:w="5760" w:type="dxa"/>
            <w:vAlign w:val="bottom"/>
            <w:tcBorders>
              <w:top w:val="single" w:sz="8" w:color="0000EE"/>
            </w:tcBorders>
            <w:gridSpan w:val="22"/>
          </w:tcPr>
          <w:p>
            <w:pPr>
              <w:spacing w:after="0"/>
              <w:rPr>
                <w:sz w:val="12"/>
                <w:szCs w:val="12"/>
                <w:color w:val="auto"/>
              </w:rPr>
            </w:pPr>
          </w:p>
        </w:tc>
        <w:tc>
          <w:tcPr>
            <w:tcW w:w="3120" w:type="dxa"/>
            <w:vAlign w:val="bottom"/>
          </w:tcPr>
          <w:p>
            <w:pPr>
              <w:spacing w:after="0"/>
              <w:rPr>
                <w:sz w:val="12"/>
                <w:szCs w:val="12"/>
                <w:color w:val="auto"/>
              </w:rPr>
            </w:pPr>
          </w:p>
        </w:tc>
        <w:tc>
          <w:tcPr>
            <w:tcW w:w="340" w:type="dxa"/>
            <w:vAlign w:val="bottom"/>
          </w:tcPr>
          <w:p>
            <w:pPr>
              <w:jc w:val="right"/>
              <w:spacing w:after="0" w:line="141" w:lineRule="exact"/>
              <w:rPr>
                <w:sz w:val="20"/>
                <w:szCs w:val="20"/>
                <w:color w:val="auto"/>
              </w:rPr>
            </w:pPr>
            <w:r>
              <w:rPr>
                <w:rFonts w:ascii="Arial" w:cs="Arial" w:eastAsia="Arial" w:hAnsi="Arial"/>
                <w:sz w:val="13"/>
                <w:szCs w:val="13"/>
                <w:color w:val="auto"/>
              </w:rPr>
              <w:t>49</w:t>
            </w:r>
          </w:p>
        </w:tc>
        <w:tc>
          <w:tcPr>
            <w:tcW w:w="800" w:type="dxa"/>
            <w:vAlign w:val="bottom"/>
          </w:tcPr>
          <w:p>
            <w:pPr>
              <w:spacing w:after="0"/>
              <w:rPr>
                <w:sz w:val="12"/>
                <w:szCs w:val="12"/>
                <w:color w:val="auto"/>
              </w:rPr>
            </w:pPr>
          </w:p>
        </w:tc>
      </w:tr>
      <w:tr>
        <w:trPr>
          <w:trHeight w:val="161"/>
        </w:trPr>
        <w:tc>
          <w:tcPr>
            <w:tcW w:w="680" w:type="dxa"/>
            <w:vAlign w:val="bottom"/>
          </w:tcPr>
          <w:p>
            <w:pPr>
              <w:spacing w:after="0"/>
              <w:rPr>
                <w:sz w:val="13"/>
                <w:szCs w:val="13"/>
                <w:color w:val="auto"/>
              </w:rPr>
            </w:pPr>
          </w:p>
        </w:tc>
        <w:tc>
          <w:tcPr>
            <w:tcW w:w="9640" w:type="dxa"/>
            <w:vAlign w:val="bottom"/>
            <w:gridSpan w:val="25"/>
          </w:tcPr>
          <w:p>
            <w:pPr>
              <w:spacing w:after="0"/>
              <w:rPr>
                <w:sz w:val="20"/>
                <w:szCs w:val="20"/>
                <w:color w:val="auto"/>
              </w:rPr>
            </w:pPr>
            <w:r>
              <w:rPr>
                <w:rFonts w:ascii="Arial" w:cs="Arial" w:eastAsia="Arial" w:hAnsi="Arial"/>
                <w:sz w:val="13"/>
                <w:szCs w:val="13"/>
                <w:color w:val="auto"/>
              </w:rPr>
              <w:t>Appendices</w:t>
            </w: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42"/>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500" w:type="dxa"/>
            <w:vAlign w:val="bottom"/>
            <w:gridSpan w:val="24"/>
          </w:tcPr>
          <w:p>
            <w:pPr>
              <w:spacing w:after="0" w:line="142" w:lineRule="exact"/>
              <w:rPr>
                <w:rFonts w:ascii="Arial" w:cs="Arial" w:eastAsia="Arial" w:hAnsi="Arial"/>
                <w:sz w:val="13"/>
                <w:szCs w:val="13"/>
                <w:color w:val="0000EE"/>
              </w:rPr>
            </w:pPr>
            <w:hyperlink w:anchor="page54">
              <w:r>
                <w:rPr>
                  <w:rFonts w:ascii="Arial" w:cs="Arial" w:eastAsia="Arial" w:hAnsi="Arial"/>
                  <w:sz w:val="13"/>
                  <w:szCs w:val="13"/>
                  <w:color w:val="0000EE"/>
                </w:rPr>
                <w:t>Certificate of Incorporation</w:t>
              </w:r>
            </w:hyperlink>
          </w:p>
        </w:tc>
        <w:tc>
          <w:tcPr>
            <w:tcW w:w="340" w:type="dxa"/>
            <w:vAlign w:val="bottom"/>
          </w:tcPr>
          <w:p>
            <w:pPr>
              <w:jc w:val="right"/>
              <w:spacing w:after="0" w:line="142" w:lineRule="exact"/>
              <w:rPr>
                <w:sz w:val="20"/>
                <w:szCs w:val="20"/>
                <w:color w:val="auto"/>
              </w:rPr>
            </w:pPr>
            <w:r>
              <w:rPr>
                <w:rFonts w:ascii="Arial" w:cs="Arial" w:eastAsia="Arial" w:hAnsi="Arial"/>
                <w:sz w:val="13"/>
                <w:szCs w:val="13"/>
                <w:color w:val="auto"/>
              </w:rPr>
              <w:t>A-1</w:t>
            </w:r>
          </w:p>
        </w:tc>
        <w:tc>
          <w:tcPr>
            <w:tcW w:w="800" w:type="dxa"/>
            <w:vAlign w:val="bottom"/>
          </w:tcPr>
          <w:p>
            <w:pPr>
              <w:spacing w:after="0"/>
              <w:rPr>
                <w:sz w:val="12"/>
                <w:szCs w:val="12"/>
                <w:color w:val="auto"/>
              </w:rPr>
            </w:pPr>
          </w:p>
        </w:tc>
      </w:tr>
      <w:tr>
        <w:trPr>
          <w:trHeight w:val="177"/>
        </w:trPr>
        <w:tc>
          <w:tcPr>
            <w:tcW w:w="680" w:type="dxa"/>
            <w:vAlign w:val="bottom"/>
            <w:tcBorders>
              <w:bottom w:val="single" w:sz="8" w:color="808080"/>
            </w:tcBorders>
          </w:tcPr>
          <w:p>
            <w:pPr>
              <w:spacing w:after="0"/>
              <w:rPr>
                <w:sz w:val="15"/>
                <w:szCs w:val="15"/>
                <w:color w:val="auto"/>
              </w:rPr>
            </w:pPr>
          </w:p>
        </w:tc>
        <w:tc>
          <w:tcPr>
            <w:tcW w:w="140" w:type="dxa"/>
            <w:vAlign w:val="bottom"/>
            <w:tcBorders>
              <w:bottom w:val="single" w:sz="8" w:color="808080"/>
            </w:tcBorders>
          </w:tcPr>
          <w:p>
            <w:pPr>
              <w:spacing w:after="0"/>
              <w:rPr>
                <w:sz w:val="15"/>
                <w:szCs w:val="15"/>
                <w:color w:val="auto"/>
              </w:rPr>
            </w:pPr>
          </w:p>
        </w:tc>
        <w:tc>
          <w:tcPr>
            <w:tcW w:w="620" w:type="dxa"/>
            <w:vAlign w:val="bottom"/>
            <w:tcBorders>
              <w:top w:val="single" w:sz="8" w:color="0000EE"/>
              <w:bottom w:val="single" w:sz="8" w:color="808080"/>
            </w:tcBorders>
          </w:tcPr>
          <w:p>
            <w:pPr>
              <w:spacing w:after="0"/>
              <w:rPr>
                <w:sz w:val="15"/>
                <w:szCs w:val="15"/>
                <w:color w:val="auto"/>
              </w:rPr>
            </w:pPr>
          </w:p>
        </w:tc>
        <w:tc>
          <w:tcPr>
            <w:tcW w:w="260" w:type="dxa"/>
            <w:vAlign w:val="bottom"/>
            <w:tcBorders>
              <w:top w:val="single" w:sz="8" w:color="0000EE"/>
              <w:bottom w:val="single" w:sz="8" w:color="808080"/>
            </w:tcBorders>
          </w:tcPr>
          <w:p>
            <w:pPr>
              <w:spacing w:after="0"/>
              <w:rPr>
                <w:sz w:val="15"/>
                <w:szCs w:val="15"/>
                <w:color w:val="auto"/>
              </w:rPr>
            </w:pPr>
          </w:p>
        </w:tc>
        <w:tc>
          <w:tcPr>
            <w:tcW w:w="240" w:type="dxa"/>
            <w:vAlign w:val="bottom"/>
            <w:tcBorders>
              <w:top w:val="single" w:sz="8" w:color="0000EE"/>
              <w:bottom w:val="single" w:sz="8" w:color="808080"/>
            </w:tcBorders>
          </w:tcPr>
          <w:p>
            <w:pPr>
              <w:spacing w:after="0"/>
              <w:rPr>
                <w:sz w:val="15"/>
                <w:szCs w:val="15"/>
                <w:color w:val="auto"/>
              </w:rPr>
            </w:pPr>
          </w:p>
        </w:tc>
        <w:tc>
          <w:tcPr>
            <w:tcW w:w="100" w:type="dxa"/>
            <w:vAlign w:val="bottom"/>
            <w:tcBorders>
              <w:top w:val="single" w:sz="8" w:color="0000EE"/>
              <w:bottom w:val="single" w:sz="8" w:color="808080"/>
            </w:tcBorders>
          </w:tcPr>
          <w:p>
            <w:pPr>
              <w:spacing w:after="0"/>
              <w:rPr>
                <w:sz w:val="15"/>
                <w:szCs w:val="15"/>
                <w:color w:val="auto"/>
              </w:rPr>
            </w:pPr>
          </w:p>
        </w:tc>
        <w:tc>
          <w:tcPr>
            <w:tcW w:w="20" w:type="dxa"/>
            <w:vAlign w:val="bottom"/>
            <w:tcBorders>
              <w:top w:val="single" w:sz="8" w:color="0000EE"/>
              <w:bottom w:val="single" w:sz="8" w:color="808080"/>
            </w:tcBorders>
          </w:tcPr>
          <w:p>
            <w:pPr>
              <w:spacing w:after="0"/>
              <w:rPr>
                <w:sz w:val="15"/>
                <w:szCs w:val="15"/>
                <w:color w:val="auto"/>
              </w:rPr>
            </w:pPr>
          </w:p>
        </w:tc>
        <w:tc>
          <w:tcPr>
            <w:tcW w:w="100" w:type="dxa"/>
            <w:vAlign w:val="bottom"/>
            <w:tcBorders>
              <w:top w:val="single" w:sz="8" w:color="0000EE"/>
              <w:bottom w:val="single" w:sz="8" w:color="808080"/>
            </w:tcBorders>
          </w:tcPr>
          <w:p>
            <w:pPr>
              <w:spacing w:after="0"/>
              <w:rPr>
                <w:sz w:val="15"/>
                <w:szCs w:val="15"/>
                <w:color w:val="auto"/>
              </w:rPr>
            </w:pPr>
          </w:p>
        </w:tc>
        <w:tc>
          <w:tcPr>
            <w:tcW w:w="100" w:type="dxa"/>
            <w:vAlign w:val="bottom"/>
            <w:tcBorders>
              <w:top w:val="single" w:sz="8" w:color="0000EE"/>
              <w:bottom w:val="single" w:sz="8" w:color="808080"/>
            </w:tcBorders>
          </w:tcPr>
          <w:p>
            <w:pPr>
              <w:spacing w:after="0"/>
              <w:rPr>
                <w:sz w:val="15"/>
                <w:szCs w:val="15"/>
                <w:color w:val="auto"/>
              </w:rPr>
            </w:pPr>
          </w:p>
        </w:tc>
        <w:tc>
          <w:tcPr>
            <w:tcW w:w="40" w:type="dxa"/>
            <w:vAlign w:val="bottom"/>
            <w:tcBorders>
              <w:top w:val="single" w:sz="8" w:color="0000EE"/>
              <w:bottom w:val="single" w:sz="8" w:color="808080"/>
            </w:tcBorders>
          </w:tcPr>
          <w:p>
            <w:pPr>
              <w:spacing w:after="0"/>
              <w:rPr>
                <w:sz w:val="15"/>
                <w:szCs w:val="15"/>
                <w:color w:val="auto"/>
              </w:rPr>
            </w:pPr>
          </w:p>
        </w:tc>
        <w:tc>
          <w:tcPr>
            <w:tcW w:w="26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20" w:type="dxa"/>
            <w:vAlign w:val="bottom"/>
            <w:tcBorders>
              <w:bottom w:val="single" w:sz="8" w:color="808080"/>
            </w:tcBorders>
          </w:tcPr>
          <w:p>
            <w:pPr>
              <w:spacing w:after="0"/>
              <w:rPr>
                <w:sz w:val="15"/>
                <w:szCs w:val="15"/>
                <w:color w:val="auto"/>
              </w:rPr>
            </w:pPr>
          </w:p>
        </w:tc>
        <w:tc>
          <w:tcPr>
            <w:tcW w:w="320" w:type="dxa"/>
            <w:vAlign w:val="bottom"/>
            <w:tcBorders>
              <w:bottom w:val="single" w:sz="8" w:color="808080"/>
            </w:tcBorders>
          </w:tcPr>
          <w:p>
            <w:pPr>
              <w:spacing w:after="0"/>
              <w:rPr>
                <w:sz w:val="15"/>
                <w:szCs w:val="15"/>
                <w:color w:val="auto"/>
              </w:rPr>
            </w:pPr>
          </w:p>
        </w:tc>
        <w:tc>
          <w:tcPr>
            <w:tcW w:w="2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200" w:type="dxa"/>
            <w:vAlign w:val="bottom"/>
            <w:tcBorders>
              <w:bottom w:val="single" w:sz="8" w:color="808080"/>
            </w:tcBorders>
          </w:tcPr>
          <w:p>
            <w:pPr>
              <w:spacing w:after="0"/>
              <w:rPr>
                <w:sz w:val="15"/>
                <w:szCs w:val="15"/>
                <w:color w:val="auto"/>
              </w:rPr>
            </w:pPr>
          </w:p>
        </w:tc>
        <w:tc>
          <w:tcPr>
            <w:tcW w:w="160" w:type="dxa"/>
            <w:vAlign w:val="bottom"/>
            <w:tcBorders>
              <w:bottom w:val="single" w:sz="8" w:color="808080"/>
            </w:tcBorders>
          </w:tcPr>
          <w:p>
            <w:pPr>
              <w:spacing w:after="0"/>
              <w:rPr>
                <w:sz w:val="15"/>
                <w:szCs w:val="15"/>
                <w:color w:val="auto"/>
              </w:rPr>
            </w:pPr>
          </w:p>
        </w:tc>
        <w:tc>
          <w:tcPr>
            <w:tcW w:w="420" w:type="dxa"/>
            <w:vAlign w:val="bottom"/>
            <w:tcBorders>
              <w:bottom w:val="single" w:sz="8" w:color="808080"/>
            </w:tcBorders>
          </w:tcPr>
          <w:p>
            <w:pPr>
              <w:spacing w:after="0"/>
              <w:rPr>
                <w:sz w:val="15"/>
                <w:szCs w:val="15"/>
                <w:color w:val="auto"/>
              </w:rPr>
            </w:pPr>
          </w:p>
        </w:tc>
        <w:tc>
          <w:tcPr>
            <w:tcW w:w="300" w:type="dxa"/>
            <w:vAlign w:val="bottom"/>
            <w:tcBorders>
              <w:bottom w:val="single" w:sz="8" w:color="808080"/>
            </w:tcBorders>
          </w:tcPr>
          <w:p>
            <w:pPr>
              <w:spacing w:after="0"/>
              <w:rPr>
                <w:sz w:val="15"/>
                <w:szCs w:val="15"/>
                <w:color w:val="auto"/>
              </w:rPr>
            </w:pPr>
          </w:p>
        </w:tc>
        <w:tc>
          <w:tcPr>
            <w:tcW w:w="320" w:type="dxa"/>
            <w:vAlign w:val="bottom"/>
            <w:tcBorders>
              <w:bottom w:val="single" w:sz="8" w:color="808080"/>
            </w:tcBorders>
          </w:tcPr>
          <w:p>
            <w:pPr>
              <w:spacing w:after="0"/>
              <w:rPr>
                <w:sz w:val="15"/>
                <w:szCs w:val="15"/>
                <w:color w:val="auto"/>
              </w:rPr>
            </w:pPr>
          </w:p>
        </w:tc>
        <w:tc>
          <w:tcPr>
            <w:tcW w:w="1080" w:type="dxa"/>
            <w:vAlign w:val="bottom"/>
            <w:tcBorders>
              <w:bottom w:val="single" w:sz="8" w:color="808080"/>
            </w:tcBorders>
          </w:tcPr>
          <w:p>
            <w:pPr>
              <w:spacing w:after="0"/>
              <w:rPr>
                <w:sz w:val="15"/>
                <w:szCs w:val="15"/>
                <w:color w:val="auto"/>
              </w:rPr>
            </w:pPr>
          </w:p>
        </w:tc>
        <w:tc>
          <w:tcPr>
            <w:tcW w:w="20" w:type="dxa"/>
            <w:vAlign w:val="bottom"/>
            <w:tcBorders>
              <w:bottom w:val="single" w:sz="8" w:color="808080"/>
            </w:tcBorders>
          </w:tcPr>
          <w:p>
            <w:pPr>
              <w:spacing w:after="0"/>
              <w:rPr>
                <w:sz w:val="15"/>
                <w:szCs w:val="15"/>
                <w:color w:val="auto"/>
              </w:rPr>
            </w:pPr>
          </w:p>
        </w:tc>
        <w:tc>
          <w:tcPr>
            <w:tcW w:w="380" w:type="dxa"/>
            <w:vAlign w:val="bottom"/>
            <w:tcBorders>
              <w:bottom w:val="single" w:sz="8" w:color="808080"/>
            </w:tcBorders>
          </w:tcPr>
          <w:p>
            <w:pPr>
              <w:spacing w:after="0"/>
              <w:rPr>
                <w:sz w:val="15"/>
                <w:szCs w:val="15"/>
                <w:color w:val="auto"/>
              </w:rPr>
            </w:pPr>
          </w:p>
        </w:tc>
        <w:tc>
          <w:tcPr>
            <w:tcW w:w="1240" w:type="dxa"/>
            <w:vAlign w:val="bottom"/>
            <w:tcBorders>
              <w:bottom w:val="single" w:sz="8" w:color="808080"/>
            </w:tcBorders>
          </w:tcPr>
          <w:p>
            <w:pPr>
              <w:spacing w:after="0"/>
              <w:rPr>
                <w:sz w:val="15"/>
                <w:szCs w:val="15"/>
                <w:color w:val="auto"/>
              </w:rPr>
            </w:pPr>
          </w:p>
        </w:tc>
        <w:tc>
          <w:tcPr>
            <w:tcW w:w="3120" w:type="dxa"/>
            <w:vAlign w:val="bottom"/>
            <w:tcBorders>
              <w:bottom w:val="single" w:sz="8" w:color="808080"/>
            </w:tcBorders>
          </w:tcPr>
          <w:p>
            <w:pPr>
              <w:spacing w:after="0"/>
              <w:rPr>
                <w:sz w:val="15"/>
                <w:szCs w:val="15"/>
                <w:color w:val="auto"/>
              </w:rPr>
            </w:pPr>
          </w:p>
        </w:tc>
        <w:tc>
          <w:tcPr>
            <w:tcW w:w="340" w:type="dxa"/>
            <w:vAlign w:val="bottom"/>
            <w:tcBorders>
              <w:bottom w:val="single" w:sz="8" w:color="808080"/>
            </w:tcBorders>
          </w:tcPr>
          <w:p>
            <w:pPr>
              <w:spacing w:after="0"/>
              <w:rPr>
                <w:sz w:val="15"/>
                <w:szCs w:val="15"/>
                <w:color w:val="auto"/>
              </w:rPr>
            </w:pPr>
          </w:p>
        </w:tc>
        <w:tc>
          <w:tcPr>
            <w:tcW w:w="800" w:type="dxa"/>
            <w:vAlign w:val="bottom"/>
            <w:tcBorders>
              <w:bottom w:val="single" w:sz="8" w:color="808080"/>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62" w:right="21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PROXY STATEMENT</w:t>
      </w:r>
    </w:p>
    <w:p>
      <w:pPr>
        <w:spacing w:after="0" w:line="88"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ANNUAL MEETING OF STOCKHOLDERS</w:t>
      </w:r>
    </w:p>
    <w:p>
      <w:pPr>
        <w:spacing w:after="0" w:line="88"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WASTE MANAGEMENT, INC.</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1001 Fannin Street, Suite 4000</w:t>
      </w:r>
    </w:p>
    <w:p>
      <w:pPr>
        <w:spacing w:after="0" w:line="10"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Houston, Texas 77002</w:t>
      </w:r>
    </w:p>
    <w:p>
      <w:pPr>
        <w:spacing w:after="0" w:line="173" w:lineRule="exact"/>
        <w:rPr>
          <w:sz w:val="20"/>
          <w:szCs w:val="20"/>
          <w:color w:val="auto"/>
        </w:rPr>
      </w:pPr>
    </w:p>
    <w:p>
      <w:pPr>
        <w:ind w:left="680" w:right="940" w:firstLine="399"/>
        <w:spacing w:after="0" w:line="265" w:lineRule="auto"/>
        <w:rPr>
          <w:sz w:val="20"/>
          <w:szCs w:val="20"/>
          <w:color w:val="auto"/>
        </w:rPr>
      </w:pPr>
      <w:r>
        <w:rPr>
          <w:rFonts w:ascii="Arial" w:cs="Arial" w:eastAsia="Arial" w:hAnsi="Arial"/>
          <w:sz w:val="13"/>
          <w:szCs w:val="13"/>
          <w:color w:val="auto"/>
        </w:rPr>
        <w:t>Our Board of Directors is soliciting your proxy for the 2010 Annual Meeting of Stockholders and at any postponement or adjournment of the meeting. We are furnishing proxy materials to our stockholders primarily via the Internet. On March 29, 2010, we sent an electronic notice of how to access our proxy materials, including our Annual Report, to stockholders that have previously signed up to receive their proxy materials via the Internet. On March 29, 2010, we began mailing a Notice of Internet Availability of Proxy Materials to those stockholders that previously have not signed up for electronic delivery. The Notice contains instructions on how stockholders can access our proxy materials on the website referred to in the Notice or request that a printed set of the proxy materials be sent to them. Internet distribution of our proxy materials is designed to expedite receipt by stockholders, lower the costs of the annual meeting, and conserve natural resources.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800" w:type="dxa"/>
            <w:vAlign w:val="bottom"/>
          </w:tcPr>
          <w:p>
            <w:pPr>
              <w:ind w:left="680"/>
              <w:spacing w:after="0"/>
              <w:rPr>
                <w:sz w:val="20"/>
                <w:szCs w:val="20"/>
                <w:color w:val="auto"/>
              </w:rPr>
            </w:pPr>
            <w:r>
              <w:rPr>
                <w:rFonts w:ascii="Arial" w:cs="Arial" w:eastAsia="Arial" w:hAnsi="Arial"/>
                <w:sz w:val="13"/>
                <w:szCs w:val="13"/>
                <w:b w:val="1"/>
                <w:bCs w:val="1"/>
                <w:color w:val="auto"/>
              </w:rPr>
              <w:t>Record Date</w:t>
            </w:r>
          </w:p>
        </w:tc>
        <w:tc>
          <w:tcPr>
            <w:tcW w:w="7660" w:type="dxa"/>
            <w:vAlign w:val="bottom"/>
          </w:tcPr>
          <w:p>
            <w:pPr>
              <w:ind w:left="580"/>
              <w:spacing w:after="0"/>
              <w:rPr>
                <w:sz w:val="20"/>
                <w:szCs w:val="20"/>
                <w:color w:val="auto"/>
              </w:rPr>
            </w:pPr>
            <w:r>
              <w:rPr>
                <w:rFonts w:ascii="Arial" w:cs="Arial" w:eastAsia="Arial" w:hAnsi="Arial"/>
                <w:sz w:val="13"/>
                <w:szCs w:val="13"/>
                <w:color w:val="auto"/>
              </w:rPr>
              <w:t>March 15, 2010.</w:t>
            </w:r>
          </w:p>
        </w:tc>
      </w:tr>
      <w:tr>
        <w:trPr>
          <w:trHeight w:val="242"/>
        </w:trPr>
        <w:tc>
          <w:tcPr>
            <w:tcW w:w="3800" w:type="dxa"/>
            <w:vAlign w:val="bottom"/>
          </w:tcPr>
          <w:p>
            <w:pPr>
              <w:ind w:left="680"/>
              <w:spacing w:after="0"/>
              <w:rPr>
                <w:sz w:val="20"/>
                <w:szCs w:val="20"/>
                <w:color w:val="auto"/>
              </w:rPr>
            </w:pPr>
            <w:r>
              <w:rPr>
                <w:rFonts w:ascii="Arial" w:cs="Arial" w:eastAsia="Arial" w:hAnsi="Arial"/>
                <w:sz w:val="13"/>
                <w:szCs w:val="13"/>
                <w:b w:val="1"/>
                <w:bCs w:val="1"/>
                <w:color w:val="auto"/>
              </w:rPr>
              <w:t>Quorum</w:t>
            </w:r>
          </w:p>
        </w:tc>
        <w:tc>
          <w:tcPr>
            <w:tcW w:w="7660" w:type="dxa"/>
            <w:vAlign w:val="bottom"/>
          </w:tcPr>
          <w:p>
            <w:pPr>
              <w:ind w:left="580"/>
              <w:spacing w:after="0"/>
              <w:rPr>
                <w:sz w:val="20"/>
                <w:szCs w:val="20"/>
                <w:color w:val="auto"/>
              </w:rPr>
            </w:pPr>
            <w:r>
              <w:rPr>
                <w:rFonts w:ascii="Arial" w:cs="Arial" w:eastAsia="Arial" w:hAnsi="Arial"/>
                <w:sz w:val="13"/>
                <w:szCs w:val="13"/>
                <w:color w:val="auto"/>
              </w:rPr>
              <w:t>A majority of shares outstanding on the record date must be present in person or by proxy.</w:t>
            </w:r>
          </w:p>
        </w:tc>
      </w:tr>
      <w:tr>
        <w:trPr>
          <w:trHeight w:val="242"/>
        </w:trPr>
        <w:tc>
          <w:tcPr>
            <w:tcW w:w="3800" w:type="dxa"/>
            <w:vAlign w:val="bottom"/>
          </w:tcPr>
          <w:p>
            <w:pPr>
              <w:ind w:left="680"/>
              <w:spacing w:after="0"/>
              <w:rPr>
                <w:sz w:val="20"/>
                <w:szCs w:val="20"/>
                <w:color w:val="auto"/>
              </w:rPr>
            </w:pPr>
            <w:r>
              <w:rPr>
                <w:rFonts w:ascii="Arial" w:cs="Arial" w:eastAsia="Arial" w:hAnsi="Arial"/>
                <w:sz w:val="13"/>
                <w:szCs w:val="13"/>
                <w:b w:val="1"/>
                <w:bCs w:val="1"/>
                <w:color w:val="auto"/>
              </w:rPr>
              <w:t>Shares Outstanding</w:t>
            </w:r>
          </w:p>
        </w:tc>
        <w:tc>
          <w:tcPr>
            <w:tcW w:w="7660" w:type="dxa"/>
            <w:vAlign w:val="bottom"/>
          </w:tcPr>
          <w:p>
            <w:pPr>
              <w:ind w:left="580"/>
              <w:spacing w:after="0"/>
              <w:rPr>
                <w:sz w:val="20"/>
                <w:szCs w:val="20"/>
                <w:color w:val="auto"/>
              </w:rPr>
            </w:pPr>
            <w:r>
              <w:rPr>
                <w:rFonts w:ascii="Arial" w:cs="Arial" w:eastAsia="Arial" w:hAnsi="Arial"/>
                <w:sz w:val="13"/>
                <w:szCs w:val="13"/>
                <w:color w:val="auto"/>
              </w:rPr>
              <w:t>There were 484,458,162 shares of Common Stock outstanding and entitled to vote as of March 15, 2010.</w:t>
            </w:r>
          </w:p>
        </w:tc>
      </w:tr>
      <w:tr>
        <w:trPr>
          <w:trHeight w:val="242"/>
        </w:trPr>
        <w:tc>
          <w:tcPr>
            <w:tcW w:w="3800" w:type="dxa"/>
            <w:vAlign w:val="bottom"/>
          </w:tcPr>
          <w:p>
            <w:pPr>
              <w:ind w:left="680"/>
              <w:spacing w:after="0"/>
              <w:rPr>
                <w:sz w:val="20"/>
                <w:szCs w:val="20"/>
                <w:color w:val="auto"/>
              </w:rPr>
            </w:pPr>
            <w:r>
              <w:rPr>
                <w:rFonts w:ascii="Arial" w:cs="Arial" w:eastAsia="Arial" w:hAnsi="Arial"/>
                <w:sz w:val="13"/>
                <w:szCs w:val="13"/>
                <w:b w:val="1"/>
                <w:bCs w:val="1"/>
                <w:color w:val="auto"/>
              </w:rPr>
              <w:t>Voting by Proxy</w:t>
            </w:r>
          </w:p>
        </w:tc>
        <w:tc>
          <w:tcPr>
            <w:tcW w:w="7660" w:type="dxa"/>
            <w:vAlign w:val="bottom"/>
          </w:tcPr>
          <w:p>
            <w:pPr>
              <w:ind w:left="580"/>
              <w:spacing w:after="0"/>
              <w:rPr>
                <w:sz w:val="20"/>
                <w:szCs w:val="20"/>
                <w:color w:val="auto"/>
              </w:rPr>
            </w:pPr>
            <w:r>
              <w:rPr>
                <w:rFonts w:ascii="Arial" w:cs="Arial" w:eastAsia="Arial" w:hAnsi="Arial"/>
                <w:sz w:val="13"/>
                <w:szCs w:val="13"/>
                <w:color w:val="auto"/>
              </w:rPr>
              <w:t>Internet, phone, or mail.</w:t>
            </w:r>
          </w:p>
        </w:tc>
      </w:tr>
      <w:tr>
        <w:trPr>
          <w:trHeight w:val="231"/>
        </w:trPr>
        <w:tc>
          <w:tcPr>
            <w:tcW w:w="3800" w:type="dxa"/>
            <w:vAlign w:val="bottom"/>
          </w:tcPr>
          <w:p>
            <w:pPr>
              <w:ind w:left="680"/>
              <w:spacing w:after="0"/>
              <w:rPr>
                <w:sz w:val="20"/>
                <w:szCs w:val="20"/>
                <w:color w:val="auto"/>
              </w:rPr>
            </w:pPr>
            <w:r>
              <w:rPr>
                <w:rFonts w:ascii="Arial" w:cs="Arial" w:eastAsia="Arial" w:hAnsi="Arial"/>
                <w:sz w:val="13"/>
                <w:szCs w:val="13"/>
                <w:b w:val="1"/>
                <w:bCs w:val="1"/>
                <w:color w:val="auto"/>
              </w:rPr>
              <w:t>Voting at the Meeting</w:t>
            </w:r>
          </w:p>
        </w:tc>
        <w:tc>
          <w:tcPr>
            <w:tcW w:w="7660" w:type="dxa"/>
            <w:vAlign w:val="bottom"/>
          </w:tcPr>
          <w:p>
            <w:pPr>
              <w:ind w:left="580"/>
              <w:spacing w:after="0"/>
              <w:rPr>
                <w:sz w:val="20"/>
                <w:szCs w:val="20"/>
                <w:color w:val="auto"/>
              </w:rPr>
            </w:pPr>
            <w:r>
              <w:rPr>
                <w:rFonts w:ascii="Arial" w:cs="Arial" w:eastAsia="Arial" w:hAnsi="Arial"/>
                <w:sz w:val="13"/>
                <w:szCs w:val="13"/>
                <w:color w:val="auto"/>
              </w:rPr>
              <w:t>Stockholders can vote in person during the meeting. Stockholders of record will be on a list held by the inspector of</w:t>
            </w:r>
          </w:p>
        </w:tc>
      </w:tr>
      <w:tr>
        <w:trPr>
          <w:trHeight w:val="161"/>
        </w:trPr>
        <w:tc>
          <w:tcPr>
            <w:tcW w:w="3800" w:type="dxa"/>
            <w:vAlign w:val="bottom"/>
          </w:tcPr>
          <w:p>
            <w:pPr>
              <w:spacing w:after="0"/>
              <w:rPr>
                <w:sz w:val="14"/>
                <w:szCs w:val="14"/>
                <w:color w:val="auto"/>
              </w:rPr>
            </w:pPr>
          </w:p>
        </w:tc>
        <w:tc>
          <w:tcPr>
            <w:tcW w:w="7660" w:type="dxa"/>
            <w:vAlign w:val="bottom"/>
          </w:tcPr>
          <w:p>
            <w:pPr>
              <w:ind w:left="580"/>
              <w:spacing w:after="0"/>
              <w:rPr>
                <w:sz w:val="20"/>
                <w:szCs w:val="20"/>
                <w:color w:val="auto"/>
              </w:rPr>
            </w:pPr>
            <w:r>
              <w:rPr>
                <w:rFonts w:ascii="Arial" w:cs="Arial" w:eastAsia="Arial" w:hAnsi="Arial"/>
                <w:sz w:val="13"/>
                <w:szCs w:val="13"/>
                <w:color w:val="auto"/>
              </w:rPr>
              <w:t>elections. Beneficial holders must obtain a proxy from their brokerage firm, bank, or other stockholder of record and</w:t>
            </w:r>
          </w:p>
        </w:tc>
      </w:tr>
      <w:tr>
        <w:trPr>
          <w:trHeight w:val="161"/>
        </w:trPr>
        <w:tc>
          <w:tcPr>
            <w:tcW w:w="3800" w:type="dxa"/>
            <w:vAlign w:val="bottom"/>
          </w:tcPr>
          <w:p>
            <w:pPr>
              <w:spacing w:after="0"/>
              <w:rPr>
                <w:sz w:val="14"/>
                <w:szCs w:val="14"/>
                <w:color w:val="auto"/>
              </w:rPr>
            </w:pPr>
          </w:p>
        </w:tc>
        <w:tc>
          <w:tcPr>
            <w:tcW w:w="7660" w:type="dxa"/>
            <w:vAlign w:val="bottom"/>
          </w:tcPr>
          <w:p>
            <w:pPr>
              <w:ind w:left="580"/>
              <w:spacing w:after="0"/>
              <w:rPr>
                <w:sz w:val="20"/>
                <w:szCs w:val="20"/>
                <w:color w:val="auto"/>
              </w:rPr>
            </w:pPr>
            <w:r>
              <w:rPr>
                <w:rFonts w:ascii="Arial" w:cs="Arial" w:eastAsia="Arial" w:hAnsi="Arial"/>
                <w:sz w:val="13"/>
                <w:szCs w:val="13"/>
                <w:color w:val="auto"/>
              </w:rPr>
              <w:t>present it to the inspector of elections with their ballot. Voting in person by a stockholder will replace any previous</w:t>
            </w:r>
          </w:p>
        </w:tc>
      </w:tr>
      <w:tr>
        <w:trPr>
          <w:trHeight w:val="172"/>
        </w:trPr>
        <w:tc>
          <w:tcPr>
            <w:tcW w:w="3800" w:type="dxa"/>
            <w:vAlign w:val="bottom"/>
          </w:tcPr>
          <w:p>
            <w:pPr>
              <w:spacing w:after="0"/>
              <w:rPr>
                <w:sz w:val="14"/>
                <w:szCs w:val="14"/>
                <w:color w:val="auto"/>
              </w:rPr>
            </w:pPr>
          </w:p>
        </w:tc>
        <w:tc>
          <w:tcPr>
            <w:tcW w:w="7660" w:type="dxa"/>
            <w:vAlign w:val="bottom"/>
          </w:tcPr>
          <w:p>
            <w:pPr>
              <w:ind w:left="580"/>
              <w:spacing w:after="0"/>
              <w:rPr>
                <w:sz w:val="20"/>
                <w:szCs w:val="20"/>
                <w:color w:val="auto"/>
              </w:rPr>
            </w:pPr>
            <w:r>
              <w:rPr>
                <w:rFonts w:ascii="Arial" w:cs="Arial" w:eastAsia="Arial" w:hAnsi="Arial"/>
                <w:sz w:val="13"/>
                <w:szCs w:val="13"/>
                <w:color w:val="auto"/>
              </w:rPr>
              <w:t>votes submitted by proxy.</w:t>
            </w:r>
          </w:p>
        </w:tc>
      </w:tr>
      <w:tr>
        <w:trPr>
          <w:trHeight w:val="231"/>
        </w:trPr>
        <w:tc>
          <w:tcPr>
            <w:tcW w:w="3800" w:type="dxa"/>
            <w:vAlign w:val="bottom"/>
          </w:tcPr>
          <w:p>
            <w:pPr>
              <w:ind w:left="680"/>
              <w:spacing w:after="0"/>
              <w:rPr>
                <w:sz w:val="20"/>
                <w:szCs w:val="20"/>
                <w:color w:val="auto"/>
              </w:rPr>
            </w:pPr>
            <w:r>
              <w:rPr>
                <w:rFonts w:ascii="Arial" w:cs="Arial" w:eastAsia="Arial" w:hAnsi="Arial"/>
                <w:sz w:val="13"/>
                <w:szCs w:val="13"/>
                <w:b w:val="1"/>
                <w:bCs w:val="1"/>
                <w:color w:val="auto"/>
              </w:rPr>
              <w:t>Changing Your Vote</w:t>
            </w:r>
          </w:p>
        </w:tc>
        <w:tc>
          <w:tcPr>
            <w:tcW w:w="7660" w:type="dxa"/>
            <w:vAlign w:val="bottom"/>
          </w:tcPr>
          <w:p>
            <w:pPr>
              <w:ind w:left="580"/>
              <w:spacing w:after="0"/>
              <w:rPr>
                <w:sz w:val="20"/>
                <w:szCs w:val="20"/>
                <w:color w:val="auto"/>
              </w:rPr>
            </w:pPr>
            <w:r>
              <w:rPr>
                <w:rFonts w:ascii="Arial" w:cs="Arial" w:eastAsia="Arial" w:hAnsi="Arial"/>
                <w:sz w:val="13"/>
                <w:szCs w:val="13"/>
                <w:color w:val="auto"/>
              </w:rPr>
              <w:t>Stockholders of record may revoke their proxy at any time before we vote it at the meeting by submitting a later-</w:t>
            </w:r>
          </w:p>
        </w:tc>
      </w:tr>
      <w:tr>
        <w:trPr>
          <w:trHeight w:val="161"/>
        </w:trPr>
        <w:tc>
          <w:tcPr>
            <w:tcW w:w="3800" w:type="dxa"/>
            <w:vAlign w:val="bottom"/>
          </w:tcPr>
          <w:p>
            <w:pPr>
              <w:spacing w:after="0"/>
              <w:rPr>
                <w:sz w:val="14"/>
                <w:szCs w:val="14"/>
                <w:color w:val="auto"/>
              </w:rPr>
            </w:pPr>
          </w:p>
        </w:tc>
        <w:tc>
          <w:tcPr>
            <w:tcW w:w="7660" w:type="dxa"/>
            <w:vAlign w:val="bottom"/>
          </w:tcPr>
          <w:p>
            <w:pPr>
              <w:ind w:left="580"/>
              <w:spacing w:after="0"/>
              <w:rPr>
                <w:sz w:val="20"/>
                <w:szCs w:val="20"/>
                <w:color w:val="auto"/>
              </w:rPr>
            </w:pPr>
            <w:r>
              <w:rPr>
                <w:rFonts w:ascii="Arial" w:cs="Arial" w:eastAsia="Arial" w:hAnsi="Arial"/>
                <w:sz w:val="13"/>
                <w:szCs w:val="13"/>
                <w:color w:val="auto"/>
              </w:rPr>
              <w:t>dated vote in person at the annual meeting, via the Internet, by telephone, by mail, or by delivering instructions to</w:t>
            </w:r>
          </w:p>
        </w:tc>
      </w:tr>
      <w:tr>
        <w:trPr>
          <w:trHeight w:val="161"/>
        </w:trPr>
        <w:tc>
          <w:tcPr>
            <w:tcW w:w="3800" w:type="dxa"/>
            <w:vAlign w:val="bottom"/>
          </w:tcPr>
          <w:p>
            <w:pPr>
              <w:spacing w:after="0"/>
              <w:rPr>
                <w:sz w:val="14"/>
                <w:szCs w:val="14"/>
                <w:color w:val="auto"/>
              </w:rPr>
            </w:pPr>
          </w:p>
        </w:tc>
        <w:tc>
          <w:tcPr>
            <w:tcW w:w="7660" w:type="dxa"/>
            <w:vAlign w:val="bottom"/>
          </w:tcPr>
          <w:p>
            <w:pPr>
              <w:ind w:left="580"/>
              <w:spacing w:after="0"/>
              <w:rPr>
                <w:sz w:val="20"/>
                <w:szCs w:val="20"/>
                <w:color w:val="auto"/>
              </w:rPr>
            </w:pPr>
            <w:r>
              <w:rPr>
                <w:rFonts w:ascii="Arial" w:cs="Arial" w:eastAsia="Arial" w:hAnsi="Arial"/>
                <w:sz w:val="13"/>
                <w:szCs w:val="13"/>
                <w:color w:val="auto"/>
              </w:rPr>
              <w:t>our Corporate Secretary before the annual meeting. If you hold shares through a bank or brokerage firm, you may</w:t>
            </w:r>
          </w:p>
        </w:tc>
      </w:tr>
      <w:tr>
        <w:trPr>
          <w:trHeight w:val="172"/>
        </w:trPr>
        <w:tc>
          <w:tcPr>
            <w:tcW w:w="3800" w:type="dxa"/>
            <w:vAlign w:val="bottom"/>
          </w:tcPr>
          <w:p>
            <w:pPr>
              <w:spacing w:after="0"/>
              <w:rPr>
                <w:sz w:val="14"/>
                <w:szCs w:val="14"/>
                <w:color w:val="auto"/>
              </w:rPr>
            </w:pPr>
          </w:p>
        </w:tc>
        <w:tc>
          <w:tcPr>
            <w:tcW w:w="7660" w:type="dxa"/>
            <w:vAlign w:val="bottom"/>
          </w:tcPr>
          <w:p>
            <w:pPr>
              <w:ind w:left="580"/>
              <w:spacing w:after="0"/>
              <w:rPr>
                <w:sz w:val="20"/>
                <w:szCs w:val="20"/>
                <w:color w:val="auto"/>
              </w:rPr>
            </w:pPr>
            <w:r>
              <w:rPr>
                <w:rFonts w:ascii="Arial" w:cs="Arial" w:eastAsia="Arial" w:hAnsi="Arial"/>
                <w:sz w:val="13"/>
                <w:szCs w:val="13"/>
                <w:color w:val="auto"/>
              </w:rPr>
              <w:t>revoke any prior voting instructions by contacting that firm.</w:t>
            </w:r>
          </w:p>
        </w:tc>
      </w:tr>
      <w:tr>
        <w:trPr>
          <w:trHeight w:val="231"/>
        </w:trPr>
        <w:tc>
          <w:tcPr>
            <w:tcW w:w="3800" w:type="dxa"/>
            <w:vAlign w:val="bottom"/>
          </w:tcPr>
          <w:p>
            <w:pPr>
              <w:ind w:left="680"/>
              <w:spacing w:after="0"/>
              <w:rPr>
                <w:sz w:val="20"/>
                <w:szCs w:val="20"/>
                <w:color w:val="auto"/>
              </w:rPr>
            </w:pPr>
            <w:r>
              <w:rPr>
                <w:rFonts w:ascii="Arial" w:cs="Arial" w:eastAsia="Arial" w:hAnsi="Arial"/>
                <w:sz w:val="13"/>
                <w:szCs w:val="13"/>
                <w:b w:val="1"/>
                <w:bCs w:val="1"/>
                <w:color w:val="auto"/>
              </w:rPr>
              <w:t>Votes Required to Adopt Proposals</w:t>
            </w:r>
          </w:p>
        </w:tc>
        <w:tc>
          <w:tcPr>
            <w:tcW w:w="7660" w:type="dxa"/>
            <w:vAlign w:val="bottom"/>
          </w:tcPr>
          <w:p>
            <w:pPr>
              <w:ind w:left="580"/>
              <w:spacing w:after="0"/>
              <w:rPr>
                <w:sz w:val="20"/>
                <w:szCs w:val="20"/>
                <w:color w:val="auto"/>
              </w:rPr>
            </w:pPr>
            <w:r>
              <w:rPr>
                <w:rFonts w:ascii="Arial" w:cs="Arial" w:eastAsia="Arial" w:hAnsi="Arial"/>
                <w:sz w:val="13"/>
                <w:szCs w:val="13"/>
                <w:color w:val="auto"/>
              </w:rPr>
              <w:t>Each share of our Common Stock outstanding on the record date is entitled to one vote on each of the eight director</w:t>
            </w:r>
          </w:p>
        </w:tc>
      </w:tr>
      <w:tr>
        <w:trPr>
          <w:trHeight w:val="161"/>
        </w:trPr>
        <w:tc>
          <w:tcPr>
            <w:tcW w:w="3800" w:type="dxa"/>
            <w:vAlign w:val="bottom"/>
          </w:tcPr>
          <w:p>
            <w:pPr>
              <w:spacing w:after="0"/>
              <w:rPr>
                <w:sz w:val="14"/>
                <w:szCs w:val="14"/>
                <w:color w:val="auto"/>
              </w:rPr>
            </w:pPr>
          </w:p>
        </w:tc>
        <w:tc>
          <w:tcPr>
            <w:tcW w:w="7660" w:type="dxa"/>
            <w:vAlign w:val="bottom"/>
          </w:tcPr>
          <w:p>
            <w:pPr>
              <w:ind w:left="580"/>
              <w:spacing w:after="0"/>
              <w:rPr>
                <w:sz w:val="20"/>
                <w:szCs w:val="20"/>
                <w:color w:val="auto"/>
              </w:rPr>
            </w:pPr>
            <w:r>
              <w:rPr>
                <w:rFonts w:ascii="Arial" w:cs="Arial" w:eastAsia="Arial" w:hAnsi="Arial"/>
                <w:sz w:val="13"/>
                <w:szCs w:val="13"/>
                <w:color w:val="auto"/>
              </w:rPr>
              <w:t>nominees and one vote on each other matter. To be elected, directors must receive a majority of the votes cast at the</w:t>
            </w:r>
          </w:p>
        </w:tc>
      </w:tr>
      <w:tr>
        <w:trPr>
          <w:trHeight w:val="161"/>
        </w:trPr>
        <w:tc>
          <w:tcPr>
            <w:tcW w:w="3800" w:type="dxa"/>
            <w:vAlign w:val="bottom"/>
          </w:tcPr>
          <w:p>
            <w:pPr>
              <w:spacing w:after="0"/>
              <w:rPr>
                <w:sz w:val="14"/>
                <w:szCs w:val="14"/>
                <w:color w:val="auto"/>
              </w:rPr>
            </w:pPr>
          </w:p>
        </w:tc>
        <w:tc>
          <w:tcPr>
            <w:tcW w:w="7660" w:type="dxa"/>
            <w:vAlign w:val="bottom"/>
          </w:tcPr>
          <w:p>
            <w:pPr>
              <w:ind w:left="580"/>
              <w:spacing w:after="0"/>
              <w:rPr>
                <w:sz w:val="20"/>
                <w:szCs w:val="20"/>
                <w:color w:val="auto"/>
              </w:rPr>
            </w:pPr>
            <w:r>
              <w:rPr>
                <w:rFonts w:ascii="Arial" w:cs="Arial" w:eastAsia="Arial" w:hAnsi="Arial"/>
                <w:sz w:val="13"/>
                <w:szCs w:val="13"/>
                <w:color w:val="auto"/>
              </w:rPr>
              <w:t>meeting. The proposal to amend our Certificate of Incorporation requires the favorable vote of at least two-thirds of</w:t>
            </w:r>
          </w:p>
        </w:tc>
      </w:tr>
      <w:tr>
        <w:trPr>
          <w:trHeight w:val="161"/>
        </w:trPr>
        <w:tc>
          <w:tcPr>
            <w:tcW w:w="3800" w:type="dxa"/>
            <w:vAlign w:val="bottom"/>
          </w:tcPr>
          <w:p>
            <w:pPr>
              <w:spacing w:after="0"/>
              <w:rPr>
                <w:sz w:val="14"/>
                <w:szCs w:val="14"/>
                <w:color w:val="auto"/>
              </w:rPr>
            </w:pPr>
          </w:p>
        </w:tc>
        <w:tc>
          <w:tcPr>
            <w:tcW w:w="7660" w:type="dxa"/>
            <w:vAlign w:val="bottom"/>
          </w:tcPr>
          <w:p>
            <w:pPr>
              <w:ind w:left="580"/>
              <w:spacing w:after="0"/>
              <w:rPr>
                <w:sz w:val="20"/>
                <w:szCs w:val="20"/>
                <w:color w:val="auto"/>
              </w:rPr>
            </w:pPr>
            <w:r>
              <w:rPr>
                <w:rFonts w:ascii="Arial" w:cs="Arial" w:eastAsia="Arial" w:hAnsi="Arial"/>
                <w:sz w:val="13"/>
                <w:szCs w:val="13"/>
                <w:color w:val="auto"/>
              </w:rPr>
              <w:t>our outstanding shares. Each of the other proposals requires the favorable vote of a majority of the shares present,</w:t>
            </w:r>
          </w:p>
        </w:tc>
      </w:tr>
      <w:tr>
        <w:trPr>
          <w:trHeight w:val="172"/>
        </w:trPr>
        <w:tc>
          <w:tcPr>
            <w:tcW w:w="3800" w:type="dxa"/>
            <w:vAlign w:val="bottom"/>
          </w:tcPr>
          <w:p>
            <w:pPr>
              <w:spacing w:after="0"/>
              <w:rPr>
                <w:sz w:val="14"/>
                <w:szCs w:val="14"/>
                <w:color w:val="auto"/>
              </w:rPr>
            </w:pPr>
          </w:p>
        </w:tc>
        <w:tc>
          <w:tcPr>
            <w:tcW w:w="7660" w:type="dxa"/>
            <w:vAlign w:val="bottom"/>
          </w:tcPr>
          <w:p>
            <w:pPr>
              <w:ind w:left="580"/>
              <w:spacing w:after="0"/>
              <w:rPr>
                <w:sz w:val="20"/>
                <w:szCs w:val="20"/>
                <w:color w:val="auto"/>
              </w:rPr>
            </w:pPr>
            <w:r>
              <w:rPr>
                <w:rFonts w:ascii="Arial" w:cs="Arial" w:eastAsia="Arial" w:hAnsi="Arial"/>
                <w:sz w:val="13"/>
                <w:szCs w:val="13"/>
                <w:color w:val="auto"/>
              </w:rPr>
              <w:t>either by proxy or in person, and entitled to vote.</w:t>
            </w:r>
          </w:p>
        </w:tc>
      </w:tr>
      <w:tr>
        <w:trPr>
          <w:trHeight w:val="231"/>
        </w:trPr>
        <w:tc>
          <w:tcPr>
            <w:tcW w:w="3800" w:type="dxa"/>
            <w:vAlign w:val="bottom"/>
          </w:tcPr>
          <w:p>
            <w:pPr>
              <w:ind w:left="680"/>
              <w:spacing w:after="0"/>
              <w:rPr>
                <w:sz w:val="20"/>
                <w:szCs w:val="20"/>
                <w:color w:val="auto"/>
              </w:rPr>
            </w:pPr>
            <w:r>
              <w:rPr>
                <w:rFonts w:ascii="Arial" w:cs="Arial" w:eastAsia="Arial" w:hAnsi="Arial"/>
                <w:sz w:val="13"/>
                <w:szCs w:val="13"/>
                <w:b w:val="1"/>
                <w:bCs w:val="1"/>
                <w:color w:val="auto"/>
              </w:rPr>
              <w:t>Effect of Abstentions and Broker Non-Votes</w:t>
            </w:r>
          </w:p>
        </w:tc>
        <w:tc>
          <w:tcPr>
            <w:tcW w:w="7660" w:type="dxa"/>
            <w:vAlign w:val="bottom"/>
          </w:tcPr>
          <w:p>
            <w:pPr>
              <w:ind w:left="580"/>
              <w:spacing w:after="0"/>
              <w:rPr>
                <w:sz w:val="20"/>
                <w:szCs w:val="20"/>
                <w:color w:val="auto"/>
              </w:rPr>
            </w:pPr>
            <w:r>
              <w:rPr>
                <w:rFonts w:ascii="Arial" w:cs="Arial" w:eastAsia="Arial" w:hAnsi="Arial"/>
                <w:sz w:val="13"/>
                <w:szCs w:val="13"/>
                <w:color w:val="auto"/>
              </w:rPr>
              <w:t>Abstentions will have no effect on the election of directors. For each of the other proposals, abstentions will have</w:t>
            </w:r>
          </w:p>
        </w:tc>
      </w:tr>
      <w:tr>
        <w:trPr>
          <w:trHeight w:val="172"/>
        </w:trPr>
        <w:tc>
          <w:tcPr>
            <w:tcW w:w="3800" w:type="dxa"/>
            <w:vAlign w:val="bottom"/>
          </w:tcPr>
          <w:p>
            <w:pPr>
              <w:spacing w:after="0"/>
              <w:rPr>
                <w:sz w:val="14"/>
                <w:szCs w:val="14"/>
                <w:color w:val="auto"/>
              </w:rPr>
            </w:pPr>
          </w:p>
        </w:tc>
        <w:tc>
          <w:tcPr>
            <w:tcW w:w="7660" w:type="dxa"/>
            <w:vAlign w:val="bottom"/>
          </w:tcPr>
          <w:p>
            <w:pPr>
              <w:ind w:left="580"/>
              <w:spacing w:after="0"/>
              <w:rPr>
                <w:sz w:val="20"/>
                <w:szCs w:val="20"/>
                <w:color w:val="auto"/>
              </w:rPr>
            </w:pPr>
            <w:r>
              <w:rPr>
                <w:rFonts w:ascii="Arial" w:cs="Arial" w:eastAsia="Arial" w:hAnsi="Arial"/>
                <w:sz w:val="13"/>
                <w:szCs w:val="13"/>
                <w:color w:val="auto"/>
              </w:rPr>
              <w:t xml:space="preserve">the same effect as a vote </w:t>
            </w:r>
            <w:r>
              <w:rPr>
                <w:rFonts w:ascii="Arial" w:cs="Arial" w:eastAsia="Arial" w:hAnsi="Arial"/>
                <w:sz w:val="13"/>
                <w:szCs w:val="13"/>
                <w:b w:val="1"/>
                <w:bCs w:val="1"/>
                <w:i w:val="1"/>
                <w:iCs w:val="1"/>
                <w:color w:val="auto"/>
              </w:rPr>
              <w:t>against</w:t>
            </w:r>
            <w:r>
              <w:rPr>
                <w:rFonts w:ascii="Arial" w:cs="Arial" w:eastAsia="Arial" w:hAnsi="Arial"/>
                <w:sz w:val="13"/>
                <w:szCs w:val="13"/>
                <w:color w:val="auto"/>
              </w:rPr>
              <w:t xml:space="preserve"> these matters because they are considered present and entitled to vote.</w:t>
            </w:r>
          </w:p>
        </w:tc>
      </w:tr>
      <w:tr>
        <w:trPr>
          <w:trHeight w:val="167"/>
        </w:trPr>
        <w:tc>
          <w:tcPr>
            <w:tcW w:w="3800" w:type="dxa"/>
            <w:vAlign w:val="bottom"/>
            <w:tcBorders>
              <w:bottom w:val="single" w:sz="8" w:color="808080"/>
            </w:tcBorders>
          </w:tcPr>
          <w:p>
            <w:pPr>
              <w:spacing w:after="0"/>
              <w:rPr>
                <w:sz w:val="14"/>
                <w:szCs w:val="14"/>
                <w:color w:val="auto"/>
              </w:rPr>
            </w:pPr>
          </w:p>
        </w:tc>
        <w:tc>
          <w:tcPr>
            <w:tcW w:w="76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49"/>
        </w:trPr>
        <w:tc>
          <w:tcPr>
            <w:tcW w:w="4020" w:type="dxa"/>
            <w:vAlign w:val="bottom"/>
            <w:gridSpan w:val="2"/>
          </w:tcPr>
          <w:p>
            <w:pPr>
              <w:spacing w:after="0"/>
              <w:rPr>
                <w:rFonts w:ascii="Arial" w:cs="Arial" w:eastAsia="Arial" w:hAnsi="Arial"/>
                <w:sz w:val="13"/>
                <w:szCs w:val="13"/>
                <w:b w:val="1"/>
                <w:bCs w:val="1"/>
                <w:color w:val="0000EE"/>
              </w:rPr>
            </w:pPr>
            <w:hyperlink w:anchor="page4">
              <w:r>
                <w:rPr>
                  <w:rFonts w:ascii="Arial" w:cs="Arial" w:eastAsia="Arial" w:hAnsi="Arial"/>
                  <w:sz w:val="13"/>
                  <w:szCs w:val="13"/>
                  <w:b w:val="1"/>
                  <w:bCs w:val="1"/>
                  <w:color w:val="0000EE"/>
                </w:rPr>
                <w:t>Table of Contents</w:t>
              </w:r>
            </w:hyperlink>
          </w:p>
        </w:tc>
        <w:tc>
          <w:tcPr>
            <w:tcW w:w="7440" w:type="dxa"/>
            <w:vAlign w:val="bottom"/>
          </w:tcPr>
          <w:p>
            <w:pPr>
              <w:spacing w:after="0"/>
              <w:rPr>
                <w:sz w:val="13"/>
                <w:szCs w:val="13"/>
                <w:color w:val="auto"/>
              </w:rPr>
            </w:pPr>
          </w:p>
        </w:tc>
      </w:tr>
      <w:tr>
        <w:trPr>
          <w:trHeight w:val="392"/>
        </w:trPr>
        <w:tc>
          <w:tcPr>
            <w:tcW w:w="1000" w:type="dxa"/>
            <w:vAlign w:val="bottom"/>
            <w:tcBorders>
              <w:top w:val="single" w:sz="8" w:color="0000EE"/>
            </w:tcBorders>
          </w:tcPr>
          <w:p>
            <w:pPr>
              <w:spacing w:after="0"/>
              <w:rPr>
                <w:sz w:val="24"/>
                <w:szCs w:val="24"/>
                <w:color w:val="auto"/>
              </w:rPr>
            </w:pPr>
          </w:p>
        </w:tc>
        <w:tc>
          <w:tcPr>
            <w:tcW w:w="3020" w:type="dxa"/>
            <w:vAlign w:val="bottom"/>
          </w:tcPr>
          <w:p>
            <w:pPr>
              <w:spacing w:after="0"/>
              <w:rPr>
                <w:sz w:val="24"/>
                <w:szCs w:val="24"/>
                <w:color w:val="auto"/>
              </w:rPr>
            </w:pPr>
          </w:p>
        </w:tc>
        <w:tc>
          <w:tcPr>
            <w:tcW w:w="7440" w:type="dxa"/>
            <w:vAlign w:val="bottom"/>
          </w:tcPr>
          <w:p>
            <w:pPr>
              <w:ind w:left="360"/>
              <w:spacing w:after="0"/>
              <w:rPr>
                <w:sz w:val="20"/>
                <w:szCs w:val="20"/>
                <w:color w:val="auto"/>
              </w:rPr>
            </w:pPr>
            <w:r>
              <w:rPr>
                <w:rFonts w:ascii="Arial" w:cs="Arial" w:eastAsia="Arial" w:hAnsi="Arial"/>
                <w:sz w:val="13"/>
                <w:szCs w:val="13"/>
                <w:color w:val="auto"/>
              </w:rPr>
              <w:t>If your shares are held by your broker and you do not give voting instructions, your broker will be entitled to vote</w:t>
            </w:r>
          </w:p>
        </w:tc>
      </w:tr>
      <w:tr>
        <w:trPr>
          <w:trHeight w:val="161"/>
        </w:trPr>
        <w:tc>
          <w:tcPr>
            <w:tcW w:w="10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7440" w:type="dxa"/>
            <w:vAlign w:val="bottom"/>
          </w:tcPr>
          <w:p>
            <w:pPr>
              <w:ind w:left="360"/>
              <w:spacing w:after="0"/>
              <w:rPr>
                <w:sz w:val="20"/>
                <w:szCs w:val="20"/>
                <w:color w:val="auto"/>
              </w:rPr>
            </w:pPr>
            <w:r>
              <w:rPr>
                <w:rFonts w:ascii="Arial" w:cs="Arial" w:eastAsia="Arial" w:hAnsi="Arial"/>
                <w:sz w:val="13"/>
                <w:szCs w:val="13"/>
                <w:color w:val="auto"/>
              </w:rPr>
              <w:t>your shares in its discretion for the ratification of our independent registered public accounting firm and for the</w:t>
            </w:r>
          </w:p>
        </w:tc>
      </w:tr>
      <w:tr>
        <w:trPr>
          <w:trHeight w:val="161"/>
        </w:trPr>
        <w:tc>
          <w:tcPr>
            <w:tcW w:w="10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7440" w:type="dxa"/>
            <w:vAlign w:val="bottom"/>
          </w:tcPr>
          <w:p>
            <w:pPr>
              <w:ind w:left="360"/>
              <w:spacing w:after="0"/>
              <w:rPr>
                <w:sz w:val="20"/>
                <w:szCs w:val="20"/>
                <w:color w:val="auto"/>
              </w:rPr>
            </w:pPr>
            <w:r>
              <w:rPr>
                <w:rFonts w:ascii="Arial" w:cs="Arial" w:eastAsia="Arial" w:hAnsi="Arial"/>
                <w:sz w:val="13"/>
                <w:szCs w:val="13"/>
                <w:color w:val="auto"/>
              </w:rPr>
              <w:t>amendment to our Certificate of Incorporation. For the election of directors and each of the stockholder proposals,</w:t>
            </w:r>
          </w:p>
        </w:tc>
      </w:tr>
      <w:tr>
        <w:trPr>
          <w:trHeight w:val="161"/>
        </w:trPr>
        <w:tc>
          <w:tcPr>
            <w:tcW w:w="10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7440" w:type="dxa"/>
            <w:vAlign w:val="bottom"/>
          </w:tcPr>
          <w:p>
            <w:pPr>
              <w:ind w:left="360"/>
              <w:spacing w:after="0"/>
              <w:rPr>
                <w:sz w:val="20"/>
                <w:szCs w:val="20"/>
                <w:color w:val="auto"/>
              </w:rPr>
            </w:pPr>
            <w:r>
              <w:rPr>
                <w:rFonts w:ascii="Arial" w:cs="Arial" w:eastAsia="Arial" w:hAnsi="Arial"/>
                <w:sz w:val="13"/>
                <w:szCs w:val="13"/>
                <w:color w:val="auto"/>
              </w:rPr>
              <w:t>your shares will be treated as broker non-votes. Broker non-votes are not entitled to vote. Thus, absent voting</w:t>
            </w:r>
          </w:p>
        </w:tc>
      </w:tr>
      <w:tr>
        <w:trPr>
          <w:trHeight w:val="161"/>
        </w:trPr>
        <w:tc>
          <w:tcPr>
            <w:tcW w:w="10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7440" w:type="dxa"/>
            <w:vAlign w:val="bottom"/>
          </w:tcPr>
          <w:p>
            <w:pPr>
              <w:ind w:left="360"/>
              <w:spacing w:after="0"/>
              <w:rPr>
                <w:sz w:val="20"/>
                <w:szCs w:val="20"/>
                <w:color w:val="auto"/>
              </w:rPr>
            </w:pPr>
            <w:r>
              <w:rPr>
                <w:rFonts w:ascii="Arial" w:cs="Arial" w:eastAsia="Arial" w:hAnsi="Arial"/>
                <w:sz w:val="13"/>
                <w:szCs w:val="13"/>
                <w:color w:val="auto"/>
              </w:rPr>
              <w:t>instructions from you, your broker will not be able to vote your shares for the election of directors and will not be</w:t>
            </w:r>
          </w:p>
        </w:tc>
      </w:tr>
      <w:tr>
        <w:trPr>
          <w:trHeight w:val="172"/>
        </w:trPr>
        <w:tc>
          <w:tcPr>
            <w:tcW w:w="10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7440" w:type="dxa"/>
            <w:vAlign w:val="bottom"/>
          </w:tcPr>
          <w:p>
            <w:pPr>
              <w:ind w:left="360"/>
              <w:spacing w:after="0"/>
              <w:rPr>
                <w:sz w:val="20"/>
                <w:szCs w:val="20"/>
                <w:color w:val="auto"/>
              </w:rPr>
            </w:pPr>
            <w:r>
              <w:rPr>
                <w:rFonts w:ascii="Arial" w:cs="Arial" w:eastAsia="Arial" w:hAnsi="Arial"/>
                <w:sz w:val="13"/>
                <w:szCs w:val="13"/>
                <w:color w:val="auto"/>
              </w:rPr>
              <w:t>able to vote on the stockholder proposals. A broker non-vote has no effect on the outcome of the vote.</w:t>
            </w:r>
          </w:p>
        </w:tc>
      </w:tr>
      <w:tr>
        <w:trPr>
          <w:trHeight w:val="231"/>
        </w:trPr>
        <w:tc>
          <w:tcPr>
            <w:tcW w:w="4020" w:type="dxa"/>
            <w:vAlign w:val="bottom"/>
            <w:gridSpan w:val="2"/>
          </w:tcPr>
          <w:p>
            <w:pPr>
              <w:ind w:left="680"/>
              <w:spacing w:after="0"/>
              <w:rPr>
                <w:sz w:val="20"/>
                <w:szCs w:val="20"/>
                <w:color w:val="auto"/>
              </w:rPr>
            </w:pPr>
            <w:r>
              <w:rPr>
                <w:rFonts w:ascii="Arial" w:cs="Arial" w:eastAsia="Arial" w:hAnsi="Arial"/>
                <w:sz w:val="13"/>
                <w:szCs w:val="13"/>
                <w:b w:val="1"/>
                <w:bCs w:val="1"/>
                <w:color w:val="auto"/>
              </w:rPr>
              <w:t>Voting Instructions</w:t>
            </w:r>
          </w:p>
        </w:tc>
        <w:tc>
          <w:tcPr>
            <w:tcW w:w="7440" w:type="dxa"/>
            <w:vAlign w:val="bottom"/>
          </w:tcPr>
          <w:p>
            <w:pPr>
              <w:ind w:left="360"/>
              <w:spacing w:after="0"/>
              <w:rPr>
                <w:sz w:val="20"/>
                <w:szCs w:val="20"/>
                <w:color w:val="auto"/>
              </w:rPr>
            </w:pPr>
            <w:r>
              <w:rPr>
                <w:rFonts w:ascii="Arial" w:cs="Arial" w:eastAsia="Arial" w:hAnsi="Arial"/>
                <w:sz w:val="13"/>
                <w:szCs w:val="13"/>
                <w:color w:val="auto"/>
              </w:rPr>
              <w:t>You may receive more than one proxy card depending on how you hold your shares. Shares registered in your name</w:t>
            </w:r>
          </w:p>
        </w:tc>
      </w:tr>
      <w:tr>
        <w:trPr>
          <w:trHeight w:val="161"/>
        </w:trPr>
        <w:tc>
          <w:tcPr>
            <w:tcW w:w="10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7440" w:type="dxa"/>
            <w:vAlign w:val="bottom"/>
          </w:tcPr>
          <w:p>
            <w:pPr>
              <w:ind w:left="360"/>
              <w:spacing w:after="0"/>
              <w:rPr>
                <w:sz w:val="20"/>
                <w:szCs w:val="20"/>
                <w:color w:val="auto"/>
              </w:rPr>
            </w:pPr>
            <w:r>
              <w:rPr>
                <w:rFonts w:ascii="Arial" w:cs="Arial" w:eastAsia="Arial" w:hAnsi="Arial"/>
                <w:sz w:val="13"/>
                <w:szCs w:val="13"/>
                <w:color w:val="auto"/>
              </w:rPr>
              <w:t>and shares held in our Employee Stock Purchase Plan are covered by separate proxy cards. If you hold shares</w:t>
            </w:r>
          </w:p>
        </w:tc>
      </w:tr>
      <w:tr>
        <w:trPr>
          <w:trHeight w:val="161"/>
        </w:trPr>
        <w:tc>
          <w:tcPr>
            <w:tcW w:w="10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7440" w:type="dxa"/>
            <w:vAlign w:val="bottom"/>
          </w:tcPr>
          <w:p>
            <w:pPr>
              <w:ind w:left="360"/>
              <w:spacing w:after="0"/>
              <w:rPr>
                <w:sz w:val="20"/>
                <w:szCs w:val="20"/>
                <w:color w:val="auto"/>
              </w:rPr>
            </w:pPr>
            <w:r>
              <w:rPr>
                <w:rFonts w:ascii="Arial" w:cs="Arial" w:eastAsia="Arial" w:hAnsi="Arial"/>
                <w:sz w:val="13"/>
                <w:szCs w:val="13"/>
                <w:color w:val="auto"/>
              </w:rPr>
              <w:t>through a broker, your ability to vote by phone or over the Internet depends on your broker’s voting process. You</w:t>
            </w:r>
          </w:p>
        </w:tc>
      </w:tr>
      <w:tr>
        <w:trPr>
          <w:trHeight w:val="172"/>
        </w:trPr>
        <w:tc>
          <w:tcPr>
            <w:tcW w:w="10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7440" w:type="dxa"/>
            <w:vAlign w:val="bottom"/>
          </w:tcPr>
          <w:p>
            <w:pPr>
              <w:ind w:left="360"/>
              <w:spacing w:after="0"/>
              <w:rPr>
                <w:sz w:val="20"/>
                <w:szCs w:val="20"/>
                <w:color w:val="auto"/>
              </w:rPr>
            </w:pPr>
            <w:r>
              <w:rPr>
                <w:rFonts w:ascii="Arial" w:cs="Arial" w:eastAsia="Arial" w:hAnsi="Arial"/>
                <w:sz w:val="13"/>
                <w:szCs w:val="13"/>
                <w:color w:val="auto"/>
              </w:rPr>
              <w:t>should complete and return each proxy or other voting instruction request provided to you.</w:t>
            </w:r>
          </w:p>
        </w:tc>
      </w:tr>
      <w:tr>
        <w:trPr>
          <w:trHeight w:val="231"/>
        </w:trPr>
        <w:tc>
          <w:tcPr>
            <w:tcW w:w="10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7440" w:type="dxa"/>
            <w:vAlign w:val="bottom"/>
          </w:tcPr>
          <w:p>
            <w:pPr>
              <w:ind w:left="360"/>
              <w:spacing w:after="0"/>
              <w:rPr>
                <w:sz w:val="20"/>
                <w:szCs w:val="20"/>
                <w:color w:val="auto"/>
              </w:rPr>
            </w:pPr>
            <w:r>
              <w:rPr>
                <w:rFonts w:ascii="Arial" w:cs="Arial" w:eastAsia="Arial" w:hAnsi="Arial"/>
                <w:sz w:val="13"/>
                <w:szCs w:val="13"/>
                <w:color w:val="auto"/>
              </w:rPr>
              <w:t>If you complete and submit your proxy voting instructions, the persons named as proxies will follow your</w:t>
            </w:r>
          </w:p>
        </w:tc>
      </w:tr>
      <w:tr>
        <w:trPr>
          <w:trHeight w:val="172"/>
        </w:trPr>
        <w:tc>
          <w:tcPr>
            <w:tcW w:w="10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7440" w:type="dxa"/>
            <w:vAlign w:val="bottom"/>
          </w:tcPr>
          <w:p>
            <w:pPr>
              <w:ind w:left="360"/>
              <w:spacing w:after="0"/>
              <w:rPr>
                <w:sz w:val="20"/>
                <w:szCs w:val="20"/>
                <w:color w:val="auto"/>
              </w:rPr>
            </w:pPr>
            <w:r>
              <w:rPr>
                <w:rFonts w:ascii="Arial" w:cs="Arial" w:eastAsia="Arial" w:hAnsi="Arial"/>
                <w:sz w:val="13"/>
                <w:szCs w:val="13"/>
                <w:color w:val="auto"/>
              </w:rPr>
              <w:t>instructions. If you submit your proxy but do not give voting instructions, we will vote your shares as follows:</w:t>
            </w:r>
          </w:p>
        </w:tc>
      </w:tr>
      <w:tr>
        <w:trPr>
          <w:trHeight w:val="242"/>
        </w:trPr>
        <w:tc>
          <w:tcPr>
            <w:tcW w:w="100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7440" w:type="dxa"/>
            <w:vAlign w:val="bottom"/>
          </w:tcPr>
          <w:p>
            <w:pPr>
              <w:ind w:left="36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i w:val="1"/>
                <w:iCs w:val="1"/>
                <w:color w:val="auto"/>
              </w:rPr>
              <w:t>FOR</w:t>
            </w:r>
            <w:r>
              <w:rPr>
                <w:rFonts w:ascii="Arial" w:cs="Arial" w:eastAsia="Arial" w:hAnsi="Arial"/>
                <w:sz w:val="13"/>
                <w:szCs w:val="13"/>
                <w:color w:val="auto"/>
              </w:rPr>
              <w:t xml:space="preserve"> our director candidates;</w:t>
            </w:r>
          </w:p>
        </w:tc>
      </w:tr>
      <w:tr>
        <w:trPr>
          <w:trHeight w:val="242"/>
        </w:trPr>
        <w:tc>
          <w:tcPr>
            <w:tcW w:w="100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7440" w:type="dxa"/>
            <w:vAlign w:val="bottom"/>
          </w:tcPr>
          <w:p>
            <w:pPr>
              <w:ind w:left="36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i w:val="1"/>
                <w:iCs w:val="1"/>
                <w:color w:val="auto"/>
              </w:rPr>
              <w:t>FOR</w:t>
            </w:r>
            <w:r>
              <w:rPr>
                <w:rFonts w:ascii="Arial" w:cs="Arial" w:eastAsia="Arial" w:hAnsi="Arial"/>
                <w:sz w:val="13"/>
                <w:szCs w:val="13"/>
                <w:color w:val="auto"/>
              </w:rPr>
              <w:t xml:space="preserve"> the ratification of the independent registered public accounting firm;</w:t>
            </w:r>
          </w:p>
        </w:tc>
      </w:tr>
      <w:tr>
        <w:trPr>
          <w:trHeight w:val="242"/>
        </w:trPr>
        <w:tc>
          <w:tcPr>
            <w:tcW w:w="100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7440" w:type="dxa"/>
            <w:vAlign w:val="bottom"/>
          </w:tcPr>
          <w:p>
            <w:pPr>
              <w:ind w:left="36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i w:val="1"/>
                <w:iCs w:val="1"/>
                <w:color w:val="auto"/>
              </w:rPr>
              <w:t>FOR</w:t>
            </w:r>
            <w:r>
              <w:rPr>
                <w:rFonts w:ascii="Arial" w:cs="Arial" w:eastAsia="Arial" w:hAnsi="Arial"/>
                <w:sz w:val="13"/>
                <w:szCs w:val="13"/>
                <w:color w:val="auto"/>
              </w:rPr>
              <w:t xml:space="preserve"> the amendment to our Certificate of Incorporation;</w:t>
            </w:r>
          </w:p>
        </w:tc>
      </w:tr>
      <w:tr>
        <w:trPr>
          <w:trHeight w:val="242"/>
        </w:trPr>
        <w:tc>
          <w:tcPr>
            <w:tcW w:w="100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7440" w:type="dxa"/>
            <w:vAlign w:val="bottom"/>
          </w:tcPr>
          <w:p>
            <w:pPr>
              <w:ind w:left="36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i w:val="1"/>
                <w:iCs w:val="1"/>
                <w:color w:val="auto"/>
              </w:rPr>
              <w:t>AGAINST</w:t>
            </w:r>
            <w:r>
              <w:rPr>
                <w:rFonts w:ascii="Arial" w:cs="Arial" w:eastAsia="Arial" w:hAnsi="Arial"/>
                <w:sz w:val="13"/>
                <w:szCs w:val="13"/>
                <w:color w:val="auto"/>
              </w:rPr>
              <w:t xml:space="preserve"> the stockholder proposal relating to disclosure of political contributions; and</w:t>
            </w:r>
          </w:p>
        </w:tc>
      </w:tr>
      <w:tr>
        <w:trPr>
          <w:trHeight w:val="242"/>
        </w:trPr>
        <w:tc>
          <w:tcPr>
            <w:tcW w:w="100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7440" w:type="dxa"/>
            <w:vAlign w:val="bottom"/>
          </w:tcPr>
          <w:p>
            <w:pPr>
              <w:ind w:left="36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i w:val="1"/>
                <w:iCs w:val="1"/>
                <w:color w:val="auto"/>
              </w:rPr>
              <w:t>AGAINST</w:t>
            </w:r>
            <w:r>
              <w:rPr>
                <w:rFonts w:ascii="Arial" w:cs="Arial" w:eastAsia="Arial" w:hAnsi="Arial"/>
                <w:sz w:val="13"/>
                <w:szCs w:val="13"/>
                <w:color w:val="auto"/>
              </w:rPr>
              <w:t xml:space="preserve"> the stockholder proposal relating to the right of stockholders to call special stockholder meetings.</w:t>
            </w:r>
          </w:p>
        </w:tc>
      </w:tr>
      <w:tr>
        <w:trPr>
          <w:trHeight w:val="231"/>
        </w:trPr>
        <w:tc>
          <w:tcPr>
            <w:tcW w:w="10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7440" w:type="dxa"/>
            <w:vAlign w:val="bottom"/>
          </w:tcPr>
          <w:p>
            <w:pPr>
              <w:ind w:left="360"/>
              <w:spacing w:after="0"/>
              <w:rPr>
                <w:sz w:val="20"/>
                <w:szCs w:val="20"/>
                <w:color w:val="auto"/>
              </w:rPr>
            </w:pPr>
            <w:r>
              <w:rPr>
                <w:rFonts w:ascii="Arial" w:cs="Arial" w:eastAsia="Arial" w:hAnsi="Arial"/>
                <w:sz w:val="13"/>
                <w:szCs w:val="13"/>
                <w:color w:val="auto"/>
              </w:rPr>
              <w:t>If you give us your proxy, any other matters that may properly come before the meeting will be voted at the</w:t>
            </w:r>
          </w:p>
        </w:tc>
      </w:tr>
      <w:tr>
        <w:trPr>
          <w:trHeight w:val="172"/>
        </w:trPr>
        <w:tc>
          <w:tcPr>
            <w:tcW w:w="10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7440" w:type="dxa"/>
            <w:vAlign w:val="bottom"/>
          </w:tcPr>
          <w:p>
            <w:pPr>
              <w:ind w:left="360"/>
              <w:spacing w:after="0"/>
              <w:rPr>
                <w:sz w:val="20"/>
                <w:szCs w:val="20"/>
                <w:color w:val="auto"/>
              </w:rPr>
            </w:pPr>
            <w:r>
              <w:rPr>
                <w:rFonts w:ascii="Arial" w:cs="Arial" w:eastAsia="Arial" w:hAnsi="Arial"/>
                <w:sz w:val="13"/>
                <w:szCs w:val="13"/>
                <w:color w:val="auto"/>
              </w:rPr>
              <w:t>discretion of the proxy holders.</w:t>
            </w:r>
          </w:p>
        </w:tc>
      </w:tr>
      <w:tr>
        <w:trPr>
          <w:trHeight w:val="231"/>
        </w:trPr>
        <w:tc>
          <w:tcPr>
            <w:tcW w:w="4020" w:type="dxa"/>
            <w:vAlign w:val="bottom"/>
            <w:gridSpan w:val="2"/>
          </w:tcPr>
          <w:p>
            <w:pPr>
              <w:ind w:left="680"/>
              <w:spacing w:after="0"/>
              <w:rPr>
                <w:sz w:val="20"/>
                <w:szCs w:val="20"/>
                <w:color w:val="auto"/>
              </w:rPr>
            </w:pPr>
            <w:r>
              <w:rPr>
                <w:rFonts w:ascii="Arial" w:cs="Arial" w:eastAsia="Arial" w:hAnsi="Arial"/>
                <w:sz w:val="13"/>
                <w:szCs w:val="13"/>
                <w:b w:val="1"/>
                <w:bCs w:val="1"/>
                <w:color w:val="auto"/>
              </w:rPr>
              <w:t>Attending in Person</w:t>
            </w:r>
          </w:p>
        </w:tc>
        <w:tc>
          <w:tcPr>
            <w:tcW w:w="7440" w:type="dxa"/>
            <w:vAlign w:val="bottom"/>
          </w:tcPr>
          <w:p>
            <w:pPr>
              <w:ind w:left="360"/>
              <w:spacing w:after="0"/>
              <w:rPr>
                <w:sz w:val="20"/>
                <w:szCs w:val="20"/>
                <w:color w:val="auto"/>
              </w:rPr>
            </w:pPr>
            <w:r>
              <w:rPr>
                <w:rFonts w:ascii="Arial" w:cs="Arial" w:eastAsia="Arial" w:hAnsi="Arial"/>
                <w:sz w:val="13"/>
                <w:szCs w:val="13"/>
                <w:color w:val="auto"/>
              </w:rPr>
              <w:t>Only stockholders, their proxy holders and our invited guests may attend the meeting. If you plan to attend, please</w:t>
            </w:r>
          </w:p>
        </w:tc>
      </w:tr>
      <w:tr>
        <w:trPr>
          <w:trHeight w:val="161"/>
        </w:trPr>
        <w:tc>
          <w:tcPr>
            <w:tcW w:w="10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7440" w:type="dxa"/>
            <w:vAlign w:val="bottom"/>
          </w:tcPr>
          <w:p>
            <w:pPr>
              <w:ind w:left="360"/>
              <w:spacing w:after="0"/>
              <w:rPr>
                <w:sz w:val="20"/>
                <w:szCs w:val="20"/>
                <w:color w:val="auto"/>
              </w:rPr>
            </w:pPr>
            <w:r>
              <w:rPr>
                <w:rFonts w:ascii="Arial" w:cs="Arial" w:eastAsia="Arial" w:hAnsi="Arial"/>
                <w:sz w:val="13"/>
                <w:szCs w:val="13"/>
                <w:color w:val="auto"/>
              </w:rPr>
              <w:t>bring identification and, if you hold shares in street name, bring your bank or broker statement showing your</w:t>
            </w:r>
          </w:p>
        </w:tc>
      </w:tr>
      <w:tr>
        <w:trPr>
          <w:trHeight w:val="172"/>
        </w:trPr>
        <w:tc>
          <w:tcPr>
            <w:tcW w:w="10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7440" w:type="dxa"/>
            <w:vAlign w:val="bottom"/>
          </w:tcPr>
          <w:p>
            <w:pPr>
              <w:ind w:left="360"/>
              <w:spacing w:after="0"/>
              <w:rPr>
                <w:sz w:val="20"/>
                <w:szCs w:val="20"/>
                <w:color w:val="auto"/>
              </w:rPr>
            </w:pPr>
            <w:r>
              <w:rPr>
                <w:rFonts w:ascii="Arial" w:cs="Arial" w:eastAsia="Arial" w:hAnsi="Arial"/>
                <w:sz w:val="13"/>
                <w:szCs w:val="13"/>
                <w:color w:val="auto"/>
              </w:rPr>
              <w:t>beneficial ownership of Waste Management stock in order to be admitted to the meeting.</w:t>
            </w:r>
          </w:p>
        </w:tc>
      </w:tr>
      <w:tr>
        <w:trPr>
          <w:trHeight w:val="231"/>
        </w:trPr>
        <w:tc>
          <w:tcPr>
            <w:tcW w:w="10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7440" w:type="dxa"/>
            <w:vAlign w:val="bottom"/>
          </w:tcPr>
          <w:p>
            <w:pPr>
              <w:ind w:left="360"/>
              <w:spacing w:after="0"/>
              <w:rPr>
                <w:sz w:val="20"/>
                <w:szCs w:val="20"/>
                <w:color w:val="auto"/>
              </w:rPr>
            </w:pPr>
            <w:r>
              <w:rPr>
                <w:rFonts w:ascii="Arial" w:cs="Arial" w:eastAsia="Arial" w:hAnsi="Arial"/>
                <w:sz w:val="13"/>
                <w:szCs w:val="13"/>
                <w:color w:val="auto"/>
              </w:rPr>
              <w:t>If you are planning to attend our annual meeting and require directions to the meeting, please contact our Corporate</w:t>
            </w:r>
          </w:p>
        </w:tc>
      </w:tr>
      <w:tr>
        <w:trPr>
          <w:trHeight w:val="172"/>
        </w:trPr>
        <w:tc>
          <w:tcPr>
            <w:tcW w:w="10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7440" w:type="dxa"/>
            <w:vAlign w:val="bottom"/>
          </w:tcPr>
          <w:p>
            <w:pPr>
              <w:ind w:left="360"/>
              <w:spacing w:after="0"/>
              <w:rPr>
                <w:sz w:val="20"/>
                <w:szCs w:val="20"/>
                <w:color w:val="auto"/>
              </w:rPr>
            </w:pPr>
            <w:r>
              <w:rPr>
                <w:rFonts w:ascii="Arial" w:cs="Arial" w:eastAsia="Arial" w:hAnsi="Arial"/>
                <w:sz w:val="13"/>
                <w:szCs w:val="13"/>
                <w:color w:val="auto"/>
              </w:rPr>
              <w:t>Secretary at 713-512-6200.</w:t>
            </w:r>
          </w:p>
        </w:tc>
      </w:tr>
      <w:tr>
        <w:trPr>
          <w:trHeight w:val="231"/>
        </w:trPr>
        <w:tc>
          <w:tcPr>
            <w:tcW w:w="10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7440" w:type="dxa"/>
            <w:vAlign w:val="bottom"/>
          </w:tcPr>
          <w:p>
            <w:pPr>
              <w:ind w:left="360"/>
              <w:spacing w:after="0"/>
              <w:rPr>
                <w:sz w:val="20"/>
                <w:szCs w:val="20"/>
                <w:color w:val="auto"/>
              </w:rPr>
            </w:pPr>
            <w:r>
              <w:rPr>
                <w:rFonts w:ascii="Arial" w:cs="Arial" w:eastAsia="Arial" w:hAnsi="Arial"/>
                <w:sz w:val="13"/>
                <w:szCs w:val="13"/>
                <w:color w:val="auto"/>
              </w:rPr>
              <w:t>The only items that will be discussed at this year’s annual meeting will be the items set out in the Notice. There will</w:t>
            </w:r>
          </w:p>
        </w:tc>
      </w:tr>
      <w:tr>
        <w:trPr>
          <w:trHeight w:val="172"/>
        </w:trPr>
        <w:tc>
          <w:tcPr>
            <w:tcW w:w="10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7440" w:type="dxa"/>
            <w:vAlign w:val="bottom"/>
          </w:tcPr>
          <w:p>
            <w:pPr>
              <w:ind w:left="360"/>
              <w:spacing w:after="0"/>
              <w:rPr>
                <w:sz w:val="20"/>
                <w:szCs w:val="20"/>
                <w:color w:val="auto"/>
              </w:rPr>
            </w:pPr>
            <w:r>
              <w:rPr>
                <w:rFonts w:ascii="Arial" w:cs="Arial" w:eastAsia="Arial" w:hAnsi="Arial"/>
                <w:sz w:val="13"/>
                <w:szCs w:val="13"/>
                <w:color w:val="auto"/>
              </w:rPr>
              <w:t>be no presentations.</w:t>
            </w:r>
          </w:p>
        </w:tc>
      </w:tr>
      <w:tr>
        <w:trPr>
          <w:trHeight w:val="231"/>
        </w:trPr>
        <w:tc>
          <w:tcPr>
            <w:tcW w:w="4020" w:type="dxa"/>
            <w:vAlign w:val="bottom"/>
            <w:gridSpan w:val="2"/>
          </w:tcPr>
          <w:p>
            <w:pPr>
              <w:ind w:left="680"/>
              <w:spacing w:after="0"/>
              <w:rPr>
                <w:sz w:val="20"/>
                <w:szCs w:val="20"/>
                <w:color w:val="auto"/>
              </w:rPr>
            </w:pPr>
            <w:r>
              <w:rPr>
                <w:rFonts w:ascii="Arial" w:cs="Arial" w:eastAsia="Arial" w:hAnsi="Arial"/>
                <w:sz w:val="13"/>
                <w:szCs w:val="13"/>
                <w:b w:val="1"/>
                <w:bCs w:val="1"/>
                <w:color w:val="auto"/>
              </w:rPr>
              <w:t>Stockholder Proposals for the 2011 Annual Meeting</w:t>
            </w:r>
          </w:p>
        </w:tc>
        <w:tc>
          <w:tcPr>
            <w:tcW w:w="7440" w:type="dxa"/>
            <w:vAlign w:val="bottom"/>
          </w:tcPr>
          <w:p>
            <w:pPr>
              <w:ind w:left="360"/>
              <w:spacing w:after="0"/>
              <w:rPr>
                <w:sz w:val="20"/>
                <w:szCs w:val="20"/>
                <w:color w:val="auto"/>
              </w:rPr>
            </w:pPr>
            <w:r>
              <w:rPr>
                <w:rFonts w:ascii="Arial" w:cs="Arial" w:eastAsia="Arial" w:hAnsi="Arial"/>
                <w:sz w:val="13"/>
                <w:szCs w:val="13"/>
                <w:color w:val="auto"/>
              </w:rPr>
              <w:t>Eligible stockholders who want to have proposals considered for inclusion in the Proxy Statement for our 2011</w:t>
            </w:r>
          </w:p>
        </w:tc>
      </w:tr>
      <w:tr>
        <w:trPr>
          <w:trHeight w:val="172"/>
        </w:trPr>
        <w:tc>
          <w:tcPr>
            <w:tcW w:w="10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7440" w:type="dxa"/>
            <w:vAlign w:val="bottom"/>
          </w:tcPr>
          <w:p>
            <w:pPr>
              <w:ind w:left="360"/>
              <w:spacing w:after="0"/>
              <w:rPr>
                <w:sz w:val="20"/>
                <w:szCs w:val="20"/>
                <w:color w:val="auto"/>
              </w:rPr>
            </w:pPr>
            <w:r>
              <w:rPr>
                <w:rFonts w:ascii="Arial" w:cs="Arial" w:eastAsia="Arial" w:hAnsi="Arial"/>
                <w:sz w:val="13"/>
                <w:szCs w:val="13"/>
                <w:color w:val="auto"/>
              </w:rPr>
              <w:t>Annual Meeting</w:t>
            </w:r>
          </w:p>
        </w:tc>
      </w:tr>
      <w:tr>
        <w:trPr>
          <w:trHeight w:val="464"/>
        </w:trPr>
        <w:tc>
          <w:tcPr>
            <w:tcW w:w="10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7440" w:type="dxa"/>
            <w:vAlign w:val="bottom"/>
          </w:tcPr>
          <w:p>
            <w:pPr>
              <w:ind w:left="1620"/>
              <w:spacing w:after="0"/>
              <w:rPr>
                <w:sz w:val="20"/>
                <w:szCs w:val="20"/>
                <w:color w:val="auto"/>
              </w:rPr>
            </w:pPr>
            <w:r>
              <w:rPr>
                <w:rFonts w:ascii="Arial" w:cs="Arial" w:eastAsia="Arial" w:hAnsi="Arial"/>
                <w:sz w:val="13"/>
                <w:szCs w:val="13"/>
                <w:color w:val="auto"/>
              </w:rPr>
              <w:t>2</w:t>
            </w:r>
          </w:p>
        </w:tc>
      </w:tr>
      <w:tr>
        <w:trPr>
          <w:trHeight w:val="167"/>
        </w:trPr>
        <w:tc>
          <w:tcPr>
            <w:tcW w:w="1000" w:type="dxa"/>
            <w:vAlign w:val="bottom"/>
            <w:tcBorders>
              <w:bottom w:val="single" w:sz="8" w:color="808080"/>
            </w:tcBorders>
          </w:tcPr>
          <w:p>
            <w:pPr>
              <w:spacing w:after="0"/>
              <w:rPr>
                <w:sz w:val="14"/>
                <w:szCs w:val="14"/>
                <w:color w:val="auto"/>
              </w:rPr>
            </w:pPr>
          </w:p>
        </w:tc>
        <w:tc>
          <w:tcPr>
            <w:tcW w:w="3020" w:type="dxa"/>
            <w:vAlign w:val="bottom"/>
            <w:tcBorders>
              <w:bottom w:val="single" w:sz="8" w:color="808080"/>
            </w:tcBorders>
          </w:tcPr>
          <w:p>
            <w:pPr>
              <w:spacing w:after="0"/>
              <w:rPr>
                <w:sz w:val="14"/>
                <w:szCs w:val="14"/>
                <w:color w:val="auto"/>
              </w:rPr>
            </w:pPr>
          </w:p>
        </w:tc>
        <w:tc>
          <w:tcPr>
            <w:tcW w:w="744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49"/>
        </w:trPr>
        <w:tc>
          <w:tcPr>
            <w:tcW w:w="3300" w:type="dxa"/>
            <w:vAlign w:val="bottom"/>
            <w:gridSpan w:val="2"/>
          </w:tcPr>
          <w:p>
            <w:pPr>
              <w:spacing w:after="0"/>
              <w:rPr>
                <w:rFonts w:ascii="Arial" w:cs="Arial" w:eastAsia="Arial" w:hAnsi="Arial"/>
                <w:sz w:val="13"/>
                <w:szCs w:val="13"/>
                <w:b w:val="1"/>
                <w:bCs w:val="1"/>
                <w:color w:val="0000EE"/>
              </w:rPr>
            </w:pPr>
            <w:hyperlink w:anchor="page4">
              <w:r>
                <w:rPr>
                  <w:rFonts w:ascii="Arial" w:cs="Arial" w:eastAsia="Arial" w:hAnsi="Arial"/>
                  <w:sz w:val="13"/>
                  <w:szCs w:val="13"/>
                  <w:b w:val="1"/>
                  <w:bCs w:val="1"/>
                  <w:color w:val="0000EE"/>
                </w:rPr>
                <w:t>Table of Contents</w:t>
              </w:r>
            </w:hyperlink>
          </w:p>
        </w:tc>
        <w:tc>
          <w:tcPr>
            <w:tcW w:w="8160" w:type="dxa"/>
            <w:vAlign w:val="bottom"/>
          </w:tcPr>
          <w:p>
            <w:pPr>
              <w:spacing w:after="0"/>
              <w:rPr>
                <w:sz w:val="13"/>
                <w:szCs w:val="13"/>
                <w:color w:val="auto"/>
              </w:rPr>
            </w:pPr>
          </w:p>
        </w:tc>
      </w:tr>
      <w:tr>
        <w:trPr>
          <w:trHeight w:val="382"/>
        </w:trPr>
        <w:tc>
          <w:tcPr>
            <w:tcW w:w="1000" w:type="dxa"/>
            <w:vAlign w:val="bottom"/>
            <w:tcBorders>
              <w:top w:val="single" w:sz="8" w:color="0000EE"/>
            </w:tcBorders>
          </w:tcPr>
          <w:p>
            <w:pPr>
              <w:spacing w:after="0"/>
              <w:rPr>
                <w:sz w:val="24"/>
                <w:szCs w:val="24"/>
                <w:color w:val="auto"/>
              </w:rPr>
            </w:pPr>
          </w:p>
        </w:tc>
        <w:tc>
          <w:tcPr>
            <w:tcW w:w="2300" w:type="dxa"/>
            <w:vAlign w:val="bottom"/>
          </w:tcPr>
          <w:p>
            <w:pPr>
              <w:spacing w:after="0"/>
              <w:rPr>
                <w:sz w:val="24"/>
                <w:szCs w:val="24"/>
                <w:color w:val="auto"/>
              </w:rPr>
            </w:pPr>
          </w:p>
        </w:tc>
        <w:tc>
          <w:tcPr>
            <w:tcW w:w="8160" w:type="dxa"/>
            <w:vAlign w:val="bottom"/>
          </w:tcPr>
          <w:p>
            <w:pPr>
              <w:ind w:left="1080"/>
              <w:spacing w:after="0"/>
              <w:rPr>
                <w:sz w:val="20"/>
                <w:szCs w:val="20"/>
                <w:color w:val="auto"/>
              </w:rPr>
            </w:pPr>
            <w:r>
              <w:rPr>
                <w:rFonts w:ascii="Arial" w:cs="Arial" w:eastAsia="Arial" w:hAnsi="Arial"/>
                <w:sz w:val="13"/>
                <w:szCs w:val="13"/>
                <w:color w:val="auto"/>
              </w:rPr>
              <w:t>should notify our Corporate Secretary at Waste Management, Inc., 1001 Fannin Street, Suite 4000, Houston, Texas</w:t>
            </w:r>
          </w:p>
        </w:tc>
      </w:tr>
      <w:tr>
        <w:trPr>
          <w:trHeight w:val="161"/>
        </w:trPr>
        <w:tc>
          <w:tcPr>
            <w:tcW w:w="10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160" w:type="dxa"/>
            <w:vAlign w:val="bottom"/>
          </w:tcPr>
          <w:p>
            <w:pPr>
              <w:ind w:left="1080"/>
              <w:spacing w:after="0"/>
              <w:rPr>
                <w:sz w:val="20"/>
                <w:szCs w:val="20"/>
                <w:color w:val="auto"/>
              </w:rPr>
            </w:pPr>
            <w:r>
              <w:rPr>
                <w:rFonts w:ascii="Arial" w:cs="Arial" w:eastAsia="Arial" w:hAnsi="Arial"/>
                <w:sz w:val="13"/>
                <w:szCs w:val="13"/>
                <w:color w:val="auto"/>
              </w:rPr>
              <w:t>77002. The written proposal must be received at our offices no later than November 29, 2010 and no earlier than</w:t>
            </w:r>
          </w:p>
        </w:tc>
      </w:tr>
      <w:tr>
        <w:trPr>
          <w:trHeight w:val="161"/>
        </w:trPr>
        <w:tc>
          <w:tcPr>
            <w:tcW w:w="10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160" w:type="dxa"/>
            <w:vAlign w:val="bottom"/>
          </w:tcPr>
          <w:p>
            <w:pPr>
              <w:ind w:left="1080"/>
              <w:spacing w:after="0"/>
              <w:rPr>
                <w:sz w:val="20"/>
                <w:szCs w:val="20"/>
                <w:color w:val="auto"/>
              </w:rPr>
            </w:pPr>
            <w:r>
              <w:rPr>
                <w:rFonts w:ascii="Arial" w:cs="Arial" w:eastAsia="Arial" w:hAnsi="Arial"/>
                <w:sz w:val="13"/>
                <w:szCs w:val="13"/>
                <w:color w:val="auto"/>
              </w:rPr>
              <w:t>October 30, 2010. A stockholder must have been the registered or beneficial owner of (a) at least 1% of our</w:t>
            </w:r>
          </w:p>
        </w:tc>
      </w:tr>
      <w:tr>
        <w:trPr>
          <w:trHeight w:val="161"/>
        </w:trPr>
        <w:tc>
          <w:tcPr>
            <w:tcW w:w="10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160" w:type="dxa"/>
            <w:vAlign w:val="bottom"/>
          </w:tcPr>
          <w:p>
            <w:pPr>
              <w:ind w:left="1080"/>
              <w:spacing w:after="0"/>
              <w:rPr>
                <w:sz w:val="20"/>
                <w:szCs w:val="20"/>
                <w:color w:val="auto"/>
              </w:rPr>
            </w:pPr>
            <w:r>
              <w:rPr>
                <w:rFonts w:ascii="Arial" w:cs="Arial" w:eastAsia="Arial" w:hAnsi="Arial"/>
                <w:sz w:val="13"/>
                <w:szCs w:val="13"/>
                <w:color w:val="auto"/>
              </w:rPr>
              <w:t>outstanding Common Stock or (b) shares of our Common Stock with a market value of $2,000 for at least one year</w:t>
            </w:r>
          </w:p>
        </w:tc>
      </w:tr>
      <w:tr>
        <w:trPr>
          <w:trHeight w:val="161"/>
        </w:trPr>
        <w:tc>
          <w:tcPr>
            <w:tcW w:w="10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160" w:type="dxa"/>
            <w:vAlign w:val="bottom"/>
          </w:tcPr>
          <w:p>
            <w:pPr>
              <w:ind w:left="1080"/>
              <w:spacing w:after="0"/>
              <w:rPr>
                <w:sz w:val="20"/>
                <w:szCs w:val="20"/>
                <w:color w:val="auto"/>
              </w:rPr>
            </w:pPr>
            <w:r>
              <w:rPr>
                <w:rFonts w:ascii="Arial" w:cs="Arial" w:eastAsia="Arial" w:hAnsi="Arial"/>
                <w:sz w:val="13"/>
                <w:szCs w:val="13"/>
                <w:color w:val="auto"/>
              </w:rPr>
              <w:t>before submitting the proposal. Also, the stockholder must continue to own the stock through the date of the 2011</w:t>
            </w:r>
          </w:p>
        </w:tc>
      </w:tr>
      <w:tr>
        <w:trPr>
          <w:trHeight w:val="172"/>
        </w:trPr>
        <w:tc>
          <w:tcPr>
            <w:tcW w:w="10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160" w:type="dxa"/>
            <w:vAlign w:val="bottom"/>
          </w:tcPr>
          <w:p>
            <w:pPr>
              <w:ind w:left="1080"/>
              <w:spacing w:after="0"/>
              <w:rPr>
                <w:sz w:val="20"/>
                <w:szCs w:val="20"/>
                <w:color w:val="auto"/>
              </w:rPr>
            </w:pPr>
            <w:r>
              <w:rPr>
                <w:rFonts w:ascii="Arial" w:cs="Arial" w:eastAsia="Arial" w:hAnsi="Arial"/>
                <w:sz w:val="13"/>
                <w:szCs w:val="13"/>
                <w:color w:val="auto"/>
              </w:rPr>
              <w:t>Annual Meeting.</w:t>
            </w:r>
          </w:p>
        </w:tc>
      </w:tr>
      <w:tr>
        <w:trPr>
          <w:trHeight w:val="231"/>
        </w:trPr>
        <w:tc>
          <w:tcPr>
            <w:tcW w:w="3300" w:type="dxa"/>
            <w:vAlign w:val="bottom"/>
            <w:gridSpan w:val="2"/>
          </w:tcPr>
          <w:p>
            <w:pPr>
              <w:ind w:left="680"/>
              <w:spacing w:after="0"/>
              <w:rPr>
                <w:sz w:val="20"/>
                <w:szCs w:val="20"/>
                <w:color w:val="auto"/>
              </w:rPr>
            </w:pPr>
            <w:r>
              <w:rPr>
                <w:rFonts w:ascii="Arial" w:cs="Arial" w:eastAsia="Arial" w:hAnsi="Arial"/>
                <w:sz w:val="13"/>
                <w:szCs w:val="13"/>
                <w:b w:val="1"/>
                <w:bCs w:val="1"/>
                <w:color w:val="auto"/>
              </w:rPr>
              <w:t>Expenses of Solicitation</w:t>
            </w:r>
          </w:p>
        </w:tc>
        <w:tc>
          <w:tcPr>
            <w:tcW w:w="8160" w:type="dxa"/>
            <w:vAlign w:val="bottom"/>
          </w:tcPr>
          <w:p>
            <w:pPr>
              <w:ind w:left="1080"/>
              <w:spacing w:after="0"/>
              <w:rPr>
                <w:sz w:val="20"/>
                <w:szCs w:val="20"/>
                <w:color w:val="auto"/>
              </w:rPr>
            </w:pPr>
            <w:r>
              <w:rPr>
                <w:rFonts w:ascii="Arial" w:cs="Arial" w:eastAsia="Arial" w:hAnsi="Arial"/>
                <w:sz w:val="13"/>
                <w:szCs w:val="13"/>
                <w:color w:val="auto"/>
              </w:rPr>
              <w:t>We pay the cost of preparing, assembling and mailing this proxy-soliciting material. In addition to the use of the</w:t>
            </w:r>
          </w:p>
        </w:tc>
      </w:tr>
      <w:tr>
        <w:trPr>
          <w:trHeight w:val="161"/>
        </w:trPr>
        <w:tc>
          <w:tcPr>
            <w:tcW w:w="10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160" w:type="dxa"/>
            <w:vAlign w:val="bottom"/>
          </w:tcPr>
          <w:p>
            <w:pPr>
              <w:ind w:left="1080"/>
              <w:spacing w:after="0"/>
              <w:rPr>
                <w:sz w:val="20"/>
                <w:szCs w:val="20"/>
                <w:color w:val="auto"/>
              </w:rPr>
            </w:pPr>
            <w:r>
              <w:rPr>
                <w:rFonts w:ascii="Arial" w:cs="Arial" w:eastAsia="Arial" w:hAnsi="Arial"/>
                <w:sz w:val="13"/>
                <w:szCs w:val="13"/>
                <w:color w:val="auto"/>
              </w:rPr>
              <w:t>mail, proxies may be solicited personally, by Internet or telephone, or by Waste Management officers and employees</w:t>
            </w:r>
          </w:p>
        </w:tc>
      </w:tr>
      <w:tr>
        <w:trPr>
          <w:trHeight w:val="161"/>
        </w:trPr>
        <w:tc>
          <w:tcPr>
            <w:tcW w:w="10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160" w:type="dxa"/>
            <w:vAlign w:val="bottom"/>
          </w:tcPr>
          <w:p>
            <w:pPr>
              <w:ind w:left="1080"/>
              <w:spacing w:after="0"/>
              <w:rPr>
                <w:sz w:val="20"/>
                <w:szCs w:val="20"/>
                <w:color w:val="auto"/>
              </w:rPr>
            </w:pPr>
            <w:r>
              <w:rPr>
                <w:rFonts w:ascii="Arial" w:cs="Arial" w:eastAsia="Arial" w:hAnsi="Arial"/>
                <w:sz w:val="13"/>
                <w:szCs w:val="13"/>
                <w:color w:val="auto"/>
              </w:rPr>
              <w:t>without additional compensation. We pay all costs of solicitation, including certain expenses of brokers and</w:t>
            </w:r>
          </w:p>
        </w:tc>
      </w:tr>
      <w:tr>
        <w:trPr>
          <w:trHeight w:val="161"/>
        </w:trPr>
        <w:tc>
          <w:tcPr>
            <w:tcW w:w="10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160" w:type="dxa"/>
            <w:vAlign w:val="bottom"/>
          </w:tcPr>
          <w:p>
            <w:pPr>
              <w:ind w:left="1080"/>
              <w:spacing w:after="0"/>
              <w:rPr>
                <w:sz w:val="20"/>
                <w:szCs w:val="20"/>
                <w:color w:val="auto"/>
              </w:rPr>
            </w:pPr>
            <w:r>
              <w:rPr>
                <w:rFonts w:ascii="Arial" w:cs="Arial" w:eastAsia="Arial" w:hAnsi="Arial"/>
                <w:sz w:val="13"/>
                <w:szCs w:val="13"/>
                <w:color w:val="auto"/>
              </w:rPr>
              <w:t>nominees who mail proxy materials to their customers or principals. Also, Innisfree M&amp;A Incorporated has been</w:t>
            </w:r>
          </w:p>
        </w:tc>
      </w:tr>
      <w:tr>
        <w:trPr>
          <w:trHeight w:val="161"/>
        </w:trPr>
        <w:tc>
          <w:tcPr>
            <w:tcW w:w="10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160" w:type="dxa"/>
            <w:vAlign w:val="bottom"/>
          </w:tcPr>
          <w:p>
            <w:pPr>
              <w:ind w:left="1080"/>
              <w:spacing w:after="0"/>
              <w:rPr>
                <w:sz w:val="20"/>
                <w:szCs w:val="20"/>
                <w:color w:val="auto"/>
              </w:rPr>
            </w:pPr>
            <w:r>
              <w:rPr>
                <w:rFonts w:ascii="Arial" w:cs="Arial" w:eastAsia="Arial" w:hAnsi="Arial"/>
                <w:sz w:val="13"/>
                <w:szCs w:val="13"/>
                <w:color w:val="auto"/>
              </w:rPr>
              <w:t>hired to help in the solicitation of proxies for the 2010 Annual Meeting for a fee of approximately $15,000 plus</w:t>
            </w:r>
          </w:p>
        </w:tc>
      </w:tr>
      <w:tr>
        <w:trPr>
          <w:trHeight w:val="172"/>
        </w:trPr>
        <w:tc>
          <w:tcPr>
            <w:tcW w:w="10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160" w:type="dxa"/>
            <w:vAlign w:val="bottom"/>
          </w:tcPr>
          <w:p>
            <w:pPr>
              <w:ind w:left="1080"/>
              <w:spacing w:after="0"/>
              <w:rPr>
                <w:sz w:val="20"/>
                <w:szCs w:val="20"/>
                <w:color w:val="auto"/>
              </w:rPr>
            </w:pPr>
            <w:r>
              <w:rPr>
                <w:rFonts w:ascii="Arial" w:cs="Arial" w:eastAsia="Arial" w:hAnsi="Arial"/>
                <w:sz w:val="13"/>
                <w:szCs w:val="13"/>
                <w:color w:val="auto"/>
              </w:rPr>
              <w:t>associated costs and expenses.</w:t>
            </w:r>
          </w:p>
        </w:tc>
      </w:tr>
      <w:tr>
        <w:trPr>
          <w:trHeight w:val="231"/>
        </w:trPr>
        <w:tc>
          <w:tcPr>
            <w:tcW w:w="3300" w:type="dxa"/>
            <w:vAlign w:val="bottom"/>
            <w:gridSpan w:val="2"/>
          </w:tcPr>
          <w:p>
            <w:pPr>
              <w:ind w:left="680"/>
              <w:spacing w:after="0"/>
              <w:rPr>
                <w:sz w:val="20"/>
                <w:szCs w:val="20"/>
                <w:color w:val="auto"/>
              </w:rPr>
            </w:pPr>
            <w:r>
              <w:rPr>
                <w:rFonts w:ascii="Arial" w:cs="Arial" w:eastAsia="Arial" w:hAnsi="Arial"/>
                <w:sz w:val="13"/>
                <w:szCs w:val="13"/>
                <w:b w:val="1"/>
                <w:bCs w:val="1"/>
                <w:color w:val="auto"/>
              </w:rPr>
              <w:t>Annual Report</w:t>
            </w:r>
          </w:p>
        </w:tc>
        <w:tc>
          <w:tcPr>
            <w:tcW w:w="8160" w:type="dxa"/>
            <w:vAlign w:val="bottom"/>
          </w:tcPr>
          <w:p>
            <w:pPr>
              <w:ind w:left="1080"/>
              <w:spacing w:after="0"/>
              <w:rPr>
                <w:sz w:val="20"/>
                <w:szCs w:val="20"/>
                <w:color w:val="auto"/>
              </w:rPr>
            </w:pPr>
            <w:r>
              <w:rPr>
                <w:rFonts w:ascii="Arial" w:cs="Arial" w:eastAsia="Arial" w:hAnsi="Arial"/>
                <w:sz w:val="13"/>
                <w:szCs w:val="13"/>
                <w:color w:val="auto"/>
              </w:rPr>
              <w:t>A copy of our Annual Report on Form 10-K for the year ended December 31, 2009, which includes our financial</w:t>
            </w:r>
          </w:p>
        </w:tc>
      </w:tr>
      <w:tr>
        <w:trPr>
          <w:trHeight w:val="161"/>
        </w:trPr>
        <w:tc>
          <w:tcPr>
            <w:tcW w:w="10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160" w:type="dxa"/>
            <w:vAlign w:val="bottom"/>
          </w:tcPr>
          <w:p>
            <w:pPr>
              <w:ind w:left="1080"/>
              <w:spacing w:after="0"/>
              <w:rPr>
                <w:sz w:val="20"/>
                <w:szCs w:val="20"/>
                <w:color w:val="auto"/>
              </w:rPr>
            </w:pPr>
            <w:r>
              <w:rPr>
                <w:rFonts w:ascii="Arial" w:cs="Arial" w:eastAsia="Arial" w:hAnsi="Arial"/>
                <w:sz w:val="13"/>
                <w:szCs w:val="13"/>
                <w:color w:val="auto"/>
              </w:rPr>
              <w:t>statements for fiscal year 2009, is included with this Proxy Statement. The Annual Report on Form 10-K is not</w:t>
            </w:r>
          </w:p>
        </w:tc>
      </w:tr>
      <w:tr>
        <w:trPr>
          <w:trHeight w:val="161"/>
        </w:trPr>
        <w:tc>
          <w:tcPr>
            <w:tcW w:w="10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160" w:type="dxa"/>
            <w:vAlign w:val="bottom"/>
          </w:tcPr>
          <w:p>
            <w:pPr>
              <w:ind w:left="1080"/>
              <w:spacing w:after="0"/>
              <w:rPr>
                <w:sz w:val="20"/>
                <w:szCs w:val="20"/>
                <w:color w:val="auto"/>
              </w:rPr>
            </w:pPr>
            <w:r>
              <w:rPr>
                <w:rFonts w:ascii="Arial" w:cs="Arial" w:eastAsia="Arial" w:hAnsi="Arial"/>
                <w:sz w:val="13"/>
                <w:szCs w:val="13"/>
                <w:color w:val="auto"/>
              </w:rPr>
              <w:t>incorporated by reference into this Proxy Statement or deemed to be a part of the materials for the solicitation of</w:t>
            </w:r>
          </w:p>
        </w:tc>
      </w:tr>
      <w:tr>
        <w:trPr>
          <w:trHeight w:val="172"/>
        </w:trPr>
        <w:tc>
          <w:tcPr>
            <w:tcW w:w="10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160" w:type="dxa"/>
            <w:vAlign w:val="bottom"/>
          </w:tcPr>
          <w:p>
            <w:pPr>
              <w:ind w:left="1080"/>
              <w:spacing w:after="0"/>
              <w:rPr>
                <w:sz w:val="20"/>
                <w:szCs w:val="20"/>
                <w:color w:val="auto"/>
              </w:rPr>
            </w:pPr>
            <w:r>
              <w:rPr>
                <w:rFonts w:ascii="Arial" w:cs="Arial" w:eastAsia="Arial" w:hAnsi="Arial"/>
                <w:sz w:val="13"/>
                <w:szCs w:val="13"/>
                <w:color w:val="auto"/>
              </w:rPr>
              <w:t>proxies.</w:t>
            </w:r>
          </w:p>
        </w:tc>
      </w:tr>
      <w:tr>
        <w:trPr>
          <w:trHeight w:val="231"/>
        </w:trPr>
        <w:tc>
          <w:tcPr>
            <w:tcW w:w="3300" w:type="dxa"/>
            <w:vAlign w:val="bottom"/>
            <w:gridSpan w:val="2"/>
          </w:tcPr>
          <w:p>
            <w:pPr>
              <w:ind w:left="680"/>
              <w:spacing w:after="0"/>
              <w:rPr>
                <w:sz w:val="20"/>
                <w:szCs w:val="20"/>
                <w:color w:val="auto"/>
              </w:rPr>
            </w:pPr>
            <w:r>
              <w:rPr>
                <w:rFonts w:ascii="Arial" w:cs="Arial" w:eastAsia="Arial" w:hAnsi="Arial"/>
                <w:sz w:val="13"/>
                <w:szCs w:val="13"/>
                <w:b w:val="1"/>
                <w:bCs w:val="1"/>
                <w:color w:val="auto"/>
              </w:rPr>
              <w:t>Householding Information</w:t>
            </w:r>
          </w:p>
        </w:tc>
        <w:tc>
          <w:tcPr>
            <w:tcW w:w="8160" w:type="dxa"/>
            <w:vAlign w:val="bottom"/>
          </w:tcPr>
          <w:p>
            <w:pPr>
              <w:ind w:left="1080"/>
              <w:spacing w:after="0"/>
              <w:rPr>
                <w:sz w:val="20"/>
                <w:szCs w:val="20"/>
                <w:color w:val="auto"/>
              </w:rPr>
            </w:pPr>
            <w:r>
              <w:rPr>
                <w:rFonts w:ascii="Arial" w:cs="Arial" w:eastAsia="Arial" w:hAnsi="Arial"/>
                <w:sz w:val="13"/>
                <w:szCs w:val="13"/>
                <w:color w:val="auto"/>
              </w:rPr>
              <w:t>We have adopted a procedure approved by the SEC called “householding.” Under this procedure, stockholders of</w:t>
            </w:r>
          </w:p>
        </w:tc>
      </w:tr>
      <w:tr>
        <w:trPr>
          <w:trHeight w:val="161"/>
        </w:trPr>
        <w:tc>
          <w:tcPr>
            <w:tcW w:w="10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160" w:type="dxa"/>
            <w:vAlign w:val="bottom"/>
          </w:tcPr>
          <w:p>
            <w:pPr>
              <w:ind w:left="1080"/>
              <w:spacing w:after="0"/>
              <w:rPr>
                <w:sz w:val="20"/>
                <w:szCs w:val="20"/>
                <w:color w:val="auto"/>
              </w:rPr>
            </w:pPr>
            <w:r>
              <w:rPr>
                <w:rFonts w:ascii="Arial" w:cs="Arial" w:eastAsia="Arial" w:hAnsi="Arial"/>
                <w:sz w:val="13"/>
                <w:szCs w:val="13"/>
                <w:color w:val="auto"/>
              </w:rPr>
              <w:t>record who have the same address and last name and do not participate in electronic delivery of proxy materials will</w:t>
            </w:r>
          </w:p>
        </w:tc>
      </w:tr>
      <w:tr>
        <w:trPr>
          <w:trHeight w:val="161"/>
        </w:trPr>
        <w:tc>
          <w:tcPr>
            <w:tcW w:w="10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160" w:type="dxa"/>
            <w:vAlign w:val="bottom"/>
          </w:tcPr>
          <w:p>
            <w:pPr>
              <w:ind w:left="1080"/>
              <w:spacing w:after="0"/>
              <w:rPr>
                <w:sz w:val="20"/>
                <w:szCs w:val="20"/>
                <w:color w:val="auto"/>
              </w:rPr>
            </w:pPr>
            <w:r>
              <w:rPr>
                <w:rFonts w:ascii="Arial" w:cs="Arial" w:eastAsia="Arial" w:hAnsi="Arial"/>
                <w:sz w:val="13"/>
                <w:szCs w:val="13"/>
                <w:color w:val="auto"/>
              </w:rPr>
              <w:t>receive only one copy of the Annual Report and Proxy Statement unless we are notified that one or more of these</w:t>
            </w:r>
          </w:p>
        </w:tc>
      </w:tr>
      <w:tr>
        <w:trPr>
          <w:trHeight w:val="172"/>
        </w:trPr>
        <w:tc>
          <w:tcPr>
            <w:tcW w:w="10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160" w:type="dxa"/>
            <w:vAlign w:val="bottom"/>
          </w:tcPr>
          <w:p>
            <w:pPr>
              <w:ind w:left="1080"/>
              <w:spacing w:after="0"/>
              <w:rPr>
                <w:sz w:val="20"/>
                <w:szCs w:val="20"/>
                <w:color w:val="auto"/>
              </w:rPr>
            </w:pPr>
            <w:r>
              <w:rPr>
                <w:rFonts w:ascii="Arial" w:cs="Arial" w:eastAsia="Arial" w:hAnsi="Arial"/>
                <w:sz w:val="13"/>
                <w:szCs w:val="13"/>
                <w:color w:val="auto"/>
              </w:rPr>
              <w:t>individuals wishes to receive separate copies. This procedure helps reduce our printing costs and postage fees.</w:t>
            </w:r>
          </w:p>
        </w:tc>
      </w:tr>
      <w:tr>
        <w:trPr>
          <w:trHeight w:val="231"/>
        </w:trPr>
        <w:tc>
          <w:tcPr>
            <w:tcW w:w="10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8160" w:type="dxa"/>
            <w:vAlign w:val="bottom"/>
          </w:tcPr>
          <w:p>
            <w:pPr>
              <w:ind w:left="1080"/>
              <w:spacing w:after="0"/>
              <w:rPr>
                <w:sz w:val="20"/>
                <w:szCs w:val="20"/>
                <w:color w:val="auto"/>
              </w:rPr>
            </w:pPr>
            <w:r>
              <w:rPr>
                <w:rFonts w:ascii="Arial" w:cs="Arial" w:eastAsia="Arial" w:hAnsi="Arial"/>
                <w:sz w:val="13"/>
                <w:szCs w:val="13"/>
                <w:color w:val="auto"/>
              </w:rPr>
              <w:t>If you participate in householding and wish to receive a separate copy of this Proxy Statement and the Annual</w:t>
            </w:r>
          </w:p>
        </w:tc>
      </w:tr>
      <w:tr>
        <w:trPr>
          <w:trHeight w:val="161"/>
        </w:trPr>
        <w:tc>
          <w:tcPr>
            <w:tcW w:w="10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160" w:type="dxa"/>
            <w:vAlign w:val="bottom"/>
          </w:tcPr>
          <w:p>
            <w:pPr>
              <w:ind w:left="1080"/>
              <w:spacing w:after="0"/>
              <w:rPr>
                <w:sz w:val="20"/>
                <w:szCs w:val="20"/>
                <w:color w:val="auto"/>
              </w:rPr>
            </w:pPr>
            <w:r>
              <w:rPr>
                <w:rFonts w:ascii="Arial" w:cs="Arial" w:eastAsia="Arial" w:hAnsi="Arial"/>
                <w:sz w:val="13"/>
                <w:szCs w:val="13"/>
                <w:color w:val="auto"/>
              </w:rPr>
              <w:t>Report, please contact: Waste Management, Inc., Corporate Secretary, 1001 Fannin Street, Suite 4000, Houston,</w:t>
            </w:r>
          </w:p>
        </w:tc>
      </w:tr>
      <w:tr>
        <w:trPr>
          <w:trHeight w:val="172"/>
        </w:trPr>
        <w:tc>
          <w:tcPr>
            <w:tcW w:w="10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160" w:type="dxa"/>
            <w:vAlign w:val="bottom"/>
          </w:tcPr>
          <w:p>
            <w:pPr>
              <w:ind w:left="1080"/>
              <w:spacing w:after="0"/>
              <w:rPr>
                <w:sz w:val="20"/>
                <w:szCs w:val="20"/>
                <w:color w:val="auto"/>
              </w:rPr>
            </w:pPr>
            <w:r>
              <w:rPr>
                <w:rFonts w:ascii="Arial" w:cs="Arial" w:eastAsia="Arial" w:hAnsi="Arial"/>
                <w:sz w:val="13"/>
                <w:szCs w:val="13"/>
                <w:color w:val="auto"/>
              </w:rPr>
              <w:t>Texas 77002, telephone 713-512-6200.</w:t>
            </w:r>
          </w:p>
        </w:tc>
      </w:tr>
      <w:tr>
        <w:trPr>
          <w:trHeight w:val="231"/>
        </w:trPr>
        <w:tc>
          <w:tcPr>
            <w:tcW w:w="10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8160" w:type="dxa"/>
            <w:vAlign w:val="bottom"/>
          </w:tcPr>
          <w:p>
            <w:pPr>
              <w:ind w:left="1080"/>
              <w:spacing w:after="0"/>
              <w:rPr>
                <w:sz w:val="20"/>
                <w:szCs w:val="20"/>
                <w:color w:val="auto"/>
              </w:rPr>
            </w:pPr>
            <w:r>
              <w:rPr>
                <w:rFonts w:ascii="Arial" w:cs="Arial" w:eastAsia="Arial" w:hAnsi="Arial"/>
                <w:sz w:val="13"/>
                <w:szCs w:val="13"/>
                <w:color w:val="auto"/>
              </w:rPr>
              <w:t>If you do not wish to participate in householding in the future, and prefer to receive separate copies of the proxy</w:t>
            </w:r>
          </w:p>
        </w:tc>
      </w:tr>
      <w:tr>
        <w:trPr>
          <w:trHeight w:val="161"/>
        </w:trPr>
        <w:tc>
          <w:tcPr>
            <w:tcW w:w="10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160" w:type="dxa"/>
            <w:vAlign w:val="bottom"/>
          </w:tcPr>
          <w:p>
            <w:pPr>
              <w:ind w:left="1080"/>
              <w:spacing w:after="0"/>
              <w:rPr>
                <w:sz w:val="20"/>
                <w:szCs w:val="20"/>
                <w:color w:val="auto"/>
              </w:rPr>
            </w:pPr>
            <w:r>
              <w:rPr>
                <w:rFonts w:ascii="Arial" w:cs="Arial" w:eastAsia="Arial" w:hAnsi="Arial"/>
                <w:sz w:val="13"/>
                <w:szCs w:val="13"/>
                <w:color w:val="auto"/>
              </w:rPr>
              <w:t>materials, please contact: Broadridge Financial Solutions, Attention Householding Department, 51 Mercedes Way,</w:t>
            </w:r>
          </w:p>
        </w:tc>
      </w:tr>
      <w:tr>
        <w:trPr>
          <w:trHeight w:val="161"/>
        </w:trPr>
        <w:tc>
          <w:tcPr>
            <w:tcW w:w="10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160" w:type="dxa"/>
            <w:vAlign w:val="bottom"/>
          </w:tcPr>
          <w:p>
            <w:pPr>
              <w:ind w:left="1080"/>
              <w:spacing w:after="0"/>
              <w:rPr>
                <w:sz w:val="20"/>
                <w:szCs w:val="20"/>
                <w:color w:val="auto"/>
              </w:rPr>
            </w:pPr>
            <w:r>
              <w:rPr>
                <w:rFonts w:ascii="Arial" w:cs="Arial" w:eastAsia="Arial" w:hAnsi="Arial"/>
                <w:sz w:val="13"/>
                <w:szCs w:val="13"/>
                <w:color w:val="auto"/>
              </w:rPr>
              <w:t>Edgewood, NY 11717, telephone 1-800-542-1061. If you are eligible for householding but are currently receiving</w:t>
            </w:r>
          </w:p>
        </w:tc>
      </w:tr>
      <w:tr>
        <w:trPr>
          <w:trHeight w:val="172"/>
        </w:trPr>
        <w:tc>
          <w:tcPr>
            <w:tcW w:w="10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160" w:type="dxa"/>
            <w:vAlign w:val="bottom"/>
          </w:tcPr>
          <w:p>
            <w:pPr>
              <w:ind w:left="1080"/>
              <w:spacing w:after="0"/>
              <w:rPr>
                <w:sz w:val="20"/>
                <w:szCs w:val="20"/>
                <w:color w:val="auto"/>
              </w:rPr>
            </w:pPr>
            <w:r>
              <w:rPr>
                <w:rFonts w:ascii="Arial" w:cs="Arial" w:eastAsia="Arial" w:hAnsi="Arial"/>
                <w:sz w:val="13"/>
                <w:szCs w:val="13"/>
                <w:color w:val="auto"/>
              </w:rPr>
              <w:t>multiple copies of proxy materials and wish to receive only one copy for your household, please contact Broadridge.</w:t>
            </w:r>
          </w:p>
        </w:tc>
      </w:tr>
      <w:tr>
        <w:trPr>
          <w:trHeight w:val="464"/>
        </w:trPr>
        <w:tc>
          <w:tcPr>
            <w:tcW w:w="10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160" w:type="dxa"/>
            <w:vAlign w:val="bottom"/>
          </w:tcPr>
          <w:p>
            <w:pPr>
              <w:ind w:left="2340"/>
              <w:spacing w:after="0"/>
              <w:rPr>
                <w:sz w:val="20"/>
                <w:szCs w:val="20"/>
                <w:color w:val="auto"/>
              </w:rPr>
            </w:pPr>
            <w:r>
              <w:rPr>
                <w:rFonts w:ascii="Arial" w:cs="Arial" w:eastAsia="Arial" w:hAnsi="Arial"/>
                <w:sz w:val="13"/>
                <w:szCs w:val="13"/>
                <w:color w:val="auto"/>
              </w:rPr>
              <w:t>3</w:t>
            </w:r>
          </w:p>
        </w:tc>
      </w:tr>
      <w:tr>
        <w:trPr>
          <w:trHeight w:val="167"/>
        </w:trPr>
        <w:tc>
          <w:tcPr>
            <w:tcW w:w="1000" w:type="dxa"/>
            <w:vAlign w:val="bottom"/>
            <w:tcBorders>
              <w:bottom w:val="single" w:sz="8" w:color="808080"/>
            </w:tcBorders>
          </w:tcPr>
          <w:p>
            <w:pPr>
              <w:spacing w:after="0"/>
              <w:rPr>
                <w:sz w:val="14"/>
                <w:szCs w:val="14"/>
                <w:color w:val="auto"/>
              </w:rPr>
            </w:pPr>
          </w:p>
        </w:tc>
        <w:tc>
          <w:tcPr>
            <w:tcW w:w="2300" w:type="dxa"/>
            <w:vAlign w:val="bottom"/>
            <w:tcBorders>
              <w:bottom w:val="single" w:sz="8" w:color="808080"/>
            </w:tcBorders>
          </w:tcPr>
          <w:p>
            <w:pPr>
              <w:spacing w:after="0"/>
              <w:rPr>
                <w:sz w:val="14"/>
                <w:szCs w:val="14"/>
                <w:color w:val="auto"/>
              </w:rPr>
            </w:pPr>
          </w:p>
        </w:tc>
        <w:tc>
          <w:tcPr>
            <w:tcW w:w="81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BOARD OF DIRECTORS</w:t>
      </w:r>
    </w:p>
    <w:p>
      <w:pPr>
        <w:spacing w:after="0" w:line="104" w:lineRule="exact"/>
        <w:rPr>
          <w:sz w:val="20"/>
          <w:szCs w:val="20"/>
          <w:color w:val="auto"/>
        </w:rPr>
      </w:pPr>
    </w:p>
    <w:p>
      <w:pPr>
        <w:ind w:left="680" w:right="80" w:firstLine="399"/>
        <w:spacing w:after="0" w:line="294" w:lineRule="auto"/>
        <w:rPr>
          <w:sz w:val="20"/>
          <w:szCs w:val="20"/>
          <w:color w:val="auto"/>
        </w:rPr>
      </w:pPr>
      <w:r>
        <w:rPr>
          <w:rFonts w:ascii="Arial" w:cs="Arial" w:eastAsia="Arial" w:hAnsi="Arial"/>
          <w:sz w:val="13"/>
          <w:szCs w:val="13"/>
          <w:color w:val="auto"/>
        </w:rPr>
        <w:t>Our Board of Directors currently has eight members. Each member of our Board is elected annually. Mr. Pope is the Non-Executive Chairman of the Board and presides over all meetings of the Board, including executive sessions that only non-employee directors attend.</w:t>
      </w:r>
    </w:p>
    <w:p>
      <w:pPr>
        <w:spacing w:after="0" w:line="47" w:lineRule="exact"/>
        <w:rPr>
          <w:sz w:val="20"/>
          <w:szCs w:val="20"/>
          <w:color w:val="auto"/>
        </w:rPr>
      </w:pPr>
    </w:p>
    <w:p>
      <w:pPr>
        <w:ind w:left="680" w:right="380" w:firstLine="399"/>
        <w:spacing w:after="0" w:line="294" w:lineRule="auto"/>
        <w:rPr>
          <w:sz w:val="20"/>
          <w:szCs w:val="20"/>
          <w:color w:val="auto"/>
        </w:rPr>
      </w:pPr>
      <w:r>
        <w:rPr>
          <w:rFonts w:ascii="Arial" w:cs="Arial" w:eastAsia="Arial" w:hAnsi="Arial"/>
          <w:sz w:val="13"/>
          <w:szCs w:val="13"/>
          <w:color w:val="auto"/>
        </w:rPr>
        <w:t>Stockholders and interested parties wishing to communicate with the Board or the non-employee directors should address their communications to Mr. John C. Pope, Non-Executive Chairman of the Board, c/o Waste Management, Inc., P.O. Box 53569, Houston, Texas 77052-3569.</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Leadership Structure</w:t>
      </w:r>
    </w:p>
    <w:p>
      <w:pPr>
        <w:spacing w:after="0" w:line="104"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We separated the roles of Chairman of the Board and Chief Executive Officer at our Company in 2004. The separation of the roles occurred in connection with our Board of Directors’ succession planning for the retirement of A. Maurice Myers, our then Chairman, Chief Executive Officer and President. At that time, our Board decided that when Mr. Myers retired, the Company should appoint separate individuals to serve as Chairman and as Chief Executive Officer.</w:t>
      </w:r>
    </w:p>
    <w:p>
      <w:pPr>
        <w:spacing w:after="0" w:line="59" w:lineRule="exact"/>
        <w:rPr>
          <w:sz w:val="20"/>
          <w:szCs w:val="20"/>
          <w:color w:val="auto"/>
        </w:rPr>
      </w:pPr>
    </w:p>
    <w:p>
      <w:pPr>
        <w:ind w:left="680" w:right="200" w:firstLine="399"/>
        <w:spacing w:after="0" w:line="265" w:lineRule="auto"/>
        <w:rPr>
          <w:sz w:val="20"/>
          <w:szCs w:val="20"/>
          <w:color w:val="auto"/>
        </w:rPr>
      </w:pPr>
      <w:r>
        <w:rPr>
          <w:rFonts w:ascii="Arial" w:cs="Arial" w:eastAsia="Arial" w:hAnsi="Arial"/>
          <w:sz w:val="13"/>
          <w:szCs w:val="13"/>
          <w:color w:val="auto"/>
        </w:rPr>
        <w:t>We believe that having a Non-Executive Chairman of the Board is in the best interests of the Company and stockholders. Over the past several years, the demands made on boards of directors have been ever increasing. This is in large part due to increased regulation under federal securities laws, national stock exchange rules and other federal and state regulatory changes. More recently, macroeconomic conditions such as the global recession and turmoil in the credit markets have increased the demands made on boards of directors. The Non-Executive Chairman’s responsibilities include leading full Board meetings and executive sessions, as well as ensuring best practices and managing the Board function. The Board named Mr. Pope Chairman of the Board due to his tenure with and experience and understanding of the Company, as well as his vast experience on public company boards of directors.</w:t>
      </w:r>
    </w:p>
    <w:p>
      <w:pPr>
        <w:spacing w:after="0" w:line="68"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The separation of the positions allows Mr. Pope to focus on management of Board matters and allows our Chief Executive Officer to focus his talents and attention on managing our business. Additionally, we believe the separation of those roles ensures the independence of the Board in its oversight role of critiquing and assessing the Chief Executive Officer and management generally.</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Role in Risk Oversight</w:t>
      </w:r>
    </w:p>
    <w:p>
      <w:pPr>
        <w:spacing w:after="0" w:line="104"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color w:val="auto"/>
        </w:rPr>
        <w:t>Our executive officers have the primary responsibility for risk management within our Company. Our Board of Directors oversees risk management to ensure that the processes designed and implemented by our executives are adapted to and integrated with the Company’s strategy and are functioning as directed. The primary means by which the Board oversees our risk management structures and policies is through its regular communications with management. The Company believes that its leadership structure is conducive to comprehensive risk management practices, and that the Board’s involvement is appropriate to ensure effective oversight.</w:t>
      </w:r>
    </w:p>
    <w:p>
      <w:pPr>
        <w:spacing w:after="0" w:line="63" w:lineRule="exact"/>
        <w:rPr>
          <w:sz w:val="20"/>
          <w:szCs w:val="20"/>
          <w:color w:val="auto"/>
        </w:rPr>
      </w:pPr>
    </w:p>
    <w:p>
      <w:pPr>
        <w:ind w:left="680" w:right="20" w:firstLine="399"/>
        <w:spacing w:after="0" w:line="263" w:lineRule="auto"/>
        <w:rPr>
          <w:sz w:val="20"/>
          <w:szCs w:val="20"/>
          <w:color w:val="auto"/>
        </w:rPr>
      </w:pPr>
      <w:r>
        <w:rPr>
          <w:rFonts w:ascii="Arial" w:cs="Arial" w:eastAsia="Arial" w:hAnsi="Arial"/>
          <w:sz w:val="13"/>
          <w:szCs w:val="13"/>
          <w:color w:val="auto"/>
        </w:rPr>
        <w:t>The Board of Directors and its committees meet in person approximately six times a year, including one meeting that is dedicated specifically to strategic planning. At each of these meetings, our Chief Executive Officer; President and Chief Operating Officer; Chief Financial Officer; and General Counsel are asked to report to the Board and, when appropriate, specific committees. Additionally, other members of management and employees are requested to attend meetings and present information, including those responsible for our Internal Audit and Environmental Audit functions. One of the purposes of these presentations is to provide direct communication between members of the Board and members of management; the presentations provide members of the Board with the information necessary to understand the risk profile of the Company, including information regarding the specific risk environment, exposures affecting the Company’s operations and the Company’s plans to address such risks. In addition to information regarding general updates to the Company’s operational and financial condition, management reports to the Board on a number of specific issues meant to inform the Board about the Company’s outlook and forecasts, and any impediments to meeting those or its</w:t>
      </w:r>
    </w:p>
    <w:p>
      <w:pPr>
        <w:spacing w:after="0" w:line="281"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60"/>
        <w:spacing w:after="0" w:line="294" w:lineRule="auto"/>
        <w:rPr>
          <w:sz w:val="20"/>
          <w:szCs w:val="20"/>
          <w:color w:val="auto"/>
        </w:rPr>
      </w:pPr>
      <w:r>
        <w:rPr>
          <w:rFonts w:ascii="Arial" w:cs="Arial" w:eastAsia="Arial" w:hAnsi="Arial"/>
          <w:sz w:val="13"/>
          <w:szCs w:val="13"/>
          <w:color w:val="auto"/>
        </w:rPr>
        <w:t>pre-defined strategies generally. These direct communications between management and the Board of Directors allow the Board to assess management’s evaluation and management of the day-to-day risks of the Company.</w:t>
      </w:r>
    </w:p>
    <w:p>
      <w:pPr>
        <w:spacing w:after="0" w:line="47" w:lineRule="exact"/>
        <w:rPr>
          <w:sz w:val="20"/>
          <w:szCs w:val="20"/>
          <w:color w:val="auto"/>
        </w:rPr>
      </w:pPr>
    </w:p>
    <w:p>
      <w:pPr>
        <w:ind w:left="680" w:right="100" w:firstLine="399"/>
        <w:spacing w:after="0" w:line="292" w:lineRule="auto"/>
        <w:rPr>
          <w:sz w:val="20"/>
          <w:szCs w:val="20"/>
          <w:color w:val="auto"/>
        </w:rPr>
      </w:pPr>
      <w:r>
        <w:rPr>
          <w:rFonts w:ascii="Arial" w:cs="Arial" w:eastAsia="Arial" w:hAnsi="Arial"/>
          <w:sz w:val="12"/>
          <w:szCs w:val="12"/>
          <w:color w:val="auto"/>
        </w:rPr>
        <w:t>Management is encouraged to communicate with the Board of Directors with respect to extraordinary risk issues or developments that may require more immediate attention between regularly scheduled Board meetings. Mr. Pope, as Non-Executive Chairman, facilitates communications with the Board of Directors as a whole and is integral in initiating the frank, candid discussions among the independent Board members necessary to ensure management is adequately evaluating and managing the Company’s risks. These intra-Board communications are essential in its oversight function. Additionally, all members of the Board are invited to attend all committee meetings, regardless of whether the individual sits on the specific committee, and committee chairs report to the full Board. These practices ensure that all issues affecting the Company are considered in relation to each other and by doing so, risks that affect one aspect of our Company can be taken into consideration when considering other risks.</w:t>
      </w:r>
    </w:p>
    <w:p>
      <w:pPr>
        <w:spacing w:after="0" w:line="51" w:lineRule="exact"/>
        <w:rPr>
          <w:sz w:val="20"/>
          <w:szCs w:val="20"/>
          <w:color w:val="auto"/>
        </w:rPr>
      </w:pPr>
    </w:p>
    <w:p>
      <w:pPr>
        <w:ind w:left="680" w:firstLine="399"/>
        <w:spacing w:after="0" w:line="288" w:lineRule="auto"/>
        <w:rPr>
          <w:sz w:val="20"/>
          <w:szCs w:val="20"/>
          <w:color w:val="auto"/>
        </w:rPr>
      </w:pPr>
      <w:r>
        <w:rPr>
          <w:rFonts w:ascii="Arial" w:cs="Arial" w:eastAsia="Arial" w:hAnsi="Arial"/>
          <w:sz w:val="12"/>
          <w:szCs w:val="12"/>
          <w:color w:val="auto"/>
        </w:rPr>
        <w:t>The Company also initiated an enterprise risk management process several years ago, which is coordinated by the Company’s Internal Audit department, under the supervision of the Company’s Chief Financial Officer. This process initially involved the identification of the Company’s programs and processes related to risk management, and the individuals responsible for them. Included was a self-assessment survey completed by senior personnel requesting information regarding perceived risks to the Company, with follow-up interviews with members of senior management to review any gaps between their and their direct reports’ responses. The information gathered was tailored to coordinate with the Company’s strategic planning process such that the risks could be categorized in a manner that identified the specific Company strategies that may be jeopardized and plans could be developed to address the risks to those strategies. The Company then conducted an open-ended survey aligned with the objectives of the Company’s strategic goals with several individuals with broad risk management and/or risk oversight responsibilities. Included in the survey was the identification of the top concerns, assessment of their risk impact and probability, and identification of the responsible risk owner. Finally, a condensed survey of top risks was completed by approximately 200 senior personnel to validate the risks and the risk rankings.</w:t>
      </w:r>
    </w:p>
    <w:p>
      <w:pPr>
        <w:spacing w:after="0" w:line="56"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The results of these efforts were reported to the Board of Directors, which is responsible for the design of the risk management process. Since its implementation, regular updates are given to the Board of Directors on all Company risks. In addition, the Audit Committee is responsible for ensuring that an effective risk assessment process is in place, and quarterly reports are made to the Audit Committee on all financial and compliance risks in accordance with New York Stock Exchange requirements.</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Independence of Board Members</w:t>
      </w:r>
    </w:p>
    <w:p>
      <w:pPr>
        <w:spacing w:after="0" w:line="104" w:lineRule="exact"/>
        <w:rPr>
          <w:sz w:val="20"/>
          <w:szCs w:val="20"/>
          <w:color w:val="auto"/>
        </w:rPr>
      </w:pPr>
    </w:p>
    <w:p>
      <w:pPr>
        <w:ind w:left="680" w:right="300" w:firstLine="399"/>
        <w:spacing w:after="0" w:line="294" w:lineRule="auto"/>
        <w:rPr>
          <w:sz w:val="20"/>
          <w:szCs w:val="20"/>
          <w:color w:val="auto"/>
        </w:rPr>
      </w:pPr>
      <w:r>
        <w:rPr>
          <w:rFonts w:ascii="Arial" w:cs="Arial" w:eastAsia="Arial" w:hAnsi="Arial"/>
          <w:sz w:val="13"/>
          <w:szCs w:val="13"/>
          <w:color w:val="auto"/>
        </w:rPr>
        <w:t>The Board of Directors has determined that each of the following seven non-employee director candidates is independent in accordance with the New York Stock Exchange listing standards:</w:t>
      </w:r>
    </w:p>
    <w:p>
      <w:pPr>
        <w:spacing w:after="0" w:line="47" w:lineRule="exact"/>
        <w:rPr>
          <w:sz w:val="20"/>
          <w:szCs w:val="20"/>
          <w:color w:val="auto"/>
        </w:rPr>
      </w:pPr>
    </w:p>
    <w:p>
      <w:pPr>
        <w:jc w:val="center"/>
        <w:ind w:right="-719"/>
        <w:spacing w:after="0"/>
        <w:rPr>
          <w:sz w:val="20"/>
          <w:szCs w:val="20"/>
          <w:color w:val="auto"/>
        </w:rPr>
      </w:pPr>
      <w:r>
        <w:rPr>
          <w:rFonts w:ascii="Arial" w:cs="Arial" w:eastAsia="Arial" w:hAnsi="Arial"/>
          <w:sz w:val="13"/>
          <w:szCs w:val="13"/>
          <w:color w:val="auto"/>
        </w:rPr>
        <w:t>Pastora San Juan Cafferty</w:t>
      </w:r>
    </w:p>
    <w:p>
      <w:pPr>
        <w:spacing w:after="0" w:line="22" w:lineRule="exact"/>
        <w:rPr>
          <w:sz w:val="20"/>
          <w:szCs w:val="20"/>
          <w:color w:val="auto"/>
        </w:rPr>
      </w:pPr>
    </w:p>
    <w:p>
      <w:pPr>
        <w:jc w:val="center"/>
        <w:ind w:right="-719"/>
        <w:spacing w:after="0"/>
        <w:rPr>
          <w:sz w:val="20"/>
          <w:szCs w:val="20"/>
          <w:color w:val="auto"/>
        </w:rPr>
      </w:pPr>
      <w:r>
        <w:rPr>
          <w:rFonts w:ascii="Arial" w:cs="Arial" w:eastAsia="Arial" w:hAnsi="Arial"/>
          <w:sz w:val="13"/>
          <w:szCs w:val="13"/>
          <w:color w:val="auto"/>
        </w:rPr>
        <w:t>Frank M. Clark, Jr.</w:t>
      </w:r>
    </w:p>
    <w:p>
      <w:pPr>
        <w:spacing w:after="0" w:line="12" w:lineRule="exact"/>
        <w:rPr>
          <w:sz w:val="20"/>
          <w:szCs w:val="20"/>
          <w:color w:val="auto"/>
        </w:rPr>
      </w:pPr>
    </w:p>
    <w:p>
      <w:pPr>
        <w:jc w:val="center"/>
        <w:ind w:right="-719"/>
        <w:spacing w:after="0"/>
        <w:rPr>
          <w:sz w:val="20"/>
          <w:szCs w:val="20"/>
          <w:color w:val="auto"/>
        </w:rPr>
      </w:pPr>
      <w:r>
        <w:rPr>
          <w:rFonts w:ascii="Arial" w:cs="Arial" w:eastAsia="Arial" w:hAnsi="Arial"/>
          <w:sz w:val="13"/>
          <w:szCs w:val="13"/>
          <w:color w:val="auto"/>
        </w:rPr>
        <w:t>Patrick W. Gross</w:t>
      </w:r>
    </w:p>
    <w:p>
      <w:pPr>
        <w:spacing w:after="0" w:line="12" w:lineRule="exact"/>
        <w:rPr>
          <w:sz w:val="20"/>
          <w:szCs w:val="20"/>
          <w:color w:val="auto"/>
        </w:rPr>
      </w:pPr>
    </w:p>
    <w:p>
      <w:pPr>
        <w:jc w:val="center"/>
        <w:ind w:right="-719"/>
        <w:spacing w:after="0"/>
        <w:rPr>
          <w:sz w:val="20"/>
          <w:szCs w:val="20"/>
          <w:color w:val="auto"/>
        </w:rPr>
      </w:pPr>
      <w:r>
        <w:rPr>
          <w:rFonts w:ascii="Arial" w:cs="Arial" w:eastAsia="Arial" w:hAnsi="Arial"/>
          <w:sz w:val="13"/>
          <w:szCs w:val="13"/>
          <w:color w:val="auto"/>
        </w:rPr>
        <w:t>John C. Pope</w:t>
      </w:r>
    </w:p>
    <w:p>
      <w:pPr>
        <w:spacing w:after="0" w:line="12" w:lineRule="exact"/>
        <w:rPr>
          <w:sz w:val="20"/>
          <w:szCs w:val="20"/>
          <w:color w:val="auto"/>
        </w:rPr>
      </w:pPr>
    </w:p>
    <w:p>
      <w:pPr>
        <w:jc w:val="center"/>
        <w:ind w:right="-719"/>
        <w:spacing w:after="0"/>
        <w:rPr>
          <w:sz w:val="20"/>
          <w:szCs w:val="20"/>
          <w:color w:val="auto"/>
        </w:rPr>
      </w:pPr>
      <w:r>
        <w:rPr>
          <w:rFonts w:ascii="Arial" w:cs="Arial" w:eastAsia="Arial" w:hAnsi="Arial"/>
          <w:sz w:val="13"/>
          <w:szCs w:val="13"/>
          <w:color w:val="auto"/>
        </w:rPr>
        <w:t>W. Robert Reum</w:t>
      </w:r>
    </w:p>
    <w:p>
      <w:pPr>
        <w:spacing w:after="0" w:line="12" w:lineRule="exact"/>
        <w:rPr>
          <w:sz w:val="20"/>
          <w:szCs w:val="20"/>
          <w:color w:val="auto"/>
        </w:rPr>
      </w:pPr>
    </w:p>
    <w:p>
      <w:pPr>
        <w:jc w:val="center"/>
        <w:ind w:right="-719"/>
        <w:spacing w:after="0"/>
        <w:rPr>
          <w:sz w:val="20"/>
          <w:szCs w:val="20"/>
          <w:color w:val="auto"/>
        </w:rPr>
      </w:pPr>
      <w:r>
        <w:rPr>
          <w:rFonts w:ascii="Arial" w:cs="Arial" w:eastAsia="Arial" w:hAnsi="Arial"/>
          <w:sz w:val="13"/>
          <w:szCs w:val="13"/>
          <w:color w:val="auto"/>
        </w:rPr>
        <w:t>Steven G. Rothmeier</w:t>
      </w:r>
    </w:p>
    <w:p>
      <w:pPr>
        <w:spacing w:after="0" w:line="12" w:lineRule="exact"/>
        <w:rPr>
          <w:sz w:val="20"/>
          <w:szCs w:val="20"/>
          <w:color w:val="auto"/>
        </w:rPr>
      </w:pPr>
    </w:p>
    <w:p>
      <w:pPr>
        <w:jc w:val="center"/>
        <w:ind w:right="-719"/>
        <w:spacing w:after="0"/>
        <w:rPr>
          <w:sz w:val="20"/>
          <w:szCs w:val="20"/>
          <w:color w:val="auto"/>
        </w:rPr>
      </w:pPr>
      <w:r>
        <w:rPr>
          <w:rFonts w:ascii="Arial" w:cs="Arial" w:eastAsia="Arial" w:hAnsi="Arial"/>
          <w:sz w:val="13"/>
          <w:szCs w:val="13"/>
          <w:color w:val="auto"/>
        </w:rPr>
        <w:t>Thomas H. Weidemeyer</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Mr. Steiner is an employee of the Company and, as such, is not considered an “independent” director.</w:t>
      </w:r>
    </w:p>
    <w:p>
      <w:pPr>
        <w:spacing w:after="0" w:line="102" w:lineRule="exact"/>
        <w:rPr>
          <w:sz w:val="20"/>
          <w:szCs w:val="20"/>
          <w:color w:val="auto"/>
        </w:rPr>
      </w:pPr>
    </w:p>
    <w:p>
      <w:pPr>
        <w:ind w:left="680" w:right="20" w:firstLine="399"/>
        <w:spacing w:after="0" w:line="270" w:lineRule="auto"/>
        <w:rPr>
          <w:sz w:val="20"/>
          <w:szCs w:val="20"/>
          <w:color w:val="auto"/>
        </w:rPr>
      </w:pPr>
      <w:r>
        <w:rPr>
          <w:rFonts w:ascii="Arial" w:cs="Arial" w:eastAsia="Arial" w:hAnsi="Arial"/>
          <w:sz w:val="13"/>
          <w:szCs w:val="13"/>
          <w:color w:val="auto"/>
        </w:rPr>
        <w:t>To assist the Board in determining independence, the Board of Directors adopted categorical standards of director independence, which meet or exceed the requirements of the New York Stock Exchange. These standards specify certain relationships that must be avoided in order for the non-employee director to be deemed independent. The Board reviewed all commercial and non-profit affiliations of each non-employee director and the dollar amount of all transactions between the Company and each entity with which a non-employee director is affiliated to determine independence. These transactions included the Company, through</w:t>
      </w:r>
    </w:p>
    <w:p>
      <w:pPr>
        <w:spacing w:after="0" w:line="274"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140"/>
        <w:spacing w:after="0" w:line="309" w:lineRule="auto"/>
        <w:rPr>
          <w:sz w:val="20"/>
          <w:szCs w:val="20"/>
          <w:color w:val="auto"/>
        </w:rPr>
      </w:pPr>
      <w:r>
        <w:rPr>
          <w:rFonts w:ascii="Arial" w:cs="Arial" w:eastAsia="Arial" w:hAnsi="Arial"/>
          <w:sz w:val="12"/>
          <w:szCs w:val="12"/>
          <w:color w:val="auto"/>
        </w:rPr>
        <w:t>its subsidiaries, providing waste management services in the ordinary course of business and the Company’s subsidiaries purchasing goods and services in the ordinary course of business. The categorical standards our Board uses in determining independence are included in our Corporate Governance Guidelines, which can be found on our website. The Board has determined that each non-employee director candidate meets these categorical standards and that there are no other relationships that would affect independence.</w:t>
      </w:r>
    </w:p>
    <w:p>
      <w:pPr>
        <w:spacing w:after="0" w:line="12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Meetings and Board Committees</w:t>
      </w:r>
    </w:p>
    <w:p>
      <w:pPr>
        <w:spacing w:after="0" w:line="104" w:lineRule="exact"/>
        <w:rPr>
          <w:sz w:val="20"/>
          <w:szCs w:val="20"/>
          <w:color w:val="auto"/>
        </w:rPr>
      </w:pPr>
    </w:p>
    <w:p>
      <w:pPr>
        <w:ind w:left="680" w:right="80" w:firstLine="399"/>
        <w:spacing w:after="0" w:line="309" w:lineRule="auto"/>
        <w:rPr>
          <w:sz w:val="20"/>
          <w:szCs w:val="20"/>
          <w:color w:val="auto"/>
        </w:rPr>
      </w:pPr>
      <w:r>
        <w:rPr>
          <w:rFonts w:ascii="Arial" w:cs="Arial" w:eastAsia="Arial" w:hAnsi="Arial"/>
          <w:sz w:val="12"/>
          <w:szCs w:val="12"/>
          <w:color w:val="auto"/>
        </w:rPr>
        <w:t>Last year the Board held eight meetings and each committee of the Board met independently as set forth below. Each director attended at least 75% of the meetings of the Board and the committees on which he served. In addition, all directors attended the 2009 Annual Meeting of Stockholders. Although we do not have a formal policy regarding director attendance at annual meetings, it has been longstanding practice that all directors attend unless there are unavoidable schedule conflicts or unforeseen circumstances.</w:t>
      </w:r>
    </w:p>
    <w:p>
      <w:pPr>
        <w:spacing w:after="0" w:line="41" w:lineRule="exact"/>
        <w:rPr>
          <w:sz w:val="20"/>
          <w:szCs w:val="20"/>
          <w:color w:val="auto"/>
        </w:rPr>
      </w:pPr>
    </w:p>
    <w:p>
      <w:pPr>
        <w:ind w:left="680" w:right="20" w:firstLine="399"/>
        <w:spacing w:after="0" w:line="267" w:lineRule="auto"/>
        <w:rPr>
          <w:sz w:val="20"/>
          <w:szCs w:val="20"/>
          <w:color w:val="auto"/>
        </w:rPr>
      </w:pPr>
      <w:r>
        <w:rPr>
          <w:rFonts w:ascii="Arial" w:cs="Arial" w:eastAsia="Arial" w:hAnsi="Arial"/>
          <w:sz w:val="13"/>
          <w:szCs w:val="13"/>
          <w:color w:val="auto"/>
        </w:rPr>
        <w:t>The Board appoints committees to help carry out its duties. In particular, Board committees work on key issues in greater detail than would be possible at full Board meetings. Each committee reviews the results of its meetings with the full Board, and all members of the Board are invited to attend all committee meetings. The Board has three separate standing committees: the Audit Committee, which is a separately designated standing committee established in accordance with Section 3(a)(58)(A) of the Securities Exchange Act of 1934, as amended; the Management Development and Compensation Committee; and the Nominating and Governance Committee. Additionally, the Board has the power to appoint additional committees, as it deems necessary. In 2006, the Board appointed a Special Committee, as described below.</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Audit Committee</w:t>
      </w:r>
    </w:p>
    <w:p>
      <w:pPr>
        <w:spacing w:after="0" w:line="102"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Mr. Rothmeier has been the Chairman of our Audit Committee since May 2004. The other members of our Audit Committee are Ms. Cafferty and Messrs. Clark, Gross, Pope and Reum. Each member of our Audit Committee satisfies the additional New York Stock Exchange independence standards for audit committees. Our Audit Committee held nine meetings in 2009.</w:t>
      </w:r>
    </w:p>
    <w:p>
      <w:pPr>
        <w:spacing w:after="0" w:line="59" w:lineRule="exact"/>
        <w:rPr>
          <w:sz w:val="20"/>
          <w:szCs w:val="20"/>
          <w:color w:val="auto"/>
        </w:rPr>
      </w:pPr>
    </w:p>
    <w:p>
      <w:pPr>
        <w:ind w:left="680" w:right="260" w:firstLine="399"/>
        <w:spacing w:after="0" w:line="294" w:lineRule="auto"/>
        <w:rPr>
          <w:sz w:val="20"/>
          <w:szCs w:val="20"/>
          <w:color w:val="auto"/>
        </w:rPr>
      </w:pPr>
      <w:r>
        <w:rPr>
          <w:rFonts w:ascii="Arial" w:cs="Arial" w:eastAsia="Arial" w:hAnsi="Arial"/>
          <w:sz w:val="13"/>
          <w:szCs w:val="13"/>
          <w:color w:val="auto"/>
        </w:rPr>
        <w:t>SEC rules require that we have at least one financial expert on our Audit Committee. Our Board of Directors has determined that Mr. Rothmeier and Mr. Pope are both Audit Committee financial experts for purposes of the SEC’s rules based on a thorough review of their education and financial and public company experience.</w:t>
      </w:r>
    </w:p>
    <w:p>
      <w:pPr>
        <w:spacing w:after="0" w:line="47" w:lineRule="exact"/>
        <w:rPr>
          <w:sz w:val="20"/>
          <w:szCs w:val="20"/>
          <w:color w:val="auto"/>
        </w:rPr>
      </w:pPr>
    </w:p>
    <w:p>
      <w:pPr>
        <w:ind w:left="680" w:right="140" w:firstLine="399"/>
        <w:spacing w:after="0" w:line="270" w:lineRule="auto"/>
        <w:rPr>
          <w:sz w:val="20"/>
          <w:szCs w:val="20"/>
          <w:color w:val="auto"/>
        </w:rPr>
      </w:pPr>
      <w:r>
        <w:rPr>
          <w:rFonts w:ascii="Arial" w:cs="Arial" w:eastAsia="Arial" w:hAnsi="Arial"/>
          <w:sz w:val="13"/>
          <w:szCs w:val="13"/>
          <w:color w:val="auto"/>
        </w:rPr>
        <w:t>Mr. Rothmeier served in various leadership positions in the airline industry for approximately 16 years, including the positions of Chairman, CEO and CFO of Northwest Airlines. He founded Great Northern Capital, a private investment management, consulting and merchant banking firm, in 1993, where he continues to serve as Chairman and CEO. Mr. Rothmeier has a master’s degree in finance from the University of Chicago Graduate School of Business and a bachelor’s degree in business administration from the University of Notre Dame. Mr. Rothmeier serves on one public company audit committee in addition to ours.</w:t>
      </w:r>
    </w:p>
    <w:p>
      <w:pPr>
        <w:spacing w:after="0" w:line="63" w:lineRule="exact"/>
        <w:rPr>
          <w:sz w:val="20"/>
          <w:szCs w:val="20"/>
          <w:color w:val="auto"/>
        </w:rPr>
      </w:pPr>
    </w:p>
    <w:p>
      <w:pPr>
        <w:ind w:left="680" w:right="200" w:firstLine="399"/>
        <w:spacing w:after="0" w:line="299" w:lineRule="auto"/>
        <w:rPr>
          <w:sz w:val="20"/>
          <w:szCs w:val="20"/>
          <w:color w:val="auto"/>
        </w:rPr>
      </w:pPr>
      <w:r>
        <w:rPr>
          <w:rFonts w:ascii="Arial" w:cs="Arial" w:eastAsia="Arial" w:hAnsi="Arial"/>
          <w:sz w:val="12"/>
          <w:szCs w:val="12"/>
          <w:color w:val="auto"/>
        </w:rPr>
        <w:t>Mr. Pope served in various financial positions, primarily in the airline industry, for approximately 17 years, including over nine years combined in CFO positions at American Airlines and United Airlines. He has a master’s degree in finance from the Harvard Graduate School of Business Administration and a bachelor’s degree in engineering and applied science from Yale University. Mr. Pope serves on three public company audit committees in addition to ours. The Board reviewed the time Mr. Pope spends on each company’s audit committee and the time he spends on other companies’ interests and determined that such service and time does not impair his ability to serve on our Audit Committee.</w:t>
      </w:r>
    </w:p>
    <w:p>
      <w:pPr>
        <w:spacing w:after="0" w:line="48" w:lineRule="exact"/>
        <w:rPr>
          <w:sz w:val="20"/>
          <w:szCs w:val="20"/>
          <w:color w:val="auto"/>
        </w:rPr>
      </w:pPr>
    </w:p>
    <w:p>
      <w:pPr>
        <w:ind w:left="680" w:right="120" w:firstLine="399"/>
        <w:spacing w:after="0" w:line="294" w:lineRule="auto"/>
        <w:rPr>
          <w:sz w:val="20"/>
          <w:szCs w:val="20"/>
          <w:color w:val="auto"/>
        </w:rPr>
      </w:pPr>
      <w:r>
        <w:rPr>
          <w:rFonts w:ascii="Arial" w:cs="Arial" w:eastAsia="Arial" w:hAnsi="Arial"/>
          <w:sz w:val="13"/>
          <w:szCs w:val="13"/>
          <w:color w:val="auto"/>
        </w:rPr>
        <w:t>Mr. Gross serves on four public company audit committees in addition to ours. The Board reviewed the time Mr. Gross spends on each company’s audit committee and the time he spends on other companies’ interests and determined that such service and time does not impair his ability to serve on our Audit Committee.</w:t>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Neither Ms. Cafferty, Mr. Clark, nor Mr. Reum currently serve on the audit committees of other public companies.</w:t>
      </w:r>
    </w:p>
    <w:p>
      <w:pPr>
        <w:spacing w:after="0" w:line="314"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Audit Committee’s duties are set forth in a written charter that was approved by the Board of Directors. A copy of the charter can be found on our website. The Audit Committee generally is responsible for overseeing all matters relating to our financial statements and reporting, internal audit function and independent auditors. As part of its function, the Audit Committee reports the results of all of its reviews to the full Board. In fulfilling its duties, the Audit Committee, has the following responsibilities:</w:t>
      </w:r>
    </w:p>
    <w:p>
      <w:pPr>
        <w:spacing w:after="0" w:line="99"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Administrative Responsibilities</w:t>
      </w:r>
    </w:p>
    <w:p>
      <w:pPr>
        <w:spacing w:after="0" w:line="102" w:lineRule="exact"/>
        <w:rPr>
          <w:sz w:val="20"/>
          <w:szCs w:val="20"/>
          <w:color w:val="auto"/>
        </w:rPr>
      </w:pPr>
    </w:p>
    <w:p>
      <w:pPr>
        <w:ind w:left="1300" w:hanging="208"/>
        <w:spacing w:after="0"/>
        <w:tabs>
          <w:tab w:leader="none" w:pos="1300" w:val="left"/>
        </w:tabs>
        <w:numPr>
          <w:ilvl w:val="0"/>
          <w:numId w:val="5"/>
        </w:numPr>
        <w:rPr>
          <w:rFonts w:ascii="Arial" w:cs="Arial" w:eastAsia="Arial" w:hAnsi="Arial"/>
          <w:sz w:val="13"/>
          <w:szCs w:val="13"/>
          <w:color w:val="auto"/>
        </w:rPr>
      </w:pPr>
      <w:r>
        <w:rPr>
          <w:rFonts w:ascii="Arial" w:cs="Arial" w:eastAsia="Arial" w:hAnsi="Arial"/>
          <w:sz w:val="13"/>
          <w:szCs w:val="13"/>
          <w:color w:val="auto"/>
        </w:rPr>
        <w:t>Report to the Board, at least annually, all public company audit committee memberships by members of the Audit Committee;</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5"/>
        </w:numPr>
        <w:rPr>
          <w:rFonts w:ascii="Arial" w:cs="Arial" w:eastAsia="Arial" w:hAnsi="Arial"/>
          <w:sz w:val="13"/>
          <w:szCs w:val="13"/>
          <w:color w:val="auto"/>
        </w:rPr>
      </w:pPr>
      <w:r>
        <w:rPr>
          <w:rFonts w:ascii="Arial" w:cs="Arial" w:eastAsia="Arial" w:hAnsi="Arial"/>
          <w:sz w:val="13"/>
          <w:szCs w:val="13"/>
          <w:color w:val="auto"/>
        </w:rPr>
        <w:t>Perform an annual review of its performance relative to its charter and report the results of its evaluation to the full Board; and</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5"/>
        </w:numPr>
        <w:rPr>
          <w:rFonts w:ascii="Arial" w:cs="Arial" w:eastAsia="Arial" w:hAnsi="Arial"/>
          <w:sz w:val="13"/>
          <w:szCs w:val="13"/>
          <w:color w:val="auto"/>
        </w:rPr>
      </w:pPr>
      <w:r>
        <w:rPr>
          <w:rFonts w:ascii="Arial" w:cs="Arial" w:eastAsia="Arial" w:hAnsi="Arial"/>
          <w:sz w:val="13"/>
          <w:szCs w:val="13"/>
          <w:color w:val="auto"/>
        </w:rPr>
        <w:t>Adopt an orientation program for new Audit Committee members.</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Independent Auditor</w:t>
      </w:r>
    </w:p>
    <w:p>
      <w:pPr>
        <w:spacing w:after="0" w:line="102" w:lineRule="exact"/>
        <w:rPr>
          <w:sz w:val="20"/>
          <w:szCs w:val="20"/>
          <w:color w:val="auto"/>
        </w:rPr>
      </w:pPr>
    </w:p>
    <w:p>
      <w:pPr>
        <w:ind w:left="1300" w:hanging="208"/>
        <w:spacing w:after="0"/>
        <w:tabs>
          <w:tab w:leader="none" w:pos="1300" w:val="left"/>
        </w:tabs>
        <w:numPr>
          <w:ilvl w:val="0"/>
          <w:numId w:val="6"/>
        </w:numPr>
        <w:rPr>
          <w:rFonts w:ascii="Arial" w:cs="Arial" w:eastAsia="Arial" w:hAnsi="Arial"/>
          <w:sz w:val="13"/>
          <w:szCs w:val="13"/>
          <w:color w:val="auto"/>
        </w:rPr>
      </w:pPr>
      <w:r>
        <w:rPr>
          <w:rFonts w:ascii="Arial" w:cs="Arial" w:eastAsia="Arial" w:hAnsi="Arial"/>
          <w:sz w:val="13"/>
          <w:szCs w:val="13"/>
          <w:color w:val="auto"/>
        </w:rPr>
        <w:t>Engage an independent auditor, determine the auditor’s compensation and replace the auditor if necessary;</w:t>
      </w:r>
    </w:p>
    <w:p>
      <w:pPr>
        <w:spacing w:after="0" w:line="102" w:lineRule="exact"/>
        <w:rPr>
          <w:rFonts w:ascii="Arial" w:cs="Arial" w:eastAsia="Arial" w:hAnsi="Arial"/>
          <w:sz w:val="13"/>
          <w:szCs w:val="13"/>
          <w:color w:val="auto"/>
        </w:rPr>
      </w:pPr>
    </w:p>
    <w:p>
      <w:pPr>
        <w:ind w:left="1300" w:hanging="208"/>
        <w:spacing w:after="0"/>
        <w:tabs>
          <w:tab w:leader="none" w:pos="1300" w:val="left"/>
        </w:tabs>
        <w:numPr>
          <w:ilvl w:val="0"/>
          <w:numId w:val="6"/>
        </w:numPr>
        <w:rPr>
          <w:rFonts w:ascii="Arial" w:cs="Arial" w:eastAsia="Arial" w:hAnsi="Arial"/>
          <w:sz w:val="13"/>
          <w:szCs w:val="13"/>
          <w:color w:val="auto"/>
        </w:rPr>
      </w:pPr>
      <w:r>
        <w:rPr>
          <w:rFonts w:ascii="Arial" w:cs="Arial" w:eastAsia="Arial" w:hAnsi="Arial"/>
          <w:sz w:val="13"/>
          <w:szCs w:val="13"/>
          <w:color w:val="auto"/>
        </w:rPr>
        <w:t>Review the independence of the independent auditor and establish our policies for hiring current or former employees of the independent auditor;</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6"/>
        </w:numPr>
        <w:rPr>
          <w:rFonts w:ascii="Arial" w:cs="Arial" w:eastAsia="Arial" w:hAnsi="Arial"/>
          <w:sz w:val="12"/>
          <w:szCs w:val="12"/>
          <w:color w:val="auto"/>
        </w:rPr>
      </w:pPr>
      <w:r>
        <w:rPr>
          <w:rFonts w:ascii="Arial" w:cs="Arial" w:eastAsia="Arial" w:hAnsi="Arial"/>
          <w:sz w:val="12"/>
          <w:szCs w:val="12"/>
          <w:color w:val="auto"/>
        </w:rPr>
        <w:t>Evaluate the lead partner of our independent audit team and review a report, at least annually, describing the independent auditor’s internal control procedures; and</w:t>
      </w:r>
    </w:p>
    <w:p>
      <w:pPr>
        <w:spacing w:after="0" w:line="103" w:lineRule="exact"/>
        <w:rPr>
          <w:rFonts w:ascii="Arial" w:cs="Arial" w:eastAsia="Arial" w:hAnsi="Arial"/>
          <w:sz w:val="12"/>
          <w:szCs w:val="12"/>
          <w:color w:val="auto"/>
        </w:rPr>
      </w:pPr>
    </w:p>
    <w:p>
      <w:pPr>
        <w:ind w:left="1300" w:hanging="208"/>
        <w:spacing w:after="0"/>
        <w:tabs>
          <w:tab w:leader="none" w:pos="1300" w:val="left"/>
        </w:tabs>
        <w:numPr>
          <w:ilvl w:val="0"/>
          <w:numId w:val="6"/>
        </w:numPr>
        <w:rPr>
          <w:rFonts w:ascii="Arial" w:cs="Arial" w:eastAsia="Arial" w:hAnsi="Arial"/>
          <w:sz w:val="13"/>
          <w:szCs w:val="13"/>
          <w:color w:val="auto"/>
        </w:rPr>
      </w:pPr>
      <w:r>
        <w:rPr>
          <w:rFonts w:ascii="Arial" w:cs="Arial" w:eastAsia="Arial" w:hAnsi="Arial"/>
          <w:sz w:val="13"/>
          <w:szCs w:val="13"/>
          <w:color w:val="auto"/>
        </w:rPr>
        <w:t>Pre-approve all services, including non-audit engagements, provided by the independent auditor.</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Internal Audit</w:t>
      </w:r>
    </w:p>
    <w:p>
      <w:pPr>
        <w:spacing w:after="0" w:line="102" w:lineRule="exact"/>
        <w:rPr>
          <w:sz w:val="20"/>
          <w:szCs w:val="20"/>
          <w:color w:val="auto"/>
        </w:rPr>
      </w:pPr>
    </w:p>
    <w:p>
      <w:pPr>
        <w:ind w:left="1300" w:hanging="208"/>
        <w:spacing w:after="0"/>
        <w:tabs>
          <w:tab w:leader="none" w:pos="1300" w:val="left"/>
        </w:tabs>
        <w:numPr>
          <w:ilvl w:val="0"/>
          <w:numId w:val="7"/>
        </w:numPr>
        <w:rPr>
          <w:rFonts w:ascii="Arial" w:cs="Arial" w:eastAsia="Arial" w:hAnsi="Arial"/>
          <w:sz w:val="13"/>
          <w:szCs w:val="13"/>
          <w:color w:val="auto"/>
        </w:rPr>
      </w:pPr>
      <w:r>
        <w:rPr>
          <w:rFonts w:ascii="Arial" w:cs="Arial" w:eastAsia="Arial" w:hAnsi="Arial"/>
          <w:sz w:val="13"/>
          <w:szCs w:val="13"/>
          <w:color w:val="auto"/>
        </w:rPr>
        <w:t>Review the plans, staffing, reports and activities of the internal auditors; and</w:t>
      </w:r>
    </w:p>
    <w:p>
      <w:pPr>
        <w:spacing w:after="0" w:line="92" w:lineRule="exact"/>
        <w:rPr>
          <w:rFonts w:ascii="Arial" w:cs="Arial" w:eastAsia="Arial" w:hAnsi="Arial"/>
          <w:sz w:val="13"/>
          <w:szCs w:val="13"/>
          <w:color w:val="auto"/>
        </w:rPr>
      </w:pPr>
    </w:p>
    <w:p>
      <w:pPr>
        <w:ind w:left="1300" w:right="360" w:hanging="208"/>
        <w:spacing w:after="0" w:line="294" w:lineRule="auto"/>
        <w:tabs>
          <w:tab w:leader="none" w:pos="1300" w:val="left"/>
        </w:tabs>
        <w:numPr>
          <w:ilvl w:val="0"/>
          <w:numId w:val="7"/>
        </w:numPr>
        <w:rPr>
          <w:rFonts w:ascii="Arial" w:cs="Arial" w:eastAsia="Arial" w:hAnsi="Arial"/>
          <w:sz w:val="13"/>
          <w:szCs w:val="13"/>
          <w:color w:val="auto"/>
        </w:rPr>
      </w:pPr>
      <w:r>
        <w:rPr>
          <w:rFonts w:ascii="Arial" w:cs="Arial" w:eastAsia="Arial" w:hAnsi="Arial"/>
          <w:sz w:val="13"/>
          <w:szCs w:val="13"/>
          <w:color w:val="auto"/>
        </w:rPr>
        <w:t>Review and establish procedures for receiving, retaining and handling complaints, including anonymous complaints by our employees, regarding accounting, internal controls and auditing matters.</w:t>
      </w:r>
    </w:p>
    <w:p>
      <w:pPr>
        <w:spacing w:after="0" w:line="87"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Financial Statements</w:t>
      </w:r>
    </w:p>
    <w:p>
      <w:pPr>
        <w:spacing w:after="0" w:line="102" w:lineRule="exact"/>
        <w:rPr>
          <w:sz w:val="20"/>
          <w:szCs w:val="20"/>
          <w:color w:val="auto"/>
        </w:rPr>
      </w:pPr>
    </w:p>
    <w:p>
      <w:pPr>
        <w:ind w:left="1300" w:hanging="208"/>
        <w:spacing w:after="0"/>
        <w:tabs>
          <w:tab w:leader="none" w:pos="1300" w:val="left"/>
        </w:tabs>
        <w:numPr>
          <w:ilvl w:val="0"/>
          <w:numId w:val="8"/>
        </w:numPr>
        <w:rPr>
          <w:rFonts w:ascii="Arial" w:cs="Arial" w:eastAsia="Arial" w:hAnsi="Arial"/>
          <w:sz w:val="13"/>
          <w:szCs w:val="13"/>
          <w:color w:val="auto"/>
        </w:rPr>
      </w:pPr>
      <w:r>
        <w:rPr>
          <w:rFonts w:ascii="Arial" w:cs="Arial" w:eastAsia="Arial" w:hAnsi="Arial"/>
          <w:sz w:val="13"/>
          <w:szCs w:val="13"/>
          <w:color w:val="auto"/>
        </w:rPr>
        <w:t>Review financial statements and Forms 10-K and 10-Q with management and the independent auditor;</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8"/>
        </w:numPr>
        <w:rPr>
          <w:rFonts w:ascii="Arial" w:cs="Arial" w:eastAsia="Arial" w:hAnsi="Arial"/>
          <w:sz w:val="13"/>
          <w:szCs w:val="13"/>
          <w:color w:val="auto"/>
        </w:rPr>
      </w:pPr>
      <w:r>
        <w:rPr>
          <w:rFonts w:ascii="Arial" w:cs="Arial" w:eastAsia="Arial" w:hAnsi="Arial"/>
          <w:sz w:val="13"/>
          <w:szCs w:val="13"/>
          <w:color w:val="auto"/>
        </w:rPr>
        <w:t>Review all earnings press releases and discuss with management the type of earnings guidance that we provide to analysts and rating agencies;</w:t>
      </w:r>
    </w:p>
    <w:p>
      <w:pPr>
        <w:spacing w:after="0" w:line="102" w:lineRule="exact"/>
        <w:rPr>
          <w:rFonts w:ascii="Arial" w:cs="Arial" w:eastAsia="Arial" w:hAnsi="Arial"/>
          <w:sz w:val="13"/>
          <w:szCs w:val="13"/>
          <w:color w:val="auto"/>
        </w:rPr>
      </w:pPr>
    </w:p>
    <w:p>
      <w:pPr>
        <w:ind w:left="1300" w:right="160" w:hanging="208"/>
        <w:spacing w:after="0" w:line="294" w:lineRule="auto"/>
        <w:tabs>
          <w:tab w:leader="none" w:pos="1300" w:val="left"/>
        </w:tabs>
        <w:numPr>
          <w:ilvl w:val="0"/>
          <w:numId w:val="8"/>
        </w:numPr>
        <w:rPr>
          <w:rFonts w:ascii="Arial" w:cs="Arial" w:eastAsia="Arial" w:hAnsi="Arial"/>
          <w:sz w:val="13"/>
          <w:szCs w:val="13"/>
          <w:color w:val="auto"/>
        </w:rPr>
      </w:pPr>
      <w:r>
        <w:rPr>
          <w:rFonts w:ascii="Arial" w:cs="Arial" w:eastAsia="Arial" w:hAnsi="Arial"/>
          <w:sz w:val="13"/>
          <w:szCs w:val="13"/>
          <w:color w:val="auto"/>
        </w:rPr>
        <w:t>Discuss with the independent auditor any material changes to our accounting principles and matters required to be communicated under Statement on Auditing Standards No. 61 relating to the conduct of the audit;</w:t>
      </w:r>
    </w:p>
    <w:p>
      <w:pPr>
        <w:spacing w:after="0" w:line="46" w:lineRule="exact"/>
        <w:rPr>
          <w:rFonts w:ascii="Arial" w:cs="Arial" w:eastAsia="Arial" w:hAnsi="Arial"/>
          <w:sz w:val="13"/>
          <w:szCs w:val="13"/>
          <w:color w:val="auto"/>
        </w:rPr>
      </w:pPr>
    </w:p>
    <w:p>
      <w:pPr>
        <w:ind w:left="1300" w:hanging="208"/>
        <w:spacing w:after="0"/>
        <w:tabs>
          <w:tab w:leader="none" w:pos="1300" w:val="left"/>
        </w:tabs>
        <w:numPr>
          <w:ilvl w:val="0"/>
          <w:numId w:val="8"/>
        </w:numPr>
        <w:rPr>
          <w:rFonts w:ascii="Arial" w:cs="Arial" w:eastAsia="Arial" w:hAnsi="Arial"/>
          <w:sz w:val="13"/>
          <w:szCs w:val="13"/>
          <w:color w:val="auto"/>
        </w:rPr>
      </w:pPr>
      <w:r>
        <w:rPr>
          <w:rFonts w:ascii="Arial" w:cs="Arial" w:eastAsia="Arial" w:hAnsi="Arial"/>
          <w:sz w:val="13"/>
          <w:szCs w:val="13"/>
          <w:color w:val="auto"/>
        </w:rPr>
        <w:t>Review our financial reporting, accounting and auditing practices with management, the independent auditor and our internal auditors;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8"/>
        </w:numPr>
        <w:rPr>
          <w:rFonts w:ascii="Arial" w:cs="Arial" w:eastAsia="Arial" w:hAnsi="Arial"/>
          <w:sz w:val="13"/>
          <w:szCs w:val="13"/>
          <w:color w:val="auto"/>
        </w:rPr>
      </w:pPr>
      <w:r>
        <w:rPr>
          <w:rFonts w:ascii="Arial" w:cs="Arial" w:eastAsia="Arial" w:hAnsi="Arial"/>
          <w:sz w:val="13"/>
          <w:szCs w:val="13"/>
          <w:color w:val="auto"/>
        </w:rPr>
        <w:t>Review management’s and the independent auditor’s assessment of the adequacy and effectiveness of financial reporting controls; and</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8"/>
        </w:numPr>
        <w:rPr>
          <w:rFonts w:ascii="Arial" w:cs="Arial" w:eastAsia="Arial" w:hAnsi="Arial"/>
          <w:sz w:val="13"/>
          <w:szCs w:val="13"/>
          <w:color w:val="auto"/>
        </w:rPr>
      </w:pPr>
      <w:r>
        <w:rPr>
          <w:rFonts w:ascii="Arial" w:cs="Arial" w:eastAsia="Arial" w:hAnsi="Arial"/>
          <w:sz w:val="13"/>
          <w:szCs w:val="13"/>
          <w:color w:val="auto"/>
        </w:rPr>
        <w:t>Review CEO and CFO certifications related to our reports and filings.</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Audit Committee Report</w:t>
      </w:r>
    </w:p>
    <w:p>
      <w:pPr>
        <w:spacing w:after="0" w:line="104" w:lineRule="exact"/>
        <w:rPr>
          <w:sz w:val="20"/>
          <w:szCs w:val="20"/>
          <w:color w:val="auto"/>
        </w:rPr>
      </w:pPr>
    </w:p>
    <w:p>
      <w:pPr>
        <w:ind w:left="680" w:right="80" w:firstLine="399"/>
        <w:spacing w:after="0" w:line="267" w:lineRule="auto"/>
        <w:rPr>
          <w:sz w:val="20"/>
          <w:szCs w:val="20"/>
          <w:color w:val="auto"/>
        </w:rPr>
      </w:pPr>
      <w:r>
        <w:rPr>
          <w:rFonts w:ascii="Arial" w:cs="Arial" w:eastAsia="Arial" w:hAnsi="Arial"/>
          <w:sz w:val="13"/>
          <w:szCs w:val="13"/>
          <w:color w:val="auto"/>
        </w:rPr>
        <w:t>The role of the Audit Committee is, among other things, to oversee the Company’s financial reporting process on behalf of the Board of Directors, to recommend to the Board whether the Company’s financial statements should be included in the Company’s Annual Report on Form 10-K and to select the independent auditor for ratification by stockholders. Company management is responsible for the Company’s financial statements as well as for its financial reporting process, accounting principles and internal controls. The Company’s independent auditors are responsible for performing an audit of the Company’s financial statements and expressing an opinion as to the conformity of such financial statements with generally accepted accounting principles.</w:t>
      </w:r>
    </w:p>
    <w:p>
      <w:pPr>
        <w:spacing w:after="0" w:line="277"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560"/>
          </w:cols>
          <w:pgMar w:left="220" w:top="349" w:right="111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jc w:val="center"/>
        <w:ind w:right="-619"/>
        <w:spacing w:after="0"/>
        <w:rPr>
          <w:sz w:val="20"/>
          <w:szCs w:val="20"/>
          <w:color w:val="auto"/>
        </w:rPr>
      </w:pPr>
      <w:r>
        <w:rPr>
          <w:rFonts w:ascii="Arial" w:cs="Arial" w:eastAsia="Arial" w:hAnsi="Arial"/>
          <w:sz w:val="13"/>
          <w:szCs w:val="13"/>
          <w:color w:val="auto"/>
        </w:rPr>
        <w:t>The Audit Committee has reviewed and discussed the Company’s audited financial statements as of and for the year ended December 31, 2009 with management and the</w:t>
      </w:r>
    </w:p>
    <w:p>
      <w:pPr>
        <w:spacing w:after="0" w:line="22" w:lineRule="exact"/>
        <w:rPr>
          <w:sz w:val="20"/>
          <w:szCs w:val="20"/>
          <w:color w:val="auto"/>
        </w:rPr>
      </w:pPr>
    </w:p>
    <w:p>
      <w:pPr>
        <w:jc w:val="center"/>
        <w:ind w:right="-639"/>
        <w:spacing w:after="0"/>
        <w:rPr>
          <w:sz w:val="20"/>
          <w:szCs w:val="20"/>
          <w:color w:val="auto"/>
        </w:rPr>
      </w:pPr>
      <w:r>
        <w:rPr>
          <w:rFonts w:ascii="Arial" w:cs="Arial" w:eastAsia="Arial" w:hAnsi="Arial"/>
          <w:sz w:val="12"/>
          <w:szCs w:val="12"/>
          <w:color w:val="auto"/>
        </w:rPr>
        <w:t>independent registered public accounting firm, and has taken the following steps in making its recommendation that the Company’s financial statements be included in its annual report:</w:t>
      </w:r>
    </w:p>
    <w:p>
      <w:pPr>
        <w:spacing w:after="0" w:line="103" w:lineRule="exact"/>
        <w:rPr>
          <w:sz w:val="20"/>
          <w:szCs w:val="20"/>
          <w:color w:val="auto"/>
        </w:rPr>
      </w:pPr>
    </w:p>
    <w:p>
      <w:pPr>
        <w:ind w:left="1300" w:right="20" w:hanging="208"/>
        <w:spacing w:after="0" w:line="276" w:lineRule="auto"/>
        <w:tabs>
          <w:tab w:leader="none" w:pos="1300" w:val="left"/>
        </w:tabs>
        <w:numPr>
          <w:ilvl w:val="0"/>
          <w:numId w:val="9"/>
        </w:numPr>
        <w:rPr>
          <w:rFonts w:ascii="Arial" w:cs="Arial" w:eastAsia="Arial" w:hAnsi="Arial"/>
          <w:sz w:val="13"/>
          <w:szCs w:val="13"/>
          <w:color w:val="auto"/>
        </w:rPr>
      </w:pPr>
      <w:r>
        <w:rPr>
          <w:rFonts w:ascii="Arial" w:cs="Arial" w:eastAsia="Arial" w:hAnsi="Arial"/>
          <w:sz w:val="13"/>
          <w:szCs w:val="13"/>
          <w:color w:val="auto"/>
        </w:rPr>
        <w:t>First, the Audit Committee discussed with Ernst &amp; Young, the Company’s independent registered public accounting firm for fiscal year 2009, those matters required to be discussed by Statement on Auditing Standards No. 61, including information regarding the scope and results of the audit. These communications and discussions are intended to assist the Audit Committee in overseeing the financial reporting and disclosure process.</w:t>
      </w:r>
    </w:p>
    <w:p>
      <w:pPr>
        <w:spacing w:after="0" w:line="48" w:lineRule="exact"/>
        <w:rPr>
          <w:rFonts w:ascii="Arial" w:cs="Arial" w:eastAsia="Arial" w:hAnsi="Arial"/>
          <w:sz w:val="13"/>
          <w:szCs w:val="13"/>
          <w:color w:val="auto"/>
        </w:rPr>
      </w:pPr>
    </w:p>
    <w:p>
      <w:pPr>
        <w:ind w:left="1300" w:right="60" w:hanging="208"/>
        <w:spacing w:after="0" w:line="309" w:lineRule="auto"/>
        <w:tabs>
          <w:tab w:leader="none" w:pos="1300" w:val="left"/>
        </w:tabs>
        <w:numPr>
          <w:ilvl w:val="0"/>
          <w:numId w:val="9"/>
        </w:numPr>
        <w:rPr>
          <w:rFonts w:ascii="Arial" w:cs="Arial" w:eastAsia="Arial" w:hAnsi="Arial"/>
          <w:sz w:val="12"/>
          <w:szCs w:val="12"/>
          <w:color w:val="auto"/>
        </w:rPr>
      </w:pPr>
      <w:r>
        <w:rPr>
          <w:rFonts w:ascii="Arial" w:cs="Arial" w:eastAsia="Arial" w:hAnsi="Arial"/>
          <w:sz w:val="12"/>
          <w:szCs w:val="12"/>
          <w:color w:val="auto"/>
        </w:rPr>
        <w:t>Second, the Audit Committee discussed with Ernst &amp; Young its independence and received from Ernst &amp; Young a letter concerning independence as required under applicable independence standards for auditors of public companies. This discussion and disclosure helped the Audit Committee in evaluating such independence. The Audit Committee also considered whether the provision of other non-audit services to the Company is compatible with the auditor’s independence.</w:t>
      </w:r>
    </w:p>
    <w:p>
      <w:pPr>
        <w:spacing w:after="0" w:line="31" w:lineRule="exact"/>
        <w:rPr>
          <w:rFonts w:ascii="Arial" w:cs="Arial" w:eastAsia="Arial" w:hAnsi="Arial"/>
          <w:sz w:val="12"/>
          <w:szCs w:val="12"/>
          <w:color w:val="auto"/>
        </w:rPr>
      </w:pPr>
    </w:p>
    <w:p>
      <w:pPr>
        <w:ind w:left="1300" w:hanging="208"/>
        <w:spacing w:after="0" w:line="276" w:lineRule="auto"/>
        <w:tabs>
          <w:tab w:leader="none" w:pos="130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Third, the Audit Committee met periodically with members of management, the internal auditors and Ernst &amp; Young to review and discuss internal controls over financial reporting. Further, the Audit Committee reviewed and discussed management’s report on internal control over financial reporting as of December 31, 2009, as well as Ernst &amp; Young’s report regarding the effectiveness of internal control over financial reporting.</w:t>
      </w:r>
    </w:p>
    <w:p>
      <w:pPr>
        <w:spacing w:after="0" w:line="48" w:lineRule="exact"/>
        <w:rPr>
          <w:rFonts w:ascii="Arial" w:cs="Arial" w:eastAsia="Arial" w:hAnsi="Arial"/>
          <w:sz w:val="13"/>
          <w:szCs w:val="13"/>
          <w:color w:val="auto"/>
        </w:rPr>
      </w:pPr>
    </w:p>
    <w:p>
      <w:pPr>
        <w:ind w:left="1300" w:right="500" w:hanging="208"/>
        <w:spacing w:after="0" w:line="276" w:lineRule="auto"/>
        <w:tabs>
          <w:tab w:leader="none" w:pos="1300" w:val="left"/>
        </w:tabs>
        <w:numPr>
          <w:ilvl w:val="0"/>
          <w:numId w:val="9"/>
        </w:numPr>
        <w:rPr>
          <w:rFonts w:ascii="Arial" w:cs="Arial" w:eastAsia="Arial" w:hAnsi="Arial"/>
          <w:sz w:val="13"/>
          <w:szCs w:val="13"/>
          <w:color w:val="auto"/>
        </w:rPr>
      </w:pPr>
      <w:r>
        <w:rPr>
          <w:rFonts w:ascii="Arial" w:cs="Arial" w:eastAsia="Arial" w:hAnsi="Arial"/>
          <w:sz w:val="13"/>
          <w:szCs w:val="13"/>
          <w:color w:val="auto"/>
        </w:rPr>
        <w:t>Finally, the Audit Committee reviewed and discussed, with the Company’s management and Ernst &amp; Young, the Company’s audited consolidated balance sheet as of December 31, 2009, and consolidated statements of income, cash flows and equity for the fiscal year ended December 31, 2009, including the quality, not just the acceptability, of the accounting principles, the reasonableness of significant judgments and the clarity of the disclosure.</w:t>
      </w:r>
    </w:p>
    <w:p>
      <w:pPr>
        <w:spacing w:after="0" w:line="59"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Committee has also discussed with the Company’s internal auditors and independent registered public accounting firm the overall scope and plans of their respective audits. The Committee meets periodically with both the internal auditors and independent registered public accounting firm, with and without management present, to discuss the results of their examinations and their evaluations of the Company’s internal controls.</w:t>
      </w:r>
    </w:p>
    <w:p>
      <w:pPr>
        <w:spacing w:after="0" w:line="59"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The members of the Audit Committee are not engaged in the accounting or auditing profession and, consequently, are not experts in matters involving auditing or accounting. In the performance of their oversight function, the members of the Audit Committee necessarily relied upon the information, opinions, reports and statements presented to them by Company management and by the independent registered public accounting firm.</w:t>
      </w:r>
    </w:p>
    <w:p>
      <w:pPr>
        <w:spacing w:after="0" w:line="59"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Based on the reviews and discussions explained above (and without other independent verification), the Audit Committee recommended to the Board (and the Board approved) that the Company’s financial statements be included in its annual report for its fiscal year ended December 31, 2009. The Committee has also approved the selection of Ernst &amp; Young as the Company’s independent registered public accounting firm for fiscal year 2010.</w:t>
      </w:r>
    </w:p>
    <w:p>
      <w:pPr>
        <w:spacing w:after="0" w:line="5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The Audit Committee of the Board of Directors</w:t>
      </w:r>
    </w:p>
    <w:p>
      <w:pPr>
        <w:spacing w:after="0" w:line="10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 xml:space="preserve">Steven G. Rothmeier, </w:t>
      </w:r>
      <w:r>
        <w:rPr>
          <w:rFonts w:ascii="Arial" w:cs="Arial" w:eastAsia="Arial" w:hAnsi="Arial"/>
          <w:sz w:val="13"/>
          <w:szCs w:val="13"/>
          <w:i w:val="1"/>
          <w:iCs w:val="1"/>
          <w:color w:val="auto"/>
        </w:rPr>
        <w:t>Chairman</w:t>
      </w:r>
    </w:p>
    <w:p>
      <w:pPr>
        <w:spacing w:after="0" w:line="2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Pastora San Juan Cafferty</w:t>
      </w:r>
    </w:p>
    <w:p>
      <w:pPr>
        <w:spacing w:after="0" w:line="1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Frank M. Clark, Jr.</w:t>
      </w:r>
    </w:p>
    <w:p>
      <w:pPr>
        <w:spacing w:after="0" w:line="1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Patrick W. Gross</w:t>
      </w:r>
    </w:p>
    <w:p>
      <w:pPr>
        <w:spacing w:after="0" w:line="1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John C. Pope</w:t>
      </w:r>
    </w:p>
    <w:p>
      <w:pPr>
        <w:spacing w:after="0" w:line="1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W. Robert Reum</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Management Development and Compensation Committee</w:t>
      </w:r>
    </w:p>
    <w:p>
      <w:pPr>
        <w:spacing w:after="0" w:line="102" w:lineRule="exact"/>
        <w:rPr>
          <w:sz w:val="20"/>
          <w:szCs w:val="20"/>
          <w:color w:val="auto"/>
        </w:rPr>
      </w:pPr>
    </w:p>
    <w:p>
      <w:pPr>
        <w:ind w:left="680" w:right="20" w:firstLine="399"/>
        <w:spacing w:after="0" w:line="294" w:lineRule="auto"/>
        <w:rPr>
          <w:sz w:val="20"/>
          <w:szCs w:val="20"/>
          <w:color w:val="auto"/>
        </w:rPr>
      </w:pPr>
      <w:r>
        <w:rPr>
          <w:rFonts w:ascii="Arial" w:cs="Arial" w:eastAsia="Arial" w:hAnsi="Arial"/>
          <w:sz w:val="13"/>
          <w:szCs w:val="13"/>
          <w:color w:val="auto"/>
        </w:rPr>
        <w:t>Mr. Reum has served as the Chairman of our Management Development and Compensation Committee since May 2004. The other members of the Committee are Messrs. Clark, Pope, Rothmeier and Weidemeyer.</w:t>
      </w:r>
    </w:p>
    <w:p>
      <w:pPr>
        <w:spacing w:after="0" w:line="258"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100"/>
        <w:spacing w:after="0" w:line="294" w:lineRule="auto"/>
        <w:rPr>
          <w:sz w:val="20"/>
          <w:szCs w:val="20"/>
          <w:color w:val="auto"/>
        </w:rPr>
      </w:pPr>
      <w:r>
        <w:rPr>
          <w:rFonts w:ascii="Arial" w:cs="Arial" w:eastAsia="Arial" w:hAnsi="Arial"/>
          <w:sz w:val="13"/>
          <w:szCs w:val="13"/>
          <w:color w:val="auto"/>
        </w:rPr>
        <w:t>Each member of our Compensation Committee is independent in accordance with the rules and regulations of the New York Stock Exchange. The Compensation Committee met seven times in 2009.</w:t>
      </w:r>
    </w:p>
    <w:p>
      <w:pPr>
        <w:spacing w:after="0" w:line="47"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Our Compensation Committee is responsible for overseeing all of our executive and senior management compensation, as well as developing the Company’s compensation philosophy generally. The Compensation Committee’s written charter, which was approved by the Board of Directors, can be found on our website. In fulfilling its duties, the Compensation Committee has the following responsibilities:</w:t>
      </w:r>
    </w:p>
    <w:p>
      <w:pPr>
        <w:spacing w:after="0" w:line="59" w:lineRule="exact"/>
        <w:rPr>
          <w:sz w:val="20"/>
          <w:szCs w:val="20"/>
          <w:color w:val="auto"/>
        </w:rPr>
      </w:pPr>
    </w:p>
    <w:p>
      <w:pPr>
        <w:ind w:left="1300" w:hanging="208"/>
        <w:spacing w:after="0"/>
        <w:tabs>
          <w:tab w:leader="none" w:pos="13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Review and establish policies governing the compensation and benefits of all of our executives;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Approve the compensation of our senior management and set the bonus plan goals for those individuals;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Conduct an annual evaluation of our Chief Executive Officer by all independent directors to set his compensation;</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Oversee the administration of all of our equity-based incentive plans;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Recommend to the full Board new Company compensation and benefit plans or changes to our existing plans; and</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Perform an annual review of its performance relative to its charter and report the results of its evaluation to the full Board.</w:t>
      </w:r>
    </w:p>
    <w:p>
      <w:pPr>
        <w:spacing w:after="0" w:line="102"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In overseeing compensation matters, the Compensation Committee may delegate authority for day-to-day administration and interpretation of the Company’s plans, including selection of participants, determination of award levels within plan parameters, and approval of award documents, to Company employees. However, the Compensation Committee may not delegate any authority under those plans for matters affecting the compensation and benefits of the executive officers.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For additional information on the Compensation Committee, see the Compensation Discussion and Analysis on page 20.</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Compensation Committee Report</w:t>
      </w:r>
    </w:p>
    <w:p>
      <w:pPr>
        <w:spacing w:after="0" w:line="104" w:lineRule="exact"/>
        <w:rPr>
          <w:sz w:val="20"/>
          <w:szCs w:val="20"/>
          <w:color w:val="auto"/>
        </w:rPr>
      </w:pPr>
    </w:p>
    <w:p>
      <w:pPr>
        <w:ind w:left="680" w:right="320" w:firstLine="399"/>
        <w:spacing w:after="0" w:line="338" w:lineRule="auto"/>
        <w:rPr>
          <w:sz w:val="20"/>
          <w:szCs w:val="20"/>
          <w:color w:val="auto"/>
        </w:rPr>
      </w:pPr>
      <w:r>
        <w:rPr>
          <w:rFonts w:ascii="Arial" w:cs="Arial" w:eastAsia="Arial" w:hAnsi="Arial"/>
          <w:sz w:val="12"/>
          <w:szCs w:val="12"/>
          <w:color w:val="auto"/>
        </w:rPr>
        <w:t>The Compensation Committee has reviewed and discussed the Compensation Discussion and Analysis, beginning on page 20, with management. Based on the review and discussions, the Compensation Committee recommended to the Board of Directors that the Compensation Discussion and Analysis be included in the Company’s Proxy Statement.</w:t>
      </w:r>
    </w:p>
    <w:p>
      <w:pPr>
        <w:spacing w:after="0" w:line="2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The Management Development and Compensation</w:t>
      </w:r>
    </w:p>
    <w:p>
      <w:pPr>
        <w:spacing w:after="0" w:line="2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Committee of the Board of Directors</w:t>
      </w:r>
    </w:p>
    <w:p>
      <w:pPr>
        <w:spacing w:after="0" w:line="9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 xml:space="preserve">W. Robert Reum, </w:t>
      </w:r>
      <w:r>
        <w:rPr>
          <w:rFonts w:ascii="Arial" w:cs="Arial" w:eastAsia="Arial" w:hAnsi="Arial"/>
          <w:sz w:val="13"/>
          <w:szCs w:val="13"/>
          <w:i w:val="1"/>
          <w:iCs w:val="1"/>
          <w:color w:val="auto"/>
        </w:rPr>
        <w:t>Chairman</w:t>
      </w:r>
    </w:p>
    <w:p>
      <w:pPr>
        <w:spacing w:after="0" w:line="2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Frank M. Clark, Jr.</w:t>
      </w:r>
    </w:p>
    <w:p>
      <w:pPr>
        <w:spacing w:after="0" w:line="1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John C. Pope</w:t>
      </w:r>
    </w:p>
    <w:p>
      <w:pPr>
        <w:spacing w:after="0" w:line="1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Steven G. Rothmeier</w:t>
      </w:r>
    </w:p>
    <w:p>
      <w:pPr>
        <w:spacing w:after="0" w:line="1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Thomas H. Weidemeyer</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Compensation Committee Interlocks and Insider Participation</w:t>
      </w:r>
    </w:p>
    <w:p>
      <w:pPr>
        <w:spacing w:after="0" w:line="104" w:lineRule="exact"/>
        <w:rPr>
          <w:sz w:val="20"/>
          <w:szCs w:val="20"/>
          <w:color w:val="auto"/>
        </w:rPr>
      </w:pPr>
    </w:p>
    <w:p>
      <w:pPr>
        <w:ind w:left="680" w:firstLine="399"/>
        <w:spacing w:after="0" w:line="309" w:lineRule="auto"/>
        <w:rPr>
          <w:sz w:val="20"/>
          <w:szCs w:val="20"/>
          <w:color w:val="auto"/>
        </w:rPr>
      </w:pPr>
      <w:r>
        <w:rPr>
          <w:rFonts w:ascii="Arial" w:cs="Arial" w:eastAsia="Arial" w:hAnsi="Arial"/>
          <w:sz w:val="12"/>
          <w:szCs w:val="12"/>
          <w:color w:val="auto"/>
        </w:rPr>
        <w:t>During 2009 each of Mr. Clark, Pope, Reum, Rothmeier and Weidemeyer served on the Compensation Committee. No member of the Compensation Committee was an officer or employee of Waste Management during 2009; no member of the Compensation Committee is a former officer of the Company; and no compensation committee interlocking existed in 2009. Mr. Pope entered into an open market transaction involving publicly traded debt of the Company, which is described below, under “Related Party Transactions.”</w:t>
      </w:r>
    </w:p>
    <w:p>
      <w:pPr>
        <w:spacing w:after="0" w:line="25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Nominating and Governance Committee</w:t>
      </w:r>
    </w:p>
    <w:p>
      <w:pPr>
        <w:spacing w:after="0" w:line="102" w:lineRule="exact"/>
        <w:rPr>
          <w:sz w:val="20"/>
          <w:szCs w:val="20"/>
          <w:color w:val="auto"/>
        </w:rPr>
      </w:pPr>
    </w:p>
    <w:p>
      <w:pPr>
        <w:jc w:val="both"/>
        <w:ind w:left="680" w:right="140" w:firstLine="399"/>
        <w:spacing w:after="0" w:line="276" w:lineRule="auto"/>
        <w:rPr>
          <w:sz w:val="20"/>
          <w:szCs w:val="20"/>
          <w:color w:val="auto"/>
        </w:rPr>
      </w:pPr>
      <w:r>
        <w:rPr>
          <w:rFonts w:ascii="Arial" w:cs="Arial" w:eastAsia="Arial" w:hAnsi="Arial"/>
          <w:sz w:val="13"/>
          <w:szCs w:val="13"/>
          <w:color w:val="auto"/>
        </w:rPr>
        <w:t>Ms. Cafferty has served as the Chairperson of our Nominating and Governance Committee since May 2008. The other members of the Committee include Messrs. Gross, Pope and Weidemeyer. Each member of our Nominating and Governance Committee is independent in accordance with the rules and regulations of the New York Stock Exchange. In 2009, the Nominating and Governance Committee met five times.</w:t>
      </w:r>
    </w:p>
    <w:p>
      <w:pPr>
        <w:spacing w:after="0" w:line="59" w:lineRule="exact"/>
        <w:rPr>
          <w:sz w:val="20"/>
          <w:szCs w:val="20"/>
          <w:color w:val="auto"/>
        </w:rPr>
      </w:pPr>
    </w:p>
    <w:p>
      <w:pPr>
        <w:jc w:val="both"/>
        <w:ind w:left="680" w:right="80" w:firstLine="399"/>
        <w:spacing w:after="0" w:line="276" w:lineRule="auto"/>
        <w:rPr>
          <w:sz w:val="20"/>
          <w:szCs w:val="20"/>
          <w:color w:val="auto"/>
        </w:rPr>
      </w:pPr>
      <w:r>
        <w:rPr>
          <w:rFonts w:ascii="Arial" w:cs="Arial" w:eastAsia="Arial" w:hAnsi="Arial"/>
          <w:sz w:val="13"/>
          <w:szCs w:val="13"/>
          <w:color w:val="auto"/>
        </w:rPr>
        <w:t>The Nominating and Governance Committee has a written charter that has been approved by the Board of Directors and can be reviewed by accessing our website. It is the duty of the Nominating and Governance Committee to oversee matters regarding corporate governance. In fulfilling its duties, the Nominating and Governance Committee has the following responsibilities:</w:t>
      </w:r>
    </w:p>
    <w:p>
      <w:pPr>
        <w:spacing w:after="0" w:line="59" w:lineRule="exact"/>
        <w:rPr>
          <w:sz w:val="20"/>
          <w:szCs w:val="20"/>
          <w:color w:val="auto"/>
        </w:rPr>
      </w:pPr>
    </w:p>
    <w:p>
      <w:pPr>
        <w:ind w:left="1300" w:hanging="208"/>
        <w:spacing w:after="0"/>
        <w:tabs>
          <w:tab w:leader="none" w:pos="13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Review and recommend the composition of our Board, including the nature and duties of each of our committees;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Evaluate and recommend to the Board the compensation paid to our non-employee directors;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Evaluate the charters of each of the committees and recommend who the committee chairs will be;</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Review individual director’s performance in consultation with the Chairman of the Board;</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Recommend retirement policies for the Board, the terms for directors and the proper ratio of employee directors to outside directors;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Perform an annual review of its performance relative to its charter and report the results of its evaluation to the full Board;</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1"/>
        </w:numPr>
        <w:rPr>
          <w:rFonts w:ascii="Arial" w:cs="Arial" w:eastAsia="Arial" w:hAnsi="Arial"/>
          <w:sz w:val="12"/>
          <w:szCs w:val="12"/>
          <w:color w:val="auto"/>
        </w:rPr>
      </w:pPr>
      <w:r>
        <w:rPr>
          <w:rFonts w:ascii="Arial" w:cs="Arial" w:eastAsia="Arial" w:hAnsi="Arial"/>
          <w:sz w:val="12"/>
          <w:szCs w:val="12"/>
          <w:color w:val="auto"/>
        </w:rPr>
        <w:t>Review stockholder proposals received for inclusion in the Company’s proxy statement and recommend action to be taken with regard to the proposals to the Board; and</w:t>
      </w:r>
    </w:p>
    <w:p>
      <w:pPr>
        <w:spacing w:after="0" w:line="103" w:lineRule="exact"/>
        <w:rPr>
          <w:rFonts w:ascii="Arial" w:cs="Arial" w:eastAsia="Arial" w:hAnsi="Arial"/>
          <w:sz w:val="12"/>
          <w:szCs w:val="12"/>
          <w:color w:val="auto"/>
        </w:rPr>
      </w:pPr>
    </w:p>
    <w:p>
      <w:pPr>
        <w:ind w:left="1300" w:hanging="208"/>
        <w:spacing w:after="0"/>
        <w:tabs>
          <w:tab w:leader="none" w:pos="13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Identify and recommend to the Board candidates to fill director vacancies.</w:t>
      </w:r>
    </w:p>
    <w:p>
      <w:pPr>
        <w:spacing w:after="0" w:line="102" w:lineRule="exact"/>
        <w:rPr>
          <w:sz w:val="20"/>
          <w:szCs w:val="20"/>
          <w:color w:val="auto"/>
        </w:rPr>
      </w:pPr>
    </w:p>
    <w:p>
      <w:pPr>
        <w:ind w:left="680" w:firstLine="399"/>
        <w:spacing w:after="0" w:line="294" w:lineRule="auto"/>
        <w:rPr>
          <w:sz w:val="20"/>
          <w:szCs w:val="20"/>
          <w:color w:val="auto"/>
        </w:rPr>
      </w:pPr>
      <w:r>
        <w:rPr>
          <w:rFonts w:ascii="Arial" w:cs="Arial" w:eastAsia="Arial" w:hAnsi="Arial"/>
          <w:sz w:val="13"/>
          <w:szCs w:val="13"/>
          <w:color w:val="auto"/>
        </w:rPr>
        <w:t>Potential director candidates are identified through various methods; the Committee welcomes suggestions from directors, members of management, and stockholders. From time to time, the Nominating and Governance Committee uses outside consultants to assist it with identifying potential director candidates.</w:t>
      </w:r>
    </w:p>
    <w:p>
      <w:pPr>
        <w:spacing w:after="0" w:line="47" w:lineRule="exact"/>
        <w:rPr>
          <w:sz w:val="20"/>
          <w:szCs w:val="20"/>
          <w:color w:val="auto"/>
        </w:rPr>
      </w:pPr>
    </w:p>
    <w:p>
      <w:pPr>
        <w:ind w:left="680" w:right="60" w:firstLine="399"/>
        <w:spacing w:after="0" w:line="290" w:lineRule="auto"/>
        <w:rPr>
          <w:sz w:val="20"/>
          <w:szCs w:val="20"/>
          <w:color w:val="auto"/>
        </w:rPr>
      </w:pPr>
      <w:r>
        <w:rPr>
          <w:rFonts w:ascii="Arial" w:cs="Arial" w:eastAsia="Arial" w:hAnsi="Arial"/>
          <w:sz w:val="12"/>
          <w:szCs w:val="12"/>
          <w:color w:val="auto"/>
        </w:rPr>
        <w:t>For all potential candidates, the Nominating and Governance Committee considers all factors it deems relevant, such as a candidate’s personal and professional integrity and sound judgment, business and professional skills and experience, independence, possible conflicts of interest, diversity, and the potential for effectiveness, in conjunction with the other directors, to serve the long-term interests of the stockholders. While there is no formal policy with regard to consideration of diversity in identifying director nominees, the Committee considers diversity in business experience, professional expertise, gender and ethnic background, along with various other factors when evaluating director nominees. The Committee uses a matrix of functional and industry experiences to develop criteria to select candidates. Before being nominated by the Nominating and Governance Committee, director candidates are interviewed by the Chief Executive Officer and a minimum of two members of the Nominating and Governance Committee, including the Non-Executive Chairman of the Board. Additional interviews may include other members of the Board, representatives from senior levels of management and an outside consultant.</w:t>
      </w:r>
    </w:p>
    <w:p>
      <w:pPr>
        <w:spacing w:after="0" w:line="52" w:lineRule="exact"/>
        <w:rPr>
          <w:sz w:val="20"/>
          <w:szCs w:val="20"/>
          <w:color w:val="auto"/>
        </w:rPr>
      </w:pPr>
    </w:p>
    <w:p>
      <w:pPr>
        <w:ind w:left="680" w:right="120" w:firstLine="399"/>
        <w:spacing w:after="0" w:line="267" w:lineRule="auto"/>
        <w:rPr>
          <w:sz w:val="20"/>
          <w:szCs w:val="20"/>
          <w:color w:val="auto"/>
        </w:rPr>
      </w:pPr>
      <w:r>
        <w:rPr>
          <w:rFonts w:ascii="Arial" w:cs="Arial" w:eastAsia="Arial" w:hAnsi="Arial"/>
          <w:sz w:val="13"/>
          <w:szCs w:val="13"/>
          <w:color w:val="auto"/>
        </w:rPr>
        <w:t>The Committee currently intends to maintain the size of the Board at eight directors, which is consistent with the objective stated in our Corporate Governance Guidelines. The Nominating and Governance Committee will consider all potential nominees on their merits without regard to the source of recommendation. The Nominating and Governance Committee believes that the nominating process will and should continue to involve significant subjective judgments. To suggest a nominee, you should submit your candidate’s name, together with biographical information and his or her written consent to nomination to the Chairman of the Nominating and Governance Committee, Waste Management, Inc., 1001 Fannin Street, Suite 4000, Houston, Texas 77002, between October 30, 2010 and November 29, 2010.</w:t>
      </w:r>
    </w:p>
    <w:p>
      <w:pPr>
        <w:spacing w:after="0" w:line="27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Related Party Transactions</w:t>
      </w:r>
    </w:p>
    <w:p>
      <w:pPr>
        <w:spacing w:after="0" w:line="104" w:lineRule="exact"/>
        <w:rPr>
          <w:sz w:val="20"/>
          <w:szCs w:val="20"/>
          <w:color w:val="auto"/>
        </w:rPr>
      </w:pPr>
    </w:p>
    <w:p>
      <w:pPr>
        <w:ind w:left="680" w:firstLine="399"/>
        <w:spacing w:after="0" w:line="288" w:lineRule="auto"/>
        <w:rPr>
          <w:sz w:val="20"/>
          <w:szCs w:val="20"/>
          <w:color w:val="auto"/>
        </w:rPr>
      </w:pPr>
      <w:r>
        <w:rPr>
          <w:rFonts w:ascii="Arial" w:cs="Arial" w:eastAsia="Arial" w:hAnsi="Arial"/>
          <w:sz w:val="12"/>
          <w:szCs w:val="12"/>
          <w:color w:val="auto"/>
        </w:rPr>
        <w:t>The Board of Directors has adopted a written Related Party Transactions Policy for the review and approval or ratification of related party transactions. Our policy generally defines related party transactions as current or proposed transactions in excess of $120,000 in which (i) the Company is a participant and (ii) any director, executive officer or immediate family member of any director or executive officer has a direct or indirect material interest. In addition, the policy sets forth certain transactions that will not be considered related party transactions, including (i) executive officer compensation and benefit arrangements; (ii) director compensation arrangements; (iii) business travel and expenses, advances and reimbursements in the ordinary course of business; (iv) indemnification payments and advancement of expenses, and payments under directors’ and officers’ indemnification insurance policies; (v) any transaction between the Company and any entity in which a related party has a relationship solely as a director, a less than 5% equity holder, or an employee (other than an executive officer); and (vi) purchases of Company debt securities, provided that the related party has a passive ownership of no more than 2% of the principal amount of any outstanding series. The Nominating and Governance Committee is responsible for overseeing the policy.</w:t>
      </w:r>
    </w:p>
    <w:p>
      <w:pPr>
        <w:spacing w:after="0" w:line="56" w:lineRule="exact"/>
        <w:rPr>
          <w:sz w:val="20"/>
          <w:szCs w:val="20"/>
          <w:color w:val="auto"/>
        </w:rPr>
      </w:pPr>
    </w:p>
    <w:p>
      <w:pPr>
        <w:jc w:val="both"/>
        <w:ind w:left="680" w:right="220" w:firstLine="399"/>
        <w:spacing w:after="0" w:line="276" w:lineRule="auto"/>
        <w:rPr>
          <w:sz w:val="20"/>
          <w:szCs w:val="20"/>
          <w:color w:val="auto"/>
        </w:rPr>
      </w:pPr>
      <w:r>
        <w:rPr>
          <w:rFonts w:ascii="Arial" w:cs="Arial" w:eastAsia="Arial" w:hAnsi="Arial"/>
          <w:sz w:val="13"/>
          <w:szCs w:val="13"/>
          <w:color w:val="auto"/>
        </w:rPr>
        <w:t>All executive officers and directors are required to notify the General Counsel or the Corporate Secretary as soon as practicable of any proposed transaction that they or their family members are considering entering into that involves the Company. The General Counsel will determine whether potential transactions or relationships constitute related party transactions that must be referred to the Nominating and Governance Committee.</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Nominating and Governance Committee will review a detailed description of the transaction, including:</w:t>
      </w:r>
    </w:p>
    <w:p>
      <w:pPr>
        <w:spacing w:after="0" w:line="102" w:lineRule="exact"/>
        <w:rPr>
          <w:sz w:val="20"/>
          <w:szCs w:val="20"/>
          <w:color w:val="auto"/>
        </w:rPr>
      </w:pPr>
    </w:p>
    <w:p>
      <w:pPr>
        <w:ind w:left="1300" w:hanging="208"/>
        <w:spacing w:after="0"/>
        <w:tabs>
          <w:tab w:leader="none" w:pos="13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terms of the transaction;</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business purpose of the transaction;</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benefits to the Company and to the relevant related party; and</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whether the transaction would require a waiver of the Company’s Code of Conduct.</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determining whether to approve a related party transaction, the Nominating and Governance Committee will consider, among other things, whether:</w:t>
      </w:r>
    </w:p>
    <w:p>
      <w:pPr>
        <w:spacing w:after="0" w:line="102" w:lineRule="exact"/>
        <w:rPr>
          <w:sz w:val="20"/>
          <w:szCs w:val="20"/>
          <w:color w:val="auto"/>
        </w:rPr>
      </w:pPr>
    </w:p>
    <w:p>
      <w:pPr>
        <w:ind w:left="1300" w:hanging="208"/>
        <w:spacing w:after="0"/>
        <w:tabs>
          <w:tab w:leader="none" w:pos="130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terms of the related party transaction are fair to the Company and such terms would be on the same basis if the transaction did not involve a director or executive officer;</w:t>
      </w:r>
    </w:p>
    <w:p>
      <w:pPr>
        <w:spacing w:after="0" w:line="103" w:lineRule="exact"/>
        <w:rPr>
          <w:rFonts w:ascii="Arial" w:cs="Arial" w:eastAsia="Arial" w:hAnsi="Arial"/>
          <w:sz w:val="12"/>
          <w:szCs w:val="12"/>
          <w:color w:val="auto"/>
        </w:rPr>
      </w:pPr>
    </w:p>
    <w:p>
      <w:pPr>
        <w:ind w:left="1300" w:hanging="208"/>
        <w:spacing w:after="0"/>
        <w:tabs>
          <w:tab w:leader="none" w:pos="13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there are business reasons for the Company to enter into the related party transaction;</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related party transaction would impair the independence of any non-employee director;</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related party transaction would present an improper conflict of interest for any director or executive officer of the Company; and</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related party transaction is material to the Company or the individual.</w:t>
      </w:r>
    </w:p>
    <w:p>
      <w:pPr>
        <w:spacing w:after="0" w:line="102" w:lineRule="exact"/>
        <w:rPr>
          <w:sz w:val="20"/>
          <w:szCs w:val="20"/>
          <w:color w:val="auto"/>
        </w:rPr>
      </w:pPr>
    </w:p>
    <w:p>
      <w:pPr>
        <w:ind w:left="680" w:right="460" w:firstLine="399"/>
        <w:spacing w:after="0" w:line="294" w:lineRule="auto"/>
        <w:rPr>
          <w:sz w:val="20"/>
          <w:szCs w:val="20"/>
          <w:color w:val="auto"/>
        </w:rPr>
      </w:pPr>
      <w:r>
        <w:rPr>
          <w:rFonts w:ascii="Arial" w:cs="Arial" w:eastAsia="Arial" w:hAnsi="Arial"/>
          <w:sz w:val="13"/>
          <w:szCs w:val="13"/>
          <w:color w:val="auto"/>
        </w:rPr>
        <w:t>Any member of the Nominating and Governance Committee who has an interest in a transaction presented for consideration will abstain from voting on the related party transaction.</w:t>
      </w:r>
    </w:p>
    <w:p>
      <w:pPr>
        <w:spacing w:after="0" w:line="47" w:lineRule="exact"/>
        <w:rPr>
          <w:sz w:val="20"/>
          <w:szCs w:val="20"/>
          <w:color w:val="auto"/>
        </w:rPr>
      </w:pPr>
    </w:p>
    <w:p>
      <w:pPr>
        <w:ind w:left="680" w:right="320" w:firstLine="399"/>
        <w:spacing w:after="0" w:line="294" w:lineRule="auto"/>
        <w:rPr>
          <w:sz w:val="20"/>
          <w:szCs w:val="20"/>
          <w:color w:val="auto"/>
        </w:rPr>
      </w:pPr>
      <w:r>
        <w:rPr>
          <w:rFonts w:ascii="Arial" w:cs="Arial" w:eastAsia="Arial" w:hAnsi="Arial"/>
          <w:sz w:val="13"/>
          <w:szCs w:val="13"/>
          <w:color w:val="auto"/>
        </w:rPr>
        <w:t>The Nominating and Governance Committee’s consideration of related party transactions and its determination of whether to approve such a transaction are reflected in the minutes of the Nominating and Governance Committee’s meetings.</w:t>
      </w:r>
    </w:p>
    <w:p>
      <w:pPr>
        <w:spacing w:after="0" w:line="47" w:lineRule="exact"/>
        <w:rPr>
          <w:sz w:val="20"/>
          <w:szCs w:val="20"/>
          <w:color w:val="auto"/>
        </w:rPr>
      </w:pPr>
    </w:p>
    <w:p>
      <w:pPr>
        <w:ind w:left="680" w:right="460" w:firstLine="399"/>
        <w:spacing w:after="0" w:line="294" w:lineRule="auto"/>
        <w:rPr>
          <w:sz w:val="20"/>
          <w:szCs w:val="20"/>
          <w:color w:val="auto"/>
        </w:rPr>
      </w:pPr>
      <w:r>
        <w:rPr>
          <w:rFonts w:ascii="Arial" w:cs="Arial" w:eastAsia="Arial" w:hAnsi="Arial"/>
          <w:sz w:val="13"/>
          <w:szCs w:val="13"/>
          <w:color w:val="auto"/>
        </w:rPr>
        <w:t>The following transactions did not constitute related party transactions under our policy because the ownership of the debt securities was less than 2% of the outstanding principal amount of the series; however, we are disclosing them in accordance with SEC requirements:</w:t>
      </w:r>
    </w:p>
    <w:p>
      <w:pPr>
        <w:spacing w:after="0" w:line="47" w:lineRule="exact"/>
        <w:rPr>
          <w:sz w:val="20"/>
          <w:szCs w:val="20"/>
          <w:color w:val="auto"/>
        </w:rPr>
      </w:pPr>
    </w:p>
    <w:p>
      <w:pPr>
        <w:ind w:left="680" w:right="180" w:firstLine="399"/>
        <w:spacing w:after="0" w:line="294" w:lineRule="auto"/>
        <w:rPr>
          <w:sz w:val="20"/>
          <w:szCs w:val="20"/>
          <w:color w:val="auto"/>
        </w:rPr>
      </w:pPr>
      <w:r>
        <w:rPr>
          <w:rFonts w:ascii="Arial" w:cs="Arial" w:eastAsia="Arial" w:hAnsi="Arial"/>
          <w:sz w:val="13"/>
          <w:szCs w:val="13"/>
          <w:color w:val="auto"/>
        </w:rPr>
        <w:t>In 2008, Mr. Steiner, Chief Executive Officer and a Director, purchased $300,000 principal amount of the Company’s 6.10% Senior Notes due March 2018 in an open-market transaction. Interest payments on the notes</w:t>
      </w:r>
    </w:p>
    <w:p>
      <w:pPr>
        <w:spacing w:after="0" w:line="25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20"/>
          </w:cols>
          <w:pgMar w:left="220" w:top="349" w:right="105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380"/>
        <w:spacing w:after="0" w:line="294" w:lineRule="auto"/>
        <w:rPr>
          <w:sz w:val="20"/>
          <w:szCs w:val="20"/>
          <w:color w:val="auto"/>
        </w:rPr>
      </w:pPr>
      <w:r>
        <w:rPr>
          <w:rFonts w:ascii="Arial" w:cs="Arial" w:eastAsia="Arial" w:hAnsi="Arial"/>
          <w:sz w:val="13"/>
          <w:szCs w:val="13"/>
          <w:color w:val="auto"/>
        </w:rPr>
        <w:t>are made on March 15 and September 15 of each year, with the final interest payment made at maturity on March 15, 2018. In 2009, Mr. Steiner received interest payments in the amount of $18,300.</w:t>
      </w:r>
    </w:p>
    <w:p>
      <w:pPr>
        <w:spacing w:after="0" w:line="47" w:lineRule="exact"/>
        <w:rPr>
          <w:sz w:val="20"/>
          <w:szCs w:val="20"/>
          <w:color w:val="auto"/>
        </w:rPr>
      </w:pPr>
    </w:p>
    <w:p>
      <w:pPr>
        <w:ind w:left="680" w:right="80" w:firstLine="399"/>
        <w:spacing w:after="0" w:line="270" w:lineRule="auto"/>
        <w:rPr>
          <w:sz w:val="20"/>
          <w:szCs w:val="20"/>
          <w:color w:val="auto"/>
        </w:rPr>
      </w:pPr>
      <w:r>
        <w:rPr>
          <w:rFonts w:ascii="Arial" w:cs="Arial" w:eastAsia="Arial" w:hAnsi="Arial"/>
          <w:sz w:val="13"/>
          <w:szCs w:val="13"/>
          <w:color w:val="auto"/>
        </w:rPr>
        <w:t>In 2009, Mr. Pope, Non-Executive Chairman of the Board, purchased an aggregate of $600,015 of our tax-exempt bonds in open market transactions. The three series of bonds purchased by Mr. Pope are remarketed semi-annually, at which time interest rates are set. Mr. Pope purchased the bonds in the remarketings that occurred in July 2009. Mr. Pope purchased $200,005 of each of the three series when the interest rates were set at 2.63%, 2.5% and 2.63%, respectively. However, Mr. Pope received no interest payments until January 2010, at which time he did not participate in the remarketings and, as a result, no longer owns these securities.</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is not aware of any other transactions that would require disclosure.</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Special Committee</w:t>
      </w:r>
    </w:p>
    <w:p>
      <w:pPr>
        <w:spacing w:after="0" w:line="102" w:lineRule="exact"/>
        <w:rPr>
          <w:sz w:val="20"/>
          <w:szCs w:val="20"/>
          <w:color w:val="auto"/>
        </w:rPr>
      </w:pPr>
    </w:p>
    <w:p>
      <w:pPr>
        <w:ind w:left="680" w:right="100" w:firstLine="399"/>
        <w:spacing w:after="0" w:line="294" w:lineRule="auto"/>
        <w:rPr>
          <w:sz w:val="20"/>
          <w:szCs w:val="20"/>
          <w:color w:val="auto"/>
        </w:rPr>
      </w:pPr>
      <w:r>
        <w:rPr>
          <w:rFonts w:ascii="Arial" w:cs="Arial" w:eastAsia="Arial" w:hAnsi="Arial"/>
          <w:sz w:val="13"/>
          <w:szCs w:val="13"/>
          <w:color w:val="auto"/>
        </w:rPr>
        <w:t>The Board of Directors appointed a Special Committee in November 2006 to make determinations regarding the Company’s obligation to provide indemnification when and as may be necessary. The Special Committee consists of Mr. Gross and Mr. Weidemeyer. The Special Committee held no meetings in 2009.</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Board of Directors Governing Documents</w:t>
      </w:r>
    </w:p>
    <w:p>
      <w:pPr>
        <w:spacing w:after="0" w:line="104"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 xml:space="preserve">Stockholders may obtain copies of our Corporate Governance Guidelines, the Charters of the Audit Committee, the Compensation Committee, and the Nominating and Governance Committee, and our Code of Conduct free of charge by contacting the Corporate Secretary, c/o Waste Management, Inc., 1001 Fannin Street, Suite 4000, Houston, Texas 77002 or by accessing our website at </w:t>
      </w:r>
      <w:r>
        <w:rPr>
          <w:rFonts w:ascii="Arial" w:cs="Arial" w:eastAsia="Arial" w:hAnsi="Arial"/>
          <w:sz w:val="13"/>
          <w:szCs w:val="13"/>
          <w:i w:val="1"/>
          <w:iCs w:val="1"/>
          <w:color w:val="auto"/>
        </w:rPr>
        <w:t>http://www.wm.com</w:t>
      </w:r>
      <w:r>
        <w:rPr>
          <w:rFonts w:ascii="Arial" w:cs="Arial" w:eastAsia="Arial" w:hAnsi="Arial"/>
          <w:sz w:val="13"/>
          <w:szCs w:val="13"/>
          <w:color w:val="auto"/>
        </w:rPr>
        <w:t>.</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Non-Employee Director Compensation</w:t>
      </w:r>
    </w:p>
    <w:p>
      <w:pPr>
        <w:spacing w:after="0" w:line="104" w:lineRule="exact"/>
        <w:rPr>
          <w:sz w:val="20"/>
          <w:szCs w:val="20"/>
          <w:color w:val="auto"/>
        </w:rPr>
      </w:pPr>
    </w:p>
    <w:p>
      <w:pPr>
        <w:ind w:left="680" w:firstLine="399"/>
        <w:spacing w:after="0" w:line="295" w:lineRule="auto"/>
        <w:rPr>
          <w:sz w:val="20"/>
          <w:szCs w:val="20"/>
          <w:color w:val="auto"/>
        </w:rPr>
      </w:pPr>
      <w:r>
        <w:rPr>
          <w:rFonts w:ascii="Arial" w:cs="Arial" w:eastAsia="Arial" w:hAnsi="Arial"/>
          <w:sz w:val="12"/>
          <w:szCs w:val="12"/>
          <w:color w:val="auto"/>
        </w:rPr>
        <w:t>Our non-employee director compensation program consists of equity awards and cash consideration. Compensation for directors is recommended annually by the Nominating and Governance Committee with the assistance of an independent third-party consultant, and set by action of the Board of Directors. The Board’s goal in designing directors’ compensation is to provide a competitive package that will enable the Company to attract and retain highly skilled individuals with relevant experience. The compensation also is designed to reflect the time and talent required to serve on the board of a company of our size and complexity. The Board seeks to provide sufficient flexibility in the form of compensation delivered to meet the needs of different individuals while ensuring that a substantial portion of directors’ compensation is linked to the long-term success of the Company.</w:t>
      </w:r>
    </w:p>
    <w:p>
      <w:pPr>
        <w:spacing w:after="0" w:line="12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Equity Compensation</w:t>
      </w:r>
    </w:p>
    <w:p>
      <w:pPr>
        <w:spacing w:after="0" w:line="102" w:lineRule="exact"/>
        <w:rPr>
          <w:sz w:val="20"/>
          <w:szCs w:val="20"/>
          <w:color w:val="auto"/>
        </w:rPr>
      </w:pPr>
    </w:p>
    <w:p>
      <w:pPr>
        <w:ind w:left="680" w:firstLine="399"/>
        <w:spacing w:after="0" w:line="290" w:lineRule="auto"/>
        <w:rPr>
          <w:sz w:val="20"/>
          <w:szCs w:val="20"/>
          <w:color w:val="auto"/>
        </w:rPr>
      </w:pPr>
      <w:r>
        <w:rPr>
          <w:rFonts w:ascii="Arial" w:cs="Arial" w:eastAsia="Arial" w:hAnsi="Arial"/>
          <w:sz w:val="12"/>
          <w:szCs w:val="12"/>
          <w:color w:val="auto"/>
        </w:rPr>
        <w:t>Non-employee directors receive an annual grant of shares of Common Stock. There are no restrictions on the shares; however, non-employee directors are subject to ownership guidelines that require a minimum ownership and that all net shares received in connection with a stock award, after selling shares to pay all applicable taxes, be held during their tenure as a director and for one year following termination of Board service. The grant of shares is made in two equal installments and the number of shares issued is based on the market value of our Common Stock on the dates of grants, which are January 15 and July 15 of each year. In 2009, the equity grant to non-employee directors was valued at $110,000 and each director received a grant valued at $55,000 on each of January 15, 2009 and July 15, 2009. In addition to the annual grant, Mr. Pope receives a grant of shares valued at $100,000 for his service as Non-Executive Chairman of the Board, which is also awarded in two equal installments on January 15 and July 15 of each year. The grant date fair value of the awards is equal to the number of shares issued times the market value of our Common Stock on that date; there are no assumptions used in the valuation of shares.</w:t>
      </w:r>
    </w:p>
    <w:p>
      <w:pPr>
        <w:spacing w:after="0" w:line="52" w:lineRule="exact"/>
        <w:rPr>
          <w:sz w:val="20"/>
          <w:szCs w:val="20"/>
          <w:color w:val="auto"/>
        </w:rPr>
      </w:pPr>
    </w:p>
    <w:p>
      <w:pPr>
        <w:ind w:left="680" w:right="40" w:firstLine="399"/>
        <w:spacing w:after="0" w:line="294" w:lineRule="auto"/>
        <w:rPr>
          <w:sz w:val="20"/>
          <w:szCs w:val="20"/>
          <w:color w:val="auto"/>
        </w:rPr>
      </w:pPr>
      <w:r>
        <w:rPr>
          <w:rFonts w:ascii="Arial" w:cs="Arial" w:eastAsia="Arial" w:hAnsi="Arial"/>
          <w:sz w:val="13"/>
          <w:szCs w:val="13"/>
          <w:color w:val="auto"/>
        </w:rPr>
        <w:t>Shares granted to the non-employee directors in January 2009 were granted under the Company’s 2004 Stock Incentive Plan and shares granted to the non-employee directors in July 2009 were granted under the Company’s 2009 Stock Incentive Plan.</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20"/>
          </w:cols>
          <w:pgMar w:left="220" w:top="349" w:right="105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November 2009, the Board terminated the 2003 Directors Deferred Compensation Plan, under which we previously granted deferred stock units to non-employee directors.</w:t>
      </w:r>
    </w:p>
    <w:p>
      <w:pPr>
        <w:spacing w:after="0" w:line="19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Cash Compensation</w:t>
      </w:r>
    </w:p>
    <w:p>
      <w:pPr>
        <w:spacing w:after="0" w:line="102" w:lineRule="exact"/>
        <w:rPr>
          <w:sz w:val="20"/>
          <w:szCs w:val="20"/>
          <w:color w:val="auto"/>
        </w:rPr>
      </w:pPr>
    </w:p>
    <w:p>
      <w:pPr>
        <w:jc w:val="both"/>
        <w:ind w:left="680" w:right="20" w:firstLine="399"/>
        <w:spacing w:after="0" w:line="276" w:lineRule="auto"/>
        <w:rPr>
          <w:sz w:val="20"/>
          <w:szCs w:val="20"/>
          <w:color w:val="auto"/>
        </w:rPr>
      </w:pPr>
      <w:r>
        <w:rPr>
          <w:rFonts w:ascii="Arial" w:cs="Arial" w:eastAsia="Arial" w:hAnsi="Arial"/>
          <w:sz w:val="13"/>
          <w:szCs w:val="13"/>
          <w:color w:val="auto"/>
        </w:rPr>
        <w:t>All non-employee directors receive an annual cash retainer for Board service and additional cash retainers for serving as a committee chair and for service on certain committees. Directors do not receive meeting fees in addition to the retainers. The cash retainers are payable in two equal installments in January and July of each year. The payments of the retainers for each six-month period are not pro-rated, nor are they subject to refund. The table below sets forth the cash retainers for 2009:</w:t>
      </w:r>
    </w:p>
    <w:p>
      <w:pPr>
        <w:spacing w:after="0" w:line="67" w:lineRule="exact"/>
        <w:rPr>
          <w:sz w:val="20"/>
          <w:szCs w:val="20"/>
          <w:color w:val="auto"/>
        </w:rPr>
      </w:pPr>
    </w:p>
    <w:tbl>
      <w:tblPr>
        <w:tblLayout w:type="fixed"/>
        <w:tblInd w:w="680" w:type="dxa"/>
        <w:tblCellMar>
          <w:top w:w="0" w:type="dxa"/>
          <w:left w:w="0" w:type="dxa"/>
          <w:bottom w:w="0" w:type="dxa"/>
          <w:right w:w="0" w:type="dxa"/>
        </w:tblCellMar>
      </w:tblPr>
      <w:tr>
        <w:trPr>
          <w:trHeight w:val="161"/>
        </w:trPr>
        <w:tc>
          <w:tcPr>
            <w:tcW w:w="2360" w:type="dxa"/>
            <w:vAlign w:val="bottom"/>
          </w:tcPr>
          <w:p>
            <w:pPr>
              <w:spacing w:after="0"/>
              <w:rPr>
                <w:sz w:val="20"/>
                <w:szCs w:val="20"/>
                <w:color w:val="auto"/>
              </w:rPr>
            </w:pPr>
            <w:r>
              <w:rPr>
                <w:rFonts w:ascii="Arial" w:cs="Arial" w:eastAsia="Arial" w:hAnsi="Arial"/>
                <w:sz w:val="13"/>
                <w:szCs w:val="13"/>
                <w:b w:val="1"/>
                <w:bCs w:val="1"/>
                <w:color w:val="auto"/>
              </w:rPr>
              <w:t>Annual Retainer</w:t>
            </w:r>
          </w:p>
        </w:tc>
        <w:tc>
          <w:tcPr>
            <w:tcW w:w="4360" w:type="dxa"/>
            <w:vAlign w:val="bottom"/>
          </w:tcPr>
          <w:p>
            <w:pPr>
              <w:ind w:left="940"/>
              <w:spacing w:after="0"/>
              <w:rPr>
                <w:sz w:val="20"/>
                <w:szCs w:val="20"/>
                <w:color w:val="auto"/>
              </w:rPr>
            </w:pPr>
            <w:r>
              <w:rPr>
                <w:rFonts w:ascii="Arial" w:cs="Arial" w:eastAsia="Arial" w:hAnsi="Arial"/>
                <w:sz w:val="13"/>
                <w:szCs w:val="13"/>
                <w:color w:val="auto"/>
              </w:rPr>
              <w:t>$90,000</w:t>
            </w:r>
          </w:p>
        </w:tc>
        <w:tc>
          <w:tcPr>
            <w:tcW w:w="0" w:type="dxa"/>
            <w:vAlign w:val="bottom"/>
          </w:tcPr>
          <w:p>
            <w:pPr>
              <w:spacing w:after="0"/>
              <w:rPr>
                <w:sz w:val="1"/>
                <w:szCs w:val="1"/>
                <w:color w:val="auto"/>
              </w:rPr>
            </w:pPr>
          </w:p>
        </w:tc>
      </w:tr>
      <w:tr>
        <w:trPr>
          <w:trHeight w:val="163"/>
        </w:trPr>
        <w:tc>
          <w:tcPr>
            <w:tcW w:w="2360" w:type="dxa"/>
            <w:vAlign w:val="bottom"/>
          </w:tcPr>
          <w:p>
            <w:pPr>
              <w:spacing w:after="0"/>
              <w:rPr>
                <w:sz w:val="20"/>
                <w:szCs w:val="20"/>
                <w:color w:val="auto"/>
              </w:rPr>
            </w:pPr>
            <w:r>
              <w:rPr>
                <w:rFonts w:ascii="Arial" w:cs="Arial" w:eastAsia="Arial" w:hAnsi="Arial"/>
                <w:sz w:val="13"/>
                <w:szCs w:val="13"/>
                <w:b w:val="1"/>
                <w:bCs w:val="1"/>
                <w:color w:val="auto"/>
              </w:rPr>
              <w:t>Annual Chair Retainers</w:t>
            </w:r>
          </w:p>
        </w:tc>
        <w:tc>
          <w:tcPr>
            <w:tcW w:w="4360" w:type="dxa"/>
            <w:vAlign w:val="bottom"/>
          </w:tcPr>
          <w:p>
            <w:pPr>
              <w:ind w:left="940"/>
              <w:spacing w:after="0"/>
              <w:rPr>
                <w:sz w:val="20"/>
                <w:szCs w:val="20"/>
                <w:color w:val="auto"/>
              </w:rPr>
            </w:pPr>
            <w:r>
              <w:rPr>
                <w:rFonts w:ascii="Arial" w:cs="Arial" w:eastAsia="Arial" w:hAnsi="Arial"/>
                <w:sz w:val="13"/>
                <w:szCs w:val="13"/>
                <w:color w:val="auto"/>
              </w:rPr>
              <w:t>$100,000 for Non-Executive Chairman</w:t>
            </w:r>
          </w:p>
        </w:tc>
        <w:tc>
          <w:tcPr>
            <w:tcW w:w="0" w:type="dxa"/>
            <w:vAlign w:val="bottom"/>
          </w:tcPr>
          <w:p>
            <w:pPr>
              <w:spacing w:after="0"/>
              <w:rPr>
                <w:sz w:val="1"/>
                <w:szCs w:val="1"/>
                <w:color w:val="auto"/>
              </w:rPr>
            </w:pPr>
          </w:p>
        </w:tc>
      </w:tr>
      <w:tr>
        <w:trPr>
          <w:trHeight w:val="161"/>
        </w:trPr>
        <w:tc>
          <w:tcPr>
            <w:tcW w:w="2360" w:type="dxa"/>
            <w:vAlign w:val="bottom"/>
          </w:tcPr>
          <w:p>
            <w:pPr>
              <w:spacing w:after="0"/>
              <w:rPr>
                <w:sz w:val="14"/>
                <w:szCs w:val="14"/>
                <w:color w:val="auto"/>
              </w:rPr>
            </w:pPr>
          </w:p>
        </w:tc>
        <w:tc>
          <w:tcPr>
            <w:tcW w:w="4360" w:type="dxa"/>
            <w:vAlign w:val="bottom"/>
          </w:tcPr>
          <w:p>
            <w:pPr>
              <w:ind w:left="940"/>
              <w:spacing w:after="0"/>
              <w:rPr>
                <w:sz w:val="20"/>
                <w:szCs w:val="20"/>
                <w:color w:val="auto"/>
              </w:rPr>
            </w:pPr>
            <w:r>
              <w:rPr>
                <w:rFonts w:ascii="Arial" w:cs="Arial" w:eastAsia="Arial" w:hAnsi="Arial"/>
                <w:sz w:val="13"/>
                <w:szCs w:val="13"/>
                <w:color w:val="auto"/>
              </w:rPr>
              <w:t>$25,000 for Audit Committee Chair</w:t>
            </w:r>
          </w:p>
        </w:tc>
        <w:tc>
          <w:tcPr>
            <w:tcW w:w="0" w:type="dxa"/>
            <w:vAlign w:val="bottom"/>
          </w:tcPr>
          <w:p>
            <w:pPr>
              <w:spacing w:after="0"/>
              <w:rPr>
                <w:sz w:val="1"/>
                <w:szCs w:val="1"/>
                <w:color w:val="auto"/>
              </w:rPr>
            </w:pPr>
          </w:p>
        </w:tc>
      </w:tr>
      <w:tr>
        <w:trPr>
          <w:trHeight w:val="161"/>
        </w:trPr>
        <w:tc>
          <w:tcPr>
            <w:tcW w:w="2360" w:type="dxa"/>
            <w:vAlign w:val="bottom"/>
          </w:tcPr>
          <w:p>
            <w:pPr>
              <w:spacing w:after="0"/>
              <w:rPr>
                <w:sz w:val="14"/>
                <w:szCs w:val="14"/>
                <w:color w:val="auto"/>
              </w:rPr>
            </w:pPr>
          </w:p>
        </w:tc>
        <w:tc>
          <w:tcPr>
            <w:tcW w:w="4360" w:type="dxa"/>
            <w:vAlign w:val="bottom"/>
          </w:tcPr>
          <w:p>
            <w:pPr>
              <w:ind w:left="940"/>
              <w:spacing w:after="0"/>
              <w:rPr>
                <w:sz w:val="20"/>
                <w:szCs w:val="20"/>
                <w:color w:val="auto"/>
              </w:rPr>
            </w:pPr>
            <w:r>
              <w:rPr>
                <w:rFonts w:ascii="Arial" w:cs="Arial" w:eastAsia="Arial" w:hAnsi="Arial"/>
                <w:sz w:val="13"/>
                <w:szCs w:val="13"/>
                <w:color w:val="auto"/>
              </w:rPr>
              <w:t>$20,000 for Compensation Committee Chair</w:t>
            </w:r>
          </w:p>
        </w:tc>
        <w:tc>
          <w:tcPr>
            <w:tcW w:w="0" w:type="dxa"/>
            <w:vAlign w:val="bottom"/>
          </w:tcPr>
          <w:p>
            <w:pPr>
              <w:spacing w:after="0"/>
              <w:rPr>
                <w:sz w:val="1"/>
                <w:szCs w:val="1"/>
                <w:color w:val="auto"/>
              </w:rPr>
            </w:pPr>
          </w:p>
        </w:tc>
      </w:tr>
      <w:tr>
        <w:trPr>
          <w:trHeight w:val="161"/>
        </w:trPr>
        <w:tc>
          <w:tcPr>
            <w:tcW w:w="2360" w:type="dxa"/>
            <w:vAlign w:val="bottom"/>
            <w:vMerge w:val="restart"/>
          </w:tcPr>
          <w:p>
            <w:pPr>
              <w:spacing w:after="0"/>
              <w:rPr>
                <w:sz w:val="20"/>
                <w:szCs w:val="20"/>
                <w:color w:val="auto"/>
              </w:rPr>
            </w:pPr>
            <w:r>
              <w:rPr>
                <w:rFonts w:ascii="Arial" w:cs="Arial" w:eastAsia="Arial" w:hAnsi="Arial"/>
                <w:sz w:val="13"/>
                <w:szCs w:val="13"/>
                <w:b w:val="1"/>
                <w:bCs w:val="1"/>
                <w:color w:val="auto"/>
              </w:rPr>
              <w:t>Other Annual Retainers</w:t>
            </w:r>
          </w:p>
        </w:tc>
        <w:tc>
          <w:tcPr>
            <w:tcW w:w="4360" w:type="dxa"/>
            <w:vAlign w:val="bottom"/>
          </w:tcPr>
          <w:p>
            <w:pPr>
              <w:ind w:left="940"/>
              <w:spacing w:after="0"/>
              <w:rPr>
                <w:sz w:val="20"/>
                <w:szCs w:val="20"/>
                <w:color w:val="auto"/>
              </w:rPr>
            </w:pPr>
            <w:r>
              <w:rPr>
                <w:rFonts w:ascii="Arial" w:cs="Arial" w:eastAsia="Arial" w:hAnsi="Arial"/>
                <w:sz w:val="13"/>
                <w:szCs w:val="13"/>
                <w:color w:val="auto"/>
              </w:rPr>
              <w:t>$15,000 for Nominating and Governance Committee Chair</w:t>
            </w:r>
          </w:p>
        </w:tc>
        <w:tc>
          <w:tcPr>
            <w:tcW w:w="0" w:type="dxa"/>
            <w:vAlign w:val="bottom"/>
          </w:tcPr>
          <w:p>
            <w:pPr>
              <w:spacing w:after="0"/>
              <w:rPr>
                <w:sz w:val="1"/>
                <w:szCs w:val="1"/>
                <w:color w:val="auto"/>
              </w:rPr>
            </w:pPr>
          </w:p>
        </w:tc>
      </w:tr>
      <w:tr>
        <w:trPr>
          <w:trHeight w:val="161"/>
        </w:trPr>
        <w:tc>
          <w:tcPr>
            <w:tcW w:w="2360" w:type="dxa"/>
            <w:vAlign w:val="bottom"/>
            <w:vMerge w:val="continue"/>
          </w:tcPr>
          <w:p>
            <w:pPr>
              <w:spacing w:after="0"/>
              <w:rPr>
                <w:sz w:val="14"/>
                <w:szCs w:val="14"/>
                <w:color w:val="auto"/>
              </w:rPr>
            </w:pPr>
          </w:p>
        </w:tc>
        <w:tc>
          <w:tcPr>
            <w:tcW w:w="4360" w:type="dxa"/>
            <w:vAlign w:val="bottom"/>
          </w:tcPr>
          <w:p>
            <w:pPr>
              <w:ind w:left="940"/>
              <w:spacing w:after="0"/>
              <w:rPr>
                <w:sz w:val="20"/>
                <w:szCs w:val="20"/>
                <w:color w:val="auto"/>
              </w:rPr>
            </w:pPr>
            <w:r>
              <w:rPr>
                <w:rFonts w:ascii="Arial" w:cs="Arial" w:eastAsia="Arial" w:hAnsi="Arial"/>
                <w:sz w:val="13"/>
                <w:szCs w:val="13"/>
                <w:color w:val="auto"/>
              </w:rPr>
              <w:t>$5,000 for Audit Committee service (other than Chair)</w:t>
            </w:r>
          </w:p>
        </w:tc>
        <w:tc>
          <w:tcPr>
            <w:tcW w:w="0" w:type="dxa"/>
            <w:vAlign w:val="bottom"/>
          </w:tcPr>
          <w:p>
            <w:pPr>
              <w:spacing w:after="0"/>
              <w:rPr>
                <w:sz w:val="1"/>
                <w:szCs w:val="1"/>
                <w:color w:val="auto"/>
              </w:rPr>
            </w:pPr>
          </w:p>
        </w:tc>
      </w:tr>
      <w:tr>
        <w:trPr>
          <w:trHeight w:val="161"/>
        </w:trPr>
        <w:tc>
          <w:tcPr>
            <w:tcW w:w="2360" w:type="dxa"/>
            <w:vAlign w:val="bottom"/>
          </w:tcPr>
          <w:p>
            <w:pPr>
              <w:spacing w:after="0"/>
              <w:rPr>
                <w:sz w:val="14"/>
                <w:szCs w:val="14"/>
                <w:color w:val="auto"/>
              </w:rPr>
            </w:pPr>
          </w:p>
        </w:tc>
        <w:tc>
          <w:tcPr>
            <w:tcW w:w="4360" w:type="dxa"/>
            <w:vAlign w:val="bottom"/>
          </w:tcPr>
          <w:p>
            <w:pPr>
              <w:ind w:left="940"/>
              <w:spacing w:after="0"/>
              <w:rPr>
                <w:sz w:val="20"/>
                <w:szCs w:val="20"/>
                <w:color w:val="auto"/>
              </w:rPr>
            </w:pPr>
            <w:r>
              <w:rPr>
                <w:rFonts w:ascii="Arial" w:cs="Arial" w:eastAsia="Arial" w:hAnsi="Arial"/>
                <w:sz w:val="13"/>
                <w:szCs w:val="13"/>
                <w:color w:val="auto"/>
                <w:w w:val="93"/>
              </w:rPr>
              <w:t>$4,000 for Compensation Committee service (other than Chair)</w:t>
            </w:r>
          </w:p>
        </w:tc>
        <w:tc>
          <w:tcPr>
            <w:tcW w:w="0" w:type="dxa"/>
            <w:vAlign w:val="bottom"/>
          </w:tcPr>
          <w:p>
            <w:pPr>
              <w:spacing w:after="0"/>
              <w:rPr>
                <w:sz w:val="1"/>
                <w:szCs w:val="1"/>
                <w:color w:val="auto"/>
              </w:rPr>
            </w:pPr>
          </w:p>
        </w:tc>
      </w:tr>
      <w:tr>
        <w:trPr>
          <w:trHeight w:val="172"/>
        </w:trPr>
        <w:tc>
          <w:tcPr>
            <w:tcW w:w="2360" w:type="dxa"/>
            <w:vAlign w:val="bottom"/>
          </w:tcPr>
          <w:p>
            <w:pPr>
              <w:spacing w:after="0"/>
              <w:rPr>
                <w:sz w:val="14"/>
                <w:szCs w:val="14"/>
                <w:color w:val="auto"/>
              </w:rPr>
            </w:pPr>
          </w:p>
        </w:tc>
        <w:tc>
          <w:tcPr>
            <w:tcW w:w="4360" w:type="dxa"/>
            <w:vAlign w:val="bottom"/>
          </w:tcPr>
          <w:p>
            <w:pPr>
              <w:ind w:left="940"/>
              <w:spacing w:after="0"/>
              <w:rPr>
                <w:sz w:val="20"/>
                <w:szCs w:val="20"/>
                <w:color w:val="auto"/>
              </w:rPr>
            </w:pPr>
            <w:r>
              <w:rPr>
                <w:rFonts w:ascii="Arial" w:cs="Arial" w:eastAsia="Arial" w:hAnsi="Arial"/>
                <w:sz w:val="13"/>
                <w:szCs w:val="13"/>
                <w:color w:val="auto"/>
              </w:rPr>
              <w:t>$10,000 for Special Committee service</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table below shows the aggregate cash paid, and stock awards issued, to the non-employee directors in 2009 in accordance with the descriptions set forth above:</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1200" w:type="dxa"/>
            <w:vAlign w:val="bottom"/>
          </w:tcPr>
          <w:p>
            <w:pPr>
              <w:jc w:val="center"/>
              <w:spacing w:after="0"/>
              <w:rPr>
                <w:sz w:val="20"/>
                <w:szCs w:val="20"/>
                <w:color w:val="auto"/>
              </w:rPr>
            </w:pPr>
            <w:r>
              <w:rPr>
                <w:rFonts w:ascii="Arial" w:cs="Arial" w:eastAsia="Arial" w:hAnsi="Arial"/>
                <w:sz w:val="11"/>
                <w:szCs w:val="11"/>
                <w:b w:val="1"/>
                <w:bCs w:val="1"/>
                <w:color w:val="auto"/>
                <w:w w:val="88"/>
              </w:rPr>
              <w:t>Fees Earned</w:t>
            </w:r>
          </w:p>
        </w:tc>
        <w:tc>
          <w:tcPr>
            <w:tcW w:w="26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w w:val="86"/>
              </w:rPr>
              <w:t>Stock</w:t>
            </w:r>
          </w:p>
        </w:tc>
        <w:tc>
          <w:tcPr>
            <w:tcW w:w="260" w:type="dxa"/>
            <w:vAlign w:val="bottom"/>
          </w:tcPr>
          <w:p>
            <w:pPr>
              <w:spacing w:after="0"/>
              <w:rPr>
                <w:sz w:val="10"/>
                <w:szCs w:val="10"/>
                <w:color w:val="auto"/>
              </w:rPr>
            </w:pPr>
          </w:p>
        </w:tc>
        <w:tc>
          <w:tcPr>
            <w:tcW w:w="480" w:type="dxa"/>
            <w:vAlign w:val="bottom"/>
          </w:tcPr>
          <w:p>
            <w:pPr>
              <w:jc w:val="center"/>
              <w:spacing w:after="0"/>
              <w:rPr>
                <w:sz w:val="20"/>
                <w:szCs w:val="20"/>
                <w:color w:val="auto"/>
              </w:rPr>
            </w:pPr>
            <w:r>
              <w:rPr>
                <w:rFonts w:ascii="Arial" w:cs="Arial" w:eastAsia="Arial" w:hAnsi="Arial"/>
                <w:sz w:val="11"/>
                <w:szCs w:val="11"/>
                <w:b w:val="1"/>
                <w:bCs w:val="1"/>
                <w:color w:val="auto"/>
                <w:w w:val="90"/>
              </w:rPr>
              <w:t>Option</w:t>
            </w:r>
          </w:p>
        </w:tc>
        <w:tc>
          <w:tcPr>
            <w:tcW w:w="260" w:type="dxa"/>
            <w:vAlign w:val="bottom"/>
          </w:tcPr>
          <w:p>
            <w:pPr>
              <w:spacing w:after="0"/>
              <w:rPr>
                <w:sz w:val="10"/>
                <w:szCs w:val="10"/>
                <w:color w:val="auto"/>
              </w:rPr>
            </w:pPr>
          </w:p>
        </w:tc>
        <w:tc>
          <w:tcPr>
            <w:tcW w:w="96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21"/>
        </w:trPr>
        <w:tc>
          <w:tcPr>
            <w:tcW w:w="558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Name</w:t>
            </w:r>
          </w:p>
        </w:tc>
        <w:tc>
          <w:tcPr>
            <w:tcW w:w="120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1"/>
              </w:rPr>
              <w:t>or Paid in</w:t>
            </w:r>
          </w:p>
        </w:tc>
        <w:tc>
          <w:tcPr>
            <w:tcW w:w="260" w:type="dxa"/>
            <w:vAlign w:val="bottom"/>
          </w:tcPr>
          <w:p>
            <w:pPr>
              <w:spacing w:after="0"/>
              <w:rPr>
                <w:sz w:val="10"/>
                <w:szCs w:val="10"/>
                <w:color w:val="auto"/>
              </w:rPr>
            </w:pPr>
          </w:p>
        </w:tc>
        <w:tc>
          <w:tcPr>
            <w:tcW w:w="98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0"/>
              </w:rPr>
              <w:t>Awards</w:t>
            </w:r>
          </w:p>
        </w:tc>
        <w:tc>
          <w:tcPr>
            <w:tcW w:w="260" w:type="dxa"/>
            <w:vAlign w:val="bottom"/>
          </w:tcPr>
          <w:p>
            <w:pPr>
              <w:spacing w:after="0"/>
              <w:rPr>
                <w:sz w:val="10"/>
                <w:szCs w:val="10"/>
                <w:color w:val="auto"/>
              </w:rPr>
            </w:pPr>
          </w:p>
        </w:tc>
        <w:tc>
          <w:tcPr>
            <w:tcW w:w="48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0"/>
              </w:rPr>
              <w:t>Awards</w:t>
            </w:r>
          </w:p>
        </w:tc>
        <w:tc>
          <w:tcPr>
            <w:tcW w:w="26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5580" w:type="dxa"/>
            <w:vAlign w:val="bottom"/>
            <w:gridSpan w:val="3"/>
            <w:vMerge w:val="continue"/>
          </w:tcPr>
          <w:p>
            <w:pPr>
              <w:spacing w:after="0"/>
              <w:rPr>
                <w:sz w:val="11"/>
                <w:szCs w:val="11"/>
                <w:color w:val="auto"/>
              </w:rPr>
            </w:pPr>
          </w:p>
        </w:tc>
        <w:tc>
          <w:tcPr>
            <w:tcW w:w="1200" w:type="dxa"/>
            <w:vAlign w:val="bottom"/>
          </w:tcPr>
          <w:p>
            <w:pPr>
              <w:jc w:val="center"/>
              <w:spacing w:after="0"/>
              <w:rPr>
                <w:sz w:val="20"/>
                <w:szCs w:val="20"/>
                <w:color w:val="auto"/>
              </w:rPr>
            </w:pPr>
            <w:r>
              <w:rPr>
                <w:rFonts w:ascii="Arial" w:cs="Arial" w:eastAsia="Arial" w:hAnsi="Arial"/>
                <w:sz w:val="11"/>
                <w:szCs w:val="11"/>
                <w:b w:val="1"/>
                <w:bCs w:val="1"/>
                <w:color w:val="auto"/>
                <w:w w:val="87"/>
              </w:rPr>
              <w:t>Cash ($)</w:t>
            </w:r>
          </w:p>
        </w:tc>
        <w:tc>
          <w:tcPr>
            <w:tcW w:w="1240" w:type="dxa"/>
            <w:vAlign w:val="bottom"/>
            <w:gridSpan w:val="2"/>
          </w:tcPr>
          <w:p>
            <w:pPr>
              <w:jc w:val="center"/>
              <w:ind w:left="215"/>
              <w:spacing w:after="0"/>
              <w:rPr>
                <w:sz w:val="20"/>
                <w:szCs w:val="20"/>
                <w:color w:val="auto"/>
              </w:rPr>
            </w:pPr>
            <w:r>
              <w:rPr>
                <w:rFonts w:ascii="Arial" w:cs="Arial" w:eastAsia="Arial" w:hAnsi="Arial"/>
                <w:sz w:val="11"/>
                <w:szCs w:val="11"/>
                <w:b w:val="1"/>
                <w:bCs w:val="1"/>
                <w:color w:val="auto"/>
                <w:w w:val="88"/>
              </w:rPr>
              <w:t>($)</w:t>
            </w:r>
          </w:p>
        </w:tc>
        <w:tc>
          <w:tcPr>
            <w:tcW w:w="740" w:type="dxa"/>
            <w:vAlign w:val="bottom"/>
            <w:gridSpan w:val="2"/>
          </w:tcPr>
          <w:p>
            <w:pPr>
              <w:jc w:val="center"/>
              <w:ind w:left="195"/>
              <w:spacing w:after="0"/>
              <w:rPr>
                <w:sz w:val="20"/>
                <w:szCs w:val="20"/>
                <w:color w:val="auto"/>
              </w:rPr>
            </w:pPr>
            <w:r>
              <w:rPr>
                <w:rFonts w:ascii="Arial" w:cs="Arial" w:eastAsia="Arial" w:hAnsi="Arial"/>
                <w:sz w:val="11"/>
                <w:szCs w:val="11"/>
                <w:b w:val="1"/>
                <w:bCs w:val="1"/>
                <w:color w:val="auto"/>
                <w:w w:val="89"/>
              </w:rPr>
              <w:t>($)(1)</w:t>
            </w:r>
          </w:p>
        </w:tc>
        <w:tc>
          <w:tcPr>
            <w:tcW w:w="1220" w:type="dxa"/>
            <w:vAlign w:val="bottom"/>
            <w:gridSpan w:val="2"/>
          </w:tcPr>
          <w:p>
            <w:pPr>
              <w:jc w:val="center"/>
              <w:ind w:left="195"/>
              <w:spacing w:after="0"/>
              <w:rPr>
                <w:sz w:val="20"/>
                <w:szCs w:val="20"/>
                <w:color w:val="auto"/>
              </w:rPr>
            </w:pPr>
            <w:r>
              <w:rPr>
                <w:rFonts w:ascii="Arial" w:cs="Arial" w:eastAsia="Arial" w:hAnsi="Arial"/>
                <w:sz w:val="11"/>
                <w:szCs w:val="11"/>
                <w:b w:val="1"/>
                <w:bCs w:val="1"/>
                <w:color w:val="auto"/>
                <w:w w:val="88"/>
              </w:rPr>
              <w:t>($)</w:t>
            </w:r>
          </w:p>
        </w:tc>
        <w:tc>
          <w:tcPr>
            <w:tcW w:w="0" w:type="dxa"/>
            <w:vAlign w:val="bottom"/>
          </w:tcPr>
          <w:p>
            <w:pPr>
              <w:spacing w:after="0"/>
              <w:rPr>
                <w:sz w:val="1"/>
                <w:szCs w:val="1"/>
                <w:color w:val="auto"/>
              </w:rPr>
            </w:pPr>
          </w:p>
        </w:tc>
      </w:tr>
      <w:tr>
        <w:trPr>
          <w:trHeight w:val="30"/>
        </w:trPr>
        <w:tc>
          <w:tcPr>
            <w:tcW w:w="60" w:type="dxa"/>
            <w:vAlign w:val="bottom"/>
            <w:tcBorders>
              <w:top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55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John C. Pope, Chairman of the Board</w:t>
            </w:r>
          </w:p>
        </w:tc>
        <w:tc>
          <w:tcPr>
            <w:tcW w:w="120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199,000</w:t>
            </w:r>
          </w:p>
        </w:tc>
        <w:tc>
          <w:tcPr>
            <w:tcW w:w="1240" w:type="dxa"/>
            <w:vAlign w:val="bottom"/>
            <w:gridSpan w:val="2"/>
            <w:shd w:val="clear" w:color="auto" w:fill="CCEEFF"/>
          </w:tcPr>
          <w:p>
            <w:pPr>
              <w:jc w:val="center"/>
              <w:ind w:left="215"/>
              <w:spacing w:after="0"/>
              <w:rPr>
                <w:sz w:val="20"/>
                <w:szCs w:val="20"/>
                <w:color w:val="auto"/>
              </w:rPr>
            </w:pPr>
            <w:r>
              <w:rPr>
                <w:rFonts w:ascii="Arial" w:cs="Arial" w:eastAsia="Arial" w:hAnsi="Arial"/>
                <w:sz w:val="13"/>
                <w:szCs w:val="13"/>
                <w:color w:val="auto"/>
                <w:w w:val="93"/>
              </w:rPr>
              <w:t>210,000</w:t>
            </w:r>
          </w:p>
        </w:tc>
        <w:tc>
          <w:tcPr>
            <w:tcW w:w="740" w:type="dxa"/>
            <w:vAlign w:val="bottom"/>
            <w:gridSpan w:val="2"/>
            <w:shd w:val="clear" w:color="auto" w:fill="CCEEFF"/>
          </w:tcPr>
          <w:p>
            <w:pPr>
              <w:jc w:val="center"/>
              <w:ind w:left="215"/>
              <w:spacing w:after="0"/>
              <w:rPr>
                <w:sz w:val="20"/>
                <w:szCs w:val="20"/>
                <w:color w:val="auto"/>
              </w:rPr>
            </w:pPr>
            <w:r>
              <w:rPr>
                <w:rFonts w:ascii="Arial" w:cs="Arial" w:eastAsia="Arial" w:hAnsi="Arial"/>
                <w:sz w:val="13"/>
                <w:szCs w:val="13"/>
                <w:color w:val="auto"/>
                <w:w w:val="82"/>
              </w:rPr>
              <w:t>0</w:t>
            </w:r>
          </w:p>
        </w:tc>
        <w:tc>
          <w:tcPr>
            <w:tcW w:w="1220" w:type="dxa"/>
            <w:vAlign w:val="bottom"/>
            <w:gridSpan w:val="2"/>
            <w:shd w:val="clear" w:color="auto" w:fill="CCEEFF"/>
          </w:tcPr>
          <w:p>
            <w:pPr>
              <w:jc w:val="center"/>
              <w:ind w:left="195"/>
              <w:spacing w:after="0"/>
              <w:rPr>
                <w:sz w:val="20"/>
                <w:szCs w:val="20"/>
                <w:color w:val="auto"/>
              </w:rPr>
            </w:pPr>
            <w:r>
              <w:rPr>
                <w:rFonts w:ascii="Arial" w:cs="Arial" w:eastAsia="Arial" w:hAnsi="Arial"/>
                <w:sz w:val="13"/>
                <w:szCs w:val="13"/>
                <w:color w:val="auto"/>
                <w:w w:val="93"/>
              </w:rPr>
              <w:t>409,000</w:t>
            </w:r>
          </w:p>
        </w:tc>
        <w:tc>
          <w:tcPr>
            <w:tcW w:w="0" w:type="dxa"/>
            <w:vAlign w:val="bottom"/>
          </w:tcPr>
          <w:p>
            <w:pPr>
              <w:spacing w:after="0"/>
              <w:rPr>
                <w:sz w:val="1"/>
                <w:szCs w:val="1"/>
                <w:color w:val="auto"/>
              </w:rPr>
            </w:pPr>
          </w:p>
        </w:tc>
      </w:tr>
      <w:tr>
        <w:trPr>
          <w:trHeight w:val="161"/>
        </w:trPr>
        <w:tc>
          <w:tcPr>
            <w:tcW w:w="5580" w:type="dxa"/>
            <w:vAlign w:val="bottom"/>
            <w:gridSpan w:val="3"/>
          </w:tcPr>
          <w:p>
            <w:pPr>
              <w:spacing w:after="0"/>
              <w:rPr>
                <w:sz w:val="20"/>
                <w:szCs w:val="20"/>
                <w:color w:val="auto"/>
              </w:rPr>
            </w:pPr>
            <w:r>
              <w:rPr>
                <w:rFonts w:ascii="Arial" w:cs="Arial" w:eastAsia="Arial" w:hAnsi="Arial"/>
                <w:sz w:val="13"/>
                <w:szCs w:val="13"/>
                <w:color w:val="auto"/>
              </w:rPr>
              <w:t>Pastora San Juan Cafferty</w:t>
            </w:r>
          </w:p>
        </w:tc>
        <w:tc>
          <w:tcPr>
            <w:tcW w:w="1200" w:type="dxa"/>
            <w:vAlign w:val="bottom"/>
          </w:tcPr>
          <w:p>
            <w:pPr>
              <w:jc w:val="right"/>
              <w:ind w:right="317"/>
              <w:spacing w:after="0"/>
              <w:rPr>
                <w:sz w:val="20"/>
                <w:szCs w:val="20"/>
                <w:color w:val="auto"/>
              </w:rPr>
            </w:pPr>
            <w:r>
              <w:rPr>
                <w:rFonts w:ascii="Arial" w:cs="Arial" w:eastAsia="Arial" w:hAnsi="Arial"/>
                <w:sz w:val="13"/>
                <w:szCs w:val="13"/>
                <w:color w:val="auto"/>
              </w:rPr>
              <w:t>110,000</w:t>
            </w:r>
          </w:p>
        </w:tc>
        <w:tc>
          <w:tcPr>
            <w:tcW w:w="1240" w:type="dxa"/>
            <w:vAlign w:val="bottom"/>
            <w:gridSpan w:val="2"/>
          </w:tcPr>
          <w:p>
            <w:pPr>
              <w:jc w:val="center"/>
              <w:ind w:left="215"/>
              <w:spacing w:after="0"/>
              <w:rPr>
                <w:sz w:val="20"/>
                <w:szCs w:val="20"/>
                <w:color w:val="auto"/>
              </w:rPr>
            </w:pPr>
            <w:r>
              <w:rPr>
                <w:rFonts w:ascii="Arial" w:cs="Arial" w:eastAsia="Arial" w:hAnsi="Arial"/>
                <w:sz w:val="13"/>
                <w:szCs w:val="13"/>
                <w:color w:val="auto"/>
                <w:w w:val="93"/>
              </w:rPr>
              <w:t>110,000</w:t>
            </w:r>
          </w:p>
        </w:tc>
        <w:tc>
          <w:tcPr>
            <w:tcW w:w="740" w:type="dxa"/>
            <w:vAlign w:val="bottom"/>
            <w:gridSpan w:val="2"/>
          </w:tcPr>
          <w:p>
            <w:pPr>
              <w:jc w:val="center"/>
              <w:ind w:left="215"/>
              <w:spacing w:after="0"/>
              <w:rPr>
                <w:sz w:val="20"/>
                <w:szCs w:val="20"/>
                <w:color w:val="auto"/>
              </w:rPr>
            </w:pPr>
            <w:r>
              <w:rPr>
                <w:rFonts w:ascii="Arial" w:cs="Arial" w:eastAsia="Arial" w:hAnsi="Arial"/>
                <w:sz w:val="13"/>
                <w:szCs w:val="13"/>
                <w:color w:val="auto"/>
                <w:w w:val="82"/>
              </w:rPr>
              <w:t>0</w:t>
            </w:r>
          </w:p>
        </w:tc>
        <w:tc>
          <w:tcPr>
            <w:tcW w:w="1220" w:type="dxa"/>
            <w:vAlign w:val="bottom"/>
            <w:gridSpan w:val="2"/>
          </w:tcPr>
          <w:p>
            <w:pPr>
              <w:jc w:val="center"/>
              <w:ind w:left="195"/>
              <w:spacing w:after="0"/>
              <w:rPr>
                <w:sz w:val="20"/>
                <w:szCs w:val="20"/>
                <w:color w:val="auto"/>
              </w:rPr>
            </w:pPr>
            <w:r>
              <w:rPr>
                <w:rFonts w:ascii="Arial" w:cs="Arial" w:eastAsia="Arial" w:hAnsi="Arial"/>
                <w:sz w:val="13"/>
                <w:szCs w:val="13"/>
                <w:color w:val="auto"/>
                <w:w w:val="93"/>
              </w:rPr>
              <w:t>220,000</w:t>
            </w:r>
          </w:p>
        </w:tc>
        <w:tc>
          <w:tcPr>
            <w:tcW w:w="0" w:type="dxa"/>
            <w:vAlign w:val="bottom"/>
          </w:tcPr>
          <w:p>
            <w:pPr>
              <w:spacing w:after="0"/>
              <w:rPr>
                <w:sz w:val="1"/>
                <w:szCs w:val="1"/>
                <w:color w:val="auto"/>
              </w:rPr>
            </w:pPr>
          </w:p>
        </w:tc>
      </w:tr>
      <w:tr>
        <w:trPr>
          <w:trHeight w:val="161"/>
        </w:trPr>
        <w:tc>
          <w:tcPr>
            <w:tcW w:w="55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Frank M. Clark, Jr.</w:t>
            </w:r>
          </w:p>
        </w:tc>
        <w:tc>
          <w:tcPr>
            <w:tcW w:w="120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99,000</w:t>
            </w:r>
          </w:p>
        </w:tc>
        <w:tc>
          <w:tcPr>
            <w:tcW w:w="1240" w:type="dxa"/>
            <w:vAlign w:val="bottom"/>
            <w:gridSpan w:val="2"/>
            <w:shd w:val="clear" w:color="auto" w:fill="CCEEFF"/>
          </w:tcPr>
          <w:p>
            <w:pPr>
              <w:jc w:val="center"/>
              <w:ind w:left="215"/>
              <w:spacing w:after="0"/>
              <w:rPr>
                <w:sz w:val="20"/>
                <w:szCs w:val="20"/>
                <w:color w:val="auto"/>
              </w:rPr>
            </w:pPr>
            <w:r>
              <w:rPr>
                <w:rFonts w:ascii="Arial" w:cs="Arial" w:eastAsia="Arial" w:hAnsi="Arial"/>
                <w:sz w:val="13"/>
                <w:szCs w:val="13"/>
                <w:color w:val="auto"/>
                <w:w w:val="93"/>
              </w:rPr>
              <w:t>110,000</w:t>
            </w:r>
          </w:p>
        </w:tc>
        <w:tc>
          <w:tcPr>
            <w:tcW w:w="740" w:type="dxa"/>
            <w:vAlign w:val="bottom"/>
            <w:gridSpan w:val="2"/>
            <w:shd w:val="clear" w:color="auto" w:fill="CCEEFF"/>
          </w:tcPr>
          <w:p>
            <w:pPr>
              <w:jc w:val="center"/>
              <w:ind w:left="215"/>
              <w:spacing w:after="0"/>
              <w:rPr>
                <w:sz w:val="20"/>
                <w:szCs w:val="20"/>
                <w:color w:val="auto"/>
              </w:rPr>
            </w:pPr>
            <w:r>
              <w:rPr>
                <w:rFonts w:ascii="Arial" w:cs="Arial" w:eastAsia="Arial" w:hAnsi="Arial"/>
                <w:sz w:val="13"/>
                <w:szCs w:val="13"/>
                <w:color w:val="auto"/>
                <w:w w:val="82"/>
              </w:rPr>
              <w:t>0</w:t>
            </w:r>
          </w:p>
        </w:tc>
        <w:tc>
          <w:tcPr>
            <w:tcW w:w="1220" w:type="dxa"/>
            <w:vAlign w:val="bottom"/>
            <w:gridSpan w:val="2"/>
            <w:shd w:val="clear" w:color="auto" w:fill="CCEEFF"/>
          </w:tcPr>
          <w:p>
            <w:pPr>
              <w:jc w:val="center"/>
              <w:ind w:left="195"/>
              <w:spacing w:after="0"/>
              <w:rPr>
                <w:sz w:val="20"/>
                <w:szCs w:val="20"/>
                <w:color w:val="auto"/>
              </w:rPr>
            </w:pPr>
            <w:r>
              <w:rPr>
                <w:rFonts w:ascii="Arial" w:cs="Arial" w:eastAsia="Arial" w:hAnsi="Arial"/>
                <w:sz w:val="13"/>
                <w:szCs w:val="13"/>
                <w:color w:val="auto"/>
                <w:w w:val="93"/>
              </w:rPr>
              <w:t>209,000</w:t>
            </w:r>
          </w:p>
        </w:tc>
        <w:tc>
          <w:tcPr>
            <w:tcW w:w="0" w:type="dxa"/>
            <w:vAlign w:val="bottom"/>
          </w:tcPr>
          <w:p>
            <w:pPr>
              <w:spacing w:after="0"/>
              <w:rPr>
                <w:sz w:val="1"/>
                <w:szCs w:val="1"/>
                <w:color w:val="auto"/>
              </w:rPr>
            </w:pPr>
          </w:p>
        </w:tc>
      </w:tr>
      <w:tr>
        <w:trPr>
          <w:trHeight w:val="161"/>
        </w:trPr>
        <w:tc>
          <w:tcPr>
            <w:tcW w:w="5580" w:type="dxa"/>
            <w:vAlign w:val="bottom"/>
            <w:gridSpan w:val="3"/>
          </w:tcPr>
          <w:p>
            <w:pPr>
              <w:spacing w:after="0"/>
              <w:rPr>
                <w:sz w:val="20"/>
                <w:szCs w:val="20"/>
                <w:color w:val="auto"/>
              </w:rPr>
            </w:pPr>
            <w:r>
              <w:rPr>
                <w:rFonts w:ascii="Arial" w:cs="Arial" w:eastAsia="Arial" w:hAnsi="Arial"/>
                <w:sz w:val="13"/>
                <w:szCs w:val="13"/>
                <w:color w:val="auto"/>
              </w:rPr>
              <w:t>Patrick W. Gross</w:t>
            </w:r>
          </w:p>
        </w:tc>
        <w:tc>
          <w:tcPr>
            <w:tcW w:w="1200" w:type="dxa"/>
            <w:vAlign w:val="bottom"/>
          </w:tcPr>
          <w:p>
            <w:pPr>
              <w:jc w:val="right"/>
              <w:ind w:right="317"/>
              <w:spacing w:after="0"/>
              <w:rPr>
                <w:sz w:val="20"/>
                <w:szCs w:val="20"/>
                <w:color w:val="auto"/>
              </w:rPr>
            </w:pPr>
            <w:r>
              <w:rPr>
                <w:rFonts w:ascii="Arial" w:cs="Arial" w:eastAsia="Arial" w:hAnsi="Arial"/>
                <w:sz w:val="13"/>
                <w:szCs w:val="13"/>
                <w:color w:val="auto"/>
              </w:rPr>
              <w:t>95,000</w:t>
            </w:r>
          </w:p>
        </w:tc>
        <w:tc>
          <w:tcPr>
            <w:tcW w:w="1240" w:type="dxa"/>
            <w:vAlign w:val="bottom"/>
            <w:gridSpan w:val="2"/>
          </w:tcPr>
          <w:p>
            <w:pPr>
              <w:jc w:val="center"/>
              <w:ind w:left="215"/>
              <w:spacing w:after="0"/>
              <w:rPr>
                <w:sz w:val="20"/>
                <w:szCs w:val="20"/>
                <w:color w:val="auto"/>
              </w:rPr>
            </w:pPr>
            <w:r>
              <w:rPr>
                <w:rFonts w:ascii="Arial" w:cs="Arial" w:eastAsia="Arial" w:hAnsi="Arial"/>
                <w:sz w:val="13"/>
                <w:szCs w:val="13"/>
                <w:color w:val="auto"/>
                <w:w w:val="93"/>
              </w:rPr>
              <w:t>110,000</w:t>
            </w:r>
          </w:p>
        </w:tc>
        <w:tc>
          <w:tcPr>
            <w:tcW w:w="740" w:type="dxa"/>
            <w:vAlign w:val="bottom"/>
            <w:gridSpan w:val="2"/>
          </w:tcPr>
          <w:p>
            <w:pPr>
              <w:jc w:val="center"/>
              <w:ind w:left="215"/>
              <w:spacing w:after="0"/>
              <w:rPr>
                <w:sz w:val="20"/>
                <w:szCs w:val="20"/>
                <w:color w:val="auto"/>
              </w:rPr>
            </w:pPr>
            <w:r>
              <w:rPr>
                <w:rFonts w:ascii="Arial" w:cs="Arial" w:eastAsia="Arial" w:hAnsi="Arial"/>
                <w:sz w:val="13"/>
                <w:szCs w:val="13"/>
                <w:color w:val="auto"/>
                <w:w w:val="82"/>
              </w:rPr>
              <w:t>0</w:t>
            </w:r>
          </w:p>
        </w:tc>
        <w:tc>
          <w:tcPr>
            <w:tcW w:w="1220" w:type="dxa"/>
            <w:vAlign w:val="bottom"/>
            <w:gridSpan w:val="2"/>
          </w:tcPr>
          <w:p>
            <w:pPr>
              <w:jc w:val="center"/>
              <w:ind w:left="195"/>
              <w:spacing w:after="0"/>
              <w:rPr>
                <w:sz w:val="20"/>
                <w:szCs w:val="20"/>
                <w:color w:val="auto"/>
              </w:rPr>
            </w:pPr>
            <w:r>
              <w:rPr>
                <w:rFonts w:ascii="Arial" w:cs="Arial" w:eastAsia="Arial" w:hAnsi="Arial"/>
                <w:sz w:val="13"/>
                <w:szCs w:val="13"/>
                <w:color w:val="auto"/>
                <w:w w:val="93"/>
              </w:rPr>
              <w:t>205,000</w:t>
            </w:r>
          </w:p>
        </w:tc>
        <w:tc>
          <w:tcPr>
            <w:tcW w:w="0" w:type="dxa"/>
            <w:vAlign w:val="bottom"/>
          </w:tcPr>
          <w:p>
            <w:pPr>
              <w:spacing w:after="0"/>
              <w:rPr>
                <w:sz w:val="1"/>
                <w:szCs w:val="1"/>
                <w:color w:val="auto"/>
              </w:rPr>
            </w:pPr>
          </w:p>
        </w:tc>
      </w:tr>
      <w:tr>
        <w:trPr>
          <w:trHeight w:val="161"/>
        </w:trPr>
        <w:tc>
          <w:tcPr>
            <w:tcW w:w="55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W. Robert Reum</w:t>
            </w:r>
          </w:p>
        </w:tc>
        <w:tc>
          <w:tcPr>
            <w:tcW w:w="120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115,000</w:t>
            </w:r>
          </w:p>
        </w:tc>
        <w:tc>
          <w:tcPr>
            <w:tcW w:w="1240" w:type="dxa"/>
            <w:vAlign w:val="bottom"/>
            <w:gridSpan w:val="2"/>
            <w:shd w:val="clear" w:color="auto" w:fill="CCEEFF"/>
          </w:tcPr>
          <w:p>
            <w:pPr>
              <w:jc w:val="center"/>
              <w:ind w:left="215"/>
              <w:spacing w:after="0"/>
              <w:rPr>
                <w:sz w:val="20"/>
                <w:szCs w:val="20"/>
                <w:color w:val="auto"/>
              </w:rPr>
            </w:pPr>
            <w:r>
              <w:rPr>
                <w:rFonts w:ascii="Arial" w:cs="Arial" w:eastAsia="Arial" w:hAnsi="Arial"/>
                <w:sz w:val="13"/>
                <w:szCs w:val="13"/>
                <w:color w:val="auto"/>
                <w:w w:val="93"/>
              </w:rPr>
              <w:t>110,000</w:t>
            </w:r>
          </w:p>
        </w:tc>
        <w:tc>
          <w:tcPr>
            <w:tcW w:w="740" w:type="dxa"/>
            <w:vAlign w:val="bottom"/>
            <w:gridSpan w:val="2"/>
            <w:shd w:val="clear" w:color="auto" w:fill="CCEEFF"/>
          </w:tcPr>
          <w:p>
            <w:pPr>
              <w:jc w:val="center"/>
              <w:ind w:left="215"/>
              <w:spacing w:after="0"/>
              <w:rPr>
                <w:sz w:val="20"/>
                <w:szCs w:val="20"/>
                <w:color w:val="auto"/>
              </w:rPr>
            </w:pPr>
            <w:r>
              <w:rPr>
                <w:rFonts w:ascii="Arial" w:cs="Arial" w:eastAsia="Arial" w:hAnsi="Arial"/>
                <w:sz w:val="13"/>
                <w:szCs w:val="13"/>
                <w:color w:val="auto"/>
                <w:w w:val="82"/>
              </w:rPr>
              <w:t>0</w:t>
            </w:r>
          </w:p>
        </w:tc>
        <w:tc>
          <w:tcPr>
            <w:tcW w:w="1220" w:type="dxa"/>
            <w:vAlign w:val="bottom"/>
            <w:gridSpan w:val="2"/>
            <w:shd w:val="clear" w:color="auto" w:fill="CCEEFF"/>
          </w:tcPr>
          <w:p>
            <w:pPr>
              <w:jc w:val="center"/>
              <w:ind w:left="195"/>
              <w:spacing w:after="0"/>
              <w:rPr>
                <w:sz w:val="20"/>
                <w:szCs w:val="20"/>
                <w:color w:val="auto"/>
              </w:rPr>
            </w:pPr>
            <w:r>
              <w:rPr>
                <w:rFonts w:ascii="Arial" w:cs="Arial" w:eastAsia="Arial" w:hAnsi="Arial"/>
                <w:sz w:val="13"/>
                <w:szCs w:val="13"/>
                <w:color w:val="auto"/>
                <w:w w:val="93"/>
              </w:rPr>
              <w:t>225,000</w:t>
            </w:r>
          </w:p>
        </w:tc>
        <w:tc>
          <w:tcPr>
            <w:tcW w:w="0" w:type="dxa"/>
            <w:vAlign w:val="bottom"/>
          </w:tcPr>
          <w:p>
            <w:pPr>
              <w:spacing w:after="0"/>
              <w:rPr>
                <w:sz w:val="1"/>
                <w:szCs w:val="1"/>
                <w:color w:val="auto"/>
              </w:rPr>
            </w:pPr>
          </w:p>
        </w:tc>
      </w:tr>
      <w:tr>
        <w:trPr>
          <w:trHeight w:val="161"/>
        </w:trPr>
        <w:tc>
          <w:tcPr>
            <w:tcW w:w="5580" w:type="dxa"/>
            <w:vAlign w:val="bottom"/>
            <w:gridSpan w:val="3"/>
          </w:tcPr>
          <w:p>
            <w:pPr>
              <w:spacing w:after="0"/>
              <w:rPr>
                <w:sz w:val="20"/>
                <w:szCs w:val="20"/>
                <w:color w:val="auto"/>
              </w:rPr>
            </w:pPr>
            <w:r>
              <w:rPr>
                <w:rFonts w:ascii="Arial" w:cs="Arial" w:eastAsia="Arial" w:hAnsi="Arial"/>
                <w:sz w:val="13"/>
                <w:szCs w:val="13"/>
                <w:color w:val="auto"/>
              </w:rPr>
              <w:t>Steven G. Rothmeier</w:t>
            </w:r>
          </w:p>
        </w:tc>
        <w:tc>
          <w:tcPr>
            <w:tcW w:w="1200" w:type="dxa"/>
            <w:vAlign w:val="bottom"/>
          </w:tcPr>
          <w:p>
            <w:pPr>
              <w:jc w:val="right"/>
              <w:ind w:right="317"/>
              <w:spacing w:after="0"/>
              <w:rPr>
                <w:sz w:val="20"/>
                <w:szCs w:val="20"/>
                <w:color w:val="auto"/>
              </w:rPr>
            </w:pPr>
            <w:r>
              <w:rPr>
                <w:rFonts w:ascii="Arial" w:cs="Arial" w:eastAsia="Arial" w:hAnsi="Arial"/>
                <w:sz w:val="13"/>
                <w:szCs w:val="13"/>
                <w:color w:val="auto"/>
              </w:rPr>
              <w:t>119,000</w:t>
            </w:r>
          </w:p>
        </w:tc>
        <w:tc>
          <w:tcPr>
            <w:tcW w:w="1240" w:type="dxa"/>
            <w:vAlign w:val="bottom"/>
            <w:gridSpan w:val="2"/>
          </w:tcPr>
          <w:p>
            <w:pPr>
              <w:jc w:val="center"/>
              <w:ind w:left="215"/>
              <w:spacing w:after="0"/>
              <w:rPr>
                <w:sz w:val="20"/>
                <w:szCs w:val="20"/>
                <w:color w:val="auto"/>
              </w:rPr>
            </w:pPr>
            <w:r>
              <w:rPr>
                <w:rFonts w:ascii="Arial" w:cs="Arial" w:eastAsia="Arial" w:hAnsi="Arial"/>
                <w:sz w:val="13"/>
                <w:szCs w:val="13"/>
                <w:color w:val="auto"/>
                <w:w w:val="93"/>
              </w:rPr>
              <w:t>110,000</w:t>
            </w:r>
          </w:p>
        </w:tc>
        <w:tc>
          <w:tcPr>
            <w:tcW w:w="740" w:type="dxa"/>
            <w:vAlign w:val="bottom"/>
            <w:gridSpan w:val="2"/>
          </w:tcPr>
          <w:p>
            <w:pPr>
              <w:jc w:val="center"/>
              <w:ind w:left="215"/>
              <w:spacing w:after="0"/>
              <w:rPr>
                <w:sz w:val="20"/>
                <w:szCs w:val="20"/>
                <w:color w:val="auto"/>
              </w:rPr>
            </w:pPr>
            <w:r>
              <w:rPr>
                <w:rFonts w:ascii="Arial" w:cs="Arial" w:eastAsia="Arial" w:hAnsi="Arial"/>
                <w:sz w:val="13"/>
                <w:szCs w:val="13"/>
                <w:color w:val="auto"/>
                <w:w w:val="82"/>
              </w:rPr>
              <w:t>0</w:t>
            </w:r>
          </w:p>
        </w:tc>
        <w:tc>
          <w:tcPr>
            <w:tcW w:w="1220" w:type="dxa"/>
            <w:vAlign w:val="bottom"/>
            <w:gridSpan w:val="2"/>
          </w:tcPr>
          <w:p>
            <w:pPr>
              <w:jc w:val="center"/>
              <w:ind w:left="195"/>
              <w:spacing w:after="0"/>
              <w:rPr>
                <w:sz w:val="20"/>
                <w:szCs w:val="20"/>
                <w:color w:val="auto"/>
              </w:rPr>
            </w:pPr>
            <w:r>
              <w:rPr>
                <w:rFonts w:ascii="Arial" w:cs="Arial" w:eastAsia="Arial" w:hAnsi="Arial"/>
                <w:sz w:val="13"/>
                <w:szCs w:val="13"/>
                <w:color w:val="auto"/>
                <w:w w:val="93"/>
              </w:rPr>
              <w:t>229,000</w:t>
            </w:r>
          </w:p>
        </w:tc>
        <w:tc>
          <w:tcPr>
            <w:tcW w:w="0" w:type="dxa"/>
            <w:vAlign w:val="bottom"/>
          </w:tcPr>
          <w:p>
            <w:pPr>
              <w:spacing w:after="0"/>
              <w:rPr>
                <w:sz w:val="1"/>
                <w:szCs w:val="1"/>
                <w:color w:val="auto"/>
              </w:rPr>
            </w:pPr>
          </w:p>
        </w:tc>
      </w:tr>
      <w:tr>
        <w:trPr>
          <w:trHeight w:val="161"/>
        </w:trPr>
        <w:tc>
          <w:tcPr>
            <w:tcW w:w="55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Thomas H. Weidemeyer</w:t>
            </w:r>
          </w:p>
        </w:tc>
        <w:tc>
          <w:tcPr>
            <w:tcW w:w="120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94,000</w:t>
            </w:r>
          </w:p>
        </w:tc>
        <w:tc>
          <w:tcPr>
            <w:tcW w:w="1240" w:type="dxa"/>
            <w:vAlign w:val="bottom"/>
            <w:gridSpan w:val="2"/>
            <w:shd w:val="clear" w:color="auto" w:fill="CCEEFF"/>
          </w:tcPr>
          <w:p>
            <w:pPr>
              <w:jc w:val="center"/>
              <w:ind w:left="215"/>
              <w:spacing w:after="0"/>
              <w:rPr>
                <w:sz w:val="20"/>
                <w:szCs w:val="20"/>
                <w:color w:val="auto"/>
              </w:rPr>
            </w:pPr>
            <w:r>
              <w:rPr>
                <w:rFonts w:ascii="Arial" w:cs="Arial" w:eastAsia="Arial" w:hAnsi="Arial"/>
                <w:sz w:val="13"/>
                <w:szCs w:val="13"/>
                <w:color w:val="auto"/>
                <w:w w:val="93"/>
              </w:rPr>
              <w:t>110,000</w:t>
            </w:r>
          </w:p>
        </w:tc>
        <w:tc>
          <w:tcPr>
            <w:tcW w:w="740" w:type="dxa"/>
            <w:vAlign w:val="bottom"/>
            <w:gridSpan w:val="2"/>
            <w:shd w:val="clear" w:color="auto" w:fill="CCEEFF"/>
          </w:tcPr>
          <w:p>
            <w:pPr>
              <w:jc w:val="center"/>
              <w:ind w:left="215"/>
              <w:spacing w:after="0"/>
              <w:rPr>
                <w:sz w:val="20"/>
                <w:szCs w:val="20"/>
                <w:color w:val="auto"/>
              </w:rPr>
            </w:pPr>
            <w:r>
              <w:rPr>
                <w:rFonts w:ascii="Arial" w:cs="Arial" w:eastAsia="Arial" w:hAnsi="Arial"/>
                <w:sz w:val="13"/>
                <w:szCs w:val="13"/>
                <w:color w:val="auto"/>
                <w:w w:val="82"/>
              </w:rPr>
              <w:t>0</w:t>
            </w:r>
          </w:p>
        </w:tc>
        <w:tc>
          <w:tcPr>
            <w:tcW w:w="1220" w:type="dxa"/>
            <w:vAlign w:val="bottom"/>
            <w:gridSpan w:val="2"/>
            <w:shd w:val="clear" w:color="auto" w:fill="CCEEFF"/>
          </w:tcPr>
          <w:p>
            <w:pPr>
              <w:jc w:val="center"/>
              <w:ind w:left="195"/>
              <w:spacing w:after="0"/>
              <w:rPr>
                <w:sz w:val="20"/>
                <w:szCs w:val="20"/>
                <w:color w:val="auto"/>
              </w:rPr>
            </w:pPr>
            <w:r>
              <w:rPr>
                <w:rFonts w:ascii="Arial" w:cs="Arial" w:eastAsia="Arial" w:hAnsi="Arial"/>
                <w:sz w:val="13"/>
                <w:szCs w:val="13"/>
                <w:color w:val="auto"/>
                <w:w w:val="93"/>
              </w:rPr>
              <w:t>204,000</w:t>
            </w:r>
          </w:p>
        </w:tc>
        <w:tc>
          <w:tcPr>
            <w:tcW w:w="0" w:type="dxa"/>
            <w:vAlign w:val="bottom"/>
          </w:tcPr>
          <w:p>
            <w:pPr>
              <w:spacing w:after="0"/>
              <w:rPr>
                <w:sz w:val="1"/>
                <w:szCs w:val="1"/>
                <w:color w:val="auto"/>
              </w:rPr>
            </w:pPr>
          </w:p>
        </w:tc>
      </w:tr>
      <w:tr>
        <w:trPr>
          <w:trHeight w:val="101"/>
        </w:trPr>
        <w:tc>
          <w:tcPr>
            <w:tcW w:w="6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42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280" w:hanging="266"/>
        <w:spacing w:after="0" w:line="294" w:lineRule="auto"/>
        <w:tabs>
          <w:tab w:leader="none" w:pos="10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table below shows the number of stock options held by each of our non-employee directors as of December 31, 2009. The options are all fully vested based on their initial terms and all expire ten years from date of grant. We have not granted any stock options to our non-employee directors since 2002.</w:t>
      </w:r>
    </w:p>
    <w:p>
      <w:pPr>
        <w:spacing w:after="0" w:line="35"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5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2"/>
              </w:rPr>
              <w:t>Grant Date</w:t>
            </w:r>
          </w:p>
        </w:tc>
        <w:tc>
          <w:tcPr>
            <w:tcW w:w="260" w:type="dxa"/>
            <w:vAlign w:val="bottom"/>
          </w:tcPr>
          <w:p>
            <w:pPr>
              <w:spacing w:after="0"/>
              <w:rPr>
                <w:sz w:val="10"/>
                <w:szCs w:val="10"/>
                <w:color w:val="auto"/>
              </w:rPr>
            </w:pPr>
          </w:p>
        </w:tc>
        <w:tc>
          <w:tcPr>
            <w:tcW w:w="1320" w:type="dxa"/>
            <w:vAlign w:val="bottom"/>
          </w:tcPr>
          <w:p>
            <w:pPr>
              <w:jc w:val="center"/>
              <w:spacing w:after="0"/>
              <w:rPr>
                <w:sz w:val="20"/>
                <w:szCs w:val="20"/>
                <w:color w:val="auto"/>
              </w:rPr>
            </w:pPr>
            <w:r>
              <w:rPr>
                <w:rFonts w:ascii="Arial" w:cs="Arial" w:eastAsia="Arial" w:hAnsi="Arial"/>
                <w:sz w:val="11"/>
                <w:szCs w:val="11"/>
                <w:b w:val="1"/>
                <w:bCs w:val="1"/>
                <w:color w:val="auto"/>
                <w:w w:val="87"/>
              </w:rPr>
              <w:t>No. of Options</w:t>
            </w:r>
          </w:p>
        </w:tc>
        <w:tc>
          <w:tcPr>
            <w:tcW w:w="260" w:type="dxa"/>
            <w:vAlign w:val="bottom"/>
          </w:tcPr>
          <w:p>
            <w:pPr>
              <w:spacing w:after="0"/>
              <w:rPr>
                <w:sz w:val="10"/>
                <w:szCs w:val="10"/>
                <w:color w:val="auto"/>
              </w:rPr>
            </w:pPr>
          </w:p>
        </w:tc>
        <w:tc>
          <w:tcPr>
            <w:tcW w:w="900" w:type="dxa"/>
            <w:vAlign w:val="bottom"/>
          </w:tcPr>
          <w:p>
            <w:pPr>
              <w:ind w:left="260"/>
              <w:spacing w:after="0"/>
              <w:rPr>
                <w:sz w:val="20"/>
                <w:szCs w:val="20"/>
                <w:color w:val="auto"/>
              </w:rPr>
            </w:pPr>
            <w:r>
              <w:rPr>
                <w:rFonts w:ascii="Arial" w:cs="Arial" w:eastAsia="Arial" w:hAnsi="Arial"/>
                <w:sz w:val="11"/>
                <w:szCs w:val="11"/>
                <w:b w:val="1"/>
                <w:bCs w:val="1"/>
                <w:color w:val="auto"/>
              </w:rPr>
              <w:t>Exercise</w:t>
            </w:r>
          </w:p>
        </w:tc>
        <w:tc>
          <w:tcPr>
            <w:tcW w:w="0" w:type="dxa"/>
            <w:vAlign w:val="bottom"/>
          </w:tcPr>
          <w:p>
            <w:pPr>
              <w:spacing w:after="0"/>
              <w:rPr>
                <w:sz w:val="1"/>
                <w:szCs w:val="1"/>
                <w:color w:val="auto"/>
              </w:rPr>
            </w:pPr>
          </w:p>
        </w:tc>
      </w:tr>
      <w:tr>
        <w:trPr>
          <w:trHeight w:val="128"/>
        </w:trPr>
        <w:tc>
          <w:tcPr>
            <w:tcW w:w="5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tcBorders>
              <w:bottom w:val="single" w:sz="8" w:color="auto"/>
            </w:tcBorders>
            <w:vMerge w:val="continue"/>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Outstanding</w:t>
            </w:r>
          </w:p>
        </w:tc>
        <w:tc>
          <w:tcPr>
            <w:tcW w:w="260" w:type="dxa"/>
            <w:vAlign w:val="bottom"/>
          </w:tcPr>
          <w:p>
            <w:pPr>
              <w:spacing w:after="0"/>
              <w:rPr>
                <w:sz w:val="11"/>
                <w:szCs w:val="11"/>
                <w:color w:val="auto"/>
              </w:rPr>
            </w:pPr>
          </w:p>
        </w:tc>
        <w:tc>
          <w:tcPr>
            <w:tcW w:w="900" w:type="dxa"/>
            <w:vAlign w:val="bottom"/>
            <w:tcBorders>
              <w:bottom w:val="single" w:sz="8" w:color="auto"/>
            </w:tcBorders>
          </w:tcPr>
          <w:p>
            <w:pPr>
              <w:ind w:left="260"/>
              <w:spacing w:after="0"/>
              <w:rPr>
                <w:sz w:val="20"/>
                <w:szCs w:val="20"/>
                <w:color w:val="auto"/>
              </w:rPr>
            </w:pPr>
            <w:r>
              <w:rPr>
                <w:rFonts w:ascii="Arial" w:cs="Arial" w:eastAsia="Arial" w:hAnsi="Arial"/>
                <w:sz w:val="11"/>
                <w:szCs w:val="11"/>
                <w:b w:val="1"/>
                <w:bCs w:val="1"/>
                <w:color w:val="auto"/>
              </w:rPr>
              <w:t>Price ($)</w:t>
            </w:r>
          </w:p>
        </w:tc>
        <w:tc>
          <w:tcPr>
            <w:tcW w:w="0" w:type="dxa"/>
            <w:vAlign w:val="bottom"/>
          </w:tcPr>
          <w:p>
            <w:pPr>
              <w:spacing w:after="0"/>
              <w:rPr>
                <w:sz w:val="1"/>
                <w:szCs w:val="1"/>
                <w:color w:val="auto"/>
              </w:rPr>
            </w:pPr>
          </w:p>
        </w:tc>
      </w:tr>
      <w:tr>
        <w:trPr>
          <w:trHeight w:val="30"/>
        </w:trPr>
        <w:tc>
          <w:tcPr>
            <w:tcW w:w="5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5740" w:type="dxa"/>
            <w:vAlign w:val="bottom"/>
            <w:shd w:val="clear" w:color="auto" w:fill="CCEEFF"/>
          </w:tcPr>
          <w:p>
            <w:pPr>
              <w:spacing w:after="0"/>
              <w:rPr>
                <w:sz w:val="20"/>
                <w:szCs w:val="20"/>
                <w:color w:val="auto"/>
              </w:rPr>
            </w:pPr>
            <w:r>
              <w:rPr>
                <w:rFonts w:ascii="Arial" w:cs="Arial" w:eastAsia="Arial" w:hAnsi="Arial"/>
                <w:sz w:val="13"/>
                <w:szCs w:val="13"/>
                <w:color w:val="auto"/>
              </w:rPr>
              <w:t>John C. Pope</w:t>
            </w:r>
          </w:p>
        </w:tc>
        <w:tc>
          <w:tcPr>
            <w:tcW w:w="1500" w:type="dxa"/>
            <w:vAlign w:val="bottom"/>
            <w:gridSpan w:val="2"/>
            <w:shd w:val="clear" w:color="auto" w:fill="CCEEFF"/>
          </w:tcPr>
          <w:p>
            <w:pPr>
              <w:jc w:val="center"/>
              <w:ind w:left="133"/>
              <w:spacing w:after="0"/>
              <w:rPr>
                <w:sz w:val="20"/>
                <w:szCs w:val="20"/>
                <w:color w:val="auto"/>
              </w:rPr>
            </w:pPr>
            <w:r>
              <w:rPr>
                <w:rFonts w:ascii="Arial" w:cs="Arial" w:eastAsia="Arial" w:hAnsi="Arial"/>
                <w:sz w:val="13"/>
                <w:szCs w:val="13"/>
                <w:color w:val="auto"/>
                <w:w w:val="95"/>
              </w:rPr>
              <w:t>01/02/2002</w:t>
            </w:r>
          </w:p>
        </w:tc>
        <w:tc>
          <w:tcPr>
            <w:tcW w:w="1580" w:type="dxa"/>
            <w:vAlign w:val="bottom"/>
            <w:gridSpan w:val="2"/>
            <w:shd w:val="clear" w:color="auto" w:fill="CCEEFF"/>
          </w:tcPr>
          <w:p>
            <w:pPr>
              <w:jc w:val="center"/>
              <w:ind w:left="213"/>
              <w:spacing w:after="0"/>
              <w:rPr>
                <w:sz w:val="20"/>
                <w:szCs w:val="20"/>
                <w:color w:val="auto"/>
              </w:rPr>
            </w:pPr>
            <w:r>
              <w:rPr>
                <w:rFonts w:ascii="Arial" w:cs="Arial" w:eastAsia="Arial" w:hAnsi="Arial"/>
                <w:sz w:val="13"/>
                <w:szCs w:val="13"/>
                <w:color w:val="auto"/>
                <w:w w:val="95"/>
              </w:rPr>
              <w:t>10,000</w:t>
            </w:r>
          </w:p>
        </w:tc>
        <w:tc>
          <w:tcPr>
            <w:tcW w:w="116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30.240</w:t>
            </w:r>
          </w:p>
        </w:tc>
        <w:tc>
          <w:tcPr>
            <w:tcW w:w="0" w:type="dxa"/>
            <w:vAlign w:val="bottom"/>
          </w:tcPr>
          <w:p>
            <w:pPr>
              <w:spacing w:after="0"/>
              <w:rPr>
                <w:sz w:val="1"/>
                <w:szCs w:val="1"/>
                <w:color w:val="auto"/>
              </w:rPr>
            </w:pPr>
          </w:p>
        </w:tc>
      </w:tr>
      <w:tr>
        <w:trPr>
          <w:trHeight w:val="161"/>
        </w:trPr>
        <w:tc>
          <w:tcPr>
            <w:tcW w:w="574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center"/>
              <w:ind w:left="133"/>
              <w:spacing w:after="0"/>
              <w:rPr>
                <w:sz w:val="20"/>
                <w:szCs w:val="20"/>
                <w:color w:val="auto"/>
              </w:rPr>
            </w:pPr>
            <w:r>
              <w:rPr>
                <w:rFonts w:ascii="Arial" w:cs="Arial" w:eastAsia="Arial" w:hAnsi="Arial"/>
                <w:sz w:val="13"/>
                <w:szCs w:val="13"/>
                <w:color w:val="auto"/>
                <w:w w:val="95"/>
              </w:rPr>
              <w:t>01/02/2001</w:t>
            </w:r>
          </w:p>
        </w:tc>
        <w:tc>
          <w:tcPr>
            <w:tcW w:w="1580" w:type="dxa"/>
            <w:vAlign w:val="bottom"/>
            <w:gridSpan w:val="2"/>
            <w:shd w:val="clear" w:color="auto" w:fill="CCEEFF"/>
          </w:tcPr>
          <w:p>
            <w:pPr>
              <w:jc w:val="center"/>
              <w:ind w:left="213"/>
              <w:spacing w:after="0"/>
              <w:rPr>
                <w:sz w:val="20"/>
                <w:szCs w:val="20"/>
                <w:color w:val="auto"/>
              </w:rPr>
            </w:pPr>
            <w:r>
              <w:rPr>
                <w:rFonts w:ascii="Arial" w:cs="Arial" w:eastAsia="Arial" w:hAnsi="Arial"/>
                <w:sz w:val="13"/>
                <w:szCs w:val="13"/>
                <w:color w:val="auto"/>
                <w:w w:val="95"/>
              </w:rPr>
              <w:t>10,000</w:t>
            </w:r>
          </w:p>
        </w:tc>
        <w:tc>
          <w:tcPr>
            <w:tcW w:w="116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26.375</w:t>
            </w:r>
          </w:p>
        </w:tc>
        <w:tc>
          <w:tcPr>
            <w:tcW w:w="0" w:type="dxa"/>
            <w:vAlign w:val="bottom"/>
          </w:tcPr>
          <w:p>
            <w:pPr>
              <w:spacing w:after="0"/>
              <w:rPr>
                <w:sz w:val="1"/>
                <w:szCs w:val="1"/>
                <w:color w:val="auto"/>
              </w:rPr>
            </w:pPr>
          </w:p>
        </w:tc>
      </w:tr>
      <w:tr>
        <w:trPr>
          <w:trHeight w:val="150"/>
        </w:trPr>
        <w:tc>
          <w:tcPr>
            <w:tcW w:w="5740" w:type="dxa"/>
            <w:vAlign w:val="bottom"/>
          </w:tcPr>
          <w:p>
            <w:pPr>
              <w:spacing w:after="0"/>
              <w:rPr>
                <w:sz w:val="20"/>
                <w:szCs w:val="20"/>
                <w:color w:val="auto"/>
              </w:rPr>
            </w:pPr>
            <w:r>
              <w:rPr>
                <w:rFonts w:ascii="Arial" w:cs="Arial" w:eastAsia="Arial" w:hAnsi="Arial"/>
                <w:sz w:val="13"/>
                <w:szCs w:val="13"/>
                <w:color w:val="auto"/>
              </w:rPr>
              <w:t>Pastora San Juan Cafferty</w:t>
            </w:r>
          </w:p>
        </w:tc>
        <w:tc>
          <w:tcPr>
            <w:tcW w:w="1500" w:type="dxa"/>
            <w:vAlign w:val="bottom"/>
            <w:gridSpan w:val="2"/>
          </w:tcPr>
          <w:p>
            <w:pPr>
              <w:jc w:val="center"/>
              <w:ind w:left="133"/>
              <w:spacing w:after="0"/>
              <w:rPr>
                <w:sz w:val="20"/>
                <w:szCs w:val="20"/>
                <w:color w:val="auto"/>
              </w:rPr>
            </w:pPr>
            <w:r>
              <w:rPr>
                <w:rFonts w:ascii="Arial" w:cs="Arial" w:eastAsia="Arial" w:hAnsi="Arial"/>
                <w:sz w:val="13"/>
                <w:szCs w:val="13"/>
                <w:color w:val="auto"/>
                <w:w w:val="95"/>
              </w:rPr>
              <w:t>01/02/2002</w:t>
            </w:r>
          </w:p>
        </w:tc>
        <w:tc>
          <w:tcPr>
            <w:tcW w:w="1580" w:type="dxa"/>
            <w:vAlign w:val="bottom"/>
            <w:gridSpan w:val="2"/>
          </w:tcPr>
          <w:p>
            <w:pPr>
              <w:jc w:val="center"/>
              <w:ind w:left="213"/>
              <w:spacing w:after="0"/>
              <w:rPr>
                <w:sz w:val="20"/>
                <w:szCs w:val="20"/>
                <w:color w:val="auto"/>
              </w:rPr>
            </w:pPr>
            <w:r>
              <w:rPr>
                <w:rFonts w:ascii="Arial" w:cs="Arial" w:eastAsia="Arial" w:hAnsi="Arial"/>
                <w:sz w:val="13"/>
                <w:szCs w:val="13"/>
                <w:color w:val="auto"/>
                <w:w w:val="95"/>
              </w:rPr>
              <w:t>10,000</w:t>
            </w:r>
          </w:p>
        </w:tc>
        <w:tc>
          <w:tcPr>
            <w:tcW w:w="1160" w:type="dxa"/>
            <w:vAlign w:val="bottom"/>
            <w:gridSpan w:val="2"/>
          </w:tcPr>
          <w:p>
            <w:pPr>
              <w:ind w:left="540"/>
              <w:spacing w:after="0"/>
              <w:rPr>
                <w:sz w:val="20"/>
                <w:szCs w:val="20"/>
                <w:color w:val="auto"/>
              </w:rPr>
            </w:pPr>
            <w:r>
              <w:rPr>
                <w:rFonts w:ascii="Arial" w:cs="Arial" w:eastAsia="Arial" w:hAnsi="Arial"/>
                <w:sz w:val="13"/>
                <w:szCs w:val="13"/>
                <w:color w:val="auto"/>
              </w:rPr>
              <w:t>30.240</w:t>
            </w:r>
          </w:p>
        </w:tc>
        <w:tc>
          <w:tcPr>
            <w:tcW w:w="0" w:type="dxa"/>
            <w:vAlign w:val="bottom"/>
          </w:tcPr>
          <w:p>
            <w:pPr>
              <w:spacing w:after="0"/>
              <w:rPr>
                <w:sz w:val="1"/>
                <w:szCs w:val="1"/>
                <w:color w:val="auto"/>
              </w:rPr>
            </w:pPr>
          </w:p>
        </w:tc>
      </w:tr>
      <w:tr>
        <w:trPr>
          <w:trHeight w:val="172"/>
        </w:trPr>
        <w:tc>
          <w:tcPr>
            <w:tcW w:w="5740" w:type="dxa"/>
            <w:vAlign w:val="bottom"/>
          </w:tcPr>
          <w:p>
            <w:pPr>
              <w:spacing w:after="0"/>
              <w:rPr>
                <w:sz w:val="14"/>
                <w:szCs w:val="14"/>
                <w:color w:val="auto"/>
              </w:rPr>
            </w:pPr>
          </w:p>
        </w:tc>
        <w:tc>
          <w:tcPr>
            <w:tcW w:w="1500" w:type="dxa"/>
            <w:vAlign w:val="bottom"/>
            <w:gridSpan w:val="2"/>
          </w:tcPr>
          <w:p>
            <w:pPr>
              <w:jc w:val="center"/>
              <w:ind w:left="133"/>
              <w:spacing w:after="0"/>
              <w:rPr>
                <w:sz w:val="20"/>
                <w:szCs w:val="20"/>
                <w:color w:val="auto"/>
              </w:rPr>
            </w:pPr>
            <w:r>
              <w:rPr>
                <w:rFonts w:ascii="Arial" w:cs="Arial" w:eastAsia="Arial" w:hAnsi="Arial"/>
                <w:sz w:val="13"/>
                <w:szCs w:val="13"/>
                <w:color w:val="auto"/>
                <w:w w:val="95"/>
              </w:rPr>
              <w:t>01/02/2001</w:t>
            </w:r>
          </w:p>
        </w:tc>
        <w:tc>
          <w:tcPr>
            <w:tcW w:w="1580" w:type="dxa"/>
            <w:vAlign w:val="bottom"/>
            <w:gridSpan w:val="2"/>
          </w:tcPr>
          <w:p>
            <w:pPr>
              <w:jc w:val="center"/>
              <w:ind w:left="213"/>
              <w:spacing w:after="0"/>
              <w:rPr>
                <w:sz w:val="20"/>
                <w:szCs w:val="20"/>
                <w:color w:val="auto"/>
              </w:rPr>
            </w:pPr>
            <w:r>
              <w:rPr>
                <w:rFonts w:ascii="Arial" w:cs="Arial" w:eastAsia="Arial" w:hAnsi="Arial"/>
                <w:sz w:val="13"/>
                <w:szCs w:val="13"/>
                <w:color w:val="auto"/>
                <w:w w:val="95"/>
              </w:rPr>
              <w:t>10,000</w:t>
            </w:r>
          </w:p>
        </w:tc>
        <w:tc>
          <w:tcPr>
            <w:tcW w:w="1160" w:type="dxa"/>
            <w:vAlign w:val="bottom"/>
            <w:gridSpan w:val="2"/>
          </w:tcPr>
          <w:p>
            <w:pPr>
              <w:ind w:left="540"/>
              <w:spacing w:after="0"/>
              <w:rPr>
                <w:sz w:val="20"/>
                <w:szCs w:val="20"/>
                <w:color w:val="auto"/>
              </w:rPr>
            </w:pPr>
            <w:r>
              <w:rPr>
                <w:rFonts w:ascii="Arial" w:cs="Arial" w:eastAsia="Arial" w:hAnsi="Arial"/>
                <w:sz w:val="13"/>
                <w:szCs w:val="13"/>
                <w:color w:val="auto"/>
              </w:rPr>
              <w:t>26.375</w:t>
            </w:r>
          </w:p>
        </w:tc>
        <w:tc>
          <w:tcPr>
            <w:tcW w:w="0" w:type="dxa"/>
            <w:vAlign w:val="bottom"/>
          </w:tcPr>
          <w:p>
            <w:pPr>
              <w:spacing w:after="0"/>
              <w:rPr>
                <w:sz w:val="1"/>
                <w:szCs w:val="1"/>
                <w:color w:val="auto"/>
              </w:rPr>
            </w:pPr>
          </w:p>
        </w:tc>
      </w:tr>
      <w:tr>
        <w:trPr>
          <w:trHeight w:val="161"/>
        </w:trPr>
        <w:tc>
          <w:tcPr>
            <w:tcW w:w="5740" w:type="dxa"/>
            <w:vAlign w:val="bottom"/>
            <w:shd w:val="clear" w:color="auto" w:fill="CCEEFF"/>
          </w:tcPr>
          <w:p>
            <w:pPr>
              <w:spacing w:after="0"/>
              <w:rPr>
                <w:sz w:val="20"/>
                <w:szCs w:val="20"/>
                <w:color w:val="auto"/>
              </w:rPr>
            </w:pPr>
            <w:r>
              <w:rPr>
                <w:rFonts w:ascii="Arial" w:cs="Arial" w:eastAsia="Arial" w:hAnsi="Arial"/>
                <w:sz w:val="13"/>
                <w:szCs w:val="13"/>
                <w:color w:val="auto"/>
              </w:rPr>
              <w:t>Steven G. Rothmeier</w:t>
            </w:r>
          </w:p>
        </w:tc>
        <w:tc>
          <w:tcPr>
            <w:tcW w:w="1500" w:type="dxa"/>
            <w:vAlign w:val="bottom"/>
            <w:gridSpan w:val="2"/>
            <w:shd w:val="clear" w:color="auto" w:fill="CCEEFF"/>
          </w:tcPr>
          <w:p>
            <w:pPr>
              <w:jc w:val="center"/>
              <w:ind w:left="133"/>
              <w:spacing w:after="0"/>
              <w:rPr>
                <w:sz w:val="20"/>
                <w:szCs w:val="20"/>
                <w:color w:val="auto"/>
              </w:rPr>
            </w:pPr>
            <w:r>
              <w:rPr>
                <w:rFonts w:ascii="Arial" w:cs="Arial" w:eastAsia="Arial" w:hAnsi="Arial"/>
                <w:sz w:val="13"/>
                <w:szCs w:val="13"/>
                <w:color w:val="auto"/>
                <w:w w:val="95"/>
              </w:rPr>
              <w:t>01/02/2002</w:t>
            </w:r>
          </w:p>
        </w:tc>
        <w:tc>
          <w:tcPr>
            <w:tcW w:w="1580" w:type="dxa"/>
            <w:vAlign w:val="bottom"/>
            <w:gridSpan w:val="2"/>
            <w:shd w:val="clear" w:color="auto" w:fill="CCEEFF"/>
          </w:tcPr>
          <w:p>
            <w:pPr>
              <w:jc w:val="center"/>
              <w:ind w:left="213"/>
              <w:spacing w:after="0"/>
              <w:rPr>
                <w:sz w:val="20"/>
                <w:szCs w:val="20"/>
                <w:color w:val="auto"/>
              </w:rPr>
            </w:pPr>
            <w:r>
              <w:rPr>
                <w:rFonts w:ascii="Arial" w:cs="Arial" w:eastAsia="Arial" w:hAnsi="Arial"/>
                <w:sz w:val="13"/>
                <w:szCs w:val="13"/>
                <w:color w:val="auto"/>
                <w:w w:val="95"/>
              </w:rPr>
              <w:t>10,000</w:t>
            </w:r>
          </w:p>
        </w:tc>
        <w:tc>
          <w:tcPr>
            <w:tcW w:w="116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30.240</w:t>
            </w:r>
          </w:p>
        </w:tc>
        <w:tc>
          <w:tcPr>
            <w:tcW w:w="0" w:type="dxa"/>
            <w:vAlign w:val="bottom"/>
          </w:tcPr>
          <w:p>
            <w:pPr>
              <w:spacing w:after="0"/>
              <w:rPr>
                <w:sz w:val="1"/>
                <w:szCs w:val="1"/>
                <w:color w:val="auto"/>
              </w:rPr>
            </w:pPr>
          </w:p>
        </w:tc>
      </w:tr>
      <w:tr>
        <w:trPr>
          <w:trHeight w:val="161"/>
        </w:trPr>
        <w:tc>
          <w:tcPr>
            <w:tcW w:w="574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center"/>
              <w:ind w:left="133"/>
              <w:spacing w:after="0"/>
              <w:rPr>
                <w:sz w:val="20"/>
                <w:szCs w:val="20"/>
                <w:color w:val="auto"/>
              </w:rPr>
            </w:pPr>
            <w:r>
              <w:rPr>
                <w:rFonts w:ascii="Arial" w:cs="Arial" w:eastAsia="Arial" w:hAnsi="Arial"/>
                <w:sz w:val="13"/>
                <w:szCs w:val="13"/>
                <w:color w:val="auto"/>
                <w:w w:val="95"/>
              </w:rPr>
              <w:t>01/02/2001</w:t>
            </w:r>
          </w:p>
        </w:tc>
        <w:tc>
          <w:tcPr>
            <w:tcW w:w="1580" w:type="dxa"/>
            <w:vAlign w:val="bottom"/>
            <w:gridSpan w:val="2"/>
            <w:shd w:val="clear" w:color="auto" w:fill="CCEEFF"/>
          </w:tcPr>
          <w:p>
            <w:pPr>
              <w:jc w:val="center"/>
              <w:ind w:left="213"/>
              <w:spacing w:after="0"/>
              <w:rPr>
                <w:sz w:val="20"/>
                <w:szCs w:val="20"/>
                <w:color w:val="auto"/>
              </w:rPr>
            </w:pPr>
            <w:r>
              <w:rPr>
                <w:rFonts w:ascii="Arial" w:cs="Arial" w:eastAsia="Arial" w:hAnsi="Arial"/>
                <w:sz w:val="13"/>
                <w:szCs w:val="13"/>
                <w:color w:val="auto"/>
                <w:w w:val="95"/>
              </w:rPr>
              <w:t>10,000</w:t>
            </w:r>
          </w:p>
        </w:tc>
        <w:tc>
          <w:tcPr>
            <w:tcW w:w="116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26.375</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On December 31, 2009, Mr. Pope received a cash payment of $50,295, representing the payment of compensation earned in 2000 that Mr. Pope had deferred. The amount represents 1,488 phantom stock units that had been accrued under the Company’s 1999 Directors’ Deferred Compensation Plan and was paid in accordance with a deferral election that Mr. Pope had made in 1999. There are no phantom stock units outstanding under the 1999 Directors’ Deferred Compensation Plan.</w:t>
      </w:r>
    </w:p>
    <w:p>
      <w:pPr>
        <w:spacing w:after="0" w:line="26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jc w:val="center"/>
        <w:ind w:right="-779"/>
        <w:spacing w:after="0"/>
        <w:rPr>
          <w:sz w:val="20"/>
          <w:szCs w:val="20"/>
          <w:color w:val="auto"/>
        </w:rPr>
      </w:pPr>
      <w:r>
        <w:rPr>
          <w:rFonts w:ascii="Arial" w:cs="Arial" w:eastAsia="Arial" w:hAnsi="Arial"/>
          <w:sz w:val="13"/>
          <w:szCs w:val="13"/>
          <w:b w:val="1"/>
          <w:bCs w:val="1"/>
          <w:color w:val="auto"/>
        </w:rPr>
        <w:t>ELECTION OF DIRECTORS</w:t>
      </w:r>
    </w:p>
    <w:p>
      <w:pPr>
        <w:spacing w:after="0" w:line="24" w:lineRule="exact"/>
        <w:rPr>
          <w:sz w:val="20"/>
          <w:szCs w:val="20"/>
          <w:color w:val="auto"/>
        </w:rPr>
      </w:pPr>
    </w:p>
    <w:p>
      <w:pPr>
        <w:jc w:val="center"/>
        <w:ind w:right="-779"/>
        <w:spacing w:after="0"/>
        <w:rPr>
          <w:sz w:val="20"/>
          <w:szCs w:val="20"/>
          <w:color w:val="auto"/>
        </w:rPr>
      </w:pPr>
      <w:r>
        <w:rPr>
          <w:rFonts w:ascii="Arial" w:cs="Arial" w:eastAsia="Arial" w:hAnsi="Arial"/>
          <w:sz w:val="13"/>
          <w:szCs w:val="13"/>
          <w:b w:val="1"/>
          <w:bCs w:val="1"/>
          <w:color w:val="auto"/>
        </w:rPr>
        <w:t>(Item 1 on the Proxy Card)</w:t>
      </w:r>
    </w:p>
    <w:p>
      <w:pPr>
        <w:spacing w:after="0" w:line="92" w:lineRule="exact"/>
        <w:rPr>
          <w:sz w:val="20"/>
          <w:szCs w:val="20"/>
          <w:color w:val="auto"/>
        </w:rPr>
      </w:pPr>
    </w:p>
    <w:p>
      <w:pPr>
        <w:ind w:left="680" w:right="20" w:firstLine="399"/>
        <w:spacing w:after="0" w:line="295" w:lineRule="auto"/>
        <w:rPr>
          <w:sz w:val="20"/>
          <w:szCs w:val="20"/>
          <w:color w:val="auto"/>
        </w:rPr>
      </w:pPr>
      <w:r>
        <w:rPr>
          <w:rFonts w:ascii="Arial" w:cs="Arial" w:eastAsia="Arial" w:hAnsi="Arial"/>
          <w:sz w:val="12"/>
          <w:szCs w:val="12"/>
          <w:color w:val="auto"/>
        </w:rPr>
        <w:t xml:space="preserve">The first proposal on the agenda is the election of eight directors to serve until the 2011 Annual Meeting of Stockholders or until their respective successors have been duly elected and qualified. The Board has nominated the eight director candidates named below, and recommends that you vote </w:t>
      </w:r>
      <w:r>
        <w:rPr>
          <w:rFonts w:ascii="Arial" w:cs="Arial" w:eastAsia="Arial" w:hAnsi="Arial"/>
          <w:sz w:val="12"/>
          <w:szCs w:val="12"/>
          <w:b w:val="1"/>
          <w:bCs w:val="1"/>
          <w:color w:val="auto"/>
        </w:rPr>
        <w:t>FOR</w:t>
      </w:r>
      <w:r>
        <w:rPr>
          <w:rFonts w:ascii="Arial" w:cs="Arial" w:eastAsia="Arial" w:hAnsi="Arial"/>
          <w:sz w:val="12"/>
          <w:szCs w:val="12"/>
          <w:color w:val="auto"/>
        </w:rPr>
        <w:t xml:space="preserve"> their election. If any nominee is unable or unwilling to serve as a director, which we do not anticipate, the Board, by resolution, may reduce the number of directors that constitute the Board or may choose a substitute. Our Bylaws provide that if any director nominee does not receive more than 50% of the votes cast for his election, he will tender his resignation to the Board of Directors. The Nominating and Governance Committee will then make a recommendation to the Board on whether to accept or reject the resignation, or whether other action should be taken.</w:t>
      </w:r>
    </w:p>
    <w:p>
      <w:pPr>
        <w:spacing w:after="0" w:line="49" w:lineRule="exact"/>
        <w:rPr>
          <w:sz w:val="20"/>
          <w:szCs w:val="20"/>
          <w:color w:val="auto"/>
        </w:rPr>
      </w:pPr>
    </w:p>
    <w:p>
      <w:pPr>
        <w:ind w:left="680" w:right="40" w:firstLine="399"/>
        <w:spacing w:after="0" w:line="270" w:lineRule="auto"/>
        <w:rPr>
          <w:sz w:val="20"/>
          <w:szCs w:val="20"/>
          <w:color w:val="auto"/>
        </w:rPr>
      </w:pPr>
      <w:r>
        <w:rPr>
          <w:rFonts w:ascii="Arial" w:cs="Arial" w:eastAsia="Arial" w:hAnsi="Arial"/>
          <w:sz w:val="13"/>
          <w:szCs w:val="13"/>
          <w:color w:val="auto"/>
        </w:rPr>
        <w:t>The table below shows all of our director nominees; their ages, terms of office on our Board; experience within the past five years; and their qualifications we considered when inviting them to join our Board as well as nominating them for re-election. We believe that, as a general matter, our directors’ past five years of experience gives an indication of the wealth of knowledge and experience these individuals have and that we considered; however, we have also indicated the specific skills and areas of expertise we believe makes each of these individuals a valuable member of our Board.</w:t>
      </w:r>
    </w:p>
    <w:p>
      <w:pPr>
        <w:spacing w:after="0" w:line="141" w:lineRule="exact"/>
        <w:rPr>
          <w:sz w:val="20"/>
          <w:szCs w:val="20"/>
          <w:color w:val="auto"/>
        </w:rPr>
      </w:pPr>
    </w:p>
    <w:p>
      <w:pPr>
        <w:ind w:left="5140"/>
        <w:spacing w:after="0"/>
        <w:rPr>
          <w:sz w:val="20"/>
          <w:szCs w:val="20"/>
          <w:color w:val="auto"/>
        </w:rPr>
      </w:pPr>
      <w:r>
        <w:rPr>
          <w:rFonts w:ascii="Arial" w:cs="Arial" w:eastAsia="Arial" w:hAnsi="Arial"/>
          <w:sz w:val="13"/>
          <w:szCs w:val="13"/>
          <w:b w:val="1"/>
          <w:bCs w:val="1"/>
          <w:color w:val="auto"/>
        </w:rPr>
        <w:t>Director Nominees</w:t>
      </w:r>
    </w:p>
    <w:p>
      <w:pPr>
        <w:sectPr>
          <w:pgSz w:w="11900" w:h="16838" w:orient="portrait"/>
          <w:cols w:equalWidth="0" w:num="1">
            <w:col w:w="10580"/>
          </w:cols>
          <w:pgMar w:left="220" w:top="349" w:right="1099" w:bottom="1440" w:gutter="0" w:footer="0" w:header="0"/>
        </w:sectPr>
      </w:pPr>
    </w:p>
    <w:p>
      <w:pPr>
        <w:spacing w:after="0" w:line="108" w:lineRule="exact"/>
        <w:rPr>
          <w:sz w:val="20"/>
          <w:szCs w:val="20"/>
          <w:color w:val="auto"/>
        </w:rPr>
      </w:pPr>
    </w:p>
    <w:p>
      <w:pPr>
        <w:ind w:left="680"/>
        <w:spacing w:after="0"/>
        <w:rPr>
          <w:sz w:val="20"/>
          <w:szCs w:val="20"/>
          <w:color w:val="auto"/>
        </w:rPr>
      </w:pPr>
      <w:r>
        <w:rPr>
          <w:rFonts w:ascii="Arial" w:cs="Arial" w:eastAsia="Arial" w:hAnsi="Arial"/>
          <w:sz w:val="11"/>
          <w:szCs w:val="11"/>
          <w:b w:val="1"/>
          <w:bCs w:val="1"/>
          <w:u w:val="single" w:color="auto"/>
          <w:color w:val="auto"/>
        </w:rPr>
        <w:t>D</w:t>
      </w:r>
      <w:r>
        <w:rPr>
          <w:rFonts w:ascii="Arial" w:cs="Arial" w:eastAsia="Arial" w:hAnsi="Arial"/>
          <w:sz w:val="11"/>
          <w:szCs w:val="11"/>
          <w:b w:val="1"/>
          <w:bCs w:val="1"/>
          <w:color w:val="auto"/>
        </w:rPr>
        <w:t>irector</w:t>
      </w:r>
    </w:p>
    <w:p>
      <w:pPr>
        <w:spacing w:after="0" w:line="4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Pastora San Juan Cafferty, 69</w:t>
      </w:r>
    </w:p>
    <w:p>
      <w:pPr>
        <w:spacing w:after="0" w:line="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Director since 1994</w:t>
      </w:r>
    </w:p>
    <w:p>
      <w:pPr>
        <w:spacing w:after="0" w:line="12" w:lineRule="exact"/>
        <w:rPr>
          <w:sz w:val="20"/>
          <w:szCs w:val="20"/>
          <w:color w:val="auto"/>
        </w:rPr>
      </w:pPr>
    </w:p>
    <w:p>
      <w:pPr>
        <w:ind w:left="680" w:right="240"/>
        <w:spacing w:after="0" w:line="277" w:lineRule="auto"/>
        <w:rPr>
          <w:sz w:val="20"/>
          <w:szCs w:val="20"/>
          <w:color w:val="auto"/>
        </w:rPr>
      </w:pPr>
      <w:r>
        <w:rPr>
          <w:rFonts w:ascii="Arial" w:cs="Arial" w:eastAsia="Arial" w:hAnsi="Arial"/>
          <w:sz w:val="13"/>
          <w:szCs w:val="13"/>
          <w:color w:val="auto"/>
        </w:rPr>
        <w:t>Professor Emerita — University of Chicago since June 2005; Professor — University of Chicago from 1985 to 2005; and faculty member from 1971 to 2005.</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Director of Integrys Energy Group, Inc., or one of its predecessors, since 1988.</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Director of Harris Financial Corporation, a private corporation, since 1997.</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Director of Kimberly Clark Corporation from 1976 to 2007.</w:t>
      </w:r>
    </w:p>
    <w:p>
      <w:pPr>
        <w:spacing w:after="0" w:line="13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Frank M. Clark, Jr., 64</w:t>
      </w:r>
    </w:p>
    <w:p>
      <w:pPr>
        <w:spacing w:after="0" w:line="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Director since 2002</w:t>
      </w:r>
    </w:p>
    <w:p>
      <w:pPr>
        <w:spacing w:after="0" w:line="12" w:lineRule="exact"/>
        <w:rPr>
          <w:sz w:val="20"/>
          <w:szCs w:val="20"/>
          <w:color w:val="auto"/>
        </w:rPr>
      </w:pPr>
    </w:p>
    <w:p>
      <w:pPr>
        <w:jc w:val="both"/>
        <w:ind w:left="680"/>
        <w:spacing w:after="0" w:line="268" w:lineRule="auto"/>
        <w:rPr>
          <w:sz w:val="20"/>
          <w:szCs w:val="20"/>
          <w:color w:val="auto"/>
        </w:rPr>
      </w:pPr>
      <w:r>
        <w:rPr>
          <w:rFonts w:ascii="Arial" w:cs="Arial" w:eastAsia="Arial" w:hAnsi="Arial"/>
          <w:sz w:val="13"/>
          <w:szCs w:val="13"/>
          <w:color w:val="auto"/>
        </w:rPr>
        <w:t>Chairman and Chief Executive Officer — ComEd (energy services company and subsidiary of Exelon Corporation) since November 2005; President — ComEd from 2001 to November 2005.</w:t>
      </w:r>
    </w:p>
    <w:p>
      <w:pPr>
        <w:spacing w:after="0" w:line="134" w:lineRule="exact"/>
        <w:rPr>
          <w:sz w:val="20"/>
          <w:szCs w:val="20"/>
          <w:color w:val="auto"/>
        </w:rPr>
      </w:pPr>
    </w:p>
    <w:p>
      <w:pPr>
        <w:jc w:val="both"/>
        <w:ind w:left="680" w:right="160"/>
        <w:spacing w:after="0" w:line="276" w:lineRule="auto"/>
        <w:rPr>
          <w:sz w:val="20"/>
          <w:szCs w:val="20"/>
          <w:color w:val="auto"/>
        </w:rPr>
      </w:pPr>
      <w:r>
        <w:rPr>
          <w:rFonts w:ascii="Arial" w:cs="Arial" w:eastAsia="Arial" w:hAnsi="Arial"/>
          <w:sz w:val="13"/>
          <w:szCs w:val="13"/>
          <w:color w:val="auto"/>
        </w:rPr>
        <w:t>Executive Vice President and Chief of Staff — Exelon Corporation (public utility holding company) from 2004 to 2005; Senior Vice President — Exelon Corporation from 2002 to 2004.</w:t>
      </w:r>
    </w:p>
    <w:p>
      <w:pPr>
        <w:spacing w:after="0" w:line="12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Director of Harris Financial Corporation, a private corporation, since 2005.</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Director of Aetna, Inc. since 2006.</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Director of Shore Bank, a private corporation, from 2004 to 2005.</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left="2360"/>
        <w:spacing w:after="0"/>
        <w:rPr>
          <w:sz w:val="20"/>
          <w:szCs w:val="20"/>
          <w:color w:val="auto"/>
        </w:rPr>
      </w:pPr>
      <w:r>
        <w:rPr>
          <w:rFonts w:ascii="Arial" w:cs="Arial" w:eastAsia="Arial" w:hAnsi="Arial"/>
          <w:sz w:val="11"/>
          <w:szCs w:val="11"/>
          <w:b w:val="1"/>
          <w:bCs w:val="1"/>
          <w:u w:val="single" w:color="auto"/>
          <w:color w:val="auto"/>
        </w:rPr>
        <w:t>Q</w:t>
      </w:r>
      <w:r>
        <w:rPr>
          <w:rFonts w:ascii="Arial" w:cs="Arial" w:eastAsia="Arial" w:hAnsi="Arial"/>
          <w:sz w:val="11"/>
          <w:szCs w:val="11"/>
          <w:b w:val="1"/>
          <w:bCs w:val="1"/>
          <w:color w:val="auto"/>
        </w:rPr>
        <w:t>ualifications</w:t>
      </w:r>
    </w:p>
    <w:p>
      <w:pPr>
        <w:spacing w:after="0" w:line="374" w:lineRule="exact"/>
        <w:rPr>
          <w:sz w:val="20"/>
          <w:szCs w:val="20"/>
          <w:color w:val="auto"/>
        </w:rPr>
      </w:pPr>
    </w:p>
    <w:p>
      <w:pPr>
        <w:ind w:right="80"/>
        <w:spacing w:after="0" w:line="299" w:lineRule="auto"/>
        <w:rPr>
          <w:sz w:val="20"/>
          <w:szCs w:val="20"/>
          <w:color w:val="auto"/>
        </w:rPr>
      </w:pPr>
      <w:r>
        <w:rPr>
          <w:rFonts w:ascii="Arial" w:cs="Arial" w:eastAsia="Arial" w:hAnsi="Arial"/>
          <w:sz w:val="12"/>
          <w:szCs w:val="12"/>
          <w:color w:val="auto"/>
        </w:rPr>
        <w:t>Ms. Cafferty has significant expertise in areas of public policy, strategic planning, and government and community relations through her 34-year professorship with the University of Chicago. Additionally, she has served as a director on multiple public company boards and brings over 30 years of board experience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270" w:lineRule="auto"/>
        <w:rPr>
          <w:sz w:val="20"/>
          <w:szCs w:val="20"/>
          <w:color w:val="auto"/>
        </w:rPr>
      </w:pPr>
      <w:r>
        <w:rPr>
          <w:rFonts w:ascii="Arial" w:cs="Arial" w:eastAsia="Arial" w:hAnsi="Arial"/>
          <w:sz w:val="13"/>
          <w:szCs w:val="13"/>
          <w:color w:val="auto"/>
        </w:rPr>
        <w:t>Mr. Clark has served in executive positions at a large public utility company for several years, providing him with extensive experience and knowledge of large company management, operations and business critical functions. He also brings eight years of experience as a member of a public company board of directors.</w:t>
      </w:r>
    </w:p>
    <w:p>
      <w:pPr>
        <w:spacing w:after="0" w:line="1611" w:lineRule="exact"/>
        <w:rPr>
          <w:sz w:val="20"/>
          <w:szCs w:val="20"/>
          <w:color w:val="auto"/>
        </w:rPr>
      </w:pPr>
    </w:p>
    <w:p>
      <w:pPr>
        <w:sectPr>
          <w:pgSz w:w="11900" w:h="16838" w:orient="portrait"/>
          <w:cols w:equalWidth="0" w:num="2">
            <w:col w:w="5680" w:space="200"/>
            <w:col w:w="4700"/>
          </w:cols>
          <w:pgMar w:left="220" w:top="349" w:right="1099" w:bottom="1440" w:gutter="0" w:footer="0" w:header="0"/>
          <w:type w:val="continuous"/>
        </w:sectPr>
      </w:pPr>
    </w:p>
    <w:p>
      <w:pPr>
        <w:spacing w:after="0" w:line="114" w:lineRule="exact"/>
        <w:rPr>
          <w:sz w:val="20"/>
          <w:szCs w:val="20"/>
          <w:color w:val="auto"/>
        </w:rPr>
      </w:pPr>
    </w:p>
    <w:p>
      <w:pPr>
        <w:ind w:left="5600"/>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120650</wp:posOffset>
            </wp:positionV>
            <wp:extent cx="728789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580"/>
          </w:cols>
          <w:pgMar w:left="220" w:top="349" w:right="1099" w:bottom="1440" w:gutter="0" w:footer="0" w:header="0"/>
          <w:type w:val="continuous"/>
        </w:sectPr>
      </w:pPr>
    </w:p>
    <w:bookmarkStart w:id="18" w:name="page19"/>
    <w:bookmarkEnd w:id="1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9" w:lineRule="exact"/>
        <w:rPr>
          <w:sz w:val="20"/>
          <w:szCs w:val="20"/>
          <w:color w:val="auto"/>
        </w:rPr>
      </w:pPr>
    </w:p>
    <w:p>
      <w:pPr>
        <w:ind w:left="680"/>
        <w:spacing w:after="0"/>
        <w:rPr>
          <w:sz w:val="20"/>
          <w:szCs w:val="20"/>
          <w:color w:val="auto"/>
        </w:rPr>
      </w:pPr>
      <w:r>
        <w:rPr>
          <w:rFonts w:ascii="Arial" w:cs="Arial" w:eastAsia="Arial" w:hAnsi="Arial"/>
          <w:sz w:val="11"/>
          <w:szCs w:val="11"/>
          <w:b w:val="1"/>
          <w:bCs w:val="1"/>
          <w:u w:val="single" w:color="auto"/>
          <w:color w:val="auto"/>
        </w:rPr>
        <w:t>D</w:t>
      </w:r>
      <w:r>
        <w:rPr>
          <w:rFonts w:ascii="Arial" w:cs="Arial" w:eastAsia="Arial" w:hAnsi="Arial"/>
          <w:sz w:val="11"/>
          <w:szCs w:val="11"/>
          <w:b w:val="1"/>
          <w:bCs w:val="1"/>
          <w:color w:val="auto"/>
        </w:rPr>
        <w:t>irector</w:t>
      </w:r>
    </w:p>
    <w:p>
      <w:pPr>
        <w:spacing w:after="0" w:line="4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Patrick W. Gross, 65</w:t>
      </w:r>
    </w:p>
    <w:p>
      <w:pPr>
        <w:spacing w:after="0" w:line="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Director since 2006</w:t>
      </w:r>
    </w:p>
    <w:p>
      <w:pPr>
        <w:spacing w:after="0" w:line="8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Chairman of The Lovell Group (private investment</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and advisory firm) since October 2001.</w:t>
      </w:r>
    </w:p>
    <w:p>
      <w:pPr>
        <w:spacing w:after="0" w:line="16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Director of Capital One Financial Corporation since 1995.</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Director of Liquidity Services, Inc. since 2001.</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Director of Career Education Corporation since 2005.</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Director of Taleo Corporation since 2006.</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Director of Rosetta Stone, Inc. since 2009.</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Director of Computer Network Technology Corporation from 1997 to 2006.</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Director of Mobius Management Systems, Inc. from 2002 to 2007.</w:t>
      </w:r>
    </w:p>
    <w:p>
      <w:pPr>
        <w:spacing w:after="0" w:line="13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John C. Pope, 60</w:t>
      </w:r>
    </w:p>
    <w:p>
      <w:pPr>
        <w:spacing w:after="0" w:line="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Non-Executive Chairman of the Board since 2004;</w:t>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Director since 1997</w:t>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Chairman of the Board — PFI Group (private investment firm) since July 1994.</w:t>
      </w:r>
    </w:p>
    <w:p>
      <w:pPr>
        <w:spacing w:after="0" w:line="17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Director of R.R. Donnelley &amp; Sons Company, or</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predecessor companies, since 1996.</w:t>
      </w:r>
    </w:p>
    <w:p>
      <w:pPr>
        <w:spacing w:after="0" w:line="16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Director of Dollar Thrifty Automotive Group, Inc. since 1997.</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Director of Kraft Foods, Inc. since 2001.</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Director of Con-way, Inc. since 2003.</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Director of Federal Mogul Corporation from 1987 to 2007.</w:t>
      </w:r>
    </w:p>
    <w:p>
      <w:pPr>
        <w:spacing w:after="0" w:line="173" w:lineRule="exact"/>
        <w:rPr>
          <w:sz w:val="20"/>
          <w:szCs w:val="20"/>
          <w:color w:val="auto"/>
        </w:rPr>
      </w:pPr>
    </w:p>
    <w:p>
      <w:pPr>
        <w:ind w:left="680" w:right="1560"/>
        <w:spacing w:after="0" w:line="294" w:lineRule="auto"/>
        <w:rPr>
          <w:sz w:val="20"/>
          <w:szCs w:val="20"/>
          <w:color w:val="auto"/>
        </w:rPr>
      </w:pPr>
      <w:r>
        <w:rPr>
          <w:rFonts w:ascii="Arial" w:cs="Arial" w:eastAsia="Arial" w:hAnsi="Arial"/>
          <w:sz w:val="13"/>
          <w:szCs w:val="13"/>
          <w:color w:val="auto"/>
        </w:rPr>
        <w:t>Director of Per-Se Technologies, Inc., or predecessor companies, from 1998 to 2005.</w:t>
      </w:r>
    </w:p>
    <w:p>
      <w:pPr>
        <w:spacing w:after="0" w:line="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W. Robert Reum, 67</w:t>
      </w:r>
    </w:p>
    <w:p>
      <w:pPr>
        <w:spacing w:after="0" w:line="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Director since 2003</w:t>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Chairman, President and CEO — Amsted Industries</w:t>
      </w:r>
    </w:p>
    <w:p>
      <w:pPr>
        <w:spacing w:after="0" w:line="12" w:lineRule="exact"/>
        <w:rPr>
          <w:sz w:val="20"/>
          <w:szCs w:val="20"/>
          <w:color w:val="auto"/>
        </w:rPr>
      </w:pPr>
    </w:p>
    <w:p>
      <w:pPr>
        <w:ind w:left="680"/>
        <w:spacing w:after="0" w:line="277" w:lineRule="auto"/>
        <w:rPr>
          <w:sz w:val="20"/>
          <w:szCs w:val="20"/>
          <w:color w:val="auto"/>
        </w:rPr>
      </w:pPr>
      <w:r>
        <w:rPr>
          <w:rFonts w:ascii="Arial" w:cs="Arial" w:eastAsia="Arial" w:hAnsi="Arial"/>
          <w:sz w:val="13"/>
          <w:szCs w:val="13"/>
          <w:color w:val="auto"/>
        </w:rPr>
        <w:t>Incorporated (diversified manufacturer for the railroad, vehicular and construction industries) since March 2001.</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ind w:left="2640"/>
        <w:spacing w:after="0"/>
        <w:rPr>
          <w:sz w:val="20"/>
          <w:szCs w:val="20"/>
          <w:color w:val="auto"/>
        </w:rPr>
      </w:pPr>
      <w:r>
        <w:rPr>
          <w:rFonts w:ascii="Arial" w:cs="Arial" w:eastAsia="Arial" w:hAnsi="Arial"/>
          <w:sz w:val="11"/>
          <w:szCs w:val="11"/>
          <w:b w:val="1"/>
          <w:bCs w:val="1"/>
          <w:u w:val="single" w:color="auto"/>
          <w:color w:val="auto"/>
        </w:rPr>
        <w:t>Q</w:t>
      </w:r>
      <w:r>
        <w:rPr>
          <w:rFonts w:ascii="Arial" w:cs="Arial" w:eastAsia="Arial" w:hAnsi="Arial"/>
          <w:sz w:val="11"/>
          <w:szCs w:val="11"/>
          <w:b w:val="1"/>
          <w:bCs w:val="1"/>
          <w:color w:val="auto"/>
        </w:rPr>
        <w:t>ualifications</w:t>
      </w:r>
    </w:p>
    <w:p>
      <w:pPr>
        <w:spacing w:after="0" w:line="200" w:lineRule="exact"/>
        <w:rPr>
          <w:sz w:val="20"/>
          <w:szCs w:val="20"/>
          <w:color w:val="auto"/>
        </w:rPr>
      </w:pPr>
    </w:p>
    <w:p>
      <w:pPr>
        <w:spacing w:after="0" w:line="254" w:lineRule="exact"/>
        <w:rPr>
          <w:sz w:val="20"/>
          <w:szCs w:val="20"/>
          <w:color w:val="auto"/>
        </w:rPr>
      </w:pPr>
    </w:p>
    <w:p>
      <w:pPr>
        <w:ind w:left="280"/>
        <w:spacing w:after="0" w:line="267" w:lineRule="auto"/>
        <w:rPr>
          <w:sz w:val="20"/>
          <w:szCs w:val="20"/>
          <w:color w:val="auto"/>
        </w:rPr>
      </w:pPr>
      <w:r>
        <w:rPr>
          <w:rFonts w:ascii="Arial" w:cs="Arial" w:eastAsia="Arial" w:hAnsi="Arial"/>
          <w:sz w:val="13"/>
          <w:szCs w:val="13"/>
          <w:color w:val="auto"/>
        </w:rPr>
        <w:t>Mr. Gross was a founder of American Management Systems, Inc., a global business and information technology firm, where he was principal executive officer for over 30 years. As a result, he has extensive experience in applying information technology and advanced data analytics in global companies. He also brings over 30 years of experience as a director on public company boards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80" w:right="20"/>
        <w:spacing w:after="0" w:line="295" w:lineRule="auto"/>
        <w:rPr>
          <w:sz w:val="20"/>
          <w:szCs w:val="20"/>
          <w:color w:val="auto"/>
        </w:rPr>
      </w:pPr>
      <w:r>
        <w:rPr>
          <w:rFonts w:ascii="Arial" w:cs="Arial" w:eastAsia="Arial" w:hAnsi="Arial"/>
          <w:sz w:val="12"/>
          <w:szCs w:val="12"/>
          <w:color w:val="auto"/>
        </w:rPr>
        <w:t>Mr. Pope served in executive operational and financial positions at large airline companies for almost 20 years, providing him with extensive experience and knowledge of management of large public companies. His background, education and board service also provide him with expertise in finance and accounting. Additionally, Mr. Pope has over 30 years experience as a director on public company boards.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80" w:right="20"/>
        <w:spacing w:after="0" w:line="265" w:lineRule="auto"/>
        <w:rPr>
          <w:sz w:val="20"/>
          <w:szCs w:val="20"/>
          <w:color w:val="auto"/>
        </w:rPr>
      </w:pPr>
      <w:r>
        <w:rPr>
          <w:rFonts w:ascii="Arial" w:cs="Arial" w:eastAsia="Arial" w:hAnsi="Arial"/>
          <w:sz w:val="13"/>
          <w:szCs w:val="13"/>
          <w:color w:val="auto"/>
        </w:rPr>
        <w:t>Mr. Reum has served as the chief executive of a private diversified manufacturing company for several years. He also served as Chairman, President and Chief Executive Officer of The Interlake Corporation, a public diversified metal products company, from 1991 to 1999. As a result, he has extensive management experience within a wide range of business functions. Mr. Reum also brings over 15 years of experience as a director on public company boards.</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-3557905</wp:posOffset>
            </wp:positionH>
            <wp:positionV relativeFrom="paragraph">
              <wp:posOffset>113665</wp:posOffset>
            </wp:positionV>
            <wp:extent cx="728789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2">
            <w:col w:w="5100" w:space="500"/>
            <w:col w:w="5040"/>
          </w:cols>
          <w:pgMar w:left="220" w:top="349" w:right="103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9" w:lineRule="exact"/>
        <w:rPr>
          <w:sz w:val="20"/>
          <w:szCs w:val="20"/>
          <w:color w:val="auto"/>
        </w:rPr>
      </w:pPr>
    </w:p>
    <w:p>
      <w:pPr>
        <w:ind w:left="680"/>
        <w:spacing w:after="0"/>
        <w:tabs>
          <w:tab w:leader="none" w:pos="8220" w:val="left"/>
        </w:tabs>
        <w:rPr>
          <w:sz w:val="20"/>
          <w:szCs w:val="20"/>
          <w:color w:val="auto"/>
        </w:rPr>
      </w:pPr>
      <w:r>
        <w:rPr>
          <w:rFonts w:ascii="Arial" w:cs="Arial" w:eastAsia="Arial" w:hAnsi="Arial"/>
          <w:sz w:val="11"/>
          <w:szCs w:val="11"/>
          <w:b w:val="1"/>
          <w:bCs w:val="1"/>
          <w:u w:val="single" w:color="auto"/>
          <w:color w:val="auto"/>
        </w:rPr>
        <w:t>D</w:t>
      </w:r>
      <w:r>
        <w:rPr>
          <w:rFonts w:ascii="Arial" w:cs="Arial" w:eastAsia="Arial" w:hAnsi="Arial"/>
          <w:sz w:val="11"/>
          <w:szCs w:val="11"/>
          <w:b w:val="1"/>
          <w:bCs w:val="1"/>
          <w:color w:val="auto"/>
        </w:rPr>
        <w:t>irector</w:t>
      </w:r>
      <w:r>
        <w:rPr>
          <w:sz w:val="20"/>
          <w:szCs w:val="20"/>
          <w:color w:val="auto"/>
        </w:rPr>
        <w:tab/>
      </w:r>
      <w:r>
        <w:rPr>
          <w:rFonts w:ascii="Arial" w:cs="Arial" w:eastAsia="Arial" w:hAnsi="Arial"/>
          <w:sz w:val="9"/>
          <w:szCs w:val="9"/>
          <w:b w:val="1"/>
          <w:bCs w:val="1"/>
          <w:u w:val="single" w:color="auto"/>
          <w:color w:val="auto"/>
        </w:rPr>
        <w:t>Q</w:t>
      </w:r>
      <w:r>
        <w:rPr>
          <w:rFonts w:ascii="Arial" w:cs="Arial" w:eastAsia="Arial" w:hAnsi="Arial"/>
          <w:sz w:val="9"/>
          <w:szCs w:val="9"/>
          <w:b w:val="1"/>
          <w:bCs w:val="1"/>
          <w:color w:val="auto"/>
        </w:rPr>
        <w:t>ualifications</w:t>
      </w:r>
    </w:p>
    <w:p>
      <w:pPr>
        <w:sectPr>
          <w:pgSz w:w="11900" w:h="16838" w:orient="portrait"/>
          <w:cols w:equalWidth="0" w:num="1">
            <w:col w:w="10620"/>
          </w:cols>
          <w:pgMar w:left="220" w:top="349" w:right="1059" w:bottom="1440" w:gutter="0" w:footer="0" w:header="0"/>
        </w:sectPr>
      </w:pPr>
    </w:p>
    <w:p>
      <w:pPr>
        <w:spacing w:after="0" w:line="4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Steven G. Rothmeier, 63</w:t>
      </w:r>
    </w:p>
    <w:p>
      <w:pPr>
        <w:spacing w:after="0" w:line="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Director since 1997</w:t>
      </w:r>
    </w:p>
    <w:p>
      <w:pPr>
        <w:spacing w:after="0" w:line="12" w:lineRule="exact"/>
        <w:rPr>
          <w:sz w:val="20"/>
          <w:szCs w:val="20"/>
          <w:color w:val="auto"/>
        </w:rPr>
      </w:pPr>
    </w:p>
    <w:p>
      <w:pPr>
        <w:ind w:left="680"/>
        <w:spacing w:after="0" w:line="277" w:lineRule="auto"/>
        <w:rPr>
          <w:sz w:val="20"/>
          <w:szCs w:val="20"/>
          <w:color w:val="auto"/>
        </w:rPr>
      </w:pPr>
      <w:r>
        <w:rPr>
          <w:rFonts w:ascii="Arial" w:cs="Arial" w:eastAsia="Arial" w:hAnsi="Arial"/>
          <w:sz w:val="13"/>
          <w:szCs w:val="13"/>
          <w:color w:val="auto"/>
        </w:rPr>
        <w:t>Chairman and CEO — Great Northern Capital (private investment management, consulting and merchant banking firm) since March 1993.</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Director of Precision Castparts Inc. since 1994.</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Director of ArvinMeritor, Inc. since 2004.</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Director of GenCorp, Inc. from 2000 to 2006.</w:t>
      </w:r>
    </w:p>
    <w:p>
      <w:pPr>
        <w:spacing w:after="0" w:line="13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David P. Steiner, 49</w:t>
      </w:r>
    </w:p>
    <w:p>
      <w:pPr>
        <w:spacing w:after="0" w:line="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Chief Executive Officer and Director since 2004</w:t>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Executive Vice President and Chief Financial Officer</w:t>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from April 2003 to March 2004.</w:t>
      </w:r>
    </w:p>
    <w:p>
      <w:pPr>
        <w:spacing w:after="0" w:line="16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Director of Tyco Electronics Corporation since 2007.</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Director of FedEx Corporation since 2009.</w:t>
      </w:r>
    </w:p>
    <w:p>
      <w:pPr>
        <w:spacing w:after="0" w:line="13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Thomas H. Weidemeyer, 62</w:t>
      </w:r>
    </w:p>
    <w:p>
      <w:pPr>
        <w:spacing w:after="0" w:line="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Director since 2005</w:t>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Chief Operating Officer — United Parcel Service, Inc.</w:t>
      </w:r>
    </w:p>
    <w:p>
      <w:pPr>
        <w:spacing w:after="0" w:line="12" w:lineRule="exact"/>
        <w:rPr>
          <w:sz w:val="20"/>
          <w:szCs w:val="20"/>
          <w:color w:val="auto"/>
        </w:rPr>
      </w:pPr>
    </w:p>
    <w:p>
      <w:pPr>
        <w:ind w:left="680" w:right="240"/>
        <w:spacing w:after="0" w:line="277" w:lineRule="auto"/>
        <w:rPr>
          <w:sz w:val="20"/>
          <w:szCs w:val="20"/>
          <w:color w:val="auto"/>
        </w:rPr>
      </w:pPr>
      <w:r>
        <w:rPr>
          <w:rFonts w:ascii="Arial" w:cs="Arial" w:eastAsia="Arial" w:hAnsi="Arial"/>
          <w:sz w:val="13"/>
          <w:szCs w:val="13"/>
          <w:color w:val="auto"/>
        </w:rPr>
        <w:t>(package delivery and supply chain services company) from 2001 to 2003; Senior Vice President — United Parcel Service, Inc. from 1994 to 2003.</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President, UPS Airlines (UPS owned airline) from 1994 to 2003.</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Director of NRG Energy, Inc. since 2003.</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Director of The Goodyear Tire &amp; Rubber Company since 2004.</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Director of Amsted Industries Incorporated since 2007.</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ind w:right="80"/>
        <w:spacing w:after="0" w:line="265" w:lineRule="auto"/>
        <w:rPr>
          <w:sz w:val="20"/>
          <w:szCs w:val="20"/>
          <w:color w:val="auto"/>
        </w:rPr>
      </w:pPr>
      <w:r>
        <w:rPr>
          <w:rFonts w:ascii="Arial" w:cs="Arial" w:eastAsia="Arial" w:hAnsi="Arial"/>
          <w:sz w:val="13"/>
          <w:szCs w:val="13"/>
          <w:color w:val="auto"/>
        </w:rPr>
        <w:t>Mr. Rothmeier served in executive operational and financial positions at a large airline company for several years. He also has years of experience as an executive of asset management, venture capital and merchant banking firms. His experience and background provide him with a broad range of expertise in public company issues. Mr. Rothmeier brings 28 years of experience as a director of a wide range of public companies.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120"/>
        <w:spacing w:after="0" w:line="309" w:lineRule="auto"/>
        <w:rPr>
          <w:sz w:val="20"/>
          <w:szCs w:val="20"/>
          <w:color w:val="auto"/>
        </w:rPr>
      </w:pPr>
      <w:r>
        <w:rPr>
          <w:rFonts w:ascii="Arial" w:cs="Arial" w:eastAsia="Arial" w:hAnsi="Arial"/>
          <w:sz w:val="12"/>
          <w:szCs w:val="12"/>
          <w:color w:val="auto"/>
        </w:rPr>
        <w:t>Mr. Steiner is our Chief Executive Officer and, in that capacity, brings extensive knowledge of the details of our Company and its employees, as well as the day-to-day experiences of running our Company to his service as a member of our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line="267" w:lineRule="auto"/>
        <w:rPr>
          <w:sz w:val="20"/>
          <w:szCs w:val="20"/>
          <w:color w:val="auto"/>
        </w:rPr>
      </w:pPr>
      <w:r>
        <w:rPr>
          <w:rFonts w:ascii="Arial" w:cs="Arial" w:eastAsia="Arial" w:hAnsi="Arial"/>
          <w:sz w:val="13"/>
          <w:szCs w:val="13"/>
          <w:color w:val="auto"/>
        </w:rPr>
        <w:t>Mr. Weidemeyer served in executive positions at a large public company for several years. His roles encompassed significant operational management, providing him knowledge and experience in an array of functional areas critical to large public companies. Mr. Weidemeyer also has over 10 years of experience as a director on public company boards of directors.</w:t>
      </w:r>
    </w:p>
    <w:p>
      <w:pPr>
        <w:spacing w:after="0" w:line="1030" w:lineRule="exact"/>
        <w:rPr>
          <w:sz w:val="20"/>
          <w:szCs w:val="20"/>
          <w:color w:val="auto"/>
        </w:rPr>
      </w:pPr>
    </w:p>
    <w:p>
      <w:pPr>
        <w:sectPr>
          <w:pgSz w:w="11900" w:h="16838" w:orient="portrait"/>
          <w:cols w:equalWidth="0" w:num="2">
            <w:col w:w="5600" w:space="280"/>
            <w:col w:w="4740"/>
          </w:cols>
          <w:pgMar w:left="220" w:top="349" w:right="1059" w:bottom="1440" w:gutter="0" w:footer="0" w:header="0"/>
          <w:type w:val="continuous"/>
        </w:sectPr>
      </w:pPr>
    </w:p>
    <w:p>
      <w:pPr>
        <w:ind w:left="1080"/>
        <w:spacing w:after="0"/>
        <w:rPr>
          <w:sz w:val="20"/>
          <w:szCs w:val="20"/>
          <w:color w:val="auto"/>
        </w:rPr>
      </w:pPr>
      <w:r>
        <w:rPr>
          <w:rFonts w:ascii="Arial" w:cs="Arial" w:eastAsia="Arial" w:hAnsi="Arial"/>
          <w:sz w:val="13"/>
          <w:szCs w:val="13"/>
          <w:b w:val="1"/>
          <w:bCs w:val="1"/>
          <w:color w:val="auto"/>
        </w:rPr>
        <w:t>THE BOARD OF DIRECTORS RECOMMENDS THAT YOU VOTE FOR THE ELECTION OF EACH OF THE EIGHT NOMINEE DIRECTORS.</w:t>
      </w:r>
    </w:p>
    <w:p>
      <w:pPr>
        <w:spacing w:after="0" w:line="264"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DIRECTOR NOMINEE AND OFFICER STOCK OWNERSHIP</w:t>
      </w:r>
    </w:p>
    <w:p>
      <w:pPr>
        <w:spacing w:after="0" w:line="104" w:lineRule="exact"/>
        <w:rPr>
          <w:sz w:val="20"/>
          <w:szCs w:val="20"/>
          <w:color w:val="auto"/>
        </w:rPr>
      </w:pPr>
    </w:p>
    <w:p>
      <w:pPr>
        <w:ind w:left="680" w:right="220" w:firstLine="399"/>
        <w:spacing w:after="0" w:line="267" w:lineRule="auto"/>
        <w:rPr>
          <w:sz w:val="20"/>
          <w:szCs w:val="20"/>
          <w:color w:val="auto"/>
        </w:rPr>
      </w:pPr>
      <w:r>
        <w:rPr>
          <w:rFonts w:ascii="Arial" w:cs="Arial" w:eastAsia="Arial" w:hAnsi="Arial"/>
          <w:sz w:val="13"/>
          <w:szCs w:val="13"/>
          <w:color w:val="auto"/>
        </w:rPr>
        <w:t>Our Board of Directors has adopted stock ownership guidelines for our non-employee directors that require each director to hold Common Stock or share-based instruments valued at five times his annual cash retainer, based on a $30.00 stock price. Non-employee directors other than Mr. Pope currently are required to hold 15,000 shares and Mr. Pope currently is required to hold approximately 31,600 shares. Directors have five years from the later of the date they join the Board or the effective date of an increase in the holding requirements to attain the required level of ownership. Ms. Cafferty, Mr. Pope, Mr. Clark and Mr. Rothmeier have all reached their required levels of ownership. The remaining non-employee directors have until July 2013 to reach their required level of ownership.</w:t>
      </w:r>
    </w:p>
    <w:p>
      <w:pPr>
        <w:spacing w:after="0" w:line="65" w:lineRule="exact"/>
        <w:rPr>
          <w:sz w:val="20"/>
          <w:szCs w:val="20"/>
          <w:color w:val="auto"/>
        </w:rPr>
      </w:pPr>
    </w:p>
    <w:p>
      <w:pPr>
        <w:ind w:left="680" w:right="20" w:firstLine="399"/>
        <w:spacing w:after="0" w:line="294" w:lineRule="auto"/>
        <w:rPr>
          <w:sz w:val="20"/>
          <w:szCs w:val="20"/>
          <w:color w:val="auto"/>
        </w:rPr>
      </w:pPr>
      <w:r>
        <w:rPr>
          <w:rFonts w:ascii="Arial" w:cs="Arial" w:eastAsia="Arial" w:hAnsi="Arial"/>
          <w:sz w:val="13"/>
          <w:szCs w:val="13"/>
          <w:color w:val="auto"/>
        </w:rPr>
        <w:t>Our executive officers, including Mr. Steiner, are also subject to stock ownership guidelines, as described in the Compensation Discussion and Analysis on page 30 of this Proxy Statement.</w:t>
      </w:r>
    </w:p>
    <w:p>
      <w:pPr>
        <w:spacing w:after="0" w:line="9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20"/>
          </w:cols>
          <w:pgMar w:left="220" w:top="349" w:right="1059" w:bottom="1440" w:gutter="0" w:footer="0" w:header="0"/>
          <w:type w:val="continuous"/>
        </w:sectPr>
      </w:pPr>
    </w:p>
    <w:bookmarkStart w:id="20" w:name="page21"/>
    <w:bookmarkEnd w:id="2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The Stock Ownership Table below shows how much Common Stock each director nominee and executive officer named in the Summary Compensation Table on page 32 owned as of March 15, 2010, our record date for the Annual Meeting. The table also includes information about restricted stock units, stock options and phantom stock granted under various compensation and benefit plans. We did not include information about performance share units granted to executive officers under our incentive compensation plans. Performance share units are settled in shares of our Common Stock based on the Company’s achievement of certain financial performance objectives during a three-year performance period. The actual number of shares the executives may receive at the end of the performance period will vary depending on the level of achievement of the Company’s financial objectives, and can vary from zero to two times the number of performance share units granted. Since the number of shares, if any, that will ultimately be issued pursuant to the performance share units is not known, we have excluded them from the table.</w:t>
      </w:r>
    </w:p>
    <w:p>
      <w:pPr>
        <w:spacing w:after="0" w:line="6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These individuals, both individually and in the aggregate, own less than 1% of our outstanding shares as of the record date.</w:t>
      </w:r>
    </w:p>
    <w:p>
      <w:pPr>
        <w:spacing w:after="0" w:line="181" w:lineRule="exact"/>
        <w:rPr>
          <w:sz w:val="20"/>
          <w:szCs w:val="20"/>
          <w:color w:val="auto"/>
        </w:rPr>
      </w:pPr>
    </w:p>
    <w:p>
      <w:pPr>
        <w:ind w:left="5000"/>
        <w:spacing w:after="0"/>
        <w:rPr>
          <w:sz w:val="20"/>
          <w:szCs w:val="20"/>
          <w:color w:val="auto"/>
        </w:rPr>
      </w:pPr>
      <w:r>
        <w:rPr>
          <w:rFonts w:ascii="Arial" w:cs="Arial" w:eastAsia="Arial" w:hAnsi="Arial"/>
          <w:sz w:val="13"/>
          <w:szCs w:val="13"/>
          <w:b w:val="1"/>
          <w:bCs w:val="1"/>
          <w:color w:val="auto"/>
        </w:rPr>
        <w:t>Stock Ownership Table</w:t>
      </w:r>
    </w:p>
    <w:p>
      <w:pPr>
        <w:spacing w:after="0" w:line="93"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1840" w:type="dxa"/>
            <w:vAlign w:val="bottom"/>
            <w:gridSpan w:val="2"/>
            <w:vMerge w:val="restart"/>
          </w:tcPr>
          <w:p>
            <w:pPr>
              <w:jc w:val="right"/>
              <w:ind w:right="700"/>
              <w:spacing w:after="0"/>
              <w:rPr>
                <w:sz w:val="20"/>
                <w:szCs w:val="20"/>
                <w:color w:val="auto"/>
              </w:rPr>
            </w:pPr>
            <w:r>
              <w:rPr>
                <w:rFonts w:ascii="Arial" w:cs="Arial" w:eastAsia="Arial" w:hAnsi="Arial"/>
                <w:sz w:val="11"/>
                <w:szCs w:val="11"/>
                <w:b w:val="1"/>
                <w:bCs w:val="1"/>
                <w:color w:val="auto"/>
              </w:rPr>
              <w:t>Shares of Common</w:t>
            </w:r>
          </w:p>
        </w:tc>
        <w:tc>
          <w:tcPr>
            <w:tcW w:w="186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87"/>
              </w:rPr>
              <w:t>Shares of Common</w:t>
            </w:r>
          </w:p>
        </w:tc>
        <w:tc>
          <w:tcPr>
            <w:tcW w:w="680" w:type="dxa"/>
            <w:vAlign w:val="bottom"/>
            <w:gridSpan w:val="2"/>
            <w:vMerge w:val="restart"/>
          </w:tcPr>
          <w:p>
            <w:pPr>
              <w:jc w:val="center"/>
              <w:ind w:right="60"/>
              <w:spacing w:after="0"/>
              <w:rPr>
                <w:sz w:val="20"/>
                <w:szCs w:val="20"/>
                <w:color w:val="auto"/>
              </w:rPr>
            </w:pPr>
            <w:r>
              <w:rPr>
                <w:rFonts w:ascii="Arial" w:cs="Arial" w:eastAsia="Arial" w:hAnsi="Arial"/>
                <w:sz w:val="11"/>
                <w:szCs w:val="11"/>
                <w:b w:val="1"/>
                <w:bCs w:val="1"/>
                <w:color w:val="auto"/>
                <w:w w:val="89"/>
              </w:rPr>
              <w:t>Phantom</w:t>
            </w:r>
          </w:p>
        </w:tc>
        <w:tc>
          <w:tcPr>
            <w:tcW w:w="0" w:type="dxa"/>
            <w:vAlign w:val="bottom"/>
          </w:tcPr>
          <w:p>
            <w:pPr>
              <w:spacing w:after="0"/>
              <w:rPr>
                <w:sz w:val="1"/>
                <w:szCs w:val="1"/>
                <w:color w:val="auto"/>
              </w:rPr>
            </w:pPr>
          </w:p>
        </w:tc>
      </w:tr>
      <w:tr>
        <w:trPr>
          <w:trHeight w:val="121"/>
        </w:trPr>
        <w:tc>
          <w:tcPr>
            <w:tcW w:w="560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Name</w:t>
            </w:r>
          </w:p>
        </w:tc>
        <w:tc>
          <w:tcPr>
            <w:tcW w:w="1840" w:type="dxa"/>
            <w:vAlign w:val="bottom"/>
            <w:gridSpan w:val="2"/>
            <w:vMerge w:val="continue"/>
          </w:tcPr>
          <w:p>
            <w:pPr>
              <w:spacing w:after="0"/>
              <w:rPr>
                <w:sz w:val="10"/>
                <w:szCs w:val="10"/>
                <w:color w:val="auto"/>
              </w:rPr>
            </w:pPr>
          </w:p>
        </w:tc>
        <w:tc>
          <w:tcPr>
            <w:tcW w:w="1860" w:type="dxa"/>
            <w:vAlign w:val="bottom"/>
            <w:gridSpan w:val="2"/>
          </w:tcPr>
          <w:p>
            <w:pPr>
              <w:jc w:val="center"/>
              <w:ind w:right="360"/>
              <w:spacing w:after="0" w:line="121" w:lineRule="exact"/>
              <w:rPr>
                <w:sz w:val="20"/>
                <w:szCs w:val="20"/>
                <w:color w:val="auto"/>
              </w:rPr>
            </w:pPr>
            <w:r>
              <w:rPr>
                <w:rFonts w:ascii="Arial" w:cs="Arial" w:eastAsia="Arial" w:hAnsi="Arial"/>
                <w:sz w:val="11"/>
                <w:szCs w:val="11"/>
                <w:b w:val="1"/>
                <w:bCs w:val="1"/>
                <w:color w:val="auto"/>
                <w:w w:val="88"/>
              </w:rPr>
              <w:t>Stock Covered by</w:t>
            </w:r>
          </w:p>
        </w:tc>
        <w:tc>
          <w:tcPr>
            <w:tcW w:w="6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5600" w:type="dxa"/>
            <w:vAlign w:val="bottom"/>
            <w:gridSpan w:val="3"/>
            <w:vMerge w:val="continue"/>
          </w:tcPr>
          <w:p>
            <w:pPr>
              <w:spacing w:after="0"/>
              <w:rPr>
                <w:sz w:val="11"/>
                <w:szCs w:val="11"/>
                <w:color w:val="auto"/>
              </w:rPr>
            </w:pPr>
          </w:p>
        </w:tc>
        <w:tc>
          <w:tcPr>
            <w:tcW w:w="1840" w:type="dxa"/>
            <w:vAlign w:val="bottom"/>
            <w:gridSpan w:val="2"/>
          </w:tcPr>
          <w:p>
            <w:pPr>
              <w:jc w:val="right"/>
              <w:ind w:right="840"/>
              <w:spacing w:after="0"/>
              <w:rPr>
                <w:sz w:val="20"/>
                <w:szCs w:val="20"/>
                <w:color w:val="auto"/>
              </w:rPr>
            </w:pPr>
            <w:r>
              <w:rPr>
                <w:rFonts w:ascii="Arial" w:cs="Arial" w:eastAsia="Arial" w:hAnsi="Arial"/>
                <w:sz w:val="11"/>
                <w:szCs w:val="11"/>
                <w:b w:val="1"/>
                <w:bCs w:val="1"/>
                <w:color w:val="auto"/>
              </w:rPr>
              <w:t>Stock Owned</w:t>
            </w:r>
          </w:p>
        </w:tc>
        <w:tc>
          <w:tcPr>
            <w:tcW w:w="186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86"/>
              </w:rPr>
              <w:t>Exercisable Options</w:t>
            </w:r>
          </w:p>
        </w:tc>
        <w:tc>
          <w:tcPr>
            <w:tcW w:w="68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87"/>
              </w:rPr>
              <w:t>Stock(1)</w:t>
            </w:r>
          </w:p>
        </w:tc>
        <w:tc>
          <w:tcPr>
            <w:tcW w:w="0" w:type="dxa"/>
            <w:vAlign w:val="bottom"/>
          </w:tcPr>
          <w:p>
            <w:pPr>
              <w:spacing w:after="0"/>
              <w:rPr>
                <w:sz w:val="1"/>
                <w:szCs w:val="1"/>
                <w:color w:val="auto"/>
              </w:rPr>
            </w:pPr>
          </w:p>
        </w:tc>
      </w:tr>
      <w:tr>
        <w:trPr>
          <w:trHeight w:val="30"/>
        </w:trPr>
        <w:tc>
          <w:tcPr>
            <w:tcW w:w="60" w:type="dxa"/>
            <w:vAlign w:val="bottom"/>
            <w:tcBorders>
              <w:top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56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Pastora San Juan Cafferty</w:t>
            </w:r>
          </w:p>
        </w:tc>
        <w:tc>
          <w:tcPr>
            <w:tcW w:w="184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22,495</w:t>
            </w:r>
          </w:p>
        </w:tc>
        <w:tc>
          <w:tcPr>
            <w:tcW w:w="1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20,000</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61"/>
        </w:trPr>
        <w:tc>
          <w:tcPr>
            <w:tcW w:w="5600" w:type="dxa"/>
            <w:vAlign w:val="bottom"/>
            <w:gridSpan w:val="3"/>
          </w:tcPr>
          <w:p>
            <w:pPr>
              <w:spacing w:after="0"/>
              <w:rPr>
                <w:sz w:val="20"/>
                <w:szCs w:val="20"/>
                <w:color w:val="auto"/>
              </w:rPr>
            </w:pPr>
            <w:r>
              <w:rPr>
                <w:rFonts w:ascii="Arial" w:cs="Arial" w:eastAsia="Arial" w:hAnsi="Arial"/>
                <w:sz w:val="13"/>
                <w:szCs w:val="13"/>
                <w:color w:val="auto"/>
              </w:rPr>
              <w:t>Frank M. Clark, Jr.</w:t>
            </w:r>
          </w:p>
        </w:tc>
        <w:tc>
          <w:tcPr>
            <w:tcW w:w="1840" w:type="dxa"/>
            <w:vAlign w:val="bottom"/>
            <w:gridSpan w:val="2"/>
          </w:tcPr>
          <w:p>
            <w:pPr>
              <w:jc w:val="right"/>
              <w:ind w:right="440"/>
              <w:spacing w:after="0"/>
              <w:rPr>
                <w:sz w:val="20"/>
                <w:szCs w:val="20"/>
                <w:color w:val="auto"/>
              </w:rPr>
            </w:pPr>
            <w:r>
              <w:rPr>
                <w:rFonts w:ascii="Arial" w:cs="Arial" w:eastAsia="Arial" w:hAnsi="Arial"/>
                <w:sz w:val="13"/>
                <w:szCs w:val="13"/>
                <w:color w:val="auto"/>
              </w:rPr>
              <w:t>15,709</w:t>
            </w:r>
          </w:p>
        </w:tc>
        <w:tc>
          <w:tcPr>
            <w:tcW w:w="1860" w:type="dxa"/>
            <w:vAlign w:val="bottom"/>
            <w:gridSpan w:val="2"/>
          </w:tcPr>
          <w:p>
            <w:pPr>
              <w:jc w:val="right"/>
              <w:ind w:right="380"/>
              <w:spacing w:after="0"/>
              <w:rPr>
                <w:sz w:val="20"/>
                <w:szCs w:val="20"/>
                <w:color w:val="auto"/>
              </w:rPr>
            </w:pPr>
            <w:r>
              <w:rPr>
                <w:rFonts w:ascii="Arial" w:cs="Arial" w:eastAsia="Arial" w:hAnsi="Arial"/>
                <w:sz w:val="13"/>
                <w:szCs w:val="13"/>
                <w:color w:val="auto"/>
              </w:rPr>
              <w:t>0</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61"/>
        </w:trPr>
        <w:tc>
          <w:tcPr>
            <w:tcW w:w="56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Patrick W. Gross</w:t>
            </w:r>
          </w:p>
        </w:tc>
        <w:tc>
          <w:tcPr>
            <w:tcW w:w="184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9,542</w:t>
            </w:r>
          </w:p>
        </w:tc>
        <w:tc>
          <w:tcPr>
            <w:tcW w:w="1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61"/>
        </w:trPr>
        <w:tc>
          <w:tcPr>
            <w:tcW w:w="5600" w:type="dxa"/>
            <w:vAlign w:val="bottom"/>
            <w:gridSpan w:val="3"/>
          </w:tcPr>
          <w:p>
            <w:pPr>
              <w:spacing w:after="0"/>
              <w:rPr>
                <w:sz w:val="20"/>
                <w:szCs w:val="20"/>
                <w:color w:val="auto"/>
              </w:rPr>
            </w:pPr>
            <w:r>
              <w:rPr>
                <w:rFonts w:ascii="Arial" w:cs="Arial" w:eastAsia="Arial" w:hAnsi="Arial"/>
                <w:sz w:val="13"/>
                <w:szCs w:val="13"/>
                <w:color w:val="auto"/>
              </w:rPr>
              <w:t>John C. Pope(2)</w:t>
            </w:r>
          </w:p>
        </w:tc>
        <w:tc>
          <w:tcPr>
            <w:tcW w:w="1840" w:type="dxa"/>
            <w:vAlign w:val="bottom"/>
            <w:gridSpan w:val="2"/>
          </w:tcPr>
          <w:p>
            <w:pPr>
              <w:jc w:val="right"/>
              <w:ind w:right="440"/>
              <w:spacing w:after="0"/>
              <w:rPr>
                <w:sz w:val="20"/>
                <w:szCs w:val="20"/>
                <w:color w:val="auto"/>
              </w:rPr>
            </w:pPr>
            <w:r>
              <w:rPr>
                <w:rFonts w:ascii="Arial" w:cs="Arial" w:eastAsia="Arial" w:hAnsi="Arial"/>
                <w:sz w:val="13"/>
                <w:szCs w:val="13"/>
                <w:color w:val="auto"/>
              </w:rPr>
              <w:t>34,382</w:t>
            </w:r>
          </w:p>
        </w:tc>
        <w:tc>
          <w:tcPr>
            <w:tcW w:w="1860" w:type="dxa"/>
            <w:vAlign w:val="bottom"/>
            <w:gridSpan w:val="2"/>
          </w:tcPr>
          <w:p>
            <w:pPr>
              <w:jc w:val="right"/>
              <w:ind w:right="380"/>
              <w:spacing w:after="0"/>
              <w:rPr>
                <w:sz w:val="20"/>
                <w:szCs w:val="20"/>
                <w:color w:val="auto"/>
              </w:rPr>
            </w:pPr>
            <w:r>
              <w:rPr>
                <w:rFonts w:ascii="Arial" w:cs="Arial" w:eastAsia="Arial" w:hAnsi="Arial"/>
                <w:sz w:val="13"/>
                <w:szCs w:val="13"/>
                <w:color w:val="auto"/>
              </w:rPr>
              <w:t>20,000</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61"/>
        </w:trPr>
        <w:tc>
          <w:tcPr>
            <w:tcW w:w="56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W. Robert Reum</w:t>
            </w:r>
          </w:p>
        </w:tc>
        <w:tc>
          <w:tcPr>
            <w:tcW w:w="184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14,338</w:t>
            </w:r>
          </w:p>
        </w:tc>
        <w:tc>
          <w:tcPr>
            <w:tcW w:w="1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61"/>
        </w:trPr>
        <w:tc>
          <w:tcPr>
            <w:tcW w:w="5600" w:type="dxa"/>
            <w:vAlign w:val="bottom"/>
            <w:gridSpan w:val="3"/>
          </w:tcPr>
          <w:p>
            <w:pPr>
              <w:spacing w:after="0"/>
              <w:rPr>
                <w:sz w:val="20"/>
                <w:szCs w:val="20"/>
                <w:color w:val="auto"/>
              </w:rPr>
            </w:pPr>
            <w:r>
              <w:rPr>
                <w:rFonts w:ascii="Arial" w:cs="Arial" w:eastAsia="Arial" w:hAnsi="Arial"/>
                <w:sz w:val="13"/>
                <w:szCs w:val="13"/>
                <w:color w:val="auto"/>
              </w:rPr>
              <w:t>Steven G. Rothmeier</w:t>
            </w:r>
          </w:p>
        </w:tc>
        <w:tc>
          <w:tcPr>
            <w:tcW w:w="1840" w:type="dxa"/>
            <w:vAlign w:val="bottom"/>
            <w:gridSpan w:val="2"/>
          </w:tcPr>
          <w:p>
            <w:pPr>
              <w:jc w:val="right"/>
              <w:ind w:right="440"/>
              <w:spacing w:after="0"/>
              <w:rPr>
                <w:sz w:val="20"/>
                <w:szCs w:val="20"/>
                <w:color w:val="auto"/>
              </w:rPr>
            </w:pPr>
            <w:r>
              <w:rPr>
                <w:rFonts w:ascii="Arial" w:cs="Arial" w:eastAsia="Arial" w:hAnsi="Arial"/>
                <w:sz w:val="13"/>
                <w:szCs w:val="13"/>
                <w:color w:val="auto"/>
              </w:rPr>
              <w:t>15,266</w:t>
            </w:r>
          </w:p>
        </w:tc>
        <w:tc>
          <w:tcPr>
            <w:tcW w:w="1860" w:type="dxa"/>
            <w:vAlign w:val="bottom"/>
            <w:gridSpan w:val="2"/>
          </w:tcPr>
          <w:p>
            <w:pPr>
              <w:jc w:val="right"/>
              <w:ind w:right="380"/>
              <w:spacing w:after="0"/>
              <w:rPr>
                <w:sz w:val="20"/>
                <w:szCs w:val="20"/>
                <w:color w:val="auto"/>
              </w:rPr>
            </w:pPr>
            <w:r>
              <w:rPr>
                <w:rFonts w:ascii="Arial" w:cs="Arial" w:eastAsia="Arial" w:hAnsi="Arial"/>
                <w:sz w:val="13"/>
                <w:szCs w:val="13"/>
                <w:color w:val="auto"/>
              </w:rPr>
              <w:t>20,000</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61"/>
        </w:trPr>
        <w:tc>
          <w:tcPr>
            <w:tcW w:w="56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Thomas H. Weidemeyer</w:t>
            </w:r>
          </w:p>
        </w:tc>
        <w:tc>
          <w:tcPr>
            <w:tcW w:w="184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11,253</w:t>
            </w:r>
          </w:p>
        </w:tc>
        <w:tc>
          <w:tcPr>
            <w:tcW w:w="1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61"/>
        </w:trPr>
        <w:tc>
          <w:tcPr>
            <w:tcW w:w="5600" w:type="dxa"/>
            <w:vAlign w:val="bottom"/>
            <w:gridSpan w:val="3"/>
          </w:tcPr>
          <w:p>
            <w:pPr>
              <w:spacing w:after="0"/>
              <w:rPr>
                <w:sz w:val="20"/>
                <w:szCs w:val="20"/>
                <w:color w:val="auto"/>
              </w:rPr>
            </w:pPr>
            <w:r>
              <w:rPr>
                <w:rFonts w:ascii="Arial" w:cs="Arial" w:eastAsia="Arial" w:hAnsi="Arial"/>
                <w:sz w:val="13"/>
                <w:szCs w:val="13"/>
                <w:color w:val="auto"/>
              </w:rPr>
              <w:t>David P. Steiner</w:t>
            </w:r>
          </w:p>
        </w:tc>
        <w:tc>
          <w:tcPr>
            <w:tcW w:w="1840" w:type="dxa"/>
            <w:vAlign w:val="bottom"/>
            <w:gridSpan w:val="2"/>
          </w:tcPr>
          <w:p>
            <w:pPr>
              <w:jc w:val="right"/>
              <w:ind w:right="440"/>
              <w:spacing w:after="0"/>
              <w:rPr>
                <w:sz w:val="20"/>
                <w:szCs w:val="20"/>
                <w:color w:val="auto"/>
              </w:rPr>
            </w:pPr>
            <w:r>
              <w:rPr>
                <w:rFonts w:ascii="Arial" w:cs="Arial" w:eastAsia="Arial" w:hAnsi="Arial"/>
                <w:sz w:val="13"/>
                <w:szCs w:val="13"/>
                <w:color w:val="auto"/>
              </w:rPr>
              <w:t>358,139</w:t>
            </w:r>
          </w:p>
        </w:tc>
        <w:tc>
          <w:tcPr>
            <w:tcW w:w="1860" w:type="dxa"/>
            <w:vAlign w:val="bottom"/>
            <w:gridSpan w:val="2"/>
          </w:tcPr>
          <w:p>
            <w:pPr>
              <w:jc w:val="right"/>
              <w:ind w:right="380"/>
              <w:spacing w:after="0"/>
              <w:rPr>
                <w:sz w:val="20"/>
                <w:szCs w:val="20"/>
                <w:color w:val="auto"/>
              </w:rPr>
            </w:pPr>
            <w:r>
              <w:rPr>
                <w:rFonts w:ascii="Arial" w:cs="Arial" w:eastAsia="Arial" w:hAnsi="Arial"/>
                <w:sz w:val="13"/>
                <w:szCs w:val="13"/>
                <w:color w:val="auto"/>
              </w:rPr>
              <w:t>766,593</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23,834</w:t>
            </w:r>
          </w:p>
        </w:tc>
        <w:tc>
          <w:tcPr>
            <w:tcW w:w="0" w:type="dxa"/>
            <w:vAlign w:val="bottom"/>
          </w:tcPr>
          <w:p>
            <w:pPr>
              <w:spacing w:after="0"/>
              <w:rPr>
                <w:sz w:val="1"/>
                <w:szCs w:val="1"/>
                <w:color w:val="auto"/>
              </w:rPr>
            </w:pPr>
          </w:p>
        </w:tc>
      </w:tr>
      <w:tr>
        <w:trPr>
          <w:trHeight w:val="161"/>
        </w:trPr>
        <w:tc>
          <w:tcPr>
            <w:tcW w:w="56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Lawrence O’Donnell, III</w:t>
            </w:r>
          </w:p>
        </w:tc>
        <w:tc>
          <w:tcPr>
            <w:tcW w:w="184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282,593</w:t>
            </w:r>
          </w:p>
        </w:tc>
        <w:tc>
          <w:tcPr>
            <w:tcW w:w="1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494,466</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61"/>
        </w:trPr>
        <w:tc>
          <w:tcPr>
            <w:tcW w:w="5600" w:type="dxa"/>
            <w:vAlign w:val="bottom"/>
            <w:gridSpan w:val="3"/>
          </w:tcPr>
          <w:p>
            <w:pPr>
              <w:spacing w:after="0"/>
              <w:rPr>
                <w:sz w:val="20"/>
                <w:szCs w:val="20"/>
                <w:color w:val="auto"/>
              </w:rPr>
            </w:pPr>
            <w:r>
              <w:rPr>
                <w:rFonts w:ascii="Arial" w:cs="Arial" w:eastAsia="Arial" w:hAnsi="Arial"/>
                <w:sz w:val="13"/>
                <w:szCs w:val="13"/>
                <w:color w:val="auto"/>
              </w:rPr>
              <w:t>Robert G. Simpson</w:t>
            </w:r>
          </w:p>
        </w:tc>
        <w:tc>
          <w:tcPr>
            <w:tcW w:w="1840" w:type="dxa"/>
            <w:vAlign w:val="bottom"/>
            <w:gridSpan w:val="2"/>
          </w:tcPr>
          <w:p>
            <w:pPr>
              <w:jc w:val="right"/>
              <w:ind w:right="440"/>
              <w:spacing w:after="0"/>
              <w:rPr>
                <w:sz w:val="20"/>
                <w:szCs w:val="20"/>
                <w:color w:val="auto"/>
              </w:rPr>
            </w:pPr>
            <w:r>
              <w:rPr>
                <w:rFonts w:ascii="Arial" w:cs="Arial" w:eastAsia="Arial" w:hAnsi="Arial"/>
                <w:sz w:val="13"/>
                <w:szCs w:val="13"/>
                <w:color w:val="auto"/>
              </w:rPr>
              <w:t>102,201</w:t>
            </w:r>
          </w:p>
        </w:tc>
        <w:tc>
          <w:tcPr>
            <w:tcW w:w="1860" w:type="dxa"/>
            <w:vAlign w:val="bottom"/>
            <w:gridSpan w:val="2"/>
          </w:tcPr>
          <w:p>
            <w:pPr>
              <w:jc w:val="right"/>
              <w:ind w:right="380"/>
              <w:spacing w:after="0"/>
              <w:rPr>
                <w:sz w:val="20"/>
                <w:szCs w:val="20"/>
                <w:color w:val="auto"/>
              </w:rPr>
            </w:pPr>
            <w:r>
              <w:rPr>
                <w:rFonts w:ascii="Arial" w:cs="Arial" w:eastAsia="Arial" w:hAnsi="Arial"/>
                <w:sz w:val="13"/>
                <w:szCs w:val="13"/>
                <w:color w:val="auto"/>
              </w:rPr>
              <w:t>221,768</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61"/>
        </w:trPr>
        <w:tc>
          <w:tcPr>
            <w:tcW w:w="56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James E. Trevathan</w:t>
            </w:r>
          </w:p>
        </w:tc>
        <w:tc>
          <w:tcPr>
            <w:tcW w:w="184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84,795</w:t>
            </w:r>
          </w:p>
        </w:tc>
        <w:tc>
          <w:tcPr>
            <w:tcW w:w="1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355,000</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61"/>
        </w:trPr>
        <w:tc>
          <w:tcPr>
            <w:tcW w:w="5600" w:type="dxa"/>
            <w:vAlign w:val="bottom"/>
            <w:gridSpan w:val="3"/>
          </w:tcPr>
          <w:p>
            <w:pPr>
              <w:spacing w:after="0"/>
              <w:rPr>
                <w:sz w:val="20"/>
                <w:szCs w:val="20"/>
                <w:color w:val="auto"/>
              </w:rPr>
            </w:pPr>
            <w:r>
              <w:rPr>
                <w:rFonts w:ascii="Arial" w:cs="Arial" w:eastAsia="Arial" w:hAnsi="Arial"/>
                <w:sz w:val="13"/>
                <w:szCs w:val="13"/>
                <w:color w:val="auto"/>
              </w:rPr>
              <w:t>Duane C. Woods(3)</w:t>
            </w:r>
          </w:p>
        </w:tc>
        <w:tc>
          <w:tcPr>
            <w:tcW w:w="1840" w:type="dxa"/>
            <w:vAlign w:val="bottom"/>
            <w:gridSpan w:val="2"/>
          </w:tcPr>
          <w:p>
            <w:pPr>
              <w:jc w:val="right"/>
              <w:ind w:right="440"/>
              <w:spacing w:after="0"/>
              <w:rPr>
                <w:sz w:val="20"/>
                <w:szCs w:val="20"/>
                <w:color w:val="auto"/>
              </w:rPr>
            </w:pPr>
            <w:r>
              <w:rPr>
                <w:rFonts w:ascii="Arial" w:cs="Arial" w:eastAsia="Arial" w:hAnsi="Arial"/>
                <w:sz w:val="13"/>
                <w:szCs w:val="13"/>
                <w:color w:val="auto"/>
              </w:rPr>
              <w:t>65,018</w:t>
            </w:r>
          </w:p>
        </w:tc>
        <w:tc>
          <w:tcPr>
            <w:tcW w:w="1860" w:type="dxa"/>
            <w:vAlign w:val="bottom"/>
            <w:gridSpan w:val="2"/>
          </w:tcPr>
          <w:p>
            <w:pPr>
              <w:jc w:val="right"/>
              <w:ind w:right="380"/>
              <w:spacing w:after="0"/>
              <w:rPr>
                <w:sz w:val="20"/>
                <w:szCs w:val="20"/>
                <w:color w:val="auto"/>
              </w:rPr>
            </w:pPr>
            <w:r>
              <w:rPr>
                <w:rFonts w:ascii="Arial" w:cs="Arial" w:eastAsia="Arial" w:hAnsi="Arial"/>
                <w:sz w:val="13"/>
                <w:szCs w:val="13"/>
                <w:color w:val="auto"/>
              </w:rPr>
              <w:t>123,000</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3,944</w:t>
            </w:r>
          </w:p>
        </w:tc>
        <w:tc>
          <w:tcPr>
            <w:tcW w:w="0" w:type="dxa"/>
            <w:vAlign w:val="bottom"/>
          </w:tcPr>
          <w:p>
            <w:pPr>
              <w:spacing w:after="0"/>
              <w:rPr>
                <w:sz w:val="1"/>
                <w:szCs w:val="1"/>
                <w:color w:val="auto"/>
              </w:rPr>
            </w:pPr>
          </w:p>
        </w:tc>
      </w:tr>
      <w:tr>
        <w:trPr>
          <w:trHeight w:val="161"/>
        </w:trPr>
        <w:tc>
          <w:tcPr>
            <w:tcW w:w="56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All directors and executive officers as a group (23 persons)</w:t>
            </w:r>
          </w:p>
        </w:tc>
        <w:tc>
          <w:tcPr>
            <w:tcW w:w="18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1,327,229(4)</w:t>
            </w:r>
          </w:p>
        </w:tc>
        <w:tc>
          <w:tcPr>
            <w:tcW w:w="1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2,588,666</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43,027</w:t>
            </w:r>
          </w:p>
        </w:tc>
        <w:tc>
          <w:tcPr>
            <w:tcW w:w="0" w:type="dxa"/>
            <w:vAlign w:val="bottom"/>
          </w:tcPr>
          <w:p>
            <w:pPr>
              <w:spacing w:after="0"/>
              <w:rPr>
                <w:sz w:val="1"/>
                <w:szCs w:val="1"/>
                <w:color w:val="auto"/>
              </w:rPr>
            </w:pPr>
          </w:p>
        </w:tc>
      </w:tr>
      <w:tr>
        <w:trPr>
          <w:trHeight w:val="101"/>
        </w:trPr>
        <w:tc>
          <w:tcPr>
            <w:tcW w:w="6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43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20" w:hanging="266"/>
        <w:spacing w:after="0" w:line="267" w:lineRule="auto"/>
        <w:tabs>
          <w:tab w:leader="none" w:pos="10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Executive officers may choose a Waste Management stock fund as an investment option under the Company’s 409A Deferral Savings Plan described in the Nonqualified Deferred Compensation table on page 35. Interests in the fund are considered phantom stock because they are equal in value to shares of our Common Stock. Phantom stock receives dividend equivalents, in the form of additional phantom stock, at the same time that holders of shares of Common Stock receive dividends. The value of the phantom stock is paid out, in cash, at a future date elected by the executive. Phantom stock is not considered an equity ownership for SEC disclosure purposes; we have included it in this table because it represents an investment risk in the performance of our Common Stock.</w:t>
      </w:r>
    </w:p>
    <w:p>
      <w:pPr>
        <w:spacing w:after="0" w:line="14" w:lineRule="exact"/>
        <w:rPr>
          <w:rFonts w:ascii="Arial" w:cs="Arial" w:eastAsia="Arial" w:hAnsi="Arial"/>
          <w:sz w:val="13"/>
          <w:szCs w:val="13"/>
          <w:color w:val="auto"/>
        </w:rPr>
      </w:pPr>
    </w:p>
    <w:p>
      <w:pPr>
        <w:ind w:left="1000" w:hanging="266"/>
        <w:spacing w:after="0"/>
        <w:tabs>
          <w:tab w:leader="none" w:pos="10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number of shares owned by Mr. Pope includes 435 shares held in trusts for the benefit of his children.</w:t>
      </w:r>
    </w:p>
    <w:p>
      <w:pPr>
        <w:spacing w:after="0" w:line="52" w:lineRule="exact"/>
        <w:rPr>
          <w:rFonts w:ascii="Arial" w:cs="Arial" w:eastAsia="Arial" w:hAnsi="Arial"/>
          <w:sz w:val="13"/>
          <w:szCs w:val="13"/>
          <w:color w:val="auto"/>
        </w:rPr>
      </w:pPr>
    </w:p>
    <w:p>
      <w:pPr>
        <w:ind w:left="1000" w:hanging="266"/>
        <w:spacing w:after="0"/>
        <w:tabs>
          <w:tab w:leader="none" w:pos="10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number of shares owned by Mr. Woods includes 125 shares held by his children and 185 shares held by his wife’s IRA.</w:t>
      </w:r>
    </w:p>
    <w:p>
      <w:pPr>
        <w:spacing w:after="0" w:line="52" w:lineRule="exact"/>
        <w:rPr>
          <w:rFonts w:ascii="Arial" w:cs="Arial" w:eastAsia="Arial" w:hAnsi="Arial"/>
          <w:sz w:val="13"/>
          <w:szCs w:val="13"/>
          <w:color w:val="auto"/>
        </w:rPr>
      </w:pPr>
    </w:p>
    <w:p>
      <w:pPr>
        <w:ind w:left="1000" w:right="20" w:hanging="266"/>
        <w:spacing w:after="0" w:line="276" w:lineRule="auto"/>
        <w:tabs>
          <w:tab w:leader="none" w:pos="10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Included in the “All directors and executive officers as a group” are 19,303 restricted stock units held by our executive officers not named in the table. Restricted stock units were granted to the executive officers under our 2004 and 2009 Stock Incentive Plans. The restricted stock units will be paid out in shares of our Common Stock upon vesting, subject to forfeiture in certain circumstances.</w:t>
      </w:r>
    </w:p>
    <w:p>
      <w:pPr>
        <w:spacing w:after="0" w:line="26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ind w:left="3020"/>
        <w:spacing w:after="0"/>
        <w:rPr>
          <w:sz w:val="20"/>
          <w:szCs w:val="20"/>
          <w:color w:val="auto"/>
        </w:rPr>
      </w:pPr>
      <w:r>
        <w:rPr>
          <w:rFonts w:ascii="Arial" w:cs="Arial" w:eastAsia="Arial" w:hAnsi="Arial"/>
          <w:sz w:val="13"/>
          <w:szCs w:val="13"/>
          <w:b w:val="1"/>
          <w:bCs w:val="1"/>
          <w:color w:val="auto"/>
        </w:rPr>
        <w:t>PERSONS OWNING MORE THAN 5% OF WASTE MANAGEMENT COMMON STOCK</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table below shows information for stockholders known to us to beneficially own more than 5% of our Common Stock based on their filings with the SEC through March 15,</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2010.</w:t>
      </w:r>
    </w:p>
    <w:p>
      <w:pPr>
        <w:spacing w:after="0" w:line="80"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80" w:type="dxa"/>
            <w:vAlign w:val="bottom"/>
          </w:tcPr>
          <w:p>
            <w:pPr>
              <w:spacing w:after="0"/>
              <w:rPr>
                <w:sz w:val="10"/>
                <w:szCs w:val="10"/>
                <w:color w:val="auto"/>
              </w:rPr>
            </w:pPr>
          </w:p>
        </w:tc>
        <w:tc>
          <w:tcPr>
            <w:tcW w:w="7640" w:type="dxa"/>
            <w:vAlign w:val="bottom"/>
          </w:tcPr>
          <w:p>
            <w:pPr>
              <w:spacing w:after="0"/>
              <w:rPr>
                <w:sz w:val="10"/>
                <w:szCs w:val="10"/>
                <w:color w:val="auto"/>
              </w:rPr>
            </w:pPr>
          </w:p>
        </w:tc>
        <w:tc>
          <w:tcPr>
            <w:tcW w:w="1640" w:type="dxa"/>
            <w:vAlign w:val="bottom"/>
            <w:gridSpan w:val="2"/>
          </w:tcPr>
          <w:p>
            <w:pPr>
              <w:jc w:val="center"/>
              <w:ind w:left="581"/>
              <w:spacing w:after="0"/>
              <w:rPr>
                <w:sz w:val="20"/>
                <w:szCs w:val="20"/>
                <w:color w:val="auto"/>
              </w:rPr>
            </w:pPr>
            <w:r>
              <w:rPr>
                <w:rFonts w:ascii="Arial" w:cs="Arial" w:eastAsia="Arial" w:hAnsi="Arial"/>
                <w:sz w:val="11"/>
                <w:szCs w:val="11"/>
                <w:b w:val="1"/>
                <w:bCs w:val="1"/>
                <w:color w:val="auto"/>
                <w:w w:val="87"/>
              </w:rPr>
              <w:t>Shares Beneficially</w:t>
            </w: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77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Name and Address</w:t>
            </w:r>
          </w:p>
        </w:tc>
        <w:tc>
          <w:tcPr>
            <w:tcW w:w="1640" w:type="dxa"/>
            <w:vAlign w:val="bottom"/>
            <w:tcBorders>
              <w:bottom w:val="single" w:sz="8" w:color="auto"/>
            </w:tcBorders>
            <w:gridSpan w:val="2"/>
          </w:tcPr>
          <w:p>
            <w:pPr>
              <w:jc w:val="center"/>
              <w:ind w:left="581"/>
              <w:spacing w:after="0"/>
              <w:rPr>
                <w:sz w:val="20"/>
                <w:szCs w:val="20"/>
                <w:color w:val="auto"/>
              </w:rPr>
            </w:pPr>
            <w:r>
              <w:rPr>
                <w:rFonts w:ascii="Arial" w:cs="Arial" w:eastAsia="Arial" w:hAnsi="Arial"/>
                <w:sz w:val="11"/>
                <w:szCs w:val="11"/>
                <w:b w:val="1"/>
                <w:bCs w:val="1"/>
                <w:color w:val="auto"/>
                <w:w w:val="87"/>
              </w:rPr>
              <w:t>Owned</w:t>
            </w:r>
          </w:p>
        </w:tc>
        <w:tc>
          <w:tcPr>
            <w:tcW w:w="6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7720" w:type="dxa"/>
            <w:vAlign w:val="bottom"/>
            <w:gridSpan w:val="2"/>
            <w:vMerge w:val="continue"/>
          </w:tcPr>
          <w:p>
            <w:pPr>
              <w:spacing w:after="0"/>
              <w:rPr>
                <w:sz w:val="9"/>
                <w:szCs w:val="9"/>
                <w:color w:val="auto"/>
              </w:rPr>
            </w:pPr>
          </w:p>
        </w:tc>
        <w:tc>
          <w:tcPr>
            <w:tcW w:w="1640" w:type="dxa"/>
            <w:vAlign w:val="bottom"/>
            <w:gridSpan w:val="2"/>
          </w:tcPr>
          <w:p>
            <w:pPr>
              <w:jc w:val="center"/>
              <w:ind w:right="260"/>
              <w:spacing w:after="0" w:line="111" w:lineRule="exact"/>
              <w:rPr>
                <w:sz w:val="20"/>
                <w:szCs w:val="20"/>
                <w:color w:val="auto"/>
              </w:rPr>
            </w:pPr>
            <w:r>
              <w:rPr>
                <w:rFonts w:ascii="Arial" w:cs="Arial" w:eastAsia="Arial" w:hAnsi="Arial"/>
                <w:sz w:val="11"/>
                <w:szCs w:val="11"/>
                <w:b w:val="1"/>
                <w:bCs w:val="1"/>
                <w:color w:val="auto"/>
                <w:w w:val="91"/>
              </w:rPr>
              <w:t>Number</w:t>
            </w:r>
          </w:p>
        </w:tc>
        <w:tc>
          <w:tcPr>
            <w:tcW w:w="620" w:type="dxa"/>
            <w:vAlign w:val="bottom"/>
          </w:tcPr>
          <w:p>
            <w:pPr>
              <w:jc w:val="right"/>
              <w:ind w:right="77"/>
              <w:spacing w:after="0" w:line="111" w:lineRule="exact"/>
              <w:rPr>
                <w:sz w:val="20"/>
                <w:szCs w:val="20"/>
                <w:color w:val="auto"/>
              </w:rPr>
            </w:pPr>
            <w:r>
              <w:rPr>
                <w:rFonts w:ascii="Arial" w:cs="Arial" w:eastAsia="Arial" w:hAnsi="Arial"/>
                <w:sz w:val="11"/>
                <w:szCs w:val="11"/>
                <w:b w:val="1"/>
                <w:bCs w:val="1"/>
                <w:color w:val="auto"/>
              </w:rPr>
              <w:t>Percent</w:t>
            </w:r>
          </w:p>
        </w:tc>
        <w:tc>
          <w:tcPr>
            <w:tcW w:w="0" w:type="dxa"/>
            <w:vAlign w:val="bottom"/>
          </w:tcPr>
          <w:p>
            <w:pPr>
              <w:spacing w:after="0"/>
              <w:rPr>
                <w:sz w:val="1"/>
                <w:szCs w:val="1"/>
                <w:color w:val="auto"/>
              </w:rPr>
            </w:pPr>
          </w:p>
        </w:tc>
      </w:tr>
      <w:tr>
        <w:trPr>
          <w:trHeight w:val="20"/>
        </w:trPr>
        <w:tc>
          <w:tcPr>
            <w:tcW w:w="80" w:type="dxa"/>
            <w:vAlign w:val="bottom"/>
            <w:shd w:val="clear" w:color="auto" w:fill="000000"/>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7720" w:type="dxa"/>
            <w:vAlign w:val="bottom"/>
            <w:gridSpan w:val="2"/>
          </w:tcPr>
          <w:p>
            <w:pPr>
              <w:spacing w:after="0"/>
              <w:rPr>
                <w:sz w:val="20"/>
                <w:szCs w:val="20"/>
                <w:color w:val="auto"/>
              </w:rPr>
            </w:pPr>
            <w:r>
              <w:rPr>
                <w:rFonts w:ascii="Arial" w:cs="Arial" w:eastAsia="Arial" w:hAnsi="Arial"/>
                <w:sz w:val="13"/>
                <w:szCs w:val="13"/>
                <w:color w:val="auto"/>
              </w:rPr>
              <w:t>Capital World Investors</w:t>
            </w:r>
          </w:p>
        </w:tc>
        <w:tc>
          <w:tcPr>
            <w:tcW w:w="1360" w:type="dxa"/>
            <w:vAlign w:val="bottom"/>
          </w:tcPr>
          <w:p>
            <w:pPr>
              <w:jc w:val="center"/>
              <w:spacing w:after="0"/>
              <w:rPr>
                <w:sz w:val="20"/>
                <w:szCs w:val="20"/>
                <w:color w:val="auto"/>
              </w:rPr>
            </w:pPr>
            <w:r>
              <w:rPr>
                <w:rFonts w:ascii="Arial" w:cs="Arial" w:eastAsia="Arial" w:hAnsi="Arial"/>
                <w:sz w:val="13"/>
                <w:szCs w:val="13"/>
                <w:color w:val="auto"/>
                <w:w w:val="92"/>
              </w:rPr>
              <w:t>66,310,900</w:t>
            </w:r>
          </w:p>
        </w:tc>
        <w:tc>
          <w:tcPr>
            <w:tcW w:w="280" w:type="dxa"/>
            <w:vAlign w:val="bottom"/>
          </w:tcPr>
          <w:p>
            <w:pPr>
              <w:spacing w:after="0"/>
              <w:rPr>
                <w:sz w:val="15"/>
                <w:szCs w:val="15"/>
                <w:color w:val="auto"/>
              </w:rPr>
            </w:pPr>
          </w:p>
        </w:tc>
        <w:tc>
          <w:tcPr>
            <w:tcW w:w="620" w:type="dxa"/>
            <w:vAlign w:val="bottom"/>
          </w:tcPr>
          <w:p>
            <w:pPr>
              <w:jc w:val="right"/>
              <w:ind w:right="117"/>
              <w:spacing w:after="0"/>
              <w:rPr>
                <w:sz w:val="20"/>
                <w:szCs w:val="20"/>
                <w:color w:val="auto"/>
              </w:rPr>
            </w:pPr>
            <w:r>
              <w:rPr>
                <w:rFonts w:ascii="Arial" w:cs="Arial" w:eastAsia="Arial" w:hAnsi="Arial"/>
                <w:sz w:val="13"/>
                <w:szCs w:val="13"/>
                <w:color w:val="auto"/>
              </w:rPr>
              <w:t>13.5</w:t>
            </w:r>
          </w:p>
        </w:tc>
        <w:tc>
          <w:tcPr>
            <w:tcW w:w="0" w:type="dxa"/>
            <w:vAlign w:val="bottom"/>
          </w:tcPr>
          <w:p>
            <w:pPr>
              <w:spacing w:after="0"/>
              <w:rPr>
                <w:sz w:val="1"/>
                <w:szCs w:val="1"/>
                <w:color w:val="auto"/>
              </w:rPr>
            </w:pPr>
          </w:p>
        </w:tc>
      </w:tr>
      <w:tr>
        <w:trPr>
          <w:trHeight w:val="161"/>
        </w:trPr>
        <w:tc>
          <w:tcPr>
            <w:tcW w:w="80" w:type="dxa"/>
            <w:vAlign w:val="bottom"/>
          </w:tcPr>
          <w:p>
            <w:pPr>
              <w:spacing w:after="0"/>
              <w:rPr>
                <w:sz w:val="14"/>
                <w:szCs w:val="14"/>
                <w:color w:val="auto"/>
              </w:rPr>
            </w:pPr>
          </w:p>
        </w:tc>
        <w:tc>
          <w:tcPr>
            <w:tcW w:w="7640" w:type="dxa"/>
            <w:vAlign w:val="bottom"/>
          </w:tcPr>
          <w:p>
            <w:pPr>
              <w:ind w:left="60"/>
              <w:spacing w:after="0"/>
              <w:rPr>
                <w:sz w:val="20"/>
                <w:szCs w:val="20"/>
                <w:color w:val="auto"/>
              </w:rPr>
            </w:pPr>
            <w:r>
              <w:rPr>
                <w:rFonts w:ascii="Arial" w:cs="Arial" w:eastAsia="Arial" w:hAnsi="Arial"/>
                <w:sz w:val="13"/>
                <w:szCs w:val="13"/>
                <w:color w:val="auto"/>
              </w:rPr>
              <w:t>333 South Hope Street</w:t>
            </w: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0" w:type="dxa"/>
            <w:vAlign w:val="bottom"/>
          </w:tcPr>
          <w:p>
            <w:pPr>
              <w:spacing w:after="0"/>
              <w:rPr>
                <w:sz w:val="14"/>
                <w:szCs w:val="14"/>
                <w:color w:val="auto"/>
              </w:rPr>
            </w:pPr>
          </w:p>
        </w:tc>
        <w:tc>
          <w:tcPr>
            <w:tcW w:w="7640" w:type="dxa"/>
            <w:vAlign w:val="bottom"/>
          </w:tcPr>
          <w:p>
            <w:pPr>
              <w:ind w:left="60"/>
              <w:spacing w:after="0"/>
              <w:rPr>
                <w:sz w:val="20"/>
                <w:szCs w:val="20"/>
                <w:color w:val="auto"/>
              </w:rPr>
            </w:pPr>
            <w:r>
              <w:rPr>
                <w:rFonts w:ascii="Arial" w:cs="Arial" w:eastAsia="Arial" w:hAnsi="Arial"/>
                <w:sz w:val="13"/>
                <w:szCs w:val="13"/>
                <w:color w:val="auto"/>
              </w:rPr>
              <w:t>Los Angeles, CA 90071</w:t>
            </w: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720" w:type="dxa"/>
            <w:vAlign w:val="bottom"/>
            <w:gridSpan w:val="2"/>
          </w:tcPr>
          <w:p>
            <w:pPr>
              <w:spacing w:after="0"/>
              <w:rPr>
                <w:sz w:val="20"/>
                <w:szCs w:val="20"/>
                <w:color w:val="auto"/>
              </w:rPr>
            </w:pPr>
            <w:r>
              <w:rPr>
                <w:rFonts w:ascii="Arial" w:cs="Arial" w:eastAsia="Arial" w:hAnsi="Arial"/>
                <w:sz w:val="13"/>
                <w:szCs w:val="13"/>
                <w:color w:val="auto"/>
              </w:rPr>
              <w:t>Maori European Holding, S.L. (formerly known as Riofisa Holdings, S.L.)</w:t>
            </w:r>
          </w:p>
        </w:tc>
        <w:tc>
          <w:tcPr>
            <w:tcW w:w="1360" w:type="dxa"/>
            <w:vAlign w:val="bottom"/>
          </w:tcPr>
          <w:p>
            <w:pPr>
              <w:jc w:val="center"/>
              <w:spacing w:after="0"/>
              <w:rPr>
                <w:sz w:val="20"/>
                <w:szCs w:val="20"/>
                <w:color w:val="auto"/>
              </w:rPr>
            </w:pPr>
            <w:r>
              <w:rPr>
                <w:rFonts w:ascii="Arial" w:cs="Arial" w:eastAsia="Arial" w:hAnsi="Arial"/>
                <w:sz w:val="13"/>
                <w:szCs w:val="13"/>
                <w:color w:val="auto"/>
                <w:w w:val="92"/>
              </w:rPr>
              <w:t>32,653,680</w:t>
            </w:r>
          </w:p>
        </w:tc>
        <w:tc>
          <w:tcPr>
            <w:tcW w:w="280" w:type="dxa"/>
            <w:vAlign w:val="bottom"/>
          </w:tcPr>
          <w:p>
            <w:pPr>
              <w:spacing w:after="0"/>
              <w:rPr>
                <w:sz w:val="14"/>
                <w:szCs w:val="14"/>
                <w:color w:val="auto"/>
              </w:rPr>
            </w:pPr>
          </w:p>
        </w:tc>
        <w:tc>
          <w:tcPr>
            <w:tcW w:w="620" w:type="dxa"/>
            <w:vAlign w:val="bottom"/>
          </w:tcPr>
          <w:p>
            <w:pPr>
              <w:jc w:val="right"/>
              <w:ind w:right="117"/>
              <w:spacing w:after="0"/>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161"/>
        </w:trPr>
        <w:tc>
          <w:tcPr>
            <w:tcW w:w="80" w:type="dxa"/>
            <w:vAlign w:val="bottom"/>
          </w:tcPr>
          <w:p>
            <w:pPr>
              <w:spacing w:after="0"/>
              <w:rPr>
                <w:sz w:val="14"/>
                <w:szCs w:val="14"/>
                <w:color w:val="auto"/>
              </w:rPr>
            </w:pPr>
          </w:p>
        </w:tc>
        <w:tc>
          <w:tcPr>
            <w:tcW w:w="7640" w:type="dxa"/>
            <w:vAlign w:val="bottom"/>
          </w:tcPr>
          <w:p>
            <w:pPr>
              <w:ind w:left="60"/>
              <w:spacing w:after="0"/>
              <w:rPr>
                <w:sz w:val="20"/>
                <w:szCs w:val="20"/>
                <w:color w:val="auto"/>
              </w:rPr>
            </w:pPr>
            <w:r>
              <w:rPr>
                <w:rFonts w:ascii="Arial" w:cs="Arial" w:eastAsia="Arial" w:hAnsi="Arial"/>
                <w:sz w:val="13"/>
                <w:szCs w:val="13"/>
                <w:color w:val="auto"/>
              </w:rPr>
              <w:t>Arbea Campus Empresarial</w:t>
            </w: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0" w:type="dxa"/>
            <w:vAlign w:val="bottom"/>
          </w:tcPr>
          <w:p>
            <w:pPr>
              <w:spacing w:after="0"/>
              <w:rPr>
                <w:sz w:val="14"/>
                <w:szCs w:val="14"/>
                <w:color w:val="auto"/>
              </w:rPr>
            </w:pPr>
          </w:p>
        </w:tc>
        <w:tc>
          <w:tcPr>
            <w:tcW w:w="7640" w:type="dxa"/>
            <w:vAlign w:val="bottom"/>
          </w:tcPr>
          <w:p>
            <w:pPr>
              <w:ind w:left="60"/>
              <w:spacing w:after="0"/>
              <w:rPr>
                <w:sz w:val="20"/>
                <w:szCs w:val="20"/>
                <w:color w:val="auto"/>
              </w:rPr>
            </w:pPr>
            <w:r>
              <w:rPr>
                <w:rFonts w:ascii="Arial" w:cs="Arial" w:eastAsia="Arial" w:hAnsi="Arial"/>
                <w:sz w:val="13"/>
                <w:szCs w:val="13"/>
                <w:color w:val="auto"/>
              </w:rPr>
              <w:t>Edificio 5</w:t>
            </w: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0" w:type="dxa"/>
            <w:vAlign w:val="bottom"/>
          </w:tcPr>
          <w:p>
            <w:pPr>
              <w:spacing w:after="0"/>
              <w:rPr>
                <w:sz w:val="14"/>
                <w:szCs w:val="14"/>
                <w:color w:val="auto"/>
              </w:rPr>
            </w:pPr>
          </w:p>
        </w:tc>
        <w:tc>
          <w:tcPr>
            <w:tcW w:w="7640" w:type="dxa"/>
            <w:vAlign w:val="bottom"/>
          </w:tcPr>
          <w:p>
            <w:pPr>
              <w:ind w:left="60"/>
              <w:spacing w:after="0"/>
              <w:rPr>
                <w:sz w:val="20"/>
                <w:szCs w:val="20"/>
                <w:color w:val="auto"/>
              </w:rPr>
            </w:pPr>
            <w:r>
              <w:rPr>
                <w:rFonts w:ascii="Arial" w:cs="Arial" w:eastAsia="Arial" w:hAnsi="Arial"/>
                <w:sz w:val="13"/>
                <w:szCs w:val="13"/>
                <w:color w:val="auto"/>
              </w:rPr>
              <w:t>Carretera de Fuencarral a Alcobendas M 603</w:t>
            </w: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0" w:type="dxa"/>
            <w:vAlign w:val="bottom"/>
          </w:tcPr>
          <w:p>
            <w:pPr>
              <w:spacing w:after="0"/>
              <w:rPr>
                <w:sz w:val="14"/>
                <w:szCs w:val="14"/>
                <w:color w:val="auto"/>
              </w:rPr>
            </w:pPr>
          </w:p>
        </w:tc>
        <w:tc>
          <w:tcPr>
            <w:tcW w:w="7640" w:type="dxa"/>
            <w:vAlign w:val="bottom"/>
          </w:tcPr>
          <w:p>
            <w:pPr>
              <w:ind w:left="60"/>
              <w:spacing w:after="0"/>
              <w:rPr>
                <w:sz w:val="20"/>
                <w:szCs w:val="20"/>
                <w:color w:val="auto"/>
              </w:rPr>
            </w:pPr>
            <w:r>
              <w:rPr>
                <w:rFonts w:ascii="Arial" w:cs="Arial" w:eastAsia="Arial" w:hAnsi="Arial"/>
                <w:sz w:val="13"/>
                <w:szCs w:val="13"/>
                <w:color w:val="auto"/>
              </w:rPr>
              <w:t>Km 3’800 Alcobendas (Madrid)</w:t>
            </w: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7640" w:type="dxa"/>
            <w:vAlign w:val="bottom"/>
          </w:tcPr>
          <w:p>
            <w:pPr>
              <w:ind w:left="60"/>
              <w:spacing w:after="0"/>
              <w:rPr>
                <w:sz w:val="20"/>
                <w:szCs w:val="20"/>
                <w:color w:val="auto"/>
              </w:rPr>
            </w:pPr>
            <w:r>
              <w:rPr>
                <w:rFonts w:ascii="Arial" w:cs="Arial" w:eastAsia="Arial" w:hAnsi="Arial"/>
                <w:sz w:val="13"/>
                <w:szCs w:val="13"/>
                <w:color w:val="auto"/>
              </w:rPr>
              <w:t>Spain</w:t>
            </w: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SECTION 16(a) BENEFICIAL OWNERSHIP REPORTING COMPLIANCE</w:t>
      </w:r>
    </w:p>
    <w:p>
      <w:pPr>
        <w:spacing w:after="0" w:line="104" w:lineRule="exact"/>
        <w:rPr>
          <w:sz w:val="20"/>
          <w:szCs w:val="20"/>
          <w:color w:val="auto"/>
        </w:rPr>
      </w:pPr>
    </w:p>
    <w:p>
      <w:pPr>
        <w:ind w:left="680" w:right="220" w:firstLine="399"/>
        <w:spacing w:after="0" w:line="294" w:lineRule="auto"/>
        <w:rPr>
          <w:sz w:val="20"/>
          <w:szCs w:val="20"/>
          <w:color w:val="auto"/>
        </w:rPr>
      </w:pPr>
      <w:r>
        <w:rPr>
          <w:rFonts w:ascii="Arial" w:cs="Arial" w:eastAsia="Arial" w:hAnsi="Arial"/>
          <w:sz w:val="13"/>
          <w:szCs w:val="13"/>
          <w:color w:val="auto"/>
        </w:rPr>
        <w:t>The federal securities laws require our executive officers and directors to file reports of their holdings and transactions in our Common Stock with the SEC and the New York Stock Exchange.</w:t>
      </w:r>
    </w:p>
    <w:p>
      <w:pPr>
        <w:spacing w:after="0" w:line="47" w:lineRule="exact"/>
        <w:rPr>
          <w:sz w:val="20"/>
          <w:szCs w:val="20"/>
          <w:color w:val="auto"/>
        </w:rPr>
      </w:pPr>
    </w:p>
    <w:p>
      <w:pPr>
        <w:ind w:left="680" w:right="240" w:firstLine="399"/>
        <w:spacing w:after="0" w:line="294" w:lineRule="auto"/>
        <w:rPr>
          <w:sz w:val="20"/>
          <w:szCs w:val="20"/>
          <w:color w:val="auto"/>
        </w:rPr>
      </w:pPr>
      <w:r>
        <w:rPr>
          <w:rFonts w:ascii="Arial" w:cs="Arial" w:eastAsia="Arial" w:hAnsi="Arial"/>
          <w:sz w:val="13"/>
          <w:szCs w:val="13"/>
          <w:color w:val="auto"/>
        </w:rPr>
        <w:t>Based on a review of the forms and written representations from our executive officers and directors, we believe that all applicable requirements were complied with in 2009, with the exception of the following:</w:t>
      </w:r>
    </w:p>
    <w:p>
      <w:pPr>
        <w:spacing w:after="0" w:line="47" w:lineRule="exact"/>
        <w:rPr>
          <w:sz w:val="20"/>
          <w:szCs w:val="20"/>
          <w:color w:val="auto"/>
        </w:rPr>
      </w:pPr>
    </w:p>
    <w:p>
      <w:pPr>
        <w:ind w:left="1300" w:right="140" w:hanging="208"/>
        <w:spacing w:after="0" w:line="294" w:lineRule="auto"/>
        <w:tabs>
          <w:tab w:leader="none" w:pos="13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Due to administrative errors by the Company, each of Mr. Gross, a member of our Board of Directors, and Mr. Weidman, President of Wheelabrator Technologies Inc., was late in filing a Form 4 to report the grant by the Company of his annual equity award.</w:t>
      </w:r>
    </w:p>
    <w:p>
      <w:pPr>
        <w:spacing w:after="0" w:line="36" w:lineRule="exact"/>
        <w:rPr>
          <w:rFonts w:ascii="Arial" w:cs="Arial" w:eastAsia="Arial" w:hAnsi="Arial"/>
          <w:sz w:val="13"/>
          <w:szCs w:val="13"/>
          <w:color w:val="auto"/>
        </w:rPr>
      </w:pPr>
    </w:p>
    <w:p>
      <w:pPr>
        <w:ind w:left="1300" w:right="40" w:hanging="208"/>
        <w:spacing w:after="0" w:line="267" w:lineRule="auto"/>
        <w:tabs>
          <w:tab w:leader="none" w:pos="13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 early 2009, Mr. O’Donnell, President and Chief Operating Officer, learned that a member of his family had purchased shares of our Common Stock on behalf of a custodial account whose beneficiaries included Mr. O’Donnell and several of his extended family members. The purchase, which was made without Mr. O’Donnell’s consent or approval, occurred in December 2006. Mr. O’Donnell’s interest in the account was approximately 5%, which equated to an ownership interest in approximately 108 shares of our Common Stock. Since Mr. O’Donnell did not become aware of the details of the 2006 purchase until 2009, he was unable to timely report the transaction on Form 4. Promptly upon being informed of the details of the transaction, Mr. O’Donnell reported the purchase on Form 4.</w:t>
      </w:r>
    </w:p>
    <w:p>
      <w:pPr>
        <w:spacing w:after="0" w:line="27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EXECUTIVE OFFICERS</w:t>
      </w:r>
    </w:p>
    <w:p>
      <w:pPr>
        <w:spacing w:after="0" w:line="104" w:lineRule="exact"/>
        <w:rPr>
          <w:sz w:val="20"/>
          <w:szCs w:val="20"/>
          <w:color w:val="auto"/>
        </w:rPr>
      </w:pPr>
    </w:p>
    <w:p>
      <w:pPr>
        <w:ind w:left="680" w:right="1300" w:firstLine="399"/>
        <w:spacing w:after="0" w:line="294" w:lineRule="auto"/>
        <w:rPr>
          <w:sz w:val="20"/>
          <w:szCs w:val="20"/>
          <w:color w:val="auto"/>
        </w:rPr>
      </w:pPr>
      <w:r>
        <w:rPr>
          <w:rFonts w:ascii="Arial" w:cs="Arial" w:eastAsia="Arial" w:hAnsi="Arial"/>
          <w:sz w:val="13"/>
          <w:szCs w:val="13"/>
          <w:color w:val="auto"/>
        </w:rPr>
        <w:t>The following is a listing of our current executive officers, other than Mr. Steiner, whose personal information is included in the Director Nominees section of this Proxy Statement on page 16, their ages and business experience for the past five years.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200" w:type="dxa"/>
            <w:vAlign w:val="bottom"/>
          </w:tcPr>
          <w:p>
            <w:pPr>
              <w:ind w:left="680"/>
              <w:spacing w:after="0"/>
              <w:rPr>
                <w:sz w:val="20"/>
                <w:szCs w:val="20"/>
                <w:color w:val="auto"/>
              </w:rPr>
            </w:pPr>
            <w:r>
              <w:rPr>
                <w:rFonts w:ascii="Arial" w:cs="Arial" w:eastAsia="Arial" w:hAnsi="Arial"/>
                <w:sz w:val="11"/>
                <w:szCs w:val="11"/>
                <w:b w:val="1"/>
                <w:bCs w:val="1"/>
                <w:color w:val="auto"/>
              </w:rPr>
              <w:t>Name</w:t>
            </w:r>
          </w:p>
        </w:tc>
        <w:tc>
          <w:tcPr>
            <w:tcW w:w="1500" w:type="dxa"/>
            <w:vAlign w:val="bottom"/>
          </w:tcPr>
          <w:p>
            <w:pPr>
              <w:jc w:val="right"/>
              <w:ind w:right="34"/>
              <w:spacing w:after="0"/>
              <w:rPr>
                <w:sz w:val="20"/>
                <w:szCs w:val="20"/>
                <w:color w:val="auto"/>
              </w:rPr>
            </w:pPr>
            <w:r>
              <w:rPr>
                <w:rFonts w:ascii="Arial" w:cs="Arial" w:eastAsia="Arial" w:hAnsi="Arial"/>
                <w:sz w:val="11"/>
                <w:szCs w:val="11"/>
                <w:b w:val="1"/>
                <w:bCs w:val="1"/>
                <w:color w:val="auto"/>
              </w:rPr>
              <w:t>Age</w:t>
            </w:r>
          </w:p>
        </w:tc>
        <w:tc>
          <w:tcPr>
            <w:tcW w:w="3040" w:type="dxa"/>
            <w:vAlign w:val="bottom"/>
          </w:tcPr>
          <w:p>
            <w:pPr>
              <w:spacing w:after="0"/>
              <w:rPr>
                <w:sz w:val="11"/>
                <w:szCs w:val="11"/>
                <w:color w:val="auto"/>
              </w:rPr>
            </w:pPr>
          </w:p>
        </w:tc>
        <w:tc>
          <w:tcPr>
            <w:tcW w:w="3720" w:type="dxa"/>
            <w:vAlign w:val="bottom"/>
          </w:tcPr>
          <w:p>
            <w:pPr>
              <w:spacing w:after="0"/>
              <w:rPr>
                <w:sz w:val="20"/>
                <w:szCs w:val="20"/>
                <w:color w:val="auto"/>
              </w:rPr>
            </w:pPr>
            <w:r>
              <w:rPr>
                <w:rFonts w:ascii="Arial" w:cs="Arial" w:eastAsia="Arial" w:hAnsi="Arial"/>
                <w:sz w:val="11"/>
                <w:szCs w:val="11"/>
                <w:b w:val="1"/>
                <w:bCs w:val="1"/>
                <w:color w:val="auto"/>
              </w:rPr>
              <w:t>Positions Held and Business Experience for Past Five Years</w:t>
            </w:r>
          </w:p>
        </w:tc>
      </w:tr>
      <w:tr>
        <w:trPr>
          <w:trHeight w:val="20"/>
        </w:trPr>
        <w:tc>
          <w:tcPr>
            <w:tcW w:w="3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40" w:type="dxa"/>
            <w:vAlign w:val="bottom"/>
            <w:tcBorders>
              <w:right w:val="single" w:sz="8" w:color="auto"/>
            </w:tcBorders>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181"/>
        </w:trPr>
        <w:tc>
          <w:tcPr>
            <w:tcW w:w="3200" w:type="dxa"/>
            <w:vAlign w:val="bottom"/>
          </w:tcPr>
          <w:p>
            <w:pPr>
              <w:ind w:left="680"/>
              <w:spacing w:after="0"/>
              <w:rPr>
                <w:sz w:val="20"/>
                <w:szCs w:val="20"/>
                <w:color w:val="auto"/>
              </w:rPr>
            </w:pPr>
            <w:r>
              <w:rPr>
                <w:rFonts w:ascii="Arial" w:cs="Arial" w:eastAsia="Arial" w:hAnsi="Arial"/>
                <w:sz w:val="13"/>
                <w:szCs w:val="13"/>
                <w:color w:val="auto"/>
              </w:rPr>
              <w:t>David A. Aardsma</w:t>
            </w:r>
          </w:p>
        </w:tc>
        <w:tc>
          <w:tcPr>
            <w:tcW w:w="1500" w:type="dxa"/>
            <w:vAlign w:val="bottom"/>
          </w:tcPr>
          <w:p>
            <w:pPr>
              <w:jc w:val="right"/>
              <w:ind w:right="134"/>
              <w:spacing w:after="0"/>
              <w:rPr>
                <w:sz w:val="20"/>
                <w:szCs w:val="20"/>
                <w:color w:val="auto"/>
              </w:rPr>
            </w:pPr>
            <w:r>
              <w:rPr>
                <w:rFonts w:ascii="Arial" w:cs="Arial" w:eastAsia="Arial" w:hAnsi="Arial"/>
                <w:sz w:val="13"/>
                <w:szCs w:val="13"/>
                <w:color w:val="auto"/>
              </w:rPr>
              <w:t>53</w:t>
            </w:r>
          </w:p>
        </w:tc>
        <w:tc>
          <w:tcPr>
            <w:tcW w:w="6760" w:type="dxa"/>
            <w:vAlign w:val="bottom"/>
            <w:gridSpan w:val="2"/>
          </w:tcPr>
          <w:p>
            <w:pPr>
              <w:ind w:left="80"/>
              <w:spacing w:after="0"/>
              <w:rPr>
                <w:sz w:val="20"/>
                <w:szCs w:val="20"/>
                <w:color w:val="auto"/>
              </w:rPr>
            </w:pPr>
            <w:r>
              <w:rPr>
                <w:rFonts w:ascii="Arial" w:cs="Arial" w:eastAsia="Arial" w:hAnsi="Arial"/>
                <w:sz w:val="13"/>
                <w:szCs w:val="13"/>
                <w:color w:val="auto"/>
              </w:rPr>
              <w:t>•  Senior Vice President, Sales and Marketing since January 2005.</w:t>
            </w:r>
          </w:p>
        </w:tc>
      </w:tr>
      <w:tr>
        <w:trPr>
          <w:trHeight w:val="161"/>
        </w:trPr>
        <w:tc>
          <w:tcPr>
            <w:tcW w:w="3200" w:type="dxa"/>
            <w:vAlign w:val="bottom"/>
          </w:tcPr>
          <w:p>
            <w:pPr>
              <w:ind w:left="680"/>
              <w:spacing w:after="0"/>
              <w:rPr>
                <w:sz w:val="20"/>
                <w:szCs w:val="20"/>
                <w:color w:val="auto"/>
              </w:rPr>
            </w:pPr>
            <w:r>
              <w:rPr>
                <w:rFonts w:ascii="Arial" w:cs="Arial" w:eastAsia="Arial" w:hAnsi="Arial"/>
                <w:sz w:val="13"/>
                <w:szCs w:val="13"/>
                <w:color w:val="auto"/>
              </w:rPr>
              <w:t>Puneet Bhasin</w:t>
            </w:r>
          </w:p>
        </w:tc>
        <w:tc>
          <w:tcPr>
            <w:tcW w:w="1500" w:type="dxa"/>
            <w:vAlign w:val="bottom"/>
          </w:tcPr>
          <w:p>
            <w:pPr>
              <w:jc w:val="right"/>
              <w:ind w:right="134"/>
              <w:spacing w:after="0"/>
              <w:rPr>
                <w:sz w:val="20"/>
                <w:szCs w:val="20"/>
                <w:color w:val="auto"/>
              </w:rPr>
            </w:pPr>
            <w:r>
              <w:rPr>
                <w:rFonts w:ascii="Arial" w:cs="Arial" w:eastAsia="Arial" w:hAnsi="Arial"/>
                <w:sz w:val="13"/>
                <w:szCs w:val="13"/>
                <w:color w:val="auto"/>
              </w:rPr>
              <w:t>47</w:t>
            </w:r>
          </w:p>
        </w:tc>
        <w:tc>
          <w:tcPr>
            <w:tcW w:w="6760" w:type="dxa"/>
            <w:vAlign w:val="bottom"/>
            <w:gridSpan w:val="2"/>
          </w:tcPr>
          <w:p>
            <w:pPr>
              <w:ind w:left="80"/>
              <w:spacing w:after="0"/>
              <w:rPr>
                <w:sz w:val="20"/>
                <w:szCs w:val="20"/>
                <w:color w:val="auto"/>
              </w:rPr>
            </w:pPr>
            <w:r>
              <w:rPr>
                <w:rFonts w:ascii="Arial" w:cs="Arial" w:eastAsia="Arial" w:hAnsi="Arial"/>
                <w:sz w:val="13"/>
                <w:szCs w:val="13"/>
                <w:color w:val="auto"/>
              </w:rPr>
              <w:t>•  Senior Vice President and Chief Information Officer since December 2009.</w:t>
            </w:r>
          </w:p>
        </w:tc>
      </w:tr>
      <w:tr>
        <w:trPr>
          <w:trHeight w:val="161"/>
        </w:trPr>
        <w:tc>
          <w:tcPr>
            <w:tcW w:w="3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760" w:type="dxa"/>
            <w:vAlign w:val="bottom"/>
            <w:gridSpan w:val="2"/>
          </w:tcPr>
          <w:p>
            <w:pPr>
              <w:ind w:left="80"/>
              <w:spacing w:after="0"/>
              <w:rPr>
                <w:sz w:val="20"/>
                <w:szCs w:val="20"/>
                <w:color w:val="auto"/>
              </w:rPr>
            </w:pPr>
            <w:r>
              <w:rPr>
                <w:rFonts w:ascii="Arial" w:cs="Arial" w:eastAsia="Arial" w:hAnsi="Arial"/>
                <w:sz w:val="13"/>
                <w:szCs w:val="13"/>
                <w:color w:val="auto"/>
              </w:rPr>
              <w:t>•  Senior Vice President — Global Product &amp; Technology, Monster Worldwide (provider of global online</w:t>
            </w:r>
          </w:p>
        </w:tc>
      </w:tr>
      <w:tr>
        <w:trPr>
          <w:trHeight w:val="161"/>
        </w:trPr>
        <w:tc>
          <w:tcPr>
            <w:tcW w:w="3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760" w:type="dxa"/>
            <w:vAlign w:val="bottom"/>
            <w:gridSpan w:val="2"/>
          </w:tcPr>
          <w:p>
            <w:pPr>
              <w:ind w:left="140"/>
              <w:spacing w:after="0"/>
              <w:rPr>
                <w:sz w:val="20"/>
                <w:szCs w:val="20"/>
                <w:color w:val="auto"/>
              </w:rPr>
            </w:pPr>
            <w:r>
              <w:rPr>
                <w:rFonts w:ascii="Arial" w:cs="Arial" w:eastAsia="Arial" w:hAnsi="Arial"/>
                <w:sz w:val="13"/>
                <w:szCs w:val="13"/>
                <w:color w:val="auto"/>
              </w:rPr>
              <w:t>employment solutions) from April 2005 to November 2009.</w:t>
            </w:r>
          </w:p>
        </w:tc>
      </w:tr>
      <w:tr>
        <w:trPr>
          <w:trHeight w:val="161"/>
        </w:trPr>
        <w:tc>
          <w:tcPr>
            <w:tcW w:w="3200" w:type="dxa"/>
            <w:vAlign w:val="bottom"/>
          </w:tcPr>
          <w:p>
            <w:pPr>
              <w:ind w:left="680"/>
              <w:spacing w:after="0"/>
              <w:rPr>
                <w:sz w:val="20"/>
                <w:szCs w:val="20"/>
                <w:color w:val="auto"/>
              </w:rPr>
            </w:pPr>
            <w:r>
              <w:rPr>
                <w:rFonts w:ascii="Arial" w:cs="Arial" w:eastAsia="Arial" w:hAnsi="Arial"/>
                <w:sz w:val="13"/>
                <w:szCs w:val="13"/>
                <w:color w:val="auto"/>
              </w:rPr>
              <w:t>Barry H. Caldwell</w:t>
            </w:r>
          </w:p>
        </w:tc>
        <w:tc>
          <w:tcPr>
            <w:tcW w:w="1500" w:type="dxa"/>
            <w:vAlign w:val="bottom"/>
          </w:tcPr>
          <w:p>
            <w:pPr>
              <w:jc w:val="right"/>
              <w:ind w:right="134"/>
              <w:spacing w:after="0"/>
              <w:rPr>
                <w:sz w:val="20"/>
                <w:szCs w:val="20"/>
                <w:color w:val="auto"/>
              </w:rPr>
            </w:pPr>
            <w:r>
              <w:rPr>
                <w:rFonts w:ascii="Arial" w:cs="Arial" w:eastAsia="Arial" w:hAnsi="Arial"/>
                <w:sz w:val="13"/>
                <w:szCs w:val="13"/>
                <w:color w:val="auto"/>
              </w:rPr>
              <w:t>49</w:t>
            </w:r>
          </w:p>
        </w:tc>
        <w:tc>
          <w:tcPr>
            <w:tcW w:w="6760" w:type="dxa"/>
            <w:vAlign w:val="bottom"/>
            <w:gridSpan w:val="2"/>
          </w:tcPr>
          <w:p>
            <w:pPr>
              <w:ind w:left="80"/>
              <w:spacing w:after="0"/>
              <w:rPr>
                <w:sz w:val="20"/>
                <w:szCs w:val="20"/>
                <w:color w:val="auto"/>
              </w:rPr>
            </w:pPr>
            <w:r>
              <w:rPr>
                <w:rFonts w:ascii="Arial" w:cs="Arial" w:eastAsia="Arial" w:hAnsi="Arial"/>
                <w:sz w:val="13"/>
                <w:szCs w:val="13"/>
                <w:color w:val="auto"/>
              </w:rPr>
              <w:t>•  Senior Vice President — Government Affairs and Corporate Communications since September 2002.</w:t>
            </w:r>
          </w:p>
        </w:tc>
      </w:tr>
      <w:tr>
        <w:trPr>
          <w:trHeight w:val="161"/>
        </w:trPr>
        <w:tc>
          <w:tcPr>
            <w:tcW w:w="3200" w:type="dxa"/>
            <w:vAlign w:val="bottom"/>
          </w:tcPr>
          <w:p>
            <w:pPr>
              <w:ind w:left="680"/>
              <w:spacing w:after="0"/>
              <w:rPr>
                <w:sz w:val="20"/>
                <w:szCs w:val="20"/>
                <w:color w:val="auto"/>
              </w:rPr>
            </w:pPr>
            <w:r>
              <w:rPr>
                <w:rFonts w:ascii="Arial" w:cs="Arial" w:eastAsia="Arial" w:hAnsi="Arial"/>
                <w:sz w:val="13"/>
                <w:szCs w:val="13"/>
                <w:color w:val="auto"/>
              </w:rPr>
              <w:t>Patrick J. DeRueda</w:t>
            </w:r>
          </w:p>
        </w:tc>
        <w:tc>
          <w:tcPr>
            <w:tcW w:w="1500" w:type="dxa"/>
            <w:vAlign w:val="bottom"/>
          </w:tcPr>
          <w:p>
            <w:pPr>
              <w:jc w:val="right"/>
              <w:ind w:right="134"/>
              <w:spacing w:after="0"/>
              <w:rPr>
                <w:sz w:val="20"/>
                <w:szCs w:val="20"/>
                <w:color w:val="auto"/>
              </w:rPr>
            </w:pPr>
            <w:r>
              <w:rPr>
                <w:rFonts w:ascii="Arial" w:cs="Arial" w:eastAsia="Arial" w:hAnsi="Arial"/>
                <w:sz w:val="13"/>
                <w:szCs w:val="13"/>
                <w:color w:val="auto"/>
              </w:rPr>
              <w:t>48</w:t>
            </w:r>
          </w:p>
        </w:tc>
        <w:tc>
          <w:tcPr>
            <w:tcW w:w="6760" w:type="dxa"/>
            <w:vAlign w:val="bottom"/>
            <w:gridSpan w:val="2"/>
          </w:tcPr>
          <w:p>
            <w:pPr>
              <w:ind w:left="80"/>
              <w:spacing w:after="0"/>
              <w:rPr>
                <w:sz w:val="20"/>
                <w:szCs w:val="20"/>
                <w:color w:val="auto"/>
              </w:rPr>
            </w:pPr>
            <w:r>
              <w:rPr>
                <w:rFonts w:ascii="Arial" w:cs="Arial" w:eastAsia="Arial" w:hAnsi="Arial"/>
                <w:sz w:val="13"/>
                <w:szCs w:val="13"/>
                <w:color w:val="auto"/>
              </w:rPr>
              <w:t>•  President, WM Recycle America, L.L.C., a wholly-owned subsidiary of the Company, since March 2005.</w:t>
            </w:r>
          </w:p>
        </w:tc>
      </w:tr>
      <w:tr>
        <w:trPr>
          <w:trHeight w:val="161"/>
        </w:trPr>
        <w:tc>
          <w:tcPr>
            <w:tcW w:w="3200" w:type="dxa"/>
            <w:vAlign w:val="bottom"/>
          </w:tcPr>
          <w:p>
            <w:pPr>
              <w:ind w:left="680"/>
              <w:spacing w:after="0"/>
              <w:rPr>
                <w:sz w:val="20"/>
                <w:szCs w:val="20"/>
                <w:color w:val="auto"/>
              </w:rPr>
            </w:pPr>
            <w:r>
              <w:rPr>
                <w:rFonts w:ascii="Arial" w:cs="Arial" w:eastAsia="Arial" w:hAnsi="Arial"/>
                <w:sz w:val="13"/>
                <w:szCs w:val="13"/>
                <w:color w:val="auto"/>
              </w:rPr>
              <w:t>Brett W. Frazier</w:t>
            </w:r>
          </w:p>
        </w:tc>
        <w:tc>
          <w:tcPr>
            <w:tcW w:w="1500" w:type="dxa"/>
            <w:vAlign w:val="bottom"/>
          </w:tcPr>
          <w:p>
            <w:pPr>
              <w:jc w:val="right"/>
              <w:ind w:right="134"/>
              <w:spacing w:after="0"/>
              <w:rPr>
                <w:sz w:val="20"/>
                <w:szCs w:val="20"/>
                <w:color w:val="auto"/>
              </w:rPr>
            </w:pPr>
            <w:r>
              <w:rPr>
                <w:rFonts w:ascii="Arial" w:cs="Arial" w:eastAsia="Arial" w:hAnsi="Arial"/>
                <w:sz w:val="13"/>
                <w:szCs w:val="13"/>
                <w:color w:val="auto"/>
              </w:rPr>
              <w:t>55</w:t>
            </w:r>
          </w:p>
        </w:tc>
        <w:tc>
          <w:tcPr>
            <w:tcW w:w="6760" w:type="dxa"/>
            <w:vAlign w:val="bottom"/>
            <w:gridSpan w:val="2"/>
          </w:tcPr>
          <w:p>
            <w:pPr>
              <w:ind w:left="80"/>
              <w:spacing w:after="0"/>
              <w:rPr>
                <w:sz w:val="20"/>
                <w:szCs w:val="20"/>
                <w:color w:val="auto"/>
              </w:rPr>
            </w:pPr>
            <w:r>
              <w:rPr>
                <w:rFonts w:ascii="Arial" w:cs="Arial" w:eastAsia="Arial" w:hAnsi="Arial"/>
                <w:sz w:val="13"/>
                <w:szCs w:val="13"/>
                <w:color w:val="auto"/>
              </w:rPr>
              <w:t>•  Senior Vice President — Eastern Group since June 2007.</w:t>
            </w:r>
          </w:p>
        </w:tc>
      </w:tr>
      <w:tr>
        <w:trPr>
          <w:trHeight w:val="161"/>
        </w:trPr>
        <w:tc>
          <w:tcPr>
            <w:tcW w:w="3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760" w:type="dxa"/>
            <w:vAlign w:val="bottom"/>
            <w:gridSpan w:val="2"/>
          </w:tcPr>
          <w:p>
            <w:pPr>
              <w:ind w:left="80"/>
              <w:spacing w:after="0"/>
              <w:rPr>
                <w:sz w:val="20"/>
                <w:szCs w:val="20"/>
                <w:color w:val="auto"/>
              </w:rPr>
            </w:pPr>
            <w:r>
              <w:rPr>
                <w:rFonts w:ascii="Arial" w:cs="Arial" w:eastAsia="Arial" w:hAnsi="Arial"/>
                <w:sz w:val="13"/>
                <w:szCs w:val="13"/>
                <w:color w:val="auto"/>
              </w:rPr>
              <w:t>•  Vice President — Collections Operation Support from February 2006 to June 2007.</w:t>
            </w:r>
          </w:p>
        </w:tc>
      </w:tr>
      <w:tr>
        <w:trPr>
          <w:trHeight w:val="161"/>
        </w:trPr>
        <w:tc>
          <w:tcPr>
            <w:tcW w:w="3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760" w:type="dxa"/>
            <w:vAlign w:val="bottom"/>
            <w:gridSpan w:val="2"/>
          </w:tcPr>
          <w:p>
            <w:pPr>
              <w:ind w:left="80"/>
              <w:spacing w:after="0"/>
              <w:rPr>
                <w:sz w:val="20"/>
                <w:szCs w:val="20"/>
                <w:color w:val="auto"/>
              </w:rPr>
            </w:pPr>
            <w:r>
              <w:rPr>
                <w:rFonts w:ascii="Arial" w:cs="Arial" w:eastAsia="Arial" w:hAnsi="Arial"/>
                <w:sz w:val="13"/>
                <w:szCs w:val="13"/>
                <w:color w:val="auto"/>
              </w:rPr>
              <w:t>•  Vice President — Operations Improvement from November 2005 to February 2006.</w:t>
            </w:r>
          </w:p>
        </w:tc>
      </w:tr>
      <w:tr>
        <w:trPr>
          <w:trHeight w:val="161"/>
        </w:trPr>
        <w:tc>
          <w:tcPr>
            <w:tcW w:w="3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760" w:type="dxa"/>
            <w:vAlign w:val="bottom"/>
            <w:gridSpan w:val="2"/>
          </w:tcPr>
          <w:p>
            <w:pPr>
              <w:ind w:left="80"/>
              <w:spacing w:after="0"/>
              <w:rPr>
                <w:sz w:val="20"/>
                <w:szCs w:val="20"/>
                <w:color w:val="auto"/>
              </w:rPr>
            </w:pPr>
            <w:r>
              <w:rPr>
                <w:rFonts w:ascii="Arial" w:cs="Arial" w:eastAsia="Arial" w:hAnsi="Arial"/>
                <w:sz w:val="13"/>
                <w:szCs w:val="13"/>
                <w:color w:val="auto"/>
              </w:rPr>
              <w:t>•  Market Area General Manager — Houston Metro Area from December 2002 to November 2005.</w:t>
            </w:r>
          </w:p>
        </w:tc>
      </w:tr>
      <w:tr>
        <w:trPr>
          <w:trHeight w:val="161"/>
        </w:trPr>
        <w:tc>
          <w:tcPr>
            <w:tcW w:w="3200" w:type="dxa"/>
            <w:vAlign w:val="bottom"/>
          </w:tcPr>
          <w:p>
            <w:pPr>
              <w:ind w:left="680"/>
              <w:spacing w:after="0"/>
              <w:rPr>
                <w:sz w:val="20"/>
                <w:szCs w:val="20"/>
                <w:color w:val="auto"/>
              </w:rPr>
            </w:pPr>
            <w:r>
              <w:rPr>
                <w:rFonts w:ascii="Arial" w:cs="Arial" w:eastAsia="Arial" w:hAnsi="Arial"/>
                <w:sz w:val="13"/>
                <w:szCs w:val="13"/>
                <w:color w:val="auto"/>
              </w:rPr>
              <w:t>Jeff M. Harris</w:t>
            </w:r>
          </w:p>
        </w:tc>
        <w:tc>
          <w:tcPr>
            <w:tcW w:w="1500" w:type="dxa"/>
            <w:vAlign w:val="bottom"/>
          </w:tcPr>
          <w:p>
            <w:pPr>
              <w:jc w:val="right"/>
              <w:ind w:right="134"/>
              <w:spacing w:after="0"/>
              <w:rPr>
                <w:sz w:val="20"/>
                <w:szCs w:val="20"/>
                <w:color w:val="auto"/>
              </w:rPr>
            </w:pPr>
            <w:r>
              <w:rPr>
                <w:rFonts w:ascii="Arial" w:cs="Arial" w:eastAsia="Arial" w:hAnsi="Arial"/>
                <w:sz w:val="13"/>
                <w:szCs w:val="13"/>
                <w:color w:val="auto"/>
              </w:rPr>
              <w:t>55</w:t>
            </w:r>
          </w:p>
        </w:tc>
        <w:tc>
          <w:tcPr>
            <w:tcW w:w="6760" w:type="dxa"/>
            <w:vAlign w:val="bottom"/>
            <w:gridSpan w:val="2"/>
          </w:tcPr>
          <w:p>
            <w:pPr>
              <w:ind w:left="80"/>
              <w:spacing w:after="0"/>
              <w:rPr>
                <w:sz w:val="20"/>
                <w:szCs w:val="20"/>
                <w:color w:val="auto"/>
              </w:rPr>
            </w:pPr>
            <w:r>
              <w:rPr>
                <w:rFonts w:ascii="Arial" w:cs="Arial" w:eastAsia="Arial" w:hAnsi="Arial"/>
                <w:sz w:val="13"/>
                <w:szCs w:val="13"/>
                <w:color w:val="auto"/>
              </w:rPr>
              <w:t>•  Senior Vice President — Midwest Group since April 2006.</w:t>
            </w:r>
          </w:p>
        </w:tc>
      </w:tr>
      <w:tr>
        <w:trPr>
          <w:trHeight w:val="161"/>
        </w:trPr>
        <w:tc>
          <w:tcPr>
            <w:tcW w:w="3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760" w:type="dxa"/>
            <w:vAlign w:val="bottom"/>
            <w:gridSpan w:val="2"/>
          </w:tcPr>
          <w:p>
            <w:pPr>
              <w:ind w:left="80"/>
              <w:spacing w:after="0"/>
              <w:rPr>
                <w:sz w:val="20"/>
                <w:szCs w:val="20"/>
                <w:color w:val="auto"/>
              </w:rPr>
            </w:pPr>
            <w:r>
              <w:rPr>
                <w:rFonts w:ascii="Arial" w:cs="Arial" w:eastAsia="Arial" w:hAnsi="Arial"/>
                <w:sz w:val="13"/>
                <w:szCs w:val="13"/>
                <w:color w:val="auto"/>
              </w:rPr>
              <w:t>•  Area Vice President — Michigan Market Area from April 2000 to April 2006.</w:t>
            </w:r>
          </w:p>
        </w:tc>
      </w:tr>
      <w:tr>
        <w:trPr>
          <w:trHeight w:val="161"/>
        </w:trPr>
        <w:tc>
          <w:tcPr>
            <w:tcW w:w="3200" w:type="dxa"/>
            <w:vAlign w:val="bottom"/>
          </w:tcPr>
          <w:p>
            <w:pPr>
              <w:ind w:left="680"/>
              <w:spacing w:after="0"/>
              <w:rPr>
                <w:sz w:val="20"/>
                <w:szCs w:val="20"/>
                <w:color w:val="auto"/>
              </w:rPr>
            </w:pPr>
            <w:r>
              <w:rPr>
                <w:rFonts w:ascii="Arial" w:cs="Arial" w:eastAsia="Arial" w:hAnsi="Arial"/>
                <w:sz w:val="13"/>
                <w:szCs w:val="13"/>
                <w:color w:val="auto"/>
              </w:rPr>
              <w:t>Lawrence O’Donnell, III</w:t>
            </w:r>
          </w:p>
        </w:tc>
        <w:tc>
          <w:tcPr>
            <w:tcW w:w="1500" w:type="dxa"/>
            <w:vAlign w:val="bottom"/>
          </w:tcPr>
          <w:p>
            <w:pPr>
              <w:jc w:val="right"/>
              <w:ind w:right="134"/>
              <w:spacing w:after="0"/>
              <w:rPr>
                <w:sz w:val="20"/>
                <w:szCs w:val="20"/>
                <w:color w:val="auto"/>
              </w:rPr>
            </w:pPr>
            <w:r>
              <w:rPr>
                <w:rFonts w:ascii="Arial" w:cs="Arial" w:eastAsia="Arial" w:hAnsi="Arial"/>
                <w:sz w:val="13"/>
                <w:szCs w:val="13"/>
                <w:color w:val="auto"/>
              </w:rPr>
              <w:t>52</w:t>
            </w:r>
          </w:p>
        </w:tc>
        <w:tc>
          <w:tcPr>
            <w:tcW w:w="6760" w:type="dxa"/>
            <w:vAlign w:val="bottom"/>
            <w:gridSpan w:val="2"/>
          </w:tcPr>
          <w:p>
            <w:pPr>
              <w:ind w:left="80"/>
              <w:spacing w:after="0"/>
              <w:rPr>
                <w:sz w:val="20"/>
                <w:szCs w:val="20"/>
                <w:color w:val="auto"/>
              </w:rPr>
            </w:pPr>
            <w:r>
              <w:rPr>
                <w:rFonts w:ascii="Arial" w:cs="Arial" w:eastAsia="Arial" w:hAnsi="Arial"/>
                <w:sz w:val="13"/>
                <w:szCs w:val="13"/>
                <w:color w:val="auto"/>
              </w:rPr>
              <w:t>•  President and Chief Operating Officer since March 2004.</w:t>
            </w:r>
          </w:p>
        </w:tc>
      </w:tr>
      <w:tr>
        <w:trPr>
          <w:trHeight w:val="161"/>
        </w:trPr>
        <w:tc>
          <w:tcPr>
            <w:tcW w:w="3200" w:type="dxa"/>
            <w:vAlign w:val="bottom"/>
          </w:tcPr>
          <w:p>
            <w:pPr>
              <w:ind w:left="680"/>
              <w:spacing w:after="0"/>
              <w:rPr>
                <w:sz w:val="20"/>
                <w:szCs w:val="20"/>
                <w:color w:val="auto"/>
              </w:rPr>
            </w:pPr>
            <w:r>
              <w:rPr>
                <w:rFonts w:ascii="Arial" w:cs="Arial" w:eastAsia="Arial" w:hAnsi="Arial"/>
                <w:sz w:val="13"/>
                <w:szCs w:val="13"/>
                <w:color w:val="auto"/>
              </w:rPr>
              <w:t>Cherie C. Rice</w:t>
            </w:r>
          </w:p>
        </w:tc>
        <w:tc>
          <w:tcPr>
            <w:tcW w:w="1500" w:type="dxa"/>
            <w:vAlign w:val="bottom"/>
          </w:tcPr>
          <w:p>
            <w:pPr>
              <w:jc w:val="right"/>
              <w:ind w:right="134"/>
              <w:spacing w:after="0"/>
              <w:rPr>
                <w:sz w:val="20"/>
                <w:szCs w:val="20"/>
                <w:color w:val="auto"/>
              </w:rPr>
            </w:pPr>
            <w:r>
              <w:rPr>
                <w:rFonts w:ascii="Arial" w:cs="Arial" w:eastAsia="Arial" w:hAnsi="Arial"/>
                <w:sz w:val="13"/>
                <w:szCs w:val="13"/>
                <w:color w:val="auto"/>
              </w:rPr>
              <w:t>47</w:t>
            </w:r>
          </w:p>
        </w:tc>
        <w:tc>
          <w:tcPr>
            <w:tcW w:w="6760" w:type="dxa"/>
            <w:vAlign w:val="bottom"/>
            <w:gridSpan w:val="2"/>
          </w:tcPr>
          <w:p>
            <w:pPr>
              <w:ind w:left="80"/>
              <w:spacing w:after="0"/>
              <w:rPr>
                <w:sz w:val="20"/>
                <w:szCs w:val="20"/>
                <w:color w:val="auto"/>
              </w:rPr>
            </w:pPr>
            <w:r>
              <w:rPr>
                <w:rFonts w:ascii="Arial" w:cs="Arial" w:eastAsia="Arial" w:hAnsi="Arial"/>
                <w:sz w:val="13"/>
                <w:szCs w:val="13"/>
                <w:color w:val="auto"/>
              </w:rPr>
              <w:t>•  Vice President — Finance since May 2004, and Treasurer since January 2004.</w:t>
            </w:r>
          </w:p>
        </w:tc>
      </w:tr>
      <w:tr>
        <w:trPr>
          <w:trHeight w:val="161"/>
        </w:trPr>
        <w:tc>
          <w:tcPr>
            <w:tcW w:w="3200" w:type="dxa"/>
            <w:vAlign w:val="bottom"/>
          </w:tcPr>
          <w:p>
            <w:pPr>
              <w:ind w:left="680"/>
              <w:spacing w:after="0"/>
              <w:rPr>
                <w:sz w:val="20"/>
                <w:szCs w:val="20"/>
                <w:color w:val="auto"/>
              </w:rPr>
            </w:pPr>
            <w:r>
              <w:rPr>
                <w:rFonts w:ascii="Arial" w:cs="Arial" w:eastAsia="Arial" w:hAnsi="Arial"/>
                <w:sz w:val="13"/>
                <w:szCs w:val="13"/>
                <w:color w:val="auto"/>
              </w:rPr>
              <w:t>Greg A. Robertson</w:t>
            </w:r>
          </w:p>
        </w:tc>
        <w:tc>
          <w:tcPr>
            <w:tcW w:w="1500" w:type="dxa"/>
            <w:vAlign w:val="bottom"/>
          </w:tcPr>
          <w:p>
            <w:pPr>
              <w:jc w:val="right"/>
              <w:ind w:right="134"/>
              <w:spacing w:after="0"/>
              <w:rPr>
                <w:sz w:val="20"/>
                <w:szCs w:val="20"/>
                <w:color w:val="auto"/>
              </w:rPr>
            </w:pPr>
            <w:r>
              <w:rPr>
                <w:rFonts w:ascii="Arial" w:cs="Arial" w:eastAsia="Arial" w:hAnsi="Arial"/>
                <w:sz w:val="13"/>
                <w:szCs w:val="13"/>
                <w:color w:val="auto"/>
              </w:rPr>
              <w:t>56</w:t>
            </w:r>
          </w:p>
        </w:tc>
        <w:tc>
          <w:tcPr>
            <w:tcW w:w="6760" w:type="dxa"/>
            <w:vAlign w:val="bottom"/>
            <w:gridSpan w:val="2"/>
          </w:tcPr>
          <w:p>
            <w:pPr>
              <w:ind w:left="80"/>
              <w:spacing w:after="0"/>
              <w:rPr>
                <w:sz w:val="20"/>
                <w:szCs w:val="20"/>
                <w:color w:val="auto"/>
              </w:rPr>
            </w:pPr>
            <w:r>
              <w:rPr>
                <w:rFonts w:ascii="Arial" w:cs="Arial" w:eastAsia="Arial" w:hAnsi="Arial"/>
                <w:sz w:val="13"/>
                <w:szCs w:val="13"/>
                <w:color w:val="auto"/>
              </w:rPr>
              <w:t>•  Vice President and Chief Accounting Officer since March 2004.</w:t>
            </w:r>
          </w:p>
        </w:tc>
      </w:tr>
      <w:tr>
        <w:trPr>
          <w:trHeight w:val="161"/>
        </w:trPr>
        <w:tc>
          <w:tcPr>
            <w:tcW w:w="3200" w:type="dxa"/>
            <w:vAlign w:val="bottom"/>
          </w:tcPr>
          <w:p>
            <w:pPr>
              <w:ind w:left="680"/>
              <w:spacing w:after="0"/>
              <w:rPr>
                <w:sz w:val="20"/>
                <w:szCs w:val="20"/>
                <w:color w:val="auto"/>
              </w:rPr>
            </w:pPr>
            <w:r>
              <w:rPr>
                <w:rFonts w:ascii="Arial" w:cs="Arial" w:eastAsia="Arial" w:hAnsi="Arial"/>
                <w:sz w:val="13"/>
                <w:szCs w:val="13"/>
                <w:color w:val="auto"/>
              </w:rPr>
              <w:t>Michael J. Romans</w:t>
            </w:r>
          </w:p>
        </w:tc>
        <w:tc>
          <w:tcPr>
            <w:tcW w:w="1500" w:type="dxa"/>
            <w:vAlign w:val="bottom"/>
          </w:tcPr>
          <w:p>
            <w:pPr>
              <w:jc w:val="right"/>
              <w:ind w:right="134"/>
              <w:spacing w:after="0"/>
              <w:rPr>
                <w:sz w:val="20"/>
                <w:szCs w:val="20"/>
                <w:color w:val="auto"/>
              </w:rPr>
            </w:pPr>
            <w:r>
              <w:rPr>
                <w:rFonts w:ascii="Arial" w:cs="Arial" w:eastAsia="Arial" w:hAnsi="Arial"/>
                <w:sz w:val="13"/>
                <w:szCs w:val="13"/>
                <w:color w:val="auto"/>
              </w:rPr>
              <w:t>59</w:t>
            </w:r>
          </w:p>
        </w:tc>
        <w:tc>
          <w:tcPr>
            <w:tcW w:w="6760" w:type="dxa"/>
            <w:vAlign w:val="bottom"/>
            <w:gridSpan w:val="2"/>
          </w:tcPr>
          <w:p>
            <w:pPr>
              <w:ind w:left="80"/>
              <w:spacing w:after="0"/>
              <w:rPr>
                <w:sz w:val="20"/>
                <w:szCs w:val="20"/>
                <w:color w:val="auto"/>
              </w:rPr>
            </w:pPr>
            <w:r>
              <w:rPr>
                <w:rFonts w:ascii="Arial" w:cs="Arial" w:eastAsia="Arial" w:hAnsi="Arial"/>
                <w:sz w:val="13"/>
                <w:szCs w:val="13"/>
                <w:color w:val="auto"/>
              </w:rPr>
              <w:t>•  Senior Vice President, People since January 2007.</w:t>
            </w:r>
          </w:p>
        </w:tc>
      </w:tr>
      <w:tr>
        <w:trPr>
          <w:trHeight w:val="161"/>
        </w:trPr>
        <w:tc>
          <w:tcPr>
            <w:tcW w:w="3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760" w:type="dxa"/>
            <w:vAlign w:val="bottom"/>
            <w:gridSpan w:val="2"/>
          </w:tcPr>
          <w:p>
            <w:pPr>
              <w:ind w:left="80"/>
              <w:spacing w:after="0"/>
              <w:rPr>
                <w:sz w:val="20"/>
                <w:szCs w:val="20"/>
                <w:color w:val="auto"/>
              </w:rPr>
            </w:pPr>
            <w:r>
              <w:rPr>
                <w:rFonts w:ascii="Arial" w:cs="Arial" w:eastAsia="Arial" w:hAnsi="Arial"/>
                <w:sz w:val="13"/>
                <w:szCs w:val="13"/>
                <w:color w:val="auto"/>
              </w:rPr>
              <w:t>•  Senior Vice President — Human Resources, The St. Joe Company (real estate operating company) from</w:t>
            </w:r>
          </w:p>
        </w:tc>
      </w:tr>
      <w:tr>
        <w:trPr>
          <w:trHeight w:val="161"/>
        </w:trPr>
        <w:tc>
          <w:tcPr>
            <w:tcW w:w="3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760" w:type="dxa"/>
            <w:vAlign w:val="bottom"/>
            <w:gridSpan w:val="2"/>
          </w:tcPr>
          <w:p>
            <w:pPr>
              <w:ind w:left="140"/>
              <w:spacing w:after="0"/>
              <w:rPr>
                <w:sz w:val="20"/>
                <w:szCs w:val="20"/>
                <w:color w:val="auto"/>
              </w:rPr>
            </w:pPr>
            <w:r>
              <w:rPr>
                <w:rFonts w:ascii="Arial" w:cs="Arial" w:eastAsia="Arial" w:hAnsi="Arial"/>
                <w:sz w:val="13"/>
                <w:szCs w:val="13"/>
                <w:color w:val="auto"/>
              </w:rPr>
              <w:t>May 2006 to January 2007.</w:t>
            </w:r>
          </w:p>
        </w:tc>
      </w:tr>
      <w:tr>
        <w:trPr>
          <w:trHeight w:val="161"/>
        </w:trPr>
        <w:tc>
          <w:tcPr>
            <w:tcW w:w="3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760" w:type="dxa"/>
            <w:vAlign w:val="bottom"/>
            <w:gridSpan w:val="2"/>
          </w:tcPr>
          <w:p>
            <w:pPr>
              <w:ind w:left="80"/>
              <w:spacing w:after="0"/>
              <w:rPr>
                <w:sz w:val="20"/>
                <w:szCs w:val="20"/>
                <w:color w:val="auto"/>
              </w:rPr>
            </w:pPr>
            <w:r>
              <w:rPr>
                <w:rFonts w:ascii="Arial" w:cs="Arial" w:eastAsia="Arial" w:hAnsi="Arial"/>
                <w:sz w:val="13"/>
                <w:szCs w:val="13"/>
                <w:color w:val="auto"/>
              </w:rPr>
              <w:t>•  Senior Vice President — Human Resources, Hughes Supply, Inc. (wholesale distributor of construction,</w:t>
            </w:r>
          </w:p>
        </w:tc>
      </w:tr>
      <w:tr>
        <w:trPr>
          <w:trHeight w:val="161"/>
        </w:trPr>
        <w:tc>
          <w:tcPr>
            <w:tcW w:w="3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760" w:type="dxa"/>
            <w:vAlign w:val="bottom"/>
            <w:gridSpan w:val="2"/>
          </w:tcPr>
          <w:p>
            <w:pPr>
              <w:ind w:left="140"/>
              <w:spacing w:after="0"/>
              <w:rPr>
                <w:sz w:val="20"/>
                <w:szCs w:val="20"/>
                <w:color w:val="auto"/>
              </w:rPr>
            </w:pPr>
            <w:r>
              <w:rPr>
                <w:rFonts w:ascii="Arial" w:cs="Arial" w:eastAsia="Arial" w:hAnsi="Arial"/>
                <w:sz w:val="13"/>
                <w:szCs w:val="13"/>
                <w:color w:val="auto"/>
              </w:rPr>
              <w:t>repair and maintenance-related products) from December 2004 to March 2006.</w:t>
            </w:r>
          </w:p>
        </w:tc>
      </w:tr>
      <w:tr>
        <w:trPr>
          <w:trHeight w:val="161"/>
        </w:trPr>
        <w:tc>
          <w:tcPr>
            <w:tcW w:w="3200" w:type="dxa"/>
            <w:vAlign w:val="bottom"/>
          </w:tcPr>
          <w:p>
            <w:pPr>
              <w:ind w:left="680"/>
              <w:spacing w:after="0"/>
              <w:rPr>
                <w:sz w:val="20"/>
                <w:szCs w:val="20"/>
                <w:color w:val="auto"/>
              </w:rPr>
            </w:pPr>
            <w:r>
              <w:rPr>
                <w:rFonts w:ascii="Arial" w:cs="Arial" w:eastAsia="Arial" w:hAnsi="Arial"/>
                <w:sz w:val="13"/>
                <w:szCs w:val="13"/>
                <w:color w:val="auto"/>
              </w:rPr>
              <w:t>Robert G. Simpson</w:t>
            </w:r>
          </w:p>
        </w:tc>
        <w:tc>
          <w:tcPr>
            <w:tcW w:w="1500" w:type="dxa"/>
            <w:vAlign w:val="bottom"/>
          </w:tcPr>
          <w:p>
            <w:pPr>
              <w:jc w:val="right"/>
              <w:ind w:right="134"/>
              <w:spacing w:after="0"/>
              <w:rPr>
                <w:sz w:val="20"/>
                <w:szCs w:val="20"/>
                <w:color w:val="auto"/>
              </w:rPr>
            </w:pPr>
            <w:r>
              <w:rPr>
                <w:rFonts w:ascii="Arial" w:cs="Arial" w:eastAsia="Arial" w:hAnsi="Arial"/>
                <w:sz w:val="13"/>
                <w:szCs w:val="13"/>
                <w:color w:val="auto"/>
              </w:rPr>
              <w:t>57</w:t>
            </w:r>
          </w:p>
        </w:tc>
        <w:tc>
          <w:tcPr>
            <w:tcW w:w="6760" w:type="dxa"/>
            <w:vAlign w:val="bottom"/>
            <w:gridSpan w:val="2"/>
          </w:tcPr>
          <w:p>
            <w:pPr>
              <w:ind w:left="80"/>
              <w:spacing w:after="0"/>
              <w:rPr>
                <w:sz w:val="20"/>
                <w:szCs w:val="20"/>
                <w:color w:val="auto"/>
              </w:rPr>
            </w:pPr>
            <w:r>
              <w:rPr>
                <w:rFonts w:ascii="Arial" w:cs="Arial" w:eastAsia="Arial" w:hAnsi="Arial"/>
                <w:sz w:val="13"/>
                <w:szCs w:val="13"/>
                <w:color w:val="auto"/>
              </w:rPr>
              <w:t>•  Senior Vice President and Chief Financial Officer since March 2004.</w:t>
            </w:r>
          </w:p>
        </w:tc>
      </w:tr>
      <w:tr>
        <w:trPr>
          <w:trHeight w:val="161"/>
        </w:trPr>
        <w:tc>
          <w:tcPr>
            <w:tcW w:w="3200" w:type="dxa"/>
            <w:vAlign w:val="bottom"/>
          </w:tcPr>
          <w:p>
            <w:pPr>
              <w:ind w:left="680"/>
              <w:spacing w:after="0"/>
              <w:rPr>
                <w:sz w:val="20"/>
                <w:szCs w:val="20"/>
                <w:color w:val="auto"/>
              </w:rPr>
            </w:pPr>
            <w:r>
              <w:rPr>
                <w:rFonts w:ascii="Arial" w:cs="Arial" w:eastAsia="Arial" w:hAnsi="Arial"/>
                <w:sz w:val="13"/>
                <w:szCs w:val="13"/>
                <w:color w:val="auto"/>
              </w:rPr>
              <w:t>James E. Trevathan</w:t>
            </w:r>
          </w:p>
        </w:tc>
        <w:tc>
          <w:tcPr>
            <w:tcW w:w="1500" w:type="dxa"/>
            <w:vAlign w:val="bottom"/>
          </w:tcPr>
          <w:p>
            <w:pPr>
              <w:jc w:val="right"/>
              <w:ind w:right="134"/>
              <w:spacing w:after="0"/>
              <w:rPr>
                <w:sz w:val="20"/>
                <w:szCs w:val="20"/>
                <w:color w:val="auto"/>
              </w:rPr>
            </w:pPr>
            <w:r>
              <w:rPr>
                <w:rFonts w:ascii="Arial" w:cs="Arial" w:eastAsia="Arial" w:hAnsi="Arial"/>
                <w:sz w:val="13"/>
                <w:szCs w:val="13"/>
                <w:color w:val="auto"/>
              </w:rPr>
              <w:t>57</w:t>
            </w:r>
          </w:p>
        </w:tc>
        <w:tc>
          <w:tcPr>
            <w:tcW w:w="6760" w:type="dxa"/>
            <w:vAlign w:val="bottom"/>
            <w:gridSpan w:val="2"/>
          </w:tcPr>
          <w:p>
            <w:pPr>
              <w:ind w:left="80"/>
              <w:spacing w:after="0"/>
              <w:rPr>
                <w:sz w:val="20"/>
                <w:szCs w:val="20"/>
                <w:color w:val="auto"/>
              </w:rPr>
            </w:pPr>
            <w:r>
              <w:rPr>
                <w:rFonts w:ascii="Arial" w:cs="Arial" w:eastAsia="Arial" w:hAnsi="Arial"/>
                <w:sz w:val="13"/>
                <w:szCs w:val="13"/>
                <w:color w:val="auto"/>
              </w:rPr>
              <w:t>•  Senior Vice President — Southern Group since July 2007.</w:t>
            </w:r>
          </w:p>
        </w:tc>
      </w:tr>
      <w:tr>
        <w:trPr>
          <w:trHeight w:val="161"/>
        </w:trPr>
        <w:tc>
          <w:tcPr>
            <w:tcW w:w="3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760" w:type="dxa"/>
            <w:vAlign w:val="bottom"/>
            <w:gridSpan w:val="2"/>
          </w:tcPr>
          <w:p>
            <w:pPr>
              <w:ind w:left="80"/>
              <w:spacing w:after="0"/>
              <w:rPr>
                <w:sz w:val="20"/>
                <w:szCs w:val="20"/>
                <w:color w:val="auto"/>
              </w:rPr>
            </w:pPr>
            <w:r>
              <w:rPr>
                <w:rFonts w:ascii="Arial" w:cs="Arial" w:eastAsia="Arial" w:hAnsi="Arial"/>
                <w:sz w:val="13"/>
                <w:szCs w:val="13"/>
                <w:color w:val="auto"/>
              </w:rPr>
              <w:t>•  Senior Vice President — Eastern Group from July 2004 to June 2007.</w:t>
            </w:r>
          </w:p>
        </w:tc>
      </w:tr>
      <w:tr>
        <w:trPr>
          <w:trHeight w:val="161"/>
        </w:trPr>
        <w:tc>
          <w:tcPr>
            <w:tcW w:w="3200" w:type="dxa"/>
            <w:vAlign w:val="bottom"/>
          </w:tcPr>
          <w:p>
            <w:pPr>
              <w:ind w:left="680"/>
              <w:spacing w:after="0"/>
              <w:rPr>
                <w:sz w:val="20"/>
                <w:szCs w:val="20"/>
                <w:color w:val="auto"/>
              </w:rPr>
            </w:pPr>
            <w:r>
              <w:rPr>
                <w:rFonts w:ascii="Arial" w:cs="Arial" w:eastAsia="Arial" w:hAnsi="Arial"/>
                <w:sz w:val="13"/>
                <w:szCs w:val="13"/>
                <w:color w:val="auto"/>
              </w:rPr>
              <w:t>Mark A. Weidman</w:t>
            </w:r>
          </w:p>
        </w:tc>
        <w:tc>
          <w:tcPr>
            <w:tcW w:w="1500" w:type="dxa"/>
            <w:vAlign w:val="bottom"/>
          </w:tcPr>
          <w:p>
            <w:pPr>
              <w:jc w:val="right"/>
              <w:ind w:right="134"/>
              <w:spacing w:after="0"/>
              <w:rPr>
                <w:sz w:val="20"/>
                <w:szCs w:val="20"/>
                <w:color w:val="auto"/>
              </w:rPr>
            </w:pPr>
            <w:r>
              <w:rPr>
                <w:rFonts w:ascii="Arial" w:cs="Arial" w:eastAsia="Arial" w:hAnsi="Arial"/>
                <w:sz w:val="13"/>
                <w:szCs w:val="13"/>
                <w:color w:val="auto"/>
              </w:rPr>
              <w:t>53</w:t>
            </w:r>
          </w:p>
        </w:tc>
        <w:tc>
          <w:tcPr>
            <w:tcW w:w="6760" w:type="dxa"/>
            <w:vAlign w:val="bottom"/>
            <w:gridSpan w:val="2"/>
          </w:tcPr>
          <w:p>
            <w:pPr>
              <w:ind w:left="80"/>
              <w:spacing w:after="0"/>
              <w:rPr>
                <w:sz w:val="20"/>
                <w:szCs w:val="20"/>
                <w:color w:val="auto"/>
              </w:rPr>
            </w:pPr>
            <w:r>
              <w:rPr>
                <w:rFonts w:ascii="Arial" w:cs="Arial" w:eastAsia="Arial" w:hAnsi="Arial"/>
                <w:sz w:val="13"/>
                <w:szCs w:val="13"/>
                <w:color w:val="auto"/>
              </w:rPr>
              <w:t>•  President of Wheelabrator Technologies Inc., a wholly-owned subsidiary of the Company, since March</w:t>
            </w:r>
          </w:p>
        </w:tc>
      </w:tr>
      <w:tr>
        <w:trPr>
          <w:trHeight w:val="161"/>
        </w:trPr>
        <w:tc>
          <w:tcPr>
            <w:tcW w:w="3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40" w:type="dxa"/>
            <w:vAlign w:val="bottom"/>
          </w:tcPr>
          <w:p>
            <w:pPr>
              <w:ind w:left="140"/>
              <w:spacing w:after="0"/>
              <w:rPr>
                <w:sz w:val="20"/>
                <w:szCs w:val="20"/>
                <w:color w:val="auto"/>
              </w:rPr>
            </w:pPr>
            <w:r>
              <w:rPr>
                <w:rFonts w:ascii="Arial" w:cs="Arial" w:eastAsia="Arial" w:hAnsi="Arial"/>
                <w:sz w:val="13"/>
                <w:szCs w:val="13"/>
                <w:color w:val="auto"/>
              </w:rPr>
              <w:t>2006.</w:t>
            </w:r>
          </w:p>
        </w:tc>
        <w:tc>
          <w:tcPr>
            <w:tcW w:w="3720" w:type="dxa"/>
            <w:vAlign w:val="bottom"/>
          </w:tcPr>
          <w:p>
            <w:pPr>
              <w:spacing w:after="0"/>
              <w:rPr>
                <w:sz w:val="14"/>
                <w:szCs w:val="14"/>
                <w:color w:val="auto"/>
              </w:rPr>
            </w:pPr>
          </w:p>
        </w:tc>
      </w:tr>
      <w:tr>
        <w:trPr>
          <w:trHeight w:val="161"/>
        </w:trPr>
        <w:tc>
          <w:tcPr>
            <w:tcW w:w="3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760" w:type="dxa"/>
            <w:vAlign w:val="bottom"/>
            <w:gridSpan w:val="2"/>
          </w:tcPr>
          <w:p>
            <w:pPr>
              <w:ind w:left="80"/>
              <w:spacing w:after="0"/>
              <w:rPr>
                <w:sz w:val="20"/>
                <w:szCs w:val="20"/>
                <w:color w:val="auto"/>
              </w:rPr>
            </w:pPr>
            <w:r>
              <w:rPr>
                <w:rFonts w:ascii="Arial" w:cs="Arial" w:eastAsia="Arial" w:hAnsi="Arial"/>
                <w:sz w:val="13"/>
                <w:szCs w:val="13"/>
                <w:color w:val="auto"/>
              </w:rPr>
              <w:t>•  Vice President — Operations of Wheelabrator from June 2001 to March 2006.</w:t>
            </w:r>
          </w:p>
        </w:tc>
      </w:tr>
      <w:tr>
        <w:trPr>
          <w:trHeight w:val="161"/>
        </w:trPr>
        <w:tc>
          <w:tcPr>
            <w:tcW w:w="3200" w:type="dxa"/>
            <w:vAlign w:val="bottom"/>
          </w:tcPr>
          <w:p>
            <w:pPr>
              <w:ind w:left="680"/>
              <w:spacing w:after="0"/>
              <w:rPr>
                <w:sz w:val="20"/>
                <w:szCs w:val="20"/>
                <w:color w:val="auto"/>
              </w:rPr>
            </w:pPr>
            <w:r>
              <w:rPr>
                <w:rFonts w:ascii="Arial" w:cs="Arial" w:eastAsia="Arial" w:hAnsi="Arial"/>
                <w:sz w:val="13"/>
                <w:szCs w:val="13"/>
                <w:color w:val="auto"/>
              </w:rPr>
              <w:t>Rick L Wittenbraker</w:t>
            </w:r>
          </w:p>
        </w:tc>
        <w:tc>
          <w:tcPr>
            <w:tcW w:w="1500" w:type="dxa"/>
            <w:vAlign w:val="bottom"/>
          </w:tcPr>
          <w:p>
            <w:pPr>
              <w:jc w:val="right"/>
              <w:ind w:right="134"/>
              <w:spacing w:after="0"/>
              <w:rPr>
                <w:sz w:val="20"/>
                <w:szCs w:val="20"/>
                <w:color w:val="auto"/>
              </w:rPr>
            </w:pPr>
            <w:r>
              <w:rPr>
                <w:rFonts w:ascii="Arial" w:cs="Arial" w:eastAsia="Arial" w:hAnsi="Arial"/>
                <w:sz w:val="13"/>
                <w:szCs w:val="13"/>
                <w:color w:val="auto"/>
              </w:rPr>
              <w:t>62</w:t>
            </w:r>
          </w:p>
        </w:tc>
        <w:tc>
          <w:tcPr>
            <w:tcW w:w="6760" w:type="dxa"/>
            <w:vAlign w:val="bottom"/>
            <w:gridSpan w:val="2"/>
          </w:tcPr>
          <w:p>
            <w:pPr>
              <w:ind w:left="80"/>
              <w:spacing w:after="0"/>
              <w:rPr>
                <w:sz w:val="20"/>
                <w:szCs w:val="20"/>
                <w:color w:val="auto"/>
              </w:rPr>
            </w:pPr>
            <w:r>
              <w:rPr>
                <w:rFonts w:ascii="Arial" w:cs="Arial" w:eastAsia="Arial" w:hAnsi="Arial"/>
                <w:sz w:val="13"/>
                <w:szCs w:val="13"/>
                <w:color w:val="auto"/>
              </w:rPr>
              <w:t>•  Senior Vice President, General Counsel and Chief Compliance Officer since November 2003.</w:t>
            </w:r>
          </w:p>
        </w:tc>
      </w:tr>
      <w:tr>
        <w:trPr>
          <w:trHeight w:val="172"/>
        </w:trPr>
        <w:tc>
          <w:tcPr>
            <w:tcW w:w="3200" w:type="dxa"/>
            <w:vAlign w:val="bottom"/>
          </w:tcPr>
          <w:p>
            <w:pPr>
              <w:ind w:left="680"/>
              <w:spacing w:after="0"/>
              <w:rPr>
                <w:sz w:val="20"/>
                <w:szCs w:val="20"/>
                <w:color w:val="auto"/>
              </w:rPr>
            </w:pPr>
            <w:r>
              <w:rPr>
                <w:rFonts w:ascii="Arial" w:cs="Arial" w:eastAsia="Arial" w:hAnsi="Arial"/>
                <w:sz w:val="13"/>
                <w:szCs w:val="13"/>
                <w:color w:val="auto"/>
              </w:rPr>
              <w:t>Duane C. Woods</w:t>
            </w:r>
          </w:p>
        </w:tc>
        <w:tc>
          <w:tcPr>
            <w:tcW w:w="1500" w:type="dxa"/>
            <w:vAlign w:val="bottom"/>
          </w:tcPr>
          <w:p>
            <w:pPr>
              <w:jc w:val="right"/>
              <w:ind w:right="134"/>
              <w:spacing w:after="0"/>
              <w:rPr>
                <w:sz w:val="20"/>
                <w:szCs w:val="20"/>
                <w:color w:val="auto"/>
              </w:rPr>
            </w:pPr>
            <w:r>
              <w:rPr>
                <w:rFonts w:ascii="Arial" w:cs="Arial" w:eastAsia="Arial" w:hAnsi="Arial"/>
                <w:sz w:val="13"/>
                <w:szCs w:val="13"/>
                <w:color w:val="auto"/>
              </w:rPr>
              <w:t>58</w:t>
            </w:r>
          </w:p>
        </w:tc>
        <w:tc>
          <w:tcPr>
            <w:tcW w:w="6760" w:type="dxa"/>
            <w:vAlign w:val="bottom"/>
            <w:gridSpan w:val="2"/>
          </w:tcPr>
          <w:p>
            <w:pPr>
              <w:ind w:left="80"/>
              <w:spacing w:after="0"/>
              <w:rPr>
                <w:sz w:val="20"/>
                <w:szCs w:val="20"/>
                <w:color w:val="auto"/>
              </w:rPr>
            </w:pPr>
            <w:r>
              <w:rPr>
                <w:rFonts w:ascii="Arial" w:cs="Arial" w:eastAsia="Arial" w:hAnsi="Arial"/>
                <w:sz w:val="13"/>
                <w:szCs w:val="13"/>
                <w:color w:val="auto"/>
              </w:rPr>
              <w:t>•  Senior Vice President — Western Group since July 2004.</w:t>
            </w:r>
          </w:p>
        </w:tc>
      </w:tr>
      <w:tr>
        <w:trPr>
          <w:trHeight w:val="464"/>
        </w:trPr>
        <w:tc>
          <w:tcPr>
            <w:tcW w:w="3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40" w:type="dxa"/>
            <w:vAlign w:val="bottom"/>
          </w:tcPr>
          <w:p>
            <w:pPr>
              <w:ind w:left="900"/>
              <w:spacing w:after="0"/>
              <w:rPr>
                <w:sz w:val="20"/>
                <w:szCs w:val="20"/>
                <w:color w:val="auto"/>
              </w:rPr>
            </w:pPr>
            <w:r>
              <w:rPr>
                <w:rFonts w:ascii="Arial" w:cs="Arial" w:eastAsia="Arial" w:hAnsi="Arial"/>
                <w:sz w:val="13"/>
                <w:szCs w:val="13"/>
                <w:color w:val="auto"/>
              </w:rPr>
              <w:t>19</w:t>
            </w:r>
          </w:p>
        </w:tc>
        <w:tc>
          <w:tcPr>
            <w:tcW w:w="3720" w:type="dxa"/>
            <w:vAlign w:val="bottom"/>
          </w:tcPr>
          <w:p>
            <w:pPr>
              <w:spacing w:after="0"/>
              <w:rPr>
                <w:sz w:val="24"/>
                <w:szCs w:val="24"/>
                <w:color w:val="auto"/>
              </w:rPr>
            </w:pPr>
          </w:p>
        </w:tc>
      </w:tr>
      <w:tr>
        <w:trPr>
          <w:trHeight w:val="167"/>
        </w:trPr>
        <w:tc>
          <w:tcPr>
            <w:tcW w:w="3200" w:type="dxa"/>
            <w:vAlign w:val="bottom"/>
            <w:tcBorders>
              <w:bottom w:val="single" w:sz="8" w:color="808080"/>
            </w:tcBorders>
          </w:tcPr>
          <w:p>
            <w:pPr>
              <w:spacing w:after="0"/>
              <w:rPr>
                <w:sz w:val="14"/>
                <w:szCs w:val="14"/>
                <w:color w:val="auto"/>
              </w:rPr>
            </w:pPr>
          </w:p>
        </w:tc>
        <w:tc>
          <w:tcPr>
            <w:tcW w:w="1500" w:type="dxa"/>
            <w:vAlign w:val="bottom"/>
            <w:tcBorders>
              <w:bottom w:val="single" w:sz="8" w:color="808080"/>
            </w:tcBorders>
          </w:tcPr>
          <w:p>
            <w:pPr>
              <w:spacing w:after="0"/>
              <w:rPr>
                <w:sz w:val="14"/>
                <w:szCs w:val="14"/>
                <w:color w:val="auto"/>
              </w:rPr>
            </w:pPr>
          </w:p>
        </w:tc>
        <w:tc>
          <w:tcPr>
            <w:tcW w:w="3040" w:type="dxa"/>
            <w:vAlign w:val="bottom"/>
            <w:tcBorders>
              <w:bottom w:val="single" w:sz="8" w:color="808080"/>
            </w:tcBorders>
          </w:tcPr>
          <w:p>
            <w:pPr>
              <w:spacing w:after="0"/>
              <w:rPr>
                <w:sz w:val="14"/>
                <w:szCs w:val="14"/>
                <w:color w:val="auto"/>
              </w:rPr>
            </w:pPr>
          </w:p>
        </w:tc>
        <w:tc>
          <w:tcPr>
            <w:tcW w:w="372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-3310255</wp:posOffset>
            </wp:positionV>
            <wp:extent cx="25400"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400" cy="6350"/>
                    </a:xfrm>
                    <a:prstGeom prst="rect">
                      <a:avLst/>
                    </a:prstGeom>
                    <a:noFill/>
                  </pic:spPr>
                </pic:pic>
              </a:graphicData>
            </a:graphic>
          </wp:anchor>
        </w:drawing>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EXECUTIVE COMPENSATION</w:t>
      </w:r>
    </w:p>
    <w:p>
      <w:pPr>
        <w:spacing w:after="0" w:line="24"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Compensation Discussion and Analysis</w:t>
      </w:r>
    </w:p>
    <w:p>
      <w:pPr>
        <w:spacing w:after="0" w:line="92" w:lineRule="exact"/>
        <w:rPr>
          <w:sz w:val="20"/>
          <w:szCs w:val="20"/>
          <w:color w:val="auto"/>
        </w:rPr>
      </w:pPr>
    </w:p>
    <w:p>
      <w:pPr>
        <w:ind w:left="680" w:right="80" w:firstLine="399"/>
        <w:spacing w:after="0" w:line="270" w:lineRule="auto"/>
        <w:rPr>
          <w:sz w:val="20"/>
          <w:szCs w:val="20"/>
          <w:color w:val="auto"/>
        </w:rPr>
      </w:pPr>
      <w:r>
        <w:rPr>
          <w:rFonts w:ascii="Arial" w:cs="Arial" w:eastAsia="Arial" w:hAnsi="Arial"/>
          <w:sz w:val="13"/>
          <w:szCs w:val="13"/>
          <w:color w:val="auto"/>
        </w:rPr>
        <w:t>The following Compensation Discussion and Analysis, or CD&amp;A, discusses how our Management Development and Compensation Committee, referred to throughout this discussion as the Compensation Committee, made its compensation decisions for the Company’s executive officers that are named in the Summary Compensation Table on page 32 of this Proxy Statement. These officers include David P. Steiner, Lawrence O’Donnell, III, Robert G. Simpson, James E. Trevathan and Duane C. Woods. We refer to them collectively as the “named executive officers,” or “named executives,” throughout this Proxy Statement.</w:t>
      </w:r>
    </w:p>
    <w:p>
      <w:pPr>
        <w:spacing w:after="0" w:line="141" w:lineRule="exact"/>
        <w:rPr>
          <w:sz w:val="20"/>
          <w:szCs w:val="20"/>
          <w:color w:val="auto"/>
        </w:rPr>
      </w:pPr>
    </w:p>
    <w:p>
      <w:pPr>
        <w:jc w:val="right"/>
        <w:ind w:right="6420"/>
        <w:spacing w:after="0"/>
        <w:rPr>
          <w:sz w:val="20"/>
          <w:szCs w:val="20"/>
          <w:color w:val="auto"/>
        </w:rPr>
      </w:pPr>
      <w:r>
        <w:rPr>
          <w:rFonts w:ascii="Arial" w:cs="Arial" w:eastAsia="Arial" w:hAnsi="Arial"/>
          <w:sz w:val="13"/>
          <w:szCs w:val="13"/>
          <w:b w:val="1"/>
          <w:bCs w:val="1"/>
          <w:color w:val="auto"/>
        </w:rPr>
        <w:t>Our Compensation Philosophy for Named Executive Officers</w:t>
      </w:r>
    </w:p>
    <w:p>
      <w:pPr>
        <w:spacing w:after="0" w:line="104" w:lineRule="exact"/>
        <w:rPr>
          <w:sz w:val="20"/>
          <w:szCs w:val="20"/>
          <w:color w:val="auto"/>
        </w:rPr>
      </w:pPr>
    </w:p>
    <w:p>
      <w:pPr>
        <w:jc w:val="right"/>
        <w:ind w:right="6460"/>
        <w:spacing w:after="0"/>
        <w:rPr>
          <w:sz w:val="20"/>
          <w:szCs w:val="20"/>
          <w:color w:val="auto"/>
        </w:rPr>
      </w:pPr>
      <w:r>
        <w:rPr>
          <w:rFonts w:ascii="Arial" w:cs="Arial" w:eastAsia="Arial" w:hAnsi="Arial"/>
          <w:sz w:val="13"/>
          <w:szCs w:val="13"/>
          <w:color w:val="auto"/>
        </w:rPr>
        <w:t>The Company’s compensation philosophy is designed to:</w:t>
      </w:r>
    </w:p>
    <w:p>
      <w:pPr>
        <w:spacing w:after="0" w:line="102" w:lineRule="exact"/>
        <w:rPr>
          <w:sz w:val="20"/>
          <w:szCs w:val="20"/>
          <w:color w:val="auto"/>
        </w:rPr>
      </w:pPr>
    </w:p>
    <w:p>
      <w:pPr>
        <w:ind w:left="1300" w:hanging="208"/>
        <w:spacing w:after="0"/>
        <w:tabs>
          <w:tab w:leader="none" w:pos="13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Attract and retain exceptional employees;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Encourage and reward performance; and</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Align our decision makers’ long-term interests with those of our stockholders.</w:t>
      </w:r>
    </w:p>
    <w:p>
      <w:pPr>
        <w:spacing w:after="0" w:line="102" w:lineRule="exact"/>
        <w:rPr>
          <w:sz w:val="20"/>
          <w:szCs w:val="20"/>
          <w:color w:val="auto"/>
        </w:rPr>
      </w:pPr>
    </w:p>
    <w:p>
      <w:pPr>
        <w:ind w:left="680" w:right="20" w:firstLine="399"/>
        <w:spacing w:after="0" w:line="294" w:lineRule="auto"/>
        <w:rPr>
          <w:sz w:val="20"/>
          <w:szCs w:val="20"/>
          <w:color w:val="auto"/>
        </w:rPr>
      </w:pPr>
      <w:r>
        <w:rPr>
          <w:rFonts w:ascii="Arial" w:cs="Arial" w:eastAsia="Arial" w:hAnsi="Arial"/>
          <w:sz w:val="13"/>
          <w:szCs w:val="13"/>
          <w:color w:val="auto"/>
        </w:rPr>
        <w:t>With respect to our named executive officers, the Compensation Committee believes that total direct compensation should be targeted at the competitive median according to the following:</w:t>
      </w:r>
    </w:p>
    <w:p>
      <w:pPr>
        <w:spacing w:after="0" w:line="47" w:lineRule="exact"/>
        <w:rPr>
          <w:sz w:val="20"/>
          <w:szCs w:val="20"/>
          <w:color w:val="auto"/>
        </w:rPr>
      </w:pPr>
    </w:p>
    <w:p>
      <w:pPr>
        <w:ind w:left="1300" w:right="80" w:hanging="208"/>
        <w:spacing w:after="0" w:line="294" w:lineRule="auto"/>
        <w:tabs>
          <w:tab w:leader="none" w:pos="13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Base salaries should be paid within the median range, but attention must be given to individual circumstances, including strategic importance of the named executive’s role, his experience, his individual performance and whether he was promoted internally or hired to the role from outside of the Company; and</w:t>
      </w:r>
    </w:p>
    <w:p>
      <w:pPr>
        <w:spacing w:after="0" w:line="46" w:lineRule="exact"/>
        <w:rPr>
          <w:rFonts w:ascii="Arial" w:cs="Arial" w:eastAsia="Arial" w:hAnsi="Arial"/>
          <w:sz w:val="13"/>
          <w:szCs w:val="13"/>
          <w:color w:val="auto"/>
        </w:rPr>
      </w:pPr>
    </w:p>
    <w:p>
      <w:pPr>
        <w:ind w:left="1300" w:hanging="208"/>
        <w:spacing w:after="0"/>
        <w:tabs>
          <w:tab w:leader="none" w:pos="1300" w:val="left"/>
        </w:tabs>
        <w:numPr>
          <w:ilvl w:val="0"/>
          <w:numId w:val="18"/>
        </w:numPr>
        <w:rPr>
          <w:rFonts w:ascii="Arial" w:cs="Arial" w:eastAsia="Arial" w:hAnsi="Arial"/>
          <w:sz w:val="12"/>
          <w:szCs w:val="12"/>
          <w:color w:val="auto"/>
        </w:rPr>
      </w:pPr>
      <w:r>
        <w:rPr>
          <w:rFonts w:ascii="Arial" w:cs="Arial" w:eastAsia="Arial" w:hAnsi="Arial"/>
          <w:sz w:val="12"/>
          <w:szCs w:val="12"/>
          <w:color w:val="auto"/>
        </w:rPr>
        <w:t>Short- and long-term incentive opportunities should be targeted at the competitive median, with actual payments varying primarily based on the Company’s performance.</w:t>
      </w:r>
    </w:p>
    <w:p>
      <w:pPr>
        <w:spacing w:after="0" w:line="19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Highlights of 2009 Named Executive Officer Compensation</w:t>
      </w:r>
    </w:p>
    <w:p>
      <w:pPr>
        <w:spacing w:after="0" w:line="104" w:lineRule="exact"/>
        <w:rPr>
          <w:sz w:val="20"/>
          <w:szCs w:val="20"/>
          <w:color w:val="auto"/>
        </w:rPr>
      </w:pPr>
    </w:p>
    <w:p>
      <w:pPr>
        <w:ind w:left="1300" w:hanging="208"/>
        <w:spacing w:after="0"/>
        <w:tabs>
          <w:tab w:leader="none" w:pos="13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Named executive officers were subject to the Company’s salary freeze, so their base salaries remained the same as in 2008;</w:t>
      </w:r>
    </w:p>
    <w:p>
      <w:pPr>
        <w:spacing w:after="0" w:line="92" w:lineRule="exact"/>
        <w:rPr>
          <w:rFonts w:ascii="Arial" w:cs="Arial" w:eastAsia="Arial" w:hAnsi="Arial"/>
          <w:sz w:val="13"/>
          <w:szCs w:val="13"/>
          <w:color w:val="auto"/>
        </w:rPr>
      </w:pPr>
    </w:p>
    <w:p>
      <w:pPr>
        <w:ind w:left="1300" w:hanging="208"/>
        <w:spacing w:after="0" w:line="294" w:lineRule="auto"/>
        <w:tabs>
          <w:tab w:leader="none" w:pos="13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Financial metrics used for annual cash bonus targets included (i) income from operations as a percentage of revenues and (ii) income from operations, net of depreciation and amortization, or EBITDA;</w:t>
      </w:r>
    </w:p>
    <w:p>
      <w:pPr>
        <w:spacing w:after="0" w:line="46" w:lineRule="exact"/>
        <w:rPr>
          <w:rFonts w:ascii="Arial" w:cs="Arial" w:eastAsia="Arial" w:hAnsi="Arial"/>
          <w:sz w:val="13"/>
          <w:szCs w:val="13"/>
          <w:color w:val="auto"/>
        </w:rPr>
      </w:pPr>
    </w:p>
    <w:p>
      <w:pPr>
        <w:ind w:left="1500" w:hanging="207"/>
        <w:spacing w:after="0"/>
        <w:tabs>
          <w:tab w:leader="none" w:pos="1500" w:val="left"/>
        </w:tabs>
        <w:numPr>
          <w:ilvl w:val="1"/>
          <w:numId w:val="19"/>
        </w:numPr>
        <w:rPr>
          <w:rFonts w:ascii="Arial" w:cs="Arial" w:eastAsia="Arial" w:hAnsi="Arial"/>
          <w:sz w:val="13"/>
          <w:szCs w:val="13"/>
          <w:color w:val="auto"/>
        </w:rPr>
      </w:pPr>
      <w:r>
        <w:rPr>
          <w:rFonts w:ascii="Arial" w:cs="Arial" w:eastAsia="Arial" w:hAnsi="Arial"/>
          <w:sz w:val="13"/>
          <w:szCs w:val="13"/>
          <w:color w:val="auto"/>
        </w:rPr>
        <w:t>Actual bonus payments made in March 2010 for fiscal 2009 were 83.8% of target based on Company-wide performance;</w:t>
      </w:r>
    </w:p>
    <w:p>
      <w:pPr>
        <w:spacing w:after="0" w:line="102" w:lineRule="exact"/>
        <w:rPr>
          <w:rFonts w:ascii="Arial" w:cs="Arial" w:eastAsia="Arial" w:hAnsi="Arial"/>
          <w:sz w:val="13"/>
          <w:szCs w:val="13"/>
          <w:color w:val="auto"/>
        </w:rPr>
      </w:pPr>
    </w:p>
    <w:p>
      <w:pPr>
        <w:ind w:left="1300" w:right="60" w:hanging="208"/>
        <w:spacing w:after="0" w:line="294" w:lineRule="auto"/>
        <w:tabs>
          <w:tab w:leader="none" w:pos="13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Long-term incentive awards granted to named executives consisted of performance share units with a three-year performance period ending December 31, 2011, which may be earned based on the achievement of a pre-determined return on invested capital, or ROIC, goal;</w:t>
      </w:r>
    </w:p>
    <w:p>
      <w:pPr>
        <w:spacing w:after="0" w:line="46" w:lineRule="exact"/>
        <w:rPr>
          <w:rFonts w:ascii="Arial" w:cs="Arial" w:eastAsia="Arial" w:hAnsi="Arial"/>
          <w:sz w:val="13"/>
          <w:szCs w:val="13"/>
          <w:color w:val="auto"/>
        </w:rPr>
      </w:pPr>
    </w:p>
    <w:p>
      <w:pPr>
        <w:ind w:left="1500" w:hanging="207"/>
        <w:spacing w:after="0"/>
        <w:tabs>
          <w:tab w:leader="none" w:pos="1500" w:val="left"/>
        </w:tabs>
        <w:numPr>
          <w:ilvl w:val="1"/>
          <w:numId w:val="19"/>
        </w:numPr>
        <w:rPr>
          <w:rFonts w:ascii="Arial" w:cs="Arial" w:eastAsia="Arial" w:hAnsi="Arial"/>
          <w:sz w:val="12"/>
          <w:szCs w:val="12"/>
          <w:color w:val="auto"/>
        </w:rPr>
      </w:pPr>
      <w:r>
        <w:rPr>
          <w:rFonts w:ascii="Arial" w:cs="Arial" w:eastAsia="Arial" w:hAnsi="Arial"/>
          <w:sz w:val="12"/>
          <w:szCs w:val="12"/>
          <w:color w:val="auto"/>
        </w:rPr>
        <w:t>Named executive officers earned 84.1% of the performance share units that were granted in 2007 with the three-year performance period ended December 31, 2009.</w:t>
      </w:r>
    </w:p>
    <w:p>
      <w:pPr>
        <w:spacing w:after="0" w:line="19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w:t>
      </w:r>
    </w:p>
    <w:p>
      <w:pPr>
        <w:spacing w:after="0" w:line="104" w:lineRule="exact"/>
        <w:rPr>
          <w:sz w:val="20"/>
          <w:szCs w:val="20"/>
          <w:color w:val="auto"/>
        </w:rPr>
      </w:pPr>
    </w:p>
    <w:p>
      <w:pPr>
        <w:ind w:left="680" w:firstLine="399"/>
        <w:spacing w:after="0" w:line="294" w:lineRule="auto"/>
        <w:rPr>
          <w:sz w:val="20"/>
          <w:szCs w:val="20"/>
          <w:color w:val="auto"/>
        </w:rPr>
      </w:pPr>
      <w:r>
        <w:rPr>
          <w:rFonts w:ascii="Arial" w:cs="Arial" w:eastAsia="Arial" w:hAnsi="Arial"/>
          <w:sz w:val="13"/>
          <w:szCs w:val="13"/>
          <w:i w:val="1"/>
          <w:iCs w:val="1"/>
          <w:u w:val="single" w:color="auto"/>
          <w:color w:val="auto"/>
        </w:rPr>
        <w:t>Base Salary</w:t>
      </w:r>
      <w:r>
        <w:rPr>
          <w:rFonts w:ascii="Arial" w:cs="Arial" w:eastAsia="Arial" w:hAnsi="Arial"/>
          <w:sz w:val="13"/>
          <w:szCs w:val="13"/>
          <w:i w:val="1"/>
          <w:iCs w:val="1"/>
          <w:color w:val="auto"/>
        </w:rPr>
        <w:t xml:space="preserve">. </w:t>
      </w:r>
      <w:r>
        <w:rPr>
          <w:rFonts w:ascii="Arial" w:cs="Arial" w:eastAsia="Arial" w:hAnsi="Arial"/>
          <w:sz w:val="13"/>
          <w:szCs w:val="13"/>
          <w:color w:val="auto"/>
        </w:rPr>
        <w:t>We pay base salaries to our named executives to provide them with sufficient, regularly paid income for performing day-to-day responsibilities. The amounts of the</w:t>
      </w:r>
      <w:r>
        <w:rPr>
          <w:rFonts w:ascii="Arial" w:cs="Arial" w:eastAsia="Arial" w:hAnsi="Arial"/>
          <w:sz w:val="13"/>
          <w:szCs w:val="13"/>
          <w:i w:val="1"/>
          <w:iCs w:val="1"/>
          <w:color w:val="auto"/>
        </w:rPr>
        <w:t xml:space="preserve"> </w:t>
      </w:r>
      <w:r>
        <w:rPr>
          <w:rFonts w:ascii="Arial" w:cs="Arial" w:eastAsia="Arial" w:hAnsi="Arial"/>
          <w:sz w:val="13"/>
          <w:szCs w:val="13"/>
          <w:color w:val="auto"/>
        </w:rPr>
        <w:t>base salaries we pay are meant to help us in attracting and retaining the best employees.</w:t>
      </w:r>
    </w:p>
    <w:p>
      <w:pPr>
        <w:spacing w:after="0" w:line="47"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i w:val="1"/>
          <w:iCs w:val="1"/>
          <w:u w:val="single" w:color="auto"/>
          <w:color w:val="auto"/>
        </w:rPr>
        <w:t>Annual Cash Bonus</w:t>
      </w:r>
      <w:r>
        <w:rPr>
          <w:rFonts w:ascii="Arial" w:cs="Arial" w:eastAsia="Arial" w:hAnsi="Arial"/>
          <w:sz w:val="13"/>
          <w:szCs w:val="13"/>
          <w:i w:val="1"/>
          <w:iCs w:val="1"/>
          <w:color w:val="auto"/>
        </w:rPr>
        <w:t xml:space="preserve">. </w:t>
      </w:r>
      <w:r>
        <w:rPr>
          <w:rFonts w:ascii="Arial" w:cs="Arial" w:eastAsia="Arial" w:hAnsi="Arial"/>
          <w:sz w:val="13"/>
          <w:szCs w:val="13"/>
          <w:color w:val="auto"/>
        </w:rPr>
        <w:t>Our named executives’ bonuses are targeted at a percentage of base salary. Beginning in 2007, our named executives’ bonuses have been earned based</w:t>
      </w:r>
      <w:r>
        <w:rPr>
          <w:rFonts w:ascii="Arial" w:cs="Arial" w:eastAsia="Arial" w:hAnsi="Arial"/>
          <w:sz w:val="13"/>
          <w:szCs w:val="13"/>
          <w:i w:val="1"/>
          <w:iCs w:val="1"/>
          <w:color w:val="auto"/>
        </w:rPr>
        <w:t xml:space="preserve"> </w:t>
      </w:r>
      <w:r>
        <w:rPr>
          <w:rFonts w:ascii="Arial" w:cs="Arial" w:eastAsia="Arial" w:hAnsi="Arial"/>
          <w:sz w:val="13"/>
          <w:szCs w:val="13"/>
          <w:color w:val="auto"/>
        </w:rPr>
        <w:t>solely on the achievement of Company financial measures, and can range from zero to 200% of target. We tie our named executives’ bonuses to the achievement of Company financial measures because these individuals have the highest level of</w:t>
      </w:r>
    </w:p>
    <w:p>
      <w:pPr>
        <w:spacing w:after="0" w:line="27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20"/>
          </w:cols>
          <w:pgMar w:left="220" w:top="349" w:right="105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60"/>
        <w:spacing w:after="0" w:line="299" w:lineRule="auto"/>
        <w:rPr>
          <w:sz w:val="20"/>
          <w:szCs w:val="20"/>
          <w:color w:val="auto"/>
        </w:rPr>
      </w:pPr>
      <w:r>
        <w:rPr>
          <w:rFonts w:ascii="Arial" w:cs="Arial" w:eastAsia="Arial" w:hAnsi="Arial"/>
          <w:sz w:val="12"/>
          <w:szCs w:val="12"/>
          <w:color w:val="auto"/>
        </w:rPr>
        <w:t>decision making authority and, therefore, the most ability to influence the Company’s results of operations. As a result, we believe it is appropriate to put their entire bonus at risk based on whether the financial goals of the Company are achieved. Additionally, we believe this level of objective determination and transparency for these individuals’ compensation is appropriate and important to stockholders. In cases of individual performance that varies significantly from expectations, the Compensation Committee has the discretion to increase or decrease the calculated incentive payment by up to 25%, resulting in a modified payout for the named executive. This modifier has never been used for a named executive officer.</w:t>
      </w:r>
    </w:p>
    <w:p>
      <w:pPr>
        <w:spacing w:after="0" w:line="48" w:lineRule="exact"/>
        <w:rPr>
          <w:sz w:val="20"/>
          <w:szCs w:val="20"/>
          <w:color w:val="auto"/>
        </w:rPr>
      </w:pPr>
    </w:p>
    <w:p>
      <w:pPr>
        <w:ind w:left="680" w:firstLine="399"/>
        <w:spacing w:after="0" w:line="295" w:lineRule="auto"/>
        <w:rPr>
          <w:sz w:val="20"/>
          <w:szCs w:val="20"/>
          <w:color w:val="auto"/>
        </w:rPr>
      </w:pPr>
      <w:r>
        <w:rPr>
          <w:rFonts w:ascii="Arial" w:cs="Arial" w:eastAsia="Arial" w:hAnsi="Arial"/>
          <w:sz w:val="12"/>
          <w:szCs w:val="12"/>
          <w:color w:val="auto"/>
        </w:rPr>
        <w:t>The financial measures chosen for our named executive officers’ bonus calculations are those that we believe drive behaviors that increase value to our stockholders and are appropriately measured on an annual basis. Using income from operations as a percentage of revenues is meant to motivate employees to control and lower costs, operate efficiently and drive our pricing programs, thereby increasing our income from operations margin. EBITDA is an indication of our ability to generate cash flows before interest and taxes. We believe the ability to grow our cash flow is an important metric to our stockholders, and drives stockholder value. The specific targets for the income from operations as a percentage of revenues and income from operations, net of depreciation and amortization, of the Company necessary to earn a bonus in 2009 are discussed below.</w:t>
      </w:r>
    </w:p>
    <w:p>
      <w:pPr>
        <w:spacing w:after="0" w:line="49" w:lineRule="exact"/>
        <w:rPr>
          <w:sz w:val="20"/>
          <w:szCs w:val="20"/>
          <w:color w:val="auto"/>
        </w:rPr>
      </w:pPr>
    </w:p>
    <w:p>
      <w:pPr>
        <w:ind w:left="680" w:right="20" w:firstLine="399"/>
        <w:spacing w:after="0" w:line="290" w:lineRule="auto"/>
        <w:rPr>
          <w:sz w:val="20"/>
          <w:szCs w:val="20"/>
          <w:color w:val="auto"/>
        </w:rPr>
      </w:pPr>
      <w:r>
        <w:rPr>
          <w:rFonts w:ascii="Arial" w:cs="Arial" w:eastAsia="Arial" w:hAnsi="Arial"/>
          <w:sz w:val="12"/>
          <w:szCs w:val="12"/>
          <w:i w:val="1"/>
          <w:iCs w:val="1"/>
          <w:u w:val="single" w:color="auto"/>
          <w:color w:val="auto"/>
        </w:rPr>
        <w:t>Long Term Equity Incentives</w:t>
      </w:r>
      <w:r>
        <w:rPr>
          <w:rFonts w:ascii="Arial" w:cs="Arial" w:eastAsia="Arial" w:hAnsi="Arial"/>
          <w:sz w:val="12"/>
          <w:szCs w:val="12"/>
          <w:i w:val="1"/>
          <w:iCs w:val="1"/>
          <w:color w:val="auto"/>
        </w:rPr>
        <w:t xml:space="preserve">. </w:t>
      </w:r>
      <w:r>
        <w:rPr>
          <w:rFonts w:ascii="Arial" w:cs="Arial" w:eastAsia="Arial" w:hAnsi="Arial"/>
          <w:sz w:val="12"/>
          <w:szCs w:val="12"/>
          <w:color w:val="auto"/>
        </w:rPr>
        <w:t>We grant performance share units with a performance period of three years to motivate our named executive officers to act in a manner that can</w:t>
      </w:r>
      <w:r>
        <w:rPr>
          <w:rFonts w:ascii="Arial" w:cs="Arial" w:eastAsia="Arial" w:hAnsi="Arial"/>
          <w:sz w:val="12"/>
          <w:szCs w:val="12"/>
          <w:i w:val="1"/>
          <w:iCs w:val="1"/>
          <w:color w:val="auto"/>
        </w:rPr>
        <w:t xml:space="preserve"> </w:t>
      </w:r>
      <w:r>
        <w:rPr>
          <w:rFonts w:ascii="Arial" w:cs="Arial" w:eastAsia="Arial" w:hAnsi="Arial"/>
          <w:sz w:val="12"/>
          <w:szCs w:val="12"/>
          <w:color w:val="auto"/>
        </w:rPr>
        <w:t>increase the value of the Company over time. The number of performance share units granted to our named executive officers corresponds to an equal number of shares of Common Stock. At the end of the three-year performance period for each grant, the Company will deliver a number of shares ranging from 0% to 200% of the initial number of units granted, depending on the Company’s three-year performance against a pre-established ROIC target and subject to the general payout and forfeiture provisions. ROIC in our plan is defined generally as net operating profit after taxes divided by capital. Recipients can defer receipt of the shares issuable under their performance share unit awards until a specified date or dates they choose. Deferred amounts are not invested, nor do they earn interest, and are paid out in shares of Common Stock at the end of the deferral period. Since 2007, performance share units earn dividend equivalents, which are paid out based on the number of shares actually awarded, if any, at the end of the performance period.</w:t>
      </w:r>
    </w:p>
    <w:p>
      <w:pPr>
        <w:spacing w:after="0" w:line="52" w:lineRule="exact"/>
        <w:rPr>
          <w:sz w:val="20"/>
          <w:szCs w:val="20"/>
          <w:color w:val="auto"/>
        </w:rPr>
      </w:pPr>
    </w:p>
    <w:p>
      <w:pPr>
        <w:ind w:left="680" w:firstLine="399"/>
        <w:spacing w:after="0" w:line="265" w:lineRule="auto"/>
        <w:rPr>
          <w:sz w:val="20"/>
          <w:szCs w:val="20"/>
          <w:color w:val="auto"/>
        </w:rPr>
      </w:pPr>
      <w:r>
        <w:rPr>
          <w:rFonts w:ascii="Arial" w:cs="Arial" w:eastAsia="Arial" w:hAnsi="Arial"/>
          <w:sz w:val="13"/>
          <w:szCs w:val="13"/>
          <w:color w:val="auto"/>
        </w:rPr>
        <w:t>We believe that the profitable allocation of capital is critical to the long term success of the Company. Using ROIC as a measure for incentive compensation purposes ensures that decisions are made with the best long-term interests of the Company in mind. ROIC is an indicator of our ability to generate returns for our stockholders. We believe that earnings growth is important and an appropriate measure for our annual bonuses. However, creating value over time is also important, and we therefore chose the three-year performance period for our long-term incentive compensation. We believe that using a three-year average of ROIC incentivizes our named executive officers to ensure the strategic direction of the Company is being followed and forces them to balance the short-term incentives awarded for growth with the long-term incentives awarded for value generated. The actual targets for ROIC under awards granted in 2009 are discussed below.</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How Named Executive Officer Compensation Decisions are Made</w:t>
      </w:r>
    </w:p>
    <w:p>
      <w:pPr>
        <w:spacing w:after="0" w:line="10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The Compensation Committee meets several times each year to perform its responsibilities as delegated by the Board of Directors and as set forth in the Compensation</w:t>
      </w:r>
    </w:p>
    <w:p>
      <w:pPr>
        <w:spacing w:after="0" w:line="22" w:lineRule="exact"/>
        <w:rPr>
          <w:sz w:val="20"/>
          <w:szCs w:val="20"/>
          <w:color w:val="auto"/>
        </w:rPr>
      </w:pPr>
    </w:p>
    <w:p>
      <w:pPr>
        <w:jc w:val="center"/>
        <w:ind w:right="-539"/>
        <w:spacing w:after="0"/>
        <w:rPr>
          <w:sz w:val="20"/>
          <w:szCs w:val="20"/>
          <w:color w:val="auto"/>
        </w:rPr>
      </w:pPr>
      <w:r>
        <w:rPr>
          <w:rFonts w:ascii="Arial" w:cs="Arial" w:eastAsia="Arial" w:hAnsi="Arial"/>
          <w:sz w:val="12"/>
          <w:szCs w:val="12"/>
          <w:color w:val="auto"/>
        </w:rPr>
        <w:t>Committee’s charter. These responsibilities include evaluating and approving the Company’s compensation philosophy, policies, plans and programs for our named executive officers.</w:t>
      </w:r>
    </w:p>
    <w:p>
      <w:pPr>
        <w:spacing w:after="0" w:line="103" w:lineRule="exact"/>
        <w:rPr>
          <w:sz w:val="20"/>
          <w:szCs w:val="20"/>
          <w:color w:val="auto"/>
        </w:rPr>
      </w:pPr>
    </w:p>
    <w:p>
      <w:pPr>
        <w:ind w:left="680" w:right="60" w:firstLine="399"/>
        <w:spacing w:after="0" w:line="267" w:lineRule="auto"/>
        <w:rPr>
          <w:sz w:val="20"/>
          <w:szCs w:val="20"/>
          <w:color w:val="auto"/>
        </w:rPr>
      </w:pPr>
      <w:r>
        <w:rPr>
          <w:rFonts w:ascii="Arial" w:cs="Arial" w:eastAsia="Arial" w:hAnsi="Arial"/>
          <w:sz w:val="13"/>
          <w:szCs w:val="13"/>
          <w:color w:val="auto"/>
        </w:rPr>
        <w:t>In the performance of its duties, the Compensation Committee regularly reviews the total compensation, including the base salary, target bonus award opportunities, long-term incentive award opportunities and other benefits, including potential severance payments for each of our named executive officers. At a regularly scheduled meeting each year, the Compensation Committee reviews our named executives’ total compensation and compares that compensation to the competitive market, as discussed below. In the first quarter of each year, the Compensation Committee meets to determine salary increases, if any, for the named executive officers; verifies the results of the Company’s performance for annual incentive calculations; reviews the</w:t>
      </w:r>
    </w:p>
    <w:p>
      <w:pPr>
        <w:spacing w:after="0" w:line="27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individual annual incentive targets for the current year as a percent of salary for each of the named executive officers; and makes decisions on granting long-term equity awards.</w:t>
      </w:r>
    </w:p>
    <w:p>
      <w:pPr>
        <w:spacing w:after="0" w:line="114" w:lineRule="exact"/>
        <w:rPr>
          <w:sz w:val="20"/>
          <w:szCs w:val="20"/>
          <w:color w:val="auto"/>
        </w:rPr>
      </w:pPr>
    </w:p>
    <w:p>
      <w:pPr>
        <w:ind w:left="680" w:firstLine="399"/>
        <w:spacing w:after="0" w:line="267" w:lineRule="auto"/>
        <w:rPr>
          <w:sz w:val="20"/>
          <w:szCs w:val="20"/>
          <w:color w:val="auto"/>
        </w:rPr>
      </w:pPr>
      <w:r>
        <w:rPr>
          <w:rFonts w:ascii="Arial" w:cs="Arial" w:eastAsia="Arial" w:hAnsi="Arial"/>
          <w:sz w:val="13"/>
          <w:szCs w:val="13"/>
          <w:color w:val="auto"/>
        </w:rPr>
        <w:t>The Compensation Committee uses several resources in its analysis of the appropriate compensation for the named executive officers. Since 2006, the Compensation Committee has used tally sheets to review the compensation of our named executive officers, which show the cumulative impact of all elements of compensation. These tally sheets include detailed information and dollar amounts for each component of compensation, the value of all equity held by each named executive, and the value of welfare and retirement benefits and severance payments. The use of tally sheets allows the Compensation Committee to view executives’ compensation in a detailed, cumulative manner and provides a means for comparing internal equity for all compensation components.</w:t>
      </w:r>
    </w:p>
    <w:p>
      <w:pPr>
        <w:spacing w:after="0" w:line="65" w:lineRule="exact"/>
        <w:rPr>
          <w:sz w:val="20"/>
          <w:szCs w:val="20"/>
          <w:color w:val="auto"/>
        </w:rPr>
      </w:pPr>
    </w:p>
    <w:p>
      <w:pPr>
        <w:ind w:left="680" w:right="40" w:firstLine="399"/>
        <w:spacing w:after="0" w:line="267" w:lineRule="auto"/>
        <w:rPr>
          <w:sz w:val="20"/>
          <w:szCs w:val="20"/>
          <w:color w:val="auto"/>
        </w:rPr>
      </w:pPr>
      <w:r>
        <w:rPr>
          <w:rFonts w:ascii="Arial" w:cs="Arial" w:eastAsia="Arial" w:hAnsi="Arial"/>
          <w:sz w:val="13"/>
          <w:szCs w:val="13"/>
          <w:color w:val="auto"/>
        </w:rPr>
        <w:t>The Compensation Committee hires an independent consultant to provide advice to the Compensation Committee relating to market and general compensation trends. The Compensation Committee also uses the services of its independent consultant for data gathering and analyses, which the Compensation Committee uses for its discussions of and decisions on the named executive officers’ compensation. The Compensation Committee has retained Frederic W. Cook &amp; Co., Inc. as its independent consultant since 2002. The Company makes regular payments to Frederic W. Cook for its services around executive compensation, including meeting preparation and attendance, advice, best practice information, as well as competitive data.</w:t>
      </w:r>
    </w:p>
    <w:p>
      <w:pPr>
        <w:spacing w:after="0" w:line="65" w:lineRule="exact"/>
        <w:rPr>
          <w:sz w:val="20"/>
          <w:szCs w:val="20"/>
          <w:color w:val="auto"/>
        </w:rPr>
      </w:pPr>
    </w:p>
    <w:p>
      <w:pPr>
        <w:ind w:left="680" w:right="40" w:firstLine="399"/>
        <w:spacing w:after="0" w:line="265" w:lineRule="auto"/>
        <w:rPr>
          <w:sz w:val="20"/>
          <w:szCs w:val="20"/>
          <w:color w:val="auto"/>
        </w:rPr>
      </w:pPr>
      <w:r>
        <w:rPr>
          <w:rFonts w:ascii="Arial" w:cs="Arial" w:eastAsia="Arial" w:hAnsi="Arial"/>
          <w:sz w:val="13"/>
          <w:szCs w:val="13"/>
          <w:color w:val="auto"/>
        </w:rPr>
        <w:t>In addition to services related to executive compensation, the consultant has provided the Board of Director’s Nominating and Governance Committee information and advice related to director compensation. Frederic W. Cook has no other business relationships with the Company and receives no other payments from the Company. In February 2008, the Compensation Committee adopted a written policy to ensure the independence of any compensation consultants utilized by the Compensation Committee for executive compensation matters. Pursuant to the policy, no compensation consultant engaged by the Compensation Committee to assist in determining or recommending the compensation of executive officers may be engaged by management of the Company to provide any other services unless first approved by the Compensation Committee. Since the adoption of the policy, no engagements have been proposed to the Compensation Committee for approval.</w:t>
      </w:r>
    </w:p>
    <w:p>
      <w:pPr>
        <w:spacing w:after="0" w:line="68" w:lineRule="exact"/>
        <w:rPr>
          <w:sz w:val="20"/>
          <w:szCs w:val="20"/>
          <w:color w:val="auto"/>
        </w:rPr>
      </w:pPr>
    </w:p>
    <w:p>
      <w:pPr>
        <w:ind w:left="680" w:right="140" w:firstLine="399"/>
        <w:spacing w:after="0" w:line="270" w:lineRule="auto"/>
        <w:rPr>
          <w:sz w:val="20"/>
          <w:szCs w:val="20"/>
          <w:color w:val="auto"/>
        </w:rPr>
      </w:pPr>
      <w:r>
        <w:rPr>
          <w:rFonts w:ascii="Arial" w:cs="Arial" w:eastAsia="Arial" w:hAnsi="Arial"/>
          <w:sz w:val="13"/>
          <w:szCs w:val="13"/>
          <w:color w:val="auto"/>
        </w:rPr>
        <w:t>Mr. Steiner and Mr. O’Donnell also play a part in determining compensation, as they assess the performance of the named executive officers reporting to them and report these assessments with recommendations to the Compensation Committee. Personnel within the Company’s People Department assist the Compensation Committee by working with the Compensation Committee’s independent consultant to provide information requested by the Compensation Committee and assisting the Compensation Committee in designing and administering the Company’s incentive programs.</w:t>
      </w:r>
    </w:p>
    <w:p>
      <w:pPr>
        <w:spacing w:after="0" w:line="63" w:lineRule="exact"/>
        <w:rPr>
          <w:sz w:val="20"/>
          <w:szCs w:val="20"/>
          <w:color w:val="auto"/>
        </w:rPr>
      </w:pPr>
    </w:p>
    <w:p>
      <w:pPr>
        <w:ind w:left="680" w:right="40" w:firstLine="399"/>
        <w:spacing w:after="0" w:line="270" w:lineRule="auto"/>
        <w:rPr>
          <w:sz w:val="20"/>
          <w:szCs w:val="20"/>
          <w:color w:val="auto"/>
        </w:rPr>
      </w:pPr>
      <w:r>
        <w:rPr>
          <w:rFonts w:ascii="Arial" w:cs="Arial" w:eastAsia="Arial" w:hAnsi="Arial"/>
          <w:sz w:val="13"/>
          <w:szCs w:val="13"/>
          <w:color w:val="auto"/>
        </w:rPr>
        <w:t>One of the data sources used by the Compensation Committee is compensation information of a comparison group of companies. The purpose of the comparisons of our named executives’ compensation with executives at other companies is to gauge the competitive market. This market is relevant for attracting and retaining key talent and also for ensuring that the Company’s compensation practices are aligned with general practices. Each of our named executive officers has been promoted to his current position from within the Company, which the Compensation Committee believes is an important and beneficial practice.</w:t>
      </w:r>
    </w:p>
    <w:p>
      <w:pPr>
        <w:spacing w:after="0" w:line="63" w:lineRule="exact"/>
        <w:rPr>
          <w:sz w:val="20"/>
          <w:szCs w:val="20"/>
          <w:color w:val="auto"/>
        </w:rPr>
      </w:pPr>
    </w:p>
    <w:p>
      <w:pPr>
        <w:ind w:left="680" w:right="340" w:firstLine="399"/>
        <w:spacing w:after="0" w:line="294" w:lineRule="auto"/>
        <w:rPr>
          <w:sz w:val="20"/>
          <w:szCs w:val="20"/>
          <w:color w:val="auto"/>
        </w:rPr>
      </w:pPr>
      <w:r>
        <w:rPr>
          <w:rFonts w:ascii="Arial" w:cs="Arial" w:eastAsia="Arial" w:hAnsi="Arial"/>
          <w:sz w:val="13"/>
          <w:szCs w:val="13"/>
          <w:color w:val="auto"/>
        </w:rPr>
        <w:t>In 2008, the independent consultant provided the Compensation Committee with a competitive analysis of total direct compensation levels and compensation mixes for our executive officers, using information from:</w:t>
      </w:r>
    </w:p>
    <w:p>
      <w:pPr>
        <w:spacing w:after="0" w:line="47" w:lineRule="exact"/>
        <w:rPr>
          <w:sz w:val="20"/>
          <w:szCs w:val="20"/>
          <w:color w:val="auto"/>
        </w:rPr>
      </w:pPr>
    </w:p>
    <w:p>
      <w:pPr>
        <w:ind w:left="1300" w:right="40" w:hanging="208"/>
        <w:spacing w:after="0" w:line="294" w:lineRule="auto"/>
        <w:tabs>
          <w:tab w:leader="none" w:pos="13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market data of 61 general industry companies with revenues ranging from $8.5 to $20.1 billion (excluding private companies, subsidiaries and financial companies) prepared by Hewitt Associates; and</w:t>
      </w:r>
    </w:p>
    <w:p>
      <w:pPr>
        <w:spacing w:after="0" w:line="36" w:lineRule="exact"/>
        <w:rPr>
          <w:rFonts w:ascii="Arial" w:cs="Arial" w:eastAsia="Arial" w:hAnsi="Arial"/>
          <w:sz w:val="13"/>
          <w:szCs w:val="13"/>
          <w:color w:val="auto"/>
        </w:rPr>
      </w:pPr>
    </w:p>
    <w:p>
      <w:pPr>
        <w:ind w:left="1300" w:hanging="208"/>
        <w:spacing w:after="0"/>
        <w:tabs>
          <w:tab w:leader="none" w:pos="13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 comparison group of 20 companies, described below.</w:t>
      </w:r>
    </w:p>
    <w:p>
      <w:pPr>
        <w:spacing w:after="0" w:line="102"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The comparison group of companies is recommended by the independent consultant prior to the actual data gathering process, with input from management, and the composition of the group is evaluated and approved by the Compensation Committee each year. The selection process for the comparison group begins with all companies in the Standard &amp; Poor’s North American database that are publicly traded U.S. companies</w:t>
      </w:r>
    </w:p>
    <w:p>
      <w:pPr>
        <w:spacing w:after="0" w:line="27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spacing w:after="0" w:line="267" w:lineRule="auto"/>
        <w:rPr>
          <w:sz w:val="20"/>
          <w:szCs w:val="20"/>
          <w:color w:val="auto"/>
        </w:rPr>
      </w:pPr>
      <w:r>
        <w:rPr>
          <w:rFonts w:ascii="Arial" w:cs="Arial" w:eastAsia="Arial" w:hAnsi="Arial"/>
          <w:sz w:val="13"/>
          <w:szCs w:val="13"/>
          <w:color w:val="auto"/>
        </w:rPr>
        <w:t>in 12 different Global Industry Classifications. These industry classifications are meant to provide a collection of companies in industries that share similar characteristics with Waste Management. The companies are then limited to those with at least $5 billion in annual revenue to ensure appropriate comparisons, and further narrowed by choosing those with asset intensive operations and those focusing on transportation and logistics. Companies with these characteristics are chosen because the Compensation Committee believes that it is appropriate to compare our executives’ compensation with executives that have similar responsibilities and challenges at other companies. The comparison group used for consideration of 2009 compensation included the companies listed below:</w:t>
      </w:r>
    </w:p>
    <w:p>
      <w:pPr>
        <w:spacing w:after="0" w:line="75" w:lineRule="exact"/>
        <w:rPr>
          <w:sz w:val="20"/>
          <w:szCs w:val="20"/>
          <w:color w:val="auto"/>
        </w:rPr>
      </w:pPr>
    </w:p>
    <w:tbl>
      <w:tblPr>
        <w:tblLayout w:type="fixed"/>
        <w:tblInd w:w="2380" w:type="dxa"/>
        <w:tblCellMar>
          <w:top w:w="0" w:type="dxa"/>
          <w:left w:w="0" w:type="dxa"/>
          <w:bottom w:w="0" w:type="dxa"/>
          <w:right w:w="0" w:type="dxa"/>
        </w:tblCellMar>
      </w:tblPr>
      <w:tr>
        <w:trPr>
          <w:trHeight w:val="161"/>
        </w:trPr>
        <w:tc>
          <w:tcPr>
            <w:tcW w:w="3460" w:type="dxa"/>
            <w:vAlign w:val="bottom"/>
          </w:tcPr>
          <w:p>
            <w:pPr>
              <w:jc w:val="center"/>
              <w:ind w:right="1793"/>
              <w:spacing w:after="0"/>
              <w:rPr>
                <w:sz w:val="20"/>
                <w:szCs w:val="20"/>
                <w:color w:val="auto"/>
              </w:rPr>
            </w:pPr>
            <w:r>
              <w:rPr>
                <w:rFonts w:ascii="Arial" w:cs="Arial" w:eastAsia="Arial" w:hAnsi="Arial"/>
                <w:sz w:val="13"/>
                <w:szCs w:val="13"/>
                <w:color w:val="auto"/>
                <w:w w:val="96"/>
              </w:rPr>
              <w:t>Allied Waste Industries*</w:t>
            </w:r>
          </w:p>
        </w:tc>
        <w:tc>
          <w:tcPr>
            <w:tcW w:w="3020" w:type="dxa"/>
            <w:vAlign w:val="bottom"/>
          </w:tcPr>
          <w:p>
            <w:pPr>
              <w:jc w:val="center"/>
              <w:ind w:left="1773"/>
              <w:spacing w:after="0"/>
              <w:rPr>
                <w:sz w:val="20"/>
                <w:szCs w:val="20"/>
                <w:color w:val="auto"/>
              </w:rPr>
            </w:pPr>
            <w:r>
              <w:rPr>
                <w:rFonts w:ascii="Arial" w:cs="Arial" w:eastAsia="Arial" w:hAnsi="Arial"/>
                <w:sz w:val="13"/>
                <w:szCs w:val="13"/>
                <w:color w:val="auto"/>
                <w:w w:val="96"/>
              </w:rPr>
              <w:t>Norfolk Southern</w:t>
            </w:r>
          </w:p>
        </w:tc>
      </w:tr>
      <w:tr>
        <w:trPr>
          <w:trHeight w:val="161"/>
        </w:trPr>
        <w:tc>
          <w:tcPr>
            <w:tcW w:w="3460" w:type="dxa"/>
            <w:vAlign w:val="bottom"/>
          </w:tcPr>
          <w:p>
            <w:pPr>
              <w:jc w:val="center"/>
              <w:ind w:right="1793"/>
              <w:spacing w:after="0"/>
              <w:rPr>
                <w:sz w:val="20"/>
                <w:szCs w:val="20"/>
                <w:color w:val="auto"/>
              </w:rPr>
            </w:pPr>
            <w:r>
              <w:rPr>
                <w:rFonts w:ascii="Arial" w:cs="Arial" w:eastAsia="Arial" w:hAnsi="Arial"/>
                <w:sz w:val="13"/>
                <w:szCs w:val="13"/>
                <w:color w:val="auto"/>
                <w:w w:val="96"/>
              </w:rPr>
              <w:t>American Electric Power</w:t>
            </w:r>
          </w:p>
        </w:tc>
        <w:tc>
          <w:tcPr>
            <w:tcW w:w="3020" w:type="dxa"/>
            <w:vAlign w:val="bottom"/>
          </w:tcPr>
          <w:p>
            <w:pPr>
              <w:jc w:val="center"/>
              <w:ind w:left="1773"/>
              <w:spacing w:after="0"/>
              <w:rPr>
                <w:sz w:val="20"/>
                <w:szCs w:val="20"/>
                <w:color w:val="auto"/>
              </w:rPr>
            </w:pPr>
            <w:r>
              <w:rPr>
                <w:rFonts w:ascii="Arial" w:cs="Arial" w:eastAsia="Arial" w:hAnsi="Arial"/>
                <w:sz w:val="13"/>
                <w:szCs w:val="13"/>
                <w:color w:val="auto"/>
                <w:w w:val="93"/>
              </w:rPr>
              <w:t>Pitney Bowes</w:t>
            </w:r>
          </w:p>
        </w:tc>
      </w:tr>
      <w:tr>
        <w:trPr>
          <w:trHeight w:val="161"/>
        </w:trPr>
        <w:tc>
          <w:tcPr>
            <w:tcW w:w="3460" w:type="dxa"/>
            <w:vAlign w:val="bottom"/>
          </w:tcPr>
          <w:p>
            <w:pPr>
              <w:jc w:val="center"/>
              <w:ind w:right="1793"/>
              <w:spacing w:after="0"/>
              <w:rPr>
                <w:sz w:val="20"/>
                <w:szCs w:val="20"/>
                <w:color w:val="auto"/>
              </w:rPr>
            </w:pPr>
            <w:r>
              <w:rPr>
                <w:rFonts w:ascii="Arial" w:cs="Arial" w:eastAsia="Arial" w:hAnsi="Arial"/>
                <w:sz w:val="13"/>
                <w:szCs w:val="13"/>
                <w:color w:val="auto"/>
                <w:w w:val="94"/>
              </w:rPr>
              <w:t>Burlington Northern Santa Fe</w:t>
            </w:r>
          </w:p>
        </w:tc>
        <w:tc>
          <w:tcPr>
            <w:tcW w:w="3020" w:type="dxa"/>
            <w:vAlign w:val="bottom"/>
          </w:tcPr>
          <w:p>
            <w:pPr>
              <w:jc w:val="center"/>
              <w:ind w:left="1793"/>
              <w:spacing w:after="0"/>
              <w:rPr>
                <w:sz w:val="20"/>
                <w:szCs w:val="20"/>
                <w:color w:val="auto"/>
              </w:rPr>
            </w:pPr>
            <w:r>
              <w:rPr>
                <w:rFonts w:ascii="Arial" w:cs="Arial" w:eastAsia="Arial" w:hAnsi="Arial"/>
                <w:sz w:val="13"/>
                <w:szCs w:val="13"/>
                <w:color w:val="auto"/>
                <w:w w:val="95"/>
              </w:rPr>
              <w:t>Republic Services*</w:t>
            </w:r>
          </w:p>
        </w:tc>
      </w:tr>
      <w:tr>
        <w:trPr>
          <w:trHeight w:val="161"/>
        </w:trPr>
        <w:tc>
          <w:tcPr>
            <w:tcW w:w="3460" w:type="dxa"/>
            <w:vAlign w:val="bottom"/>
          </w:tcPr>
          <w:p>
            <w:pPr>
              <w:jc w:val="center"/>
              <w:ind w:right="1773"/>
              <w:spacing w:after="0"/>
              <w:rPr>
                <w:sz w:val="20"/>
                <w:szCs w:val="20"/>
                <w:color w:val="auto"/>
              </w:rPr>
            </w:pPr>
            <w:r>
              <w:rPr>
                <w:rFonts w:ascii="Arial" w:cs="Arial" w:eastAsia="Arial" w:hAnsi="Arial"/>
                <w:sz w:val="13"/>
                <w:szCs w:val="13"/>
                <w:color w:val="auto"/>
                <w:w w:val="95"/>
              </w:rPr>
              <w:t>CH Robinson</w:t>
            </w:r>
          </w:p>
        </w:tc>
        <w:tc>
          <w:tcPr>
            <w:tcW w:w="3020" w:type="dxa"/>
            <w:vAlign w:val="bottom"/>
          </w:tcPr>
          <w:p>
            <w:pPr>
              <w:jc w:val="center"/>
              <w:ind w:left="1773"/>
              <w:spacing w:after="0"/>
              <w:rPr>
                <w:sz w:val="20"/>
                <w:szCs w:val="20"/>
                <w:color w:val="auto"/>
              </w:rPr>
            </w:pPr>
            <w:r>
              <w:rPr>
                <w:rFonts w:ascii="Arial" w:cs="Arial" w:eastAsia="Arial" w:hAnsi="Arial"/>
                <w:sz w:val="13"/>
                <w:szCs w:val="13"/>
                <w:color w:val="auto"/>
                <w:w w:val="97"/>
              </w:rPr>
              <w:t>Ryder</w:t>
            </w:r>
          </w:p>
        </w:tc>
      </w:tr>
      <w:tr>
        <w:trPr>
          <w:trHeight w:val="161"/>
        </w:trPr>
        <w:tc>
          <w:tcPr>
            <w:tcW w:w="3460" w:type="dxa"/>
            <w:vAlign w:val="bottom"/>
          </w:tcPr>
          <w:p>
            <w:pPr>
              <w:jc w:val="center"/>
              <w:ind w:right="1773"/>
              <w:spacing w:after="0"/>
              <w:rPr>
                <w:sz w:val="20"/>
                <w:szCs w:val="20"/>
                <w:color w:val="auto"/>
              </w:rPr>
            </w:pPr>
            <w:r>
              <w:rPr>
                <w:rFonts w:ascii="Arial" w:cs="Arial" w:eastAsia="Arial" w:hAnsi="Arial"/>
                <w:sz w:val="13"/>
                <w:szCs w:val="13"/>
                <w:color w:val="auto"/>
                <w:w w:val="97"/>
              </w:rPr>
              <w:t>CSX</w:t>
            </w:r>
          </w:p>
        </w:tc>
        <w:tc>
          <w:tcPr>
            <w:tcW w:w="3020" w:type="dxa"/>
            <w:vAlign w:val="bottom"/>
          </w:tcPr>
          <w:p>
            <w:pPr>
              <w:jc w:val="center"/>
              <w:ind w:left="1773"/>
              <w:spacing w:after="0"/>
              <w:rPr>
                <w:sz w:val="20"/>
                <w:szCs w:val="20"/>
                <w:color w:val="auto"/>
              </w:rPr>
            </w:pPr>
            <w:r>
              <w:rPr>
                <w:rFonts w:ascii="Arial" w:cs="Arial" w:eastAsia="Arial" w:hAnsi="Arial"/>
                <w:sz w:val="13"/>
                <w:szCs w:val="13"/>
                <w:color w:val="auto"/>
                <w:w w:val="91"/>
              </w:rPr>
              <w:t>Schlumberger</w:t>
            </w:r>
          </w:p>
        </w:tc>
      </w:tr>
      <w:tr>
        <w:trPr>
          <w:trHeight w:val="161"/>
        </w:trPr>
        <w:tc>
          <w:tcPr>
            <w:tcW w:w="3460" w:type="dxa"/>
            <w:vAlign w:val="bottom"/>
          </w:tcPr>
          <w:p>
            <w:pPr>
              <w:jc w:val="center"/>
              <w:ind w:right="1773"/>
              <w:spacing w:after="0"/>
              <w:rPr>
                <w:sz w:val="20"/>
                <w:szCs w:val="20"/>
                <w:color w:val="auto"/>
              </w:rPr>
            </w:pPr>
            <w:r>
              <w:rPr>
                <w:rFonts w:ascii="Arial" w:cs="Arial" w:eastAsia="Arial" w:hAnsi="Arial"/>
                <w:sz w:val="13"/>
                <w:szCs w:val="13"/>
                <w:color w:val="auto"/>
                <w:w w:val="93"/>
              </w:rPr>
              <w:t>Entergy</w:t>
            </w:r>
          </w:p>
        </w:tc>
        <w:tc>
          <w:tcPr>
            <w:tcW w:w="3020" w:type="dxa"/>
            <w:vAlign w:val="bottom"/>
          </w:tcPr>
          <w:p>
            <w:pPr>
              <w:jc w:val="center"/>
              <w:ind w:left="1793"/>
              <w:spacing w:after="0"/>
              <w:rPr>
                <w:sz w:val="20"/>
                <w:szCs w:val="20"/>
                <w:color w:val="auto"/>
              </w:rPr>
            </w:pPr>
            <w:r>
              <w:rPr>
                <w:rFonts w:ascii="Arial" w:cs="Arial" w:eastAsia="Arial" w:hAnsi="Arial"/>
                <w:sz w:val="13"/>
                <w:szCs w:val="13"/>
                <w:color w:val="auto"/>
                <w:w w:val="92"/>
              </w:rPr>
              <w:t>Southern Company</w:t>
            </w:r>
          </w:p>
        </w:tc>
      </w:tr>
      <w:tr>
        <w:trPr>
          <w:trHeight w:val="161"/>
        </w:trPr>
        <w:tc>
          <w:tcPr>
            <w:tcW w:w="3460" w:type="dxa"/>
            <w:vAlign w:val="bottom"/>
          </w:tcPr>
          <w:p>
            <w:pPr>
              <w:jc w:val="center"/>
              <w:ind w:right="1773"/>
              <w:spacing w:after="0"/>
              <w:rPr>
                <w:sz w:val="20"/>
                <w:szCs w:val="20"/>
                <w:color w:val="auto"/>
              </w:rPr>
            </w:pPr>
            <w:r>
              <w:rPr>
                <w:rFonts w:ascii="Arial" w:cs="Arial" w:eastAsia="Arial" w:hAnsi="Arial"/>
                <w:sz w:val="13"/>
                <w:szCs w:val="13"/>
                <w:color w:val="auto"/>
                <w:w w:val="90"/>
              </w:rPr>
              <w:t>FedEx</w:t>
            </w:r>
          </w:p>
        </w:tc>
        <w:tc>
          <w:tcPr>
            <w:tcW w:w="3020" w:type="dxa"/>
            <w:vAlign w:val="bottom"/>
          </w:tcPr>
          <w:p>
            <w:pPr>
              <w:jc w:val="center"/>
              <w:ind w:left="1793"/>
              <w:spacing w:after="0"/>
              <w:rPr>
                <w:sz w:val="20"/>
                <w:szCs w:val="20"/>
                <w:color w:val="auto"/>
              </w:rPr>
            </w:pPr>
            <w:r>
              <w:rPr>
                <w:rFonts w:ascii="Arial" w:cs="Arial" w:eastAsia="Arial" w:hAnsi="Arial"/>
                <w:sz w:val="13"/>
                <w:szCs w:val="13"/>
                <w:color w:val="auto"/>
                <w:w w:val="90"/>
              </w:rPr>
              <w:t>Sysco</w:t>
            </w:r>
          </w:p>
        </w:tc>
      </w:tr>
      <w:tr>
        <w:trPr>
          <w:trHeight w:val="161"/>
        </w:trPr>
        <w:tc>
          <w:tcPr>
            <w:tcW w:w="3460" w:type="dxa"/>
            <w:vAlign w:val="bottom"/>
          </w:tcPr>
          <w:p>
            <w:pPr>
              <w:jc w:val="center"/>
              <w:ind w:right="1773"/>
              <w:spacing w:after="0"/>
              <w:rPr>
                <w:sz w:val="20"/>
                <w:szCs w:val="20"/>
                <w:color w:val="auto"/>
              </w:rPr>
            </w:pPr>
            <w:r>
              <w:rPr>
                <w:rFonts w:ascii="Arial" w:cs="Arial" w:eastAsia="Arial" w:hAnsi="Arial"/>
                <w:sz w:val="13"/>
                <w:szCs w:val="13"/>
                <w:color w:val="auto"/>
                <w:w w:val="97"/>
              </w:rPr>
              <w:t>FPL Group</w:t>
            </w:r>
          </w:p>
        </w:tc>
        <w:tc>
          <w:tcPr>
            <w:tcW w:w="3020" w:type="dxa"/>
            <w:vAlign w:val="bottom"/>
          </w:tcPr>
          <w:p>
            <w:pPr>
              <w:jc w:val="center"/>
              <w:ind w:left="1773"/>
              <w:spacing w:after="0"/>
              <w:rPr>
                <w:sz w:val="20"/>
                <w:szCs w:val="20"/>
                <w:color w:val="auto"/>
              </w:rPr>
            </w:pPr>
            <w:r>
              <w:rPr>
                <w:rFonts w:ascii="Arial" w:cs="Arial" w:eastAsia="Arial" w:hAnsi="Arial"/>
                <w:sz w:val="13"/>
                <w:szCs w:val="13"/>
                <w:color w:val="auto"/>
                <w:w w:val="97"/>
              </w:rPr>
              <w:t>Union Pacific</w:t>
            </w:r>
          </w:p>
        </w:tc>
      </w:tr>
      <w:tr>
        <w:trPr>
          <w:trHeight w:val="161"/>
        </w:trPr>
        <w:tc>
          <w:tcPr>
            <w:tcW w:w="3460" w:type="dxa"/>
            <w:vAlign w:val="bottom"/>
          </w:tcPr>
          <w:p>
            <w:pPr>
              <w:jc w:val="center"/>
              <w:ind w:right="1793"/>
              <w:spacing w:after="0"/>
              <w:rPr>
                <w:sz w:val="20"/>
                <w:szCs w:val="20"/>
                <w:color w:val="auto"/>
              </w:rPr>
            </w:pPr>
            <w:r>
              <w:rPr>
                <w:rFonts w:ascii="Arial" w:cs="Arial" w:eastAsia="Arial" w:hAnsi="Arial"/>
                <w:sz w:val="13"/>
                <w:szCs w:val="13"/>
                <w:color w:val="auto"/>
                <w:w w:val="94"/>
              </w:rPr>
              <w:t>Grainger</w:t>
            </w:r>
          </w:p>
        </w:tc>
        <w:tc>
          <w:tcPr>
            <w:tcW w:w="3020" w:type="dxa"/>
            <w:vAlign w:val="bottom"/>
          </w:tcPr>
          <w:p>
            <w:pPr>
              <w:jc w:val="center"/>
              <w:ind w:left="1773"/>
              <w:spacing w:after="0"/>
              <w:rPr>
                <w:sz w:val="20"/>
                <w:szCs w:val="20"/>
                <w:color w:val="auto"/>
              </w:rPr>
            </w:pPr>
            <w:r>
              <w:rPr>
                <w:rFonts w:ascii="Arial" w:cs="Arial" w:eastAsia="Arial" w:hAnsi="Arial"/>
                <w:sz w:val="13"/>
                <w:szCs w:val="13"/>
                <w:color w:val="auto"/>
                <w:w w:val="94"/>
              </w:rPr>
              <w:t>United Parcel Service</w:t>
            </w:r>
          </w:p>
        </w:tc>
      </w:tr>
      <w:tr>
        <w:trPr>
          <w:trHeight w:val="172"/>
        </w:trPr>
        <w:tc>
          <w:tcPr>
            <w:tcW w:w="3460" w:type="dxa"/>
            <w:vAlign w:val="bottom"/>
          </w:tcPr>
          <w:p>
            <w:pPr>
              <w:jc w:val="center"/>
              <w:ind w:right="1773"/>
              <w:spacing w:after="0"/>
              <w:rPr>
                <w:sz w:val="20"/>
                <w:szCs w:val="20"/>
                <w:color w:val="auto"/>
              </w:rPr>
            </w:pPr>
            <w:r>
              <w:rPr>
                <w:rFonts w:ascii="Arial" w:cs="Arial" w:eastAsia="Arial" w:hAnsi="Arial"/>
                <w:sz w:val="13"/>
                <w:szCs w:val="13"/>
                <w:color w:val="auto"/>
                <w:w w:val="99"/>
              </w:rPr>
              <w:t>Halliburton</w:t>
            </w:r>
          </w:p>
        </w:tc>
        <w:tc>
          <w:tcPr>
            <w:tcW w:w="3020" w:type="dxa"/>
            <w:vAlign w:val="bottom"/>
          </w:tcPr>
          <w:p>
            <w:pPr>
              <w:jc w:val="center"/>
              <w:ind w:left="1773"/>
              <w:spacing w:after="0"/>
              <w:rPr>
                <w:sz w:val="20"/>
                <w:szCs w:val="20"/>
                <w:color w:val="auto"/>
              </w:rPr>
            </w:pPr>
            <w:r>
              <w:rPr>
                <w:rFonts w:ascii="Arial" w:cs="Arial" w:eastAsia="Arial" w:hAnsi="Arial"/>
                <w:sz w:val="13"/>
                <w:szCs w:val="13"/>
                <w:color w:val="auto"/>
                <w:w w:val="98"/>
              </w:rPr>
              <w:t>YRC Worldwide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64135</wp:posOffset>
            </wp:positionV>
            <wp:extent cx="825500"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5500" cy="6350"/>
                    </a:xfrm>
                    <a:prstGeom prst="rect">
                      <a:avLst/>
                    </a:prstGeom>
                    <a:noFill/>
                  </pic:spPr>
                </pic:pic>
              </a:graphicData>
            </a:graphic>
          </wp:anchor>
        </w:drawing>
      </w:r>
    </w:p>
    <w:p>
      <w:pPr>
        <w:spacing w:after="0" w:line="131" w:lineRule="exact"/>
        <w:rPr>
          <w:sz w:val="20"/>
          <w:szCs w:val="20"/>
          <w:color w:val="auto"/>
        </w:rPr>
      </w:pPr>
    </w:p>
    <w:p>
      <w:pPr>
        <w:ind w:left="900" w:right="80" w:hanging="212"/>
        <w:spacing w:after="0" w:line="294" w:lineRule="auto"/>
        <w:tabs>
          <w:tab w:leader="none" w:pos="9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Republic Services acquired Allied Waste Industries in December of 2008. Prior to the acquisition, Republic did not meet the minimum annual revenue requirement for inclusion in the comparison group, but an exception was made because of Republic’s status as one of the Company’s biggest competitors.</w:t>
      </w:r>
    </w:p>
    <w:p>
      <w:pPr>
        <w:spacing w:after="0" w:line="47" w:lineRule="exact"/>
        <w:rPr>
          <w:sz w:val="20"/>
          <w:szCs w:val="20"/>
          <w:color w:val="auto"/>
        </w:rPr>
      </w:pPr>
    </w:p>
    <w:p>
      <w:pPr>
        <w:ind w:left="680" w:firstLine="399"/>
        <w:spacing w:after="0" w:line="265" w:lineRule="auto"/>
        <w:rPr>
          <w:sz w:val="20"/>
          <w:szCs w:val="20"/>
          <w:color w:val="auto"/>
        </w:rPr>
      </w:pPr>
      <w:r>
        <w:rPr>
          <w:rFonts w:ascii="Arial" w:cs="Arial" w:eastAsia="Arial" w:hAnsi="Arial"/>
          <w:sz w:val="13"/>
          <w:szCs w:val="13"/>
          <w:color w:val="auto"/>
        </w:rPr>
        <w:t>The market and the comparison group data are blended when composing the competitive analysis, when possible, such that each data source is weighted 50%. The competitive analysis shows that the Company’s named executives generally are compensated within a median range of the compensation of the executives used in the competitive analysis. For competitive comparisons, the Compensation Committee has determined that total direct compensation packages for our named executive officers within a range of plus or minus twenty percent of the median total compensation of the competitive analysis is appropriate. In making these determinations, total direct compensation consists of base salary, target annual bonus, and the annualized grant date fair value of long-term equity incentive awards. When the competitive analysis was reviewed in 2008, it showed that none of our named executive officers’ total direct compensation was above the median for their peers in the competitive analysis.</w:t>
      </w:r>
    </w:p>
    <w:p>
      <w:pPr>
        <w:spacing w:after="0" w:line="68" w:lineRule="exact"/>
        <w:rPr>
          <w:sz w:val="20"/>
          <w:szCs w:val="20"/>
          <w:color w:val="auto"/>
        </w:rPr>
      </w:pPr>
    </w:p>
    <w:p>
      <w:pPr>
        <w:ind w:left="680" w:right="20" w:firstLine="399"/>
        <w:spacing w:after="0" w:line="270" w:lineRule="auto"/>
        <w:rPr>
          <w:sz w:val="20"/>
          <w:szCs w:val="20"/>
          <w:color w:val="auto"/>
        </w:rPr>
      </w:pPr>
      <w:r>
        <w:rPr>
          <w:rFonts w:ascii="Arial" w:cs="Arial" w:eastAsia="Arial" w:hAnsi="Arial"/>
          <w:sz w:val="13"/>
          <w:szCs w:val="13"/>
          <w:color w:val="auto"/>
        </w:rPr>
        <w:t>The Compensation Committee seeks to comply with the performance-based compensation exemption under Section 162(m) of the Internal Revenue Code when appropriate. Section 162(m) generally limits a company’s ability to deduct compensation paid in excess of $1 million during any fiscal year to the Chief Executive Officer or any of the other named executive officers unless the excess amount is performance-based. Throughout the following discussion we have noted the programs that are designed to meet the Section 162(m) requirements.</w:t>
      </w:r>
    </w:p>
    <w:p>
      <w:pPr>
        <w:spacing w:after="0" w:line="63" w:lineRule="exact"/>
        <w:rPr>
          <w:sz w:val="20"/>
          <w:szCs w:val="20"/>
          <w:color w:val="auto"/>
        </w:rPr>
      </w:pPr>
    </w:p>
    <w:p>
      <w:pPr>
        <w:jc w:val="center"/>
        <w:ind w:right="-479"/>
        <w:spacing w:after="0"/>
        <w:rPr>
          <w:sz w:val="20"/>
          <w:szCs w:val="20"/>
          <w:color w:val="auto"/>
        </w:rPr>
      </w:pPr>
      <w:r>
        <w:rPr>
          <w:rFonts w:ascii="Arial" w:cs="Arial" w:eastAsia="Arial" w:hAnsi="Arial"/>
          <w:sz w:val="13"/>
          <w:szCs w:val="13"/>
          <w:color w:val="auto"/>
        </w:rPr>
        <w:t>The Compensation Committee also seeks to structure compensation that will provide sufficient incentives for named executive officers to drive results while avoiding</w:t>
      </w:r>
    </w:p>
    <w:p>
      <w:pPr>
        <w:spacing w:after="0" w:line="22" w:lineRule="exact"/>
        <w:rPr>
          <w:sz w:val="20"/>
          <w:szCs w:val="20"/>
          <w:color w:val="auto"/>
        </w:rPr>
      </w:pPr>
    </w:p>
    <w:p>
      <w:pPr>
        <w:jc w:val="center"/>
        <w:ind w:right="-519"/>
        <w:spacing w:after="0"/>
        <w:rPr>
          <w:sz w:val="20"/>
          <w:szCs w:val="20"/>
          <w:color w:val="auto"/>
        </w:rPr>
      </w:pPr>
      <w:r>
        <w:rPr>
          <w:rFonts w:ascii="Arial" w:cs="Arial" w:eastAsia="Arial" w:hAnsi="Arial"/>
          <w:sz w:val="12"/>
          <w:szCs w:val="12"/>
          <w:color w:val="auto"/>
        </w:rPr>
        <w:t>unnecessary or excessive risk taking that could harm the long-term value of the Company. The Compensation Committee believes that the following measures help achieve this goal:</w:t>
      </w:r>
    </w:p>
    <w:p>
      <w:pPr>
        <w:spacing w:after="0" w:line="103" w:lineRule="exact"/>
        <w:rPr>
          <w:sz w:val="20"/>
          <w:szCs w:val="20"/>
          <w:color w:val="auto"/>
        </w:rPr>
      </w:pPr>
    </w:p>
    <w:p>
      <w:pPr>
        <w:ind w:left="1300" w:right="440" w:hanging="208"/>
        <w:spacing w:after="0" w:line="294" w:lineRule="auto"/>
        <w:tabs>
          <w:tab w:leader="none" w:pos="13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Named executives are provided with competitive base salaries that are not subject to performance risk, which helps to mitigate risk-taking behaviors and provides an incentive for executives to retain their employment with the Company;</w:t>
      </w:r>
    </w:p>
    <w:p>
      <w:pPr>
        <w:spacing w:after="0" w:line="36" w:lineRule="exact"/>
        <w:rPr>
          <w:rFonts w:ascii="Arial" w:cs="Arial" w:eastAsia="Arial" w:hAnsi="Arial"/>
          <w:sz w:val="13"/>
          <w:szCs w:val="13"/>
          <w:color w:val="auto"/>
        </w:rPr>
      </w:pPr>
    </w:p>
    <w:p>
      <w:pPr>
        <w:ind w:left="1300" w:hanging="208"/>
        <w:spacing w:after="0"/>
        <w:tabs>
          <w:tab w:leader="none" w:pos="13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Compensation Committee relies on detailed processes to establish the Company financial performance measures under our incentive plans:</w:t>
      </w:r>
    </w:p>
    <w:p>
      <w:pPr>
        <w:spacing w:after="0" w:line="102" w:lineRule="exact"/>
        <w:rPr>
          <w:rFonts w:ascii="Arial" w:cs="Arial" w:eastAsia="Arial" w:hAnsi="Arial"/>
          <w:sz w:val="13"/>
          <w:szCs w:val="13"/>
          <w:color w:val="auto"/>
        </w:rPr>
      </w:pPr>
    </w:p>
    <w:p>
      <w:pPr>
        <w:ind w:left="1300"/>
        <w:spacing w:after="0"/>
        <w:rPr>
          <w:rFonts w:ascii="Arial" w:cs="Arial" w:eastAsia="Arial" w:hAnsi="Arial"/>
          <w:sz w:val="13"/>
          <w:szCs w:val="13"/>
          <w:color w:val="auto"/>
        </w:rPr>
      </w:pPr>
      <w:r>
        <w:rPr>
          <w:rFonts w:ascii="Arial" w:cs="Arial" w:eastAsia="Arial" w:hAnsi="Arial"/>
          <w:sz w:val="13"/>
          <w:szCs w:val="13"/>
          <w:color w:val="auto"/>
        </w:rPr>
        <w:t>•  Measures are recalibrated annually to maintain directional alignment with pay and performance;</w:t>
      </w:r>
    </w:p>
    <w:p>
      <w:pPr>
        <w:spacing w:after="0" w:line="30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00"/>
          </w:cols>
          <w:pgMar w:left="220" w:top="349" w:right="107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ind w:left="1500" w:hanging="207"/>
        <w:spacing w:after="0"/>
        <w:tabs>
          <w:tab w:leader="none" w:pos="1500" w:val="left"/>
        </w:tabs>
        <w:numPr>
          <w:ilvl w:val="1"/>
          <w:numId w:val="23"/>
        </w:numPr>
        <w:rPr>
          <w:rFonts w:ascii="Arial" w:cs="Arial" w:eastAsia="Arial" w:hAnsi="Arial"/>
          <w:sz w:val="13"/>
          <w:szCs w:val="13"/>
          <w:color w:val="auto"/>
        </w:rPr>
      </w:pPr>
      <w:r>
        <w:rPr>
          <w:rFonts w:ascii="Arial" w:cs="Arial" w:eastAsia="Arial" w:hAnsi="Arial"/>
          <w:sz w:val="13"/>
          <w:szCs w:val="13"/>
          <w:color w:val="auto"/>
        </w:rPr>
        <w:t>Measures, while challenging, are designed to be achievable to mitigate the potential for excessive risk-taking behaviors;</w:t>
      </w:r>
    </w:p>
    <w:p>
      <w:pPr>
        <w:spacing w:after="0" w:line="92" w:lineRule="exact"/>
        <w:rPr>
          <w:rFonts w:ascii="Arial" w:cs="Arial" w:eastAsia="Arial" w:hAnsi="Arial"/>
          <w:sz w:val="13"/>
          <w:szCs w:val="13"/>
          <w:color w:val="auto"/>
        </w:rPr>
      </w:pPr>
    </w:p>
    <w:p>
      <w:pPr>
        <w:ind w:left="1500" w:right="820" w:hanging="207"/>
        <w:spacing w:after="0" w:line="294" w:lineRule="auto"/>
        <w:tabs>
          <w:tab w:leader="none" w:pos="1500" w:val="left"/>
        </w:tabs>
        <w:numPr>
          <w:ilvl w:val="1"/>
          <w:numId w:val="23"/>
        </w:numPr>
        <w:rPr>
          <w:rFonts w:ascii="Arial" w:cs="Arial" w:eastAsia="Arial" w:hAnsi="Arial"/>
          <w:sz w:val="13"/>
          <w:szCs w:val="13"/>
          <w:color w:val="auto"/>
        </w:rPr>
      </w:pPr>
      <w:r>
        <w:rPr>
          <w:rFonts w:ascii="Arial" w:cs="Arial" w:eastAsia="Arial" w:hAnsi="Arial"/>
          <w:sz w:val="13"/>
          <w:szCs w:val="13"/>
          <w:color w:val="auto"/>
        </w:rPr>
        <w:t>Both short- and long-term incentives include threshold, target and maximum payouts dependent on the achievement within ranges of performance, which are less likely to encourage inappropriate risk-taking behaviors than a single measurement that provides an “all-or-nothing” basis for compensation;</w:t>
      </w:r>
    </w:p>
    <w:p>
      <w:pPr>
        <w:spacing w:after="0" w:line="36" w:lineRule="exact"/>
        <w:rPr>
          <w:rFonts w:ascii="Arial" w:cs="Arial" w:eastAsia="Arial" w:hAnsi="Arial"/>
          <w:sz w:val="13"/>
          <w:szCs w:val="13"/>
          <w:color w:val="auto"/>
        </w:rPr>
      </w:pPr>
    </w:p>
    <w:p>
      <w:pPr>
        <w:ind w:left="1500" w:hanging="207"/>
        <w:spacing w:after="0"/>
        <w:tabs>
          <w:tab w:leader="none" w:pos="1500" w:val="left"/>
        </w:tabs>
        <w:numPr>
          <w:ilvl w:val="1"/>
          <w:numId w:val="23"/>
        </w:numPr>
        <w:rPr>
          <w:rFonts w:ascii="Arial" w:cs="Arial" w:eastAsia="Arial" w:hAnsi="Arial"/>
          <w:sz w:val="13"/>
          <w:szCs w:val="13"/>
          <w:color w:val="auto"/>
        </w:rPr>
      </w:pPr>
      <w:r>
        <w:rPr>
          <w:rFonts w:ascii="Arial" w:cs="Arial" w:eastAsia="Arial" w:hAnsi="Arial"/>
          <w:sz w:val="13"/>
          <w:szCs w:val="13"/>
          <w:color w:val="auto"/>
        </w:rPr>
        <w:t>Maximum payouts are capped at 200% of the target awards, reducing the likelihood of inappropriate or overly-aggressive actions for exorbitant payouts;</w:t>
      </w:r>
    </w:p>
    <w:p>
      <w:pPr>
        <w:spacing w:after="0" w:line="92" w:lineRule="exact"/>
        <w:rPr>
          <w:rFonts w:ascii="Arial" w:cs="Arial" w:eastAsia="Arial" w:hAnsi="Arial"/>
          <w:sz w:val="13"/>
          <w:szCs w:val="13"/>
          <w:color w:val="auto"/>
        </w:rPr>
      </w:pPr>
    </w:p>
    <w:p>
      <w:pPr>
        <w:ind w:left="1500" w:right="820" w:hanging="207"/>
        <w:spacing w:after="0" w:line="294" w:lineRule="auto"/>
        <w:tabs>
          <w:tab w:leader="none" w:pos="1500" w:val="left"/>
        </w:tabs>
        <w:numPr>
          <w:ilvl w:val="1"/>
          <w:numId w:val="23"/>
        </w:numPr>
        <w:rPr>
          <w:rFonts w:ascii="Arial" w:cs="Arial" w:eastAsia="Arial" w:hAnsi="Arial"/>
          <w:sz w:val="13"/>
          <w:szCs w:val="13"/>
          <w:color w:val="auto"/>
        </w:rPr>
      </w:pPr>
      <w:r>
        <w:rPr>
          <w:rFonts w:ascii="Arial" w:cs="Arial" w:eastAsia="Arial" w:hAnsi="Arial"/>
          <w:sz w:val="13"/>
          <w:szCs w:val="13"/>
          <w:color w:val="auto"/>
        </w:rPr>
        <w:t>Long-term equity incentive awards are granted annually to allow executives to accumulate these awards and become further vested in the longer-term sustainability of our business; and</w:t>
      </w:r>
    </w:p>
    <w:p>
      <w:pPr>
        <w:spacing w:after="0" w:line="36" w:lineRule="exact"/>
        <w:rPr>
          <w:rFonts w:ascii="Arial" w:cs="Arial" w:eastAsia="Arial" w:hAnsi="Arial"/>
          <w:sz w:val="13"/>
          <w:szCs w:val="13"/>
          <w:color w:val="auto"/>
        </w:rPr>
      </w:pPr>
    </w:p>
    <w:p>
      <w:pPr>
        <w:ind w:left="1500" w:right="1000" w:hanging="207"/>
        <w:spacing w:after="0" w:line="294" w:lineRule="auto"/>
        <w:tabs>
          <w:tab w:leader="none" w:pos="1500" w:val="left"/>
        </w:tabs>
        <w:numPr>
          <w:ilvl w:val="1"/>
          <w:numId w:val="23"/>
        </w:numPr>
        <w:rPr>
          <w:rFonts w:ascii="Arial" w:cs="Arial" w:eastAsia="Arial" w:hAnsi="Arial"/>
          <w:sz w:val="13"/>
          <w:szCs w:val="13"/>
          <w:color w:val="auto"/>
        </w:rPr>
      </w:pPr>
      <w:r>
        <w:rPr>
          <w:rFonts w:ascii="Arial" w:cs="Arial" w:eastAsia="Arial" w:hAnsi="Arial"/>
          <w:sz w:val="13"/>
          <w:szCs w:val="13"/>
          <w:color w:val="auto"/>
        </w:rPr>
        <w:t>Long-term equity incentive awards’ three-year performance period allows overlap of performance periods to reduce the incentive to maximize performance in any one year.</w:t>
      </w:r>
    </w:p>
    <w:p>
      <w:pPr>
        <w:spacing w:after="0" w:line="46" w:lineRule="exact"/>
        <w:rPr>
          <w:rFonts w:ascii="Arial" w:cs="Arial" w:eastAsia="Arial" w:hAnsi="Arial"/>
          <w:sz w:val="13"/>
          <w:szCs w:val="13"/>
          <w:color w:val="auto"/>
        </w:rPr>
      </w:pPr>
    </w:p>
    <w:p>
      <w:pPr>
        <w:ind w:left="1300" w:right="1120" w:hanging="208"/>
        <w:spacing w:after="0" w:line="294" w:lineRule="auto"/>
        <w:tabs>
          <w:tab w:leader="none" w:pos="13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Compensation Committee has a clawback policy designed to recoup any amounts paid to named executives when those amounts were based on wrong-doing by the named executive.</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Elements of Named Executives’ 2009 Total Compensation</w:t>
      </w:r>
    </w:p>
    <w:p>
      <w:pPr>
        <w:spacing w:after="0" w:line="104" w:lineRule="exact"/>
        <w:rPr>
          <w:sz w:val="20"/>
          <w:szCs w:val="20"/>
          <w:color w:val="auto"/>
        </w:rPr>
      </w:pPr>
    </w:p>
    <w:p>
      <w:pPr>
        <w:ind w:left="680" w:right="800" w:firstLine="399"/>
        <w:spacing w:after="0" w:line="267" w:lineRule="auto"/>
        <w:rPr>
          <w:sz w:val="20"/>
          <w:szCs w:val="20"/>
          <w:color w:val="auto"/>
        </w:rPr>
      </w:pPr>
      <w:r>
        <w:rPr>
          <w:rFonts w:ascii="Arial" w:cs="Arial" w:eastAsia="Arial" w:hAnsi="Arial"/>
          <w:sz w:val="13"/>
          <w:szCs w:val="13"/>
          <w:i w:val="1"/>
          <w:iCs w:val="1"/>
          <w:color w:val="auto"/>
        </w:rPr>
        <w:t xml:space="preserve">Base Salary </w:t>
      </w:r>
      <w:r>
        <w:rPr>
          <w:rFonts w:ascii="Arial" w:cs="Arial" w:eastAsia="Arial" w:hAnsi="Arial"/>
          <w:sz w:val="13"/>
          <w:szCs w:val="13"/>
          <w:color w:val="auto"/>
        </w:rPr>
        <w:t>— Each of our named executive officers is party to an employment agreement, approved by our Compensation Committee that provides for a base salary that, once</w:t>
      </w:r>
      <w:r>
        <w:rPr>
          <w:rFonts w:ascii="Arial" w:cs="Arial" w:eastAsia="Arial" w:hAnsi="Arial"/>
          <w:sz w:val="13"/>
          <w:szCs w:val="13"/>
          <w:i w:val="1"/>
          <w:iCs w:val="1"/>
          <w:color w:val="auto"/>
        </w:rPr>
        <w:t xml:space="preserve"> </w:t>
      </w:r>
      <w:r>
        <w:rPr>
          <w:rFonts w:ascii="Arial" w:cs="Arial" w:eastAsia="Arial" w:hAnsi="Arial"/>
          <w:sz w:val="13"/>
          <w:szCs w:val="13"/>
          <w:color w:val="auto"/>
        </w:rPr>
        <w:t>increased, may not be reduced. The Compensation Committee’s annual decisions regarding base salaries generally relate to merit increases, if any, as each of our named executive officers has been in his current role for several years. In determining annual merit increases, the Company looks at competitive market data for cost of labor increases. In early 2009, the Compensation Committee determined that because of economic conditions, no named executive officers would receive an annual merit increase; however, the salary freeze was lifted for all Company employees in 2010. The table below shows the base salary of each of our named executive officers in 2009:</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38"/>
        </w:trPr>
        <w:tc>
          <w:tcPr>
            <w:tcW w:w="9000" w:type="dxa"/>
            <w:vAlign w:val="bottom"/>
            <w:gridSpan w:val="2"/>
          </w:tcPr>
          <w:p>
            <w:pPr>
              <w:spacing w:after="0"/>
              <w:rPr>
                <w:sz w:val="20"/>
                <w:szCs w:val="20"/>
                <w:color w:val="auto"/>
              </w:rPr>
            </w:pPr>
            <w:r>
              <w:rPr>
                <w:rFonts w:ascii="Arial" w:cs="Arial" w:eastAsia="Arial" w:hAnsi="Arial"/>
                <w:sz w:val="11"/>
                <w:szCs w:val="11"/>
                <w:b w:val="1"/>
                <w:bCs w:val="1"/>
                <w:color w:val="auto"/>
              </w:rPr>
              <w:t>Named Executive Officer</w:t>
            </w:r>
          </w:p>
        </w:tc>
        <w:tc>
          <w:tcPr>
            <w:tcW w:w="120" w:type="dxa"/>
            <w:vAlign w:val="bottom"/>
          </w:tcPr>
          <w:p>
            <w:pPr>
              <w:spacing w:after="0"/>
              <w:rPr>
                <w:sz w:val="11"/>
                <w:szCs w:val="11"/>
                <w:color w:val="auto"/>
              </w:rPr>
            </w:pP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Base Salary</w:t>
            </w:r>
          </w:p>
        </w:tc>
      </w:tr>
      <w:tr>
        <w:trPr>
          <w:trHeight w:val="30"/>
        </w:trPr>
        <w:tc>
          <w:tcPr>
            <w:tcW w:w="100" w:type="dxa"/>
            <w:vAlign w:val="bottom"/>
            <w:tcBorders>
              <w:top w:val="single" w:sz="8" w:color="auto"/>
            </w:tcBorders>
          </w:tcPr>
          <w:p>
            <w:pPr>
              <w:spacing w:after="0"/>
              <w:rPr>
                <w:sz w:val="2"/>
                <w:szCs w:val="2"/>
                <w:color w:val="auto"/>
              </w:rPr>
            </w:pPr>
          </w:p>
        </w:tc>
        <w:tc>
          <w:tcPr>
            <w:tcW w:w="89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1"/>
        </w:trPr>
        <w:tc>
          <w:tcPr>
            <w:tcW w:w="9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Mr. Steiner</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1,075,000</w:t>
            </w:r>
          </w:p>
        </w:tc>
      </w:tr>
      <w:tr>
        <w:trPr>
          <w:trHeight w:val="161"/>
        </w:trPr>
        <w:tc>
          <w:tcPr>
            <w:tcW w:w="9000" w:type="dxa"/>
            <w:vAlign w:val="bottom"/>
            <w:gridSpan w:val="2"/>
          </w:tcPr>
          <w:p>
            <w:pPr>
              <w:spacing w:after="0"/>
              <w:rPr>
                <w:sz w:val="20"/>
                <w:szCs w:val="20"/>
                <w:color w:val="auto"/>
              </w:rPr>
            </w:pPr>
            <w:r>
              <w:rPr>
                <w:rFonts w:ascii="Arial" w:cs="Arial" w:eastAsia="Arial" w:hAnsi="Arial"/>
                <w:sz w:val="13"/>
                <w:szCs w:val="13"/>
                <w:color w:val="auto"/>
              </w:rPr>
              <w:t>Mr. O’Donnell</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775,288</w:t>
            </w:r>
          </w:p>
        </w:tc>
      </w:tr>
      <w:tr>
        <w:trPr>
          <w:trHeight w:val="161"/>
        </w:trPr>
        <w:tc>
          <w:tcPr>
            <w:tcW w:w="9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Mr. Simpson</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520,985</w:t>
            </w:r>
          </w:p>
        </w:tc>
      </w:tr>
      <w:tr>
        <w:trPr>
          <w:trHeight w:val="161"/>
        </w:trPr>
        <w:tc>
          <w:tcPr>
            <w:tcW w:w="9000" w:type="dxa"/>
            <w:vAlign w:val="bottom"/>
            <w:gridSpan w:val="2"/>
          </w:tcPr>
          <w:p>
            <w:pPr>
              <w:spacing w:after="0"/>
              <w:rPr>
                <w:sz w:val="20"/>
                <w:szCs w:val="20"/>
                <w:color w:val="auto"/>
              </w:rPr>
            </w:pPr>
            <w:r>
              <w:rPr>
                <w:rFonts w:ascii="Arial" w:cs="Arial" w:eastAsia="Arial" w:hAnsi="Arial"/>
                <w:sz w:val="13"/>
                <w:szCs w:val="13"/>
                <w:color w:val="auto"/>
              </w:rPr>
              <w:t>Mr. Trevathan</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566,298</w:t>
            </w:r>
          </w:p>
        </w:tc>
      </w:tr>
      <w:tr>
        <w:trPr>
          <w:trHeight w:val="161"/>
        </w:trPr>
        <w:tc>
          <w:tcPr>
            <w:tcW w:w="9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Mr. Woods</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565,710</w:t>
            </w:r>
          </w:p>
        </w:tc>
      </w:tr>
    </w:tbl>
    <w:p>
      <w:pPr>
        <w:spacing w:after="0" w:line="80" w:lineRule="exact"/>
        <w:rPr>
          <w:sz w:val="20"/>
          <w:szCs w:val="20"/>
          <w:color w:val="auto"/>
        </w:rPr>
      </w:pPr>
    </w:p>
    <w:p>
      <w:pPr>
        <w:ind w:left="680" w:right="880" w:firstLine="399"/>
        <w:spacing w:after="0" w:line="267" w:lineRule="auto"/>
        <w:rPr>
          <w:sz w:val="20"/>
          <w:szCs w:val="20"/>
          <w:color w:val="auto"/>
        </w:rPr>
      </w:pPr>
      <w:r>
        <w:rPr>
          <w:rFonts w:ascii="Arial" w:cs="Arial" w:eastAsia="Arial" w:hAnsi="Arial"/>
          <w:sz w:val="13"/>
          <w:szCs w:val="13"/>
          <w:i w:val="1"/>
          <w:iCs w:val="1"/>
          <w:color w:val="auto"/>
        </w:rPr>
        <w:t xml:space="preserve">Annual Cash Bonus </w:t>
      </w:r>
      <w:r>
        <w:rPr>
          <w:rFonts w:ascii="Arial" w:cs="Arial" w:eastAsia="Arial" w:hAnsi="Arial"/>
          <w:sz w:val="13"/>
          <w:szCs w:val="13"/>
          <w:color w:val="auto"/>
        </w:rPr>
        <w:t>— The percentages of base salary targets for the annual bonuses of the named executive officers were set when the individuals were promoted to their</w:t>
      </w:r>
      <w:r>
        <w:rPr>
          <w:rFonts w:ascii="Arial" w:cs="Arial" w:eastAsia="Arial" w:hAnsi="Arial"/>
          <w:sz w:val="13"/>
          <w:szCs w:val="13"/>
          <w:i w:val="1"/>
          <w:iCs w:val="1"/>
          <w:color w:val="auto"/>
        </w:rPr>
        <w:t xml:space="preserve"> </w:t>
      </w:r>
      <w:r>
        <w:rPr>
          <w:rFonts w:ascii="Arial" w:cs="Arial" w:eastAsia="Arial" w:hAnsi="Arial"/>
          <w:sz w:val="13"/>
          <w:szCs w:val="13"/>
          <w:color w:val="auto"/>
        </w:rPr>
        <w:t>current roles. These target percentages are reviewed annually to ensure they are still appropriate given the competitive market and the individuals’ responsibilities. Additionally, each year the Compensation Committee determines the financial measures that will be used for the named executives’ bonus determinations and sets the threshold, target and maximum measures necessary for bonus payments. The Compensation Committee makes these determinations based on what it believes are most likely to both drive and reward performance that is beneficial to the Company and stockholders generally.</w:t>
      </w:r>
    </w:p>
    <w:p>
      <w:pPr>
        <w:spacing w:after="0" w:line="65" w:lineRule="exact"/>
        <w:rPr>
          <w:sz w:val="20"/>
          <w:szCs w:val="20"/>
          <w:color w:val="auto"/>
        </w:rPr>
      </w:pPr>
    </w:p>
    <w:p>
      <w:pPr>
        <w:ind w:left="680" w:right="860" w:firstLine="399"/>
        <w:spacing w:after="0" w:line="294" w:lineRule="auto"/>
        <w:rPr>
          <w:sz w:val="20"/>
          <w:szCs w:val="20"/>
          <w:color w:val="auto"/>
        </w:rPr>
      </w:pPr>
      <w:r>
        <w:rPr>
          <w:rFonts w:ascii="Arial" w:cs="Arial" w:eastAsia="Arial" w:hAnsi="Arial"/>
          <w:sz w:val="13"/>
          <w:szCs w:val="13"/>
          <w:color w:val="auto"/>
        </w:rPr>
        <w:t>The annual bonus plan is designed to comply with the performance-based compensation exemption under Section 162(m) of the Code by allowing the Compensation Committee to set performance criteria for payments, which may not exceed the predetermined amount of 0.5% of the Company’s pre-tax income per participant.</w:t>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table below sets forth the performance measures set by the Compensation Committee for the named executive officers’ bonuses earned in 2009:</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0" w:type="dxa"/>
            <w:vAlign w:val="bottom"/>
          </w:tcPr>
          <w:p>
            <w:pPr>
              <w:jc w:val="center"/>
              <w:spacing w:after="0"/>
              <w:rPr>
                <w:sz w:val="20"/>
                <w:szCs w:val="20"/>
                <w:color w:val="auto"/>
              </w:rPr>
            </w:pPr>
            <w:r>
              <w:rPr>
                <w:rFonts w:ascii="Arial" w:cs="Arial" w:eastAsia="Arial" w:hAnsi="Arial"/>
                <w:sz w:val="11"/>
                <w:szCs w:val="11"/>
                <w:b w:val="1"/>
                <w:bCs w:val="1"/>
                <w:color w:val="auto"/>
                <w:w w:val="86"/>
              </w:rPr>
              <w:t>Threshold</w:t>
            </w:r>
          </w:p>
        </w:tc>
        <w:tc>
          <w:tcPr>
            <w:tcW w:w="300" w:type="dxa"/>
            <w:vAlign w:val="bottom"/>
          </w:tcPr>
          <w:p>
            <w:pPr>
              <w:spacing w:after="0"/>
              <w:rPr>
                <w:sz w:val="10"/>
                <w:szCs w:val="10"/>
                <w:color w:val="auto"/>
              </w:rPr>
            </w:pPr>
          </w:p>
        </w:tc>
        <w:tc>
          <w:tcPr>
            <w:tcW w:w="1400" w:type="dxa"/>
            <w:vAlign w:val="bottom"/>
          </w:tcPr>
          <w:p>
            <w:pPr>
              <w:jc w:val="center"/>
              <w:spacing w:after="0"/>
              <w:rPr>
                <w:sz w:val="20"/>
                <w:szCs w:val="20"/>
                <w:color w:val="auto"/>
              </w:rPr>
            </w:pPr>
            <w:r>
              <w:rPr>
                <w:rFonts w:ascii="Arial" w:cs="Arial" w:eastAsia="Arial" w:hAnsi="Arial"/>
                <w:sz w:val="11"/>
                <w:szCs w:val="11"/>
                <w:b w:val="1"/>
                <w:bCs w:val="1"/>
                <w:color w:val="auto"/>
                <w:w w:val="89"/>
              </w:rPr>
              <w:t>Target</w:t>
            </w:r>
          </w:p>
        </w:tc>
        <w:tc>
          <w:tcPr>
            <w:tcW w:w="300" w:type="dxa"/>
            <w:vAlign w:val="bottom"/>
          </w:tcPr>
          <w:p>
            <w:pPr>
              <w:spacing w:after="0"/>
              <w:rPr>
                <w:sz w:val="10"/>
                <w:szCs w:val="10"/>
                <w:color w:val="auto"/>
              </w:rPr>
            </w:pPr>
          </w:p>
        </w:tc>
        <w:tc>
          <w:tcPr>
            <w:tcW w:w="1380" w:type="dxa"/>
            <w:vAlign w:val="bottom"/>
          </w:tcPr>
          <w:p>
            <w:pPr>
              <w:jc w:val="center"/>
              <w:spacing w:after="0"/>
              <w:rPr>
                <w:sz w:val="20"/>
                <w:szCs w:val="20"/>
                <w:color w:val="auto"/>
              </w:rPr>
            </w:pPr>
            <w:r>
              <w:rPr>
                <w:rFonts w:ascii="Arial" w:cs="Arial" w:eastAsia="Arial" w:hAnsi="Arial"/>
                <w:sz w:val="11"/>
                <w:szCs w:val="11"/>
                <w:b w:val="1"/>
                <w:bCs w:val="1"/>
                <w:color w:val="auto"/>
                <w:w w:val="90"/>
              </w:rPr>
              <w:t>Maximum</w:t>
            </w:r>
          </w:p>
        </w:tc>
        <w:tc>
          <w:tcPr>
            <w:tcW w:w="800" w:type="dxa"/>
            <w:vAlign w:val="bottom"/>
          </w:tcPr>
          <w:p>
            <w:pPr>
              <w:spacing w:after="0"/>
              <w:rPr>
                <w:sz w:val="10"/>
                <w:szCs w:val="10"/>
                <w:color w:val="auto"/>
              </w:rPr>
            </w:pPr>
          </w:p>
        </w:tc>
      </w:tr>
      <w:tr>
        <w:trPr>
          <w:trHeight w:val="111"/>
        </w:trPr>
        <w:tc>
          <w:tcPr>
            <w:tcW w:w="50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6"/>
              </w:rPr>
              <w:t>Performance</w:t>
            </w:r>
          </w:p>
        </w:tc>
        <w:tc>
          <w:tcPr>
            <w:tcW w:w="300" w:type="dxa"/>
            <w:vAlign w:val="bottom"/>
          </w:tcPr>
          <w:p>
            <w:pPr>
              <w:spacing w:after="0"/>
              <w:rPr>
                <w:sz w:val="9"/>
                <w:szCs w:val="9"/>
                <w:color w:val="auto"/>
              </w:rPr>
            </w:pPr>
          </w:p>
        </w:tc>
        <w:tc>
          <w:tcPr>
            <w:tcW w:w="140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9"/>
              </w:rPr>
              <w:t>Performance</w:t>
            </w:r>
          </w:p>
        </w:tc>
        <w:tc>
          <w:tcPr>
            <w:tcW w:w="300" w:type="dxa"/>
            <w:vAlign w:val="bottom"/>
          </w:tcPr>
          <w:p>
            <w:pPr>
              <w:spacing w:after="0"/>
              <w:rPr>
                <w:sz w:val="9"/>
                <w:szCs w:val="9"/>
                <w:color w:val="auto"/>
              </w:rPr>
            </w:pPr>
          </w:p>
        </w:tc>
        <w:tc>
          <w:tcPr>
            <w:tcW w:w="138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6"/>
              </w:rPr>
              <w:t>Performance</w:t>
            </w:r>
          </w:p>
        </w:tc>
        <w:tc>
          <w:tcPr>
            <w:tcW w:w="800" w:type="dxa"/>
            <w:vAlign w:val="bottom"/>
          </w:tcPr>
          <w:p>
            <w:pPr>
              <w:spacing w:after="0"/>
              <w:rPr>
                <w:sz w:val="9"/>
                <w:szCs w:val="9"/>
                <w:color w:val="auto"/>
              </w:rPr>
            </w:pPr>
          </w:p>
        </w:tc>
      </w:tr>
      <w:tr>
        <w:trPr>
          <w:trHeight w:val="128"/>
        </w:trPr>
        <w:tc>
          <w:tcPr>
            <w:tcW w:w="5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(30% Payment)</w:t>
            </w:r>
          </w:p>
        </w:tc>
        <w:tc>
          <w:tcPr>
            <w:tcW w:w="300" w:type="dxa"/>
            <w:vAlign w:val="bottom"/>
          </w:tcPr>
          <w:p>
            <w:pPr>
              <w:spacing w:after="0"/>
              <w:rPr>
                <w:sz w:val="11"/>
                <w:szCs w:val="11"/>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(100% Payment)</w:t>
            </w:r>
          </w:p>
        </w:tc>
        <w:tc>
          <w:tcPr>
            <w:tcW w:w="300" w:type="dxa"/>
            <w:vAlign w:val="bottom"/>
          </w:tcPr>
          <w:p>
            <w:pPr>
              <w:spacing w:after="0"/>
              <w:rPr>
                <w:sz w:val="11"/>
                <w:szCs w:val="11"/>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(200% Payment)</w:t>
            </w:r>
          </w:p>
        </w:tc>
        <w:tc>
          <w:tcPr>
            <w:tcW w:w="800" w:type="dxa"/>
            <w:vAlign w:val="bottom"/>
          </w:tcPr>
          <w:p>
            <w:pPr>
              <w:spacing w:after="0"/>
              <w:rPr>
                <w:sz w:val="11"/>
                <w:szCs w:val="11"/>
                <w:color w:val="auto"/>
              </w:rPr>
            </w:pPr>
          </w:p>
        </w:tc>
      </w:tr>
      <w:tr>
        <w:trPr>
          <w:trHeight w:val="179"/>
        </w:trPr>
        <w:tc>
          <w:tcPr>
            <w:tcW w:w="5060" w:type="dxa"/>
            <w:vAlign w:val="bottom"/>
          </w:tcPr>
          <w:p>
            <w:pPr>
              <w:ind w:left="680"/>
              <w:spacing w:after="0"/>
              <w:rPr>
                <w:sz w:val="20"/>
                <w:szCs w:val="20"/>
                <w:color w:val="auto"/>
              </w:rPr>
            </w:pPr>
            <w:r>
              <w:rPr>
                <w:rFonts w:ascii="Arial" w:cs="Arial" w:eastAsia="Arial" w:hAnsi="Arial"/>
                <w:sz w:val="13"/>
                <w:szCs w:val="13"/>
                <w:b w:val="1"/>
                <w:bCs w:val="1"/>
                <w:color w:val="auto"/>
              </w:rPr>
              <w:t>Income from Operations Margin</w:t>
            </w:r>
          </w:p>
        </w:tc>
        <w:tc>
          <w:tcPr>
            <w:tcW w:w="2220" w:type="dxa"/>
            <w:vAlign w:val="bottom"/>
            <w:gridSpan w:val="2"/>
          </w:tcPr>
          <w:p>
            <w:pPr>
              <w:jc w:val="center"/>
              <w:ind w:left="773"/>
              <w:spacing w:after="0"/>
              <w:rPr>
                <w:sz w:val="20"/>
                <w:szCs w:val="20"/>
                <w:color w:val="auto"/>
              </w:rPr>
            </w:pPr>
            <w:r>
              <w:rPr>
                <w:rFonts w:ascii="Arial" w:cs="Arial" w:eastAsia="Arial" w:hAnsi="Arial"/>
                <w:sz w:val="13"/>
                <w:szCs w:val="13"/>
                <w:color w:val="auto"/>
                <w:w w:val="92"/>
              </w:rPr>
              <w:t>14.6%</w:t>
            </w:r>
          </w:p>
        </w:tc>
        <w:tc>
          <w:tcPr>
            <w:tcW w:w="1700" w:type="dxa"/>
            <w:vAlign w:val="bottom"/>
            <w:gridSpan w:val="2"/>
          </w:tcPr>
          <w:p>
            <w:pPr>
              <w:jc w:val="center"/>
              <w:ind w:left="253"/>
              <w:spacing w:after="0"/>
              <w:rPr>
                <w:sz w:val="20"/>
                <w:szCs w:val="20"/>
                <w:color w:val="auto"/>
              </w:rPr>
            </w:pPr>
            <w:r>
              <w:rPr>
                <w:rFonts w:ascii="Arial" w:cs="Arial" w:eastAsia="Arial" w:hAnsi="Arial"/>
                <w:sz w:val="13"/>
                <w:szCs w:val="13"/>
                <w:color w:val="auto"/>
                <w:w w:val="92"/>
              </w:rPr>
              <w:t>16.2%</w:t>
            </w:r>
          </w:p>
        </w:tc>
        <w:tc>
          <w:tcPr>
            <w:tcW w:w="1680" w:type="dxa"/>
            <w:vAlign w:val="bottom"/>
            <w:gridSpan w:val="2"/>
          </w:tcPr>
          <w:p>
            <w:pPr>
              <w:jc w:val="center"/>
              <w:ind w:left="233"/>
              <w:spacing w:after="0"/>
              <w:rPr>
                <w:sz w:val="20"/>
                <w:szCs w:val="20"/>
                <w:color w:val="auto"/>
              </w:rPr>
            </w:pPr>
            <w:r>
              <w:rPr>
                <w:rFonts w:ascii="Arial" w:cs="Arial" w:eastAsia="Arial" w:hAnsi="Arial"/>
                <w:sz w:val="13"/>
                <w:szCs w:val="13"/>
                <w:color w:val="auto"/>
                <w:w w:val="92"/>
              </w:rPr>
              <w:t>22.2%</w:t>
            </w:r>
          </w:p>
        </w:tc>
        <w:tc>
          <w:tcPr>
            <w:tcW w:w="800" w:type="dxa"/>
            <w:vAlign w:val="bottom"/>
          </w:tcPr>
          <w:p>
            <w:pPr>
              <w:spacing w:after="0"/>
              <w:rPr>
                <w:sz w:val="15"/>
                <w:szCs w:val="15"/>
                <w:color w:val="auto"/>
              </w:rPr>
            </w:pPr>
          </w:p>
        </w:tc>
      </w:tr>
      <w:tr>
        <w:trPr>
          <w:trHeight w:val="174"/>
        </w:trPr>
        <w:tc>
          <w:tcPr>
            <w:tcW w:w="5060" w:type="dxa"/>
            <w:vAlign w:val="bottom"/>
          </w:tcPr>
          <w:p>
            <w:pPr>
              <w:ind w:left="680"/>
              <w:spacing w:after="0"/>
              <w:rPr>
                <w:sz w:val="20"/>
                <w:szCs w:val="20"/>
                <w:color w:val="auto"/>
              </w:rPr>
            </w:pPr>
            <w:r>
              <w:rPr>
                <w:rFonts w:ascii="Arial" w:cs="Arial" w:eastAsia="Arial" w:hAnsi="Arial"/>
                <w:sz w:val="13"/>
                <w:szCs w:val="13"/>
                <w:b w:val="1"/>
                <w:bCs w:val="1"/>
                <w:color w:val="auto"/>
              </w:rPr>
              <w:t>Income from Operations excluding Depreciation and Amortization</w:t>
            </w:r>
          </w:p>
        </w:tc>
        <w:tc>
          <w:tcPr>
            <w:tcW w:w="82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3"/>
                <w:szCs w:val="13"/>
                <w:color w:val="auto"/>
                <w:w w:val="97"/>
              </w:rPr>
              <w:t>$2,947 million</w:t>
            </w:r>
          </w:p>
        </w:tc>
        <w:tc>
          <w:tcPr>
            <w:tcW w:w="30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3"/>
                <w:szCs w:val="13"/>
                <w:color w:val="auto"/>
                <w:w w:val="97"/>
              </w:rPr>
              <w:t>$3,275 million</w:t>
            </w:r>
          </w:p>
        </w:tc>
        <w:tc>
          <w:tcPr>
            <w:tcW w:w="30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w w:val="97"/>
              </w:rPr>
              <w:t>$4,487 million</w:t>
            </w:r>
          </w:p>
        </w:tc>
        <w:tc>
          <w:tcPr>
            <w:tcW w:w="800" w:type="dxa"/>
            <w:vAlign w:val="bottom"/>
          </w:tcPr>
          <w:p>
            <w:pPr>
              <w:spacing w:after="0"/>
              <w:rPr>
                <w:sz w:val="15"/>
                <w:szCs w:val="15"/>
                <w:color w:val="auto"/>
              </w:rPr>
            </w:pPr>
          </w:p>
        </w:tc>
      </w:tr>
      <w:tr>
        <w:trPr>
          <w:trHeight w:val="464"/>
        </w:trPr>
        <w:tc>
          <w:tcPr>
            <w:tcW w:w="5060" w:type="dxa"/>
            <w:vAlign w:val="bottom"/>
          </w:tcPr>
          <w:p>
            <w:pPr>
              <w:spacing w:after="0"/>
              <w:rPr>
                <w:sz w:val="24"/>
                <w:szCs w:val="24"/>
                <w:color w:val="auto"/>
              </w:rPr>
            </w:pP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24</w:t>
            </w: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7"/>
        </w:trPr>
        <w:tc>
          <w:tcPr>
            <w:tcW w:w="506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14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4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3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860" w:firstLine="399"/>
        <w:spacing w:after="0" w:line="288" w:lineRule="auto"/>
        <w:rPr>
          <w:sz w:val="20"/>
          <w:szCs w:val="20"/>
          <w:color w:val="auto"/>
        </w:rPr>
      </w:pPr>
      <w:r>
        <w:rPr>
          <w:rFonts w:ascii="Arial" w:cs="Arial" w:eastAsia="Arial" w:hAnsi="Arial"/>
          <w:sz w:val="12"/>
          <w:szCs w:val="12"/>
          <w:color w:val="auto"/>
        </w:rPr>
        <w:t>The performance measures used under our bonus plan in 2009 shown in the table above were calculated based on the Company’s consolidated results of operations. This is a change from prior years, when field based employees’ target measures were based on their specific Area or Group results of operations and only corporate employees’ target measures were based on consolidated results. In prior years, Mr. Trevathan and Mr. Woods’ performance measures were based on the results of operations of the Southern Group and the Western Group, respectively. The Compensation Committee’s decision to use the Company’s consolidated results of operations in 2009 for all employees was a direct result of the organizational changes that took place due to the restructuring we announced in the first quarter of 2009. We believe that using the Company’s consolidated results of operations resulted in all employees working toward the same end goals, and allowed us to reward employees, including named executive officers, in a manner that did not penalize them for the effects of the restructuring on specific field-based operations. Further, using consolidated results avoided incentivizing field-based employees to take actions that may have been overly aggressive in order to meet field-based financial goals given the negative short-term effects the restructuring may have had on those operations.</w:t>
      </w:r>
    </w:p>
    <w:p>
      <w:pPr>
        <w:spacing w:after="0" w:line="56" w:lineRule="exact"/>
        <w:rPr>
          <w:sz w:val="20"/>
          <w:szCs w:val="20"/>
          <w:color w:val="auto"/>
        </w:rPr>
      </w:pPr>
    </w:p>
    <w:p>
      <w:pPr>
        <w:ind w:left="680" w:right="800" w:firstLine="399"/>
        <w:spacing w:after="0" w:line="263" w:lineRule="auto"/>
        <w:rPr>
          <w:sz w:val="20"/>
          <w:szCs w:val="20"/>
          <w:color w:val="auto"/>
        </w:rPr>
      </w:pPr>
      <w:r>
        <w:rPr>
          <w:rFonts w:ascii="Arial" w:cs="Arial" w:eastAsia="Arial" w:hAnsi="Arial"/>
          <w:sz w:val="13"/>
          <w:szCs w:val="13"/>
          <w:color w:val="auto"/>
        </w:rPr>
        <w:t>The Compensation Committee believes that the 2009 financial performance measures were goals that appropriately drove behaviors to create performance and results, in particular focusing on generating profitable revenue, cost cutting and cost control, and making the best use of our assets. When setting performance measure goals each year, the Compensation Committee looks to the Company’s historical results of operations and analyses and forecasts for the coming year. Specifically, the Compensation Committee considers expected revenue based on analyses of pricing and volume trends, as affected by operational and general economic factors; expected wage, maintenance, fuel and other operational costs; and expected selling and administrative costs. Based on this information and in light of general economic conditions and indicators in early 2009, the Compensation Committee determined that the target performance under the annual bonus plan should be relatively flat as compared to the prior year’s results. The Committee discussed the effects the recessionary environment was having on the Company’s results of operations and the challenges that the Company was facing in 2009. Given these factors, the Compensation Committee made the determination that if the named executive officers were able to maintain operating results consistent with the prior year, notwithstanding the difficult economic environment, those results should merit an award.</w:t>
      </w:r>
    </w:p>
    <w:p>
      <w:pPr>
        <w:spacing w:after="0" w:line="67" w:lineRule="exact"/>
        <w:rPr>
          <w:sz w:val="20"/>
          <w:szCs w:val="20"/>
          <w:color w:val="auto"/>
        </w:rPr>
      </w:pPr>
    </w:p>
    <w:p>
      <w:pPr>
        <w:ind w:left="680" w:right="800" w:firstLine="399"/>
        <w:spacing w:after="0" w:line="287" w:lineRule="auto"/>
        <w:rPr>
          <w:sz w:val="20"/>
          <w:szCs w:val="20"/>
          <w:color w:val="auto"/>
        </w:rPr>
      </w:pPr>
      <w:r>
        <w:rPr>
          <w:rFonts w:ascii="Arial" w:cs="Arial" w:eastAsia="Arial" w:hAnsi="Arial"/>
          <w:sz w:val="12"/>
          <w:szCs w:val="12"/>
          <w:color w:val="auto"/>
        </w:rPr>
        <w:t>Mindful of the negative effect the recessionary environment of the last 18 months had on the Company’s volumes, which decreased our revenues, the Compensation Committee took additional action in early 2009. One of the Company’s most important programs has been its pricing excellence, wherein we focus on ensuring we receive appropriate pricing for all of our services. We announced that we are committed to our pricing program and we do not intend to take volumes at prices that do not cover our costs and that do not provide strong operating margins. As a result, in January of 2009, the Compensation Committee added a feature to our bonus plan to ensure that employees were maintaining discipline in executing our pricing programs. In order for named executives to be eligible to receive bonuses for 2009, minimum pricing improvement targets were required of our field operations and a minimum improvement target was required for consolidated Corporate results. If the Corporate measure was met, all named executive officers would be bonus eligible. If the Corporate measure was not met, field-based named executive officers, which include Mr. Trevathan and Mr. Woods, would still be eligible for a bonus payment to the extent his respective Group measure was met. The targets, shown in the table below, were a weighted average rate per unit increase, based on commercial, residential and industrial collection operations; transfer stations; and municipal solid waste and construction and demolition volumes at our landfills.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80" w:type="dxa"/>
            <w:vAlign w:val="bottom"/>
          </w:tcPr>
          <w:p>
            <w:pPr>
              <w:spacing w:after="0"/>
              <w:rPr>
                <w:sz w:val="10"/>
                <w:szCs w:val="10"/>
                <w:color w:val="auto"/>
              </w:rPr>
            </w:pPr>
          </w:p>
        </w:tc>
        <w:tc>
          <w:tcPr>
            <w:tcW w:w="33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Named Executive Officer</w:t>
            </w:r>
          </w:p>
        </w:tc>
        <w:tc>
          <w:tcPr>
            <w:tcW w:w="4900" w:type="dxa"/>
            <w:vAlign w:val="bottom"/>
          </w:tcPr>
          <w:p>
            <w:pPr>
              <w:spacing w:after="0"/>
              <w:rPr>
                <w:sz w:val="10"/>
                <w:szCs w:val="10"/>
                <w:color w:val="auto"/>
              </w:rPr>
            </w:pPr>
          </w:p>
        </w:tc>
        <w:tc>
          <w:tcPr>
            <w:tcW w:w="1700" w:type="dxa"/>
            <w:vAlign w:val="bottom"/>
            <w:gridSpan w:val="2"/>
          </w:tcPr>
          <w:p>
            <w:pPr>
              <w:jc w:val="right"/>
              <w:ind w:right="420"/>
              <w:spacing w:after="0"/>
              <w:rPr>
                <w:sz w:val="20"/>
                <w:szCs w:val="20"/>
                <w:color w:val="auto"/>
              </w:rPr>
            </w:pPr>
            <w:r>
              <w:rPr>
                <w:rFonts w:ascii="Arial" w:cs="Arial" w:eastAsia="Arial" w:hAnsi="Arial"/>
                <w:sz w:val="11"/>
                <w:szCs w:val="11"/>
                <w:b w:val="1"/>
                <w:bCs w:val="1"/>
                <w:color w:val="auto"/>
              </w:rPr>
              <w:t>Pricing Improvement</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3380" w:type="dxa"/>
            <w:vAlign w:val="bottom"/>
            <w:gridSpan w:val="2"/>
            <w:vMerge w:val="continue"/>
          </w:tcPr>
          <w:p>
            <w:pPr>
              <w:spacing w:after="0"/>
              <w:rPr>
                <w:sz w:val="11"/>
                <w:szCs w:val="11"/>
                <w:color w:val="auto"/>
              </w:rPr>
            </w:pPr>
          </w:p>
        </w:tc>
        <w:tc>
          <w:tcPr>
            <w:tcW w:w="4900" w:type="dxa"/>
            <w:vAlign w:val="bottom"/>
          </w:tcPr>
          <w:p>
            <w:pPr>
              <w:spacing w:after="0"/>
              <w:rPr>
                <w:sz w:val="11"/>
                <w:szCs w:val="11"/>
                <w:color w:val="auto"/>
              </w:rPr>
            </w:pPr>
          </w:p>
        </w:tc>
        <w:tc>
          <w:tcPr>
            <w:tcW w:w="1700" w:type="dxa"/>
            <w:vAlign w:val="bottom"/>
            <w:gridSpan w:val="2"/>
          </w:tcPr>
          <w:p>
            <w:pPr>
              <w:jc w:val="right"/>
              <w:ind w:right="500"/>
              <w:spacing w:after="0"/>
              <w:rPr>
                <w:sz w:val="20"/>
                <w:szCs w:val="20"/>
                <w:color w:val="auto"/>
              </w:rPr>
            </w:pPr>
            <w:r>
              <w:rPr>
                <w:rFonts w:ascii="Arial" w:cs="Arial" w:eastAsia="Arial" w:hAnsi="Arial"/>
                <w:sz w:val="11"/>
                <w:szCs w:val="11"/>
                <w:b w:val="1"/>
                <w:bCs w:val="1"/>
                <w:color w:val="auto"/>
              </w:rPr>
              <w:t>Target Required*</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6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3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5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80" w:type="dxa"/>
            <w:vAlign w:val="bottom"/>
          </w:tcPr>
          <w:p>
            <w:pPr>
              <w:spacing w:after="0"/>
              <w:rPr>
                <w:sz w:val="14"/>
                <w:szCs w:val="14"/>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Corporate:</w:t>
            </w:r>
          </w:p>
        </w:tc>
        <w:tc>
          <w:tcPr>
            <w:tcW w:w="49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00" w:type="dxa"/>
            <w:vAlign w:val="bottom"/>
          </w:tcPr>
          <w:p>
            <w:pPr>
              <w:ind w:left="60"/>
              <w:spacing w:after="0"/>
              <w:rPr>
                <w:sz w:val="20"/>
                <w:szCs w:val="20"/>
                <w:color w:val="auto"/>
              </w:rPr>
            </w:pPr>
            <w:r>
              <w:rPr>
                <w:rFonts w:ascii="Arial" w:cs="Arial" w:eastAsia="Arial" w:hAnsi="Arial"/>
                <w:sz w:val="13"/>
                <w:szCs w:val="13"/>
                <w:color w:val="auto"/>
              </w:rPr>
              <w:t>Mr. Steiner</w:t>
            </w:r>
          </w:p>
        </w:tc>
        <w:tc>
          <w:tcPr>
            <w:tcW w:w="6600" w:type="dxa"/>
            <w:vAlign w:val="bottom"/>
            <w:gridSpan w:val="3"/>
          </w:tcPr>
          <w:p>
            <w:pPr>
              <w:jc w:val="right"/>
              <w:spacing w:after="0"/>
              <w:rPr>
                <w:sz w:val="20"/>
                <w:szCs w:val="20"/>
                <w:color w:val="auto"/>
              </w:rPr>
            </w:pPr>
            <w:r>
              <w:rPr>
                <w:rFonts w:ascii="Arial" w:cs="Arial" w:eastAsia="Arial" w:hAnsi="Arial"/>
                <w:sz w:val="13"/>
                <w:szCs w:val="13"/>
                <w:color w:val="auto"/>
              </w:rPr>
              <w:t>2.5%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300" w:type="dxa"/>
            <w:vAlign w:val="bottom"/>
            <w:shd w:val="clear" w:color="auto" w:fill="CCEEFF"/>
          </w:tcPr>
          <w:p>
            <w:pPr>
              <w:ind w:left="60"/>
              <w:spacing w:after="0"/>
              <w:rPr>
                <w:sz w:val="20"/>
                <w:szCs w:val="20"/>
                <w:color w:val="auto"/>
              </w:rPr>
            </w:pPr>
            <w:r>
              <w:rPr>
                <w:rFonts w:ascii="Arial" w:cs="Arial" w:eastAsia="Arial" w:hAnsi="Arial"/>
                <w:sz w:val="13"/>
                <w:szCs w:val="13"/>
                <w:color w:val="auto"/>
              </w:rPr>
              <w:t>Mr. O’Donnell</w:t>
            </w:r>
          </w:p>
        </w:tc>
        <w:tc>
          <w:tcPr>
            <w:tcW w:w="66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00" w:type="dxa"/>
            <w:vAlign w:val="bottom"/>
          </w:tcPr>
          <w:p>
            <w:pPr>
              <w:ind w:left="60"/>
              <w:spacing w:after="0"/>
              <w:rPr>
                <w:sz w:val="20"/>
                <w:szCs w:val="20"/>
                <w:color w:val="auto"/>
              </w:rPr>
            </w:pPr>
            <w:r>
              <w:rPr>
                <w:rFonts w:ascii="Arial" w:cs="Arial" w:eastAsia="Arial" w:hAnsi="Arial"/>
                <w:sz w:val="13"/>
                <w:szCs w:val="13"/>
                <w:color w:val="auto"/>
              </w:rPr>
              <w:t>Mr. Simpson</w:t>
            </w:r>
          </w:p>
        </w:tc>
        <w:tc>
          <w:tcPr>
            <w:tcW w:w="6600" w:type="dxa"/>
            <w:vAlign w:val="bottom"/>
            <w:gridSpan w:val="3"/>
          </w:tcPr>
          <w:p>
            <w:pPr>
              <w:jc w:val="right"/>
              <w:spacing w:after="0"/>
              <w:rPr>
                <w:sz w:val="20"/>
                <w:szCs w:val="20"/>
                <w:color w:val="auto"/>
              </w:rPr>
            </w:pPr>
            <w:r>
              <w:rPr>
                <w:rFonts w:ascii="Arial" w:cs="Arial" w:eastAsia="Arial" w:hAnsi="Arial"/>
                <w:sz w:val="13"/>
                <w:szCs w:val="13"/>
                <w:color w:val="auto"/>
              </w:rPr>
              <w:t>2.5%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Mr. Trevathan — Southern Group</w:t>
            </w:r>
          </w:p>
        </w:tc>
        <w:tc>
          <w:tcPr>
            <w:tcW w:w="66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80" w:type="dxa"/>
            <w:vAlign w:val="bottom"/>
          </w:tcPr>
          <w:p>
            <w:pPr>
              <w:spacing w:after="0"/>
              <w:rPr>
                <w:sz w:val="14"/>
                <w:szCs w:val="14"/>
                <w:color w:val="auto"/>
              </w:rPr>
            </w:pPr>
          </w:p>
        </w:tc>
        <w:tc>
          <w:tcPr>
            <w:tcW w:w="3380" w:type="dxa"/>
            <w:vAlign w:val="bottom"/>
            <w:gridSpan w:val="2"/>
          </w:tcPr>
          <w:p>
            <w:pPr>
              <w:spacing w:after="0"/>
              <w:rPr>
                <w:sz w:val="20"/>
                <w:szCs w:val="20"/>
                <w:color w:val="auto"/>
              </w:rPr>
            </w:pPr>
            <w:r>
              <w:rPr>
                <w:rFonts w:ascii="Arial" w:cs="Arial" w:eastAsia="Arial" w:hAnsi="Arial"/>
                <w:sz w:val="13"/>
                <w:szCs w:val="13"/>
                <w:color w:val="auto"/>
              </w:rPr>
              <w:t>Mr. Woods — Western Group</w:t>
            </w:r>
          </w:p>
        </w:tc>
        <w:tc>
          <w:tcPr>
            <w:tcW w:w="6600" w:type="dxa"/>
            <w:vAlign w:val="bottom"/>
            <w:gridSpan w:val="3"/>
          </w:tcPr>
          <w:p>
            <w:pPr>
              <w:jc w:val="right"/>
              <w:spacing w:after="0"/>
              <w:rPr>
                <w:sz w:val="20"/>
                <w:szCs w:val="20"/>
                <w:color w:val="auto"/>
              </w:rPr>
            </w:pPr>
            <w:r>
              <w:rPr>
                <w:rFonts w:ascii="Arial" w:cs="Arial" w:eastAsia="Arial" w:hAnsi="Arial"/>
                <w:sz w:val="13"/>
                <w:szCs w:val="13"/>
                <w:color w:val="auto"/>
              </w:rPr>
              <w:t>2.6%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900" w:type="dxa"/>
            <w:vAlign w:val="bottom"/>
          </w:tcPr>
          <w:p>
            <w:pPr>
              <w:jc w:val="right"/>
              <w:ind w:right="3153"/>
              <w:spacing w:after="0"/>
              <w:rPr>
                <w:sz w:val="20"/>
                <w:szCs w:val="20"/>
                <w:color w:val="auto"/>
              </w:rPr>
            </w:pPr>
            <w:r>
              <w:rPr>
                <w:rFonts w:ascii="Arial" w:cs="Arial" w:eastAsia="Arial" w:hAnsi="Arial"/>
                <w:sz w:val="13"/>
                <w:szCs w:val="13"/>
                <w:color w:val="auto"/>
              </w:rPr>
              <w:t>25</w:t>
            </w: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300" w:type="dxa"/>
            <w:vAlign w:val="bottom"/>
            <w:tcBorders>
              <w:bottom w:val="single" w:sz="8" w:color="808080"/>
            </w:tcBorders>
          </w:tcPr>
          <w:p>
            <w:pPr>
              <w:spacing w:after="0"/>
              <w:rPr>
                <w:sz w:val="14"/>
                <w:szCs w:val="14"/>
                <w:color w:val="auto"/>
              </w:rPr>
            </w:pPr>
          </w:p>
        </w:tc>
        <w:tc>
          <w:tcPr>
            <w:tcW w:w="4900" w:type="dxa"/>
            <w:vAlign w:val="bottom"/>
            <w:tcBorders>
              <w:bottom w:val="single" w:sz="8" w:color="808080"/>
            </w:tcBorders>
          </w:tcPr>
          <w:p>
            <w:pPr>
              <w:spacing w:after="0"/>
              <w:rPr>
                <w:sz w:val="14"/>
                <w:szCs w:val="14"/>
                <w:color w:val="auto"/>
              </w:rPr>
            </w:pPr>
          </w:p>
        </w:tc>
        <w:tc>
          <w:tcPr>
            <w:tcW w:w="15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162560</wp:posOffset>
            </wp:positionV>
            <wp:extent cx="825500"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5500" cy="6350"/>
                    </a:xfrm>
                    <a:prstGeom prst="rect">
                      <a:avLst/>
                    </a:prstGeom>
                    <a:noFill/>
                  </pic:spPr>
                </pic:pic>
              </a:graphicData>
            </a:graphic>
          </wp:anchor>
        </w:drawing>
      </w:r>
    </w:p>
    <w:p>
      <w:pPr>
        <w:spacing w:after="0" w:line="285" w:lineRule="exact"/>
        <w:rPr>
          <w:sz w:val="20"/>
          <w:szCs w:val="20"/>
          <w:color w:val="auto"/>
        </w:rPr>
      </w:pPr>
    </w:p>
    <w:p>
      <w:pPr>
        <w:ind w:left="900" w:right="900" w:hanging="212"/>
        <w:spacing w:after="0" w:line="276" w:lineRule="auto"/>
        <w:tabs>
          <w:tab w:leader="none" w:pos="9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pricing measures used for these calculations are not the same as “yield” as we present in any of our disclosures, such as the Management’s Discussion and Analysis section of our Forms 10-K and 10-Q or our earnings press releases, and the targeted increases shown in the table should not be construed as a targeted increase in “yield” as discussed in those disclosures.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exceeded the Corporate pricing improvement target and as a result, each of the named executives was eligible to receive his 2009 annual bonus payment.</w:t>
      </w:r>
    </w:p>
    <w:p>
      <w:pPr>
        <w:spacing w:after="0" w:line="102" w:lineRule="exact"/>
        <w:rPr>
          <w:sz w:val="20"/>
          <w:szCs w:val="20"/>
          <w:color w:val="auto"/>
        </w:rPr>
      </w:pPr>
    </w:p>
    <w:p>
      <w:pPr>
        <w:ind w:left="680" w:right="820" w:firstLine="399"/>
        <w:spacing w:after="0" w:line="283" w:lineRule="auto"/>
        <w:rPr>
          <w:sz w:val="20"/>
          <w:szCs w:val="20"/>
          <w:color w:val="auto"/>
        </w:rPr>
      </w:pPr>
      <w:r>
        <w:rPr>
          <w:rFonts w:ascii="Arial" w:cs="Arial" w:eastAsia="Arial" w:hAnsi="Arial"/>
          <w:sz w:val="12"/>
          <w:szCs w:val="12"/>
          <w:color w:val="auto"/>
        </w:rPr>
        <w:t>In determining whether Company financial performance measures have been met, the Compensation Committee has discretion to make adjustments to the calculations for unusual, non-recurring or otherwise non-operational matters that it believes do not accurately reflect true results of operations expected from management for bonus purposes. In 2009, actual results were adjusted to exclude the effects of (i) charges related to our restructuring announced in the first quarter of 2009; (ii) an increase in net income caused by the accounting effect of an increase in long-term interest rates, which are used to calculate the present value of our remediation liabilities at our landfills; (iii) charges related to our withdrawal from union sponsored multi-employer pension plans; and (iv) a non-cash charge to fully impair a landfill in California. The Compensation Committee deemed these adjustments appropriate for several reasons. The Company’s restructuring and withdrawal from the pension plans were actions that the Compensation Committee believes are in the best long-term interest of the Company, as we have been able to operate more efficiently, achieve cost-savings and avoid potentially significant pension liabilities in the future. The restructuring reduced our cost structure and provided better visibility and alignment to our area operations. We reduced the number of market areas from 45 to 25, and streamlined various roles and processes. We believe this improved management visibility and efficiency will provide additional short- and long-term benefits. As a result, the Compensation Committee determined that our named executives should not be penalized by the effects of these actions. The non-cash landfill impairment charge resulted from the Company’s decision to discontinue operations at the site and permanently close the site on an accelerated basis. Although the total costs expected to close the landfill did not increase as a result of this revised closure plan, the present value of these total costs (and our recorded obligations) increased as a result of the accelerated timeline. The Compensation Committee determined that this non-cash charge should be excluded from the Company’s financial results for purposes of measuring our financial performance because (i) the current year management decision that the site was no longer commercially viable is expected to benefit the Company’s overall long-term results; and (ii) the charge was generally related to accounting impacts associated with estimating the present value of the site’s closure costs. Further, because the increase in net income caused by the increase in long-term interest rates was the result of accounting principles as opposed to actual operating results, the Compensation Committee determined its effects should also not be considered when calculating the achievement of targets. The Compensation Committee’s policy generally is for financial results to speak for themselves and determine incentive compensation for our named executives on objective bases. However, not adjusting for certain items, like those discussed herein, could have the effect of incentivizing these individuals to not take actions that are necessary for the longer-term good of the Company in order to meet short-term goals.</w:t>
      </w:r>
    </w:p>
    <w:p>
      <w:pPr>
        <w:spacing w:after="0" w:line="225" w:lineRule="exact"/>
        <w:rPr>
          <w:sz w:val="20"/>
          <w:szCs w:val="20"/>
          <w:color w:val="auto"/>
        </w:rPr>
      </w:pPr>
    </w:p>
    <w:p>
      <w:pPr>
        <w:ind w:left="680" w:right="1220" w:firstLine="399"/>
        <w:spacing w:after="0" w:line="294" w:lineRule="auto"/>
        <w:rPr>
          <w:sz w:val="20"/>
          <w:szCs w:val="20"/>
          <w:color w:val="auto"/>
        </w:rPr>
      </w:pPr>
      <w:r>
        <w:rPr>
          <w:rFonts w:ascii="Arial" w:cs="Arial" w:eastAsia="Arial" w:hAnsi="Arial"/>
          <w:sz w:val="13"/>
          <w:szCs w:val="13"/>
          <w:color w:val="auto"/>
        </w:rPr>
        <w:t>As adjusted for the items noted above, the Company’s income from operations as a percentage of revenue was 16.4% and income from operations, net of depreciation and amortization, was $3,104 million for 2009, which resulted in the following payouts, as a percentage of base salaries, for our named executive officers: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80" w:type="dxa"/>
            <w:vAlign w:val="bottom"/>
          </w:tcPr>
          <w:p>
            <w:pPr>
              <w:spacing w:after="0"/>
              <w:rPr>
                <w:sz w:val="10"/>
                <w:szCs w:val="10"/>
                <w:color w:val="auto"/>
              </w:rPr>
            </w:pPr>
          </w:p>
        </w:tc>
        <w:tc>
          <w:tcPr>
            <w:tcW w:w="30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Named Executive Officer</w:t>
            </w:r>
          </w:p>
        </w:tc>
        <w:tc>
          <w:tcPr>
            <w:tcW w:w="2860" w:type="dxa"/>
            <w:vAlign w:val="bottom"/>
          </w:tcPr>
          <w:p>
            <w:pPr>
              <w:spacing w:after="0"/>
              <w:rPr>
                <w:sz w:val="10"/>
                <w:szCs w:val="10"/>
                <w:color w:val="auto"/>
              </w:rPr>
            </w:pPr>
          </w:p>
        </w:tc>
        <w:tc>
          <w:tcPr>
            <w:tcW w:w="1340" w:type="dxa"/>
            <w:vAlign w:val="bottom"/>
          </w:tcPr>
          <w:p>
            <w:pPr>
              <w:jc w:val="center"/>
              <w:ind w:left="226"/>
              <w:spacing w:after="0"/>
              <w:rPr>
                <w:sz w:val="20"/>
                <w:szCs w:val="20"/>
                <w:color w:val="auto"/>
              </w:rPr>
            </w:pPr>
            <w:r>
              <w:rPr>
                <w:rFonts w:ascii="Arial" w:cs="Arial" w:eastAsia="Arial" w:hAnsi="Arial"/>
                <w:sz w:val="11"/>
                <w:szCs w:val="11"/>
                <w:b w:val="1"/>
                <w:bCs w:val="1"/>
                <w:color w:val="auto"/>
                <w:w w:val="85"/>
              </w:rPr>
              <w:t>Target Percentage of</w:t>
            </w: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6"/>
              </w:rPr>
              <w:t>Percentage of Base Salary</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3040" w:type="dxa"/>
            <w:vAlign w:val="bottom"/>
            <w:gridSpan w:val="2"/>
            <w:vMerge w:val="continue"/>
          </w:tcPr>
          <w:p>
            <w:pPr>
              <w:spacing w:after="0"/>
              <w:rPr>
                <w:sz w:val="11"/>
                <w:szCs w:val="11"/>
                <w:color w:val="auto"/>
              </w:rPr>
            </w:pPr>
          </w:p>
        </w:tc>
        <w:tc>
          <w:tcPr>
            <w:tcW w:w="2860" w:type="dxa"/>
            <w:vAlign w:val="bottom"/>
          </w:tcPr>
          <w:p>
            <w:pPr>
              <w:spacing w:after="0"/>
              <w:rPr>
                <w:sz w:val="11"/>
                <w:szCs w:val="11"/>
                <w:color w:val="auto"/>
              </w:rPr>
            </w:pPr>
          </w:p>
        </w:tc>
        <w:tc>
          <w:tcPr>
            <w:tcW w:w="1340" w:type="dxa"/>
            <w:vAlign w:val="bottom"/>
          </w:tcPr>
          <w:p>
            <w:pPr>
              <w:jc w:val="center"/>
              <w:ind w:left="226"/>
              <w:spacing w:after="0"/>
              <w:rPr>
                <w:sz w:val="20"/>
                <w:szCs w:val="20"/>
                <w:color w:val="auto"/>
              </w:rPr>
            </w:pPr>
            <w:r>
              <w:rPr>
                <w:rFonts w:ascii="Arial" w:cs="Arial" w:eastAsia="Arial" w:hAnsi="Arial"/>
                <w:sz w:val="11"/>
                <w:szCs w:val="11"/>
                <w:b w:val="1"/>
                <w:bCs w:val="1"/>
                <w:color w:val="auto"/>
                <w:w w:val="86"/>
              </w:rPr>
              <w:t>Base Salary</w:t>
            </w: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8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0"/>
              </w:rPr>
              <w:t>Earned in 2009</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68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9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34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0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80" w:type="dxa"/>
            <w:vAlign w:val="bottom"/>
          </w:tcPr>
          <w:p>
            <w:pPr>
              <w:spacing w:after="0"/>
              <w:rPr>
                <w:sz w:val="14"/>
                <w:szCs w:val="14"/>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Mr. Steiner</w:t>
            </w:r>
          </w:p>
        </w:tc>
        <w:tc>
          <w:tcPr>
            <w:tcW w:w="28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115</w:t>
            </w:r>
          </w:p>
        </w:tc>
        <w:tc>
          <w:tcPr>
            <w:tcW w:w="20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96.4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040" w:type="dxa"/>
            <w:vAlign w:val="bottom"/>
            <w:gridSpan w:val="2"/>
          </w:tcPr>
          <w:p>
            <w:pPr>
              <w:spacing w:after="0"/>
              <w:rPr>
                <w:sz w:val="20"/>
                <w:szCs w:val="20"/>
                <w:color w:val="auto"/>
              </w:rPr>
            </w:pPr>
            <w:r>
              <w:rPr>
                <w:rFonts w:ascii="Arial" w:cs="Arial" w:eastAsia="Arial" w:hAnsi="Arial"/>
                <w:sz w:val="13"/>
                <w:szCs w:val="13"/>
                <w:color w:val="auto"/>
              </w:rPr>
              <w:t>Mr. O’Donnell</w:t>
            </w:r>
          </w:p>
        </w:tc>
        <w:tc>
          <w:tcPr>
            <w:tcW w:w="2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60" w:type="dxa"/>
            <w:vAlign w:val="bottom"/>
            <w:gridSpan w:val="2"/>
          </w:tcPr>
          <w:p>
            <w:pPr>
              <w:jc w:val="right"/>
              <w:ind w:right="400"/>
              <w:spacing w:after="0"/>
              <w:rPr>
                <w:sz w:val="20"/>
                <w:szCs w:val="20"/>
                <w:color w:val="auto"/>
              </w:rPr>
            </w:pPr>
            <w:r>
              <w:rPr>
                <w:rFonts w:ascii="Arial" w:cs="Arial" w:eastAsia="Arial" w:hAnsi="Arial"/>
                <w:sz w:val="13"/>
                <w:szCs w:val="13"/>
                <w:color w:val="auto"/>
              </w:rPr>
              <w:t>100</w:t>
            </w:r>
          </w:p>
        </w:tc>
        <w:tc>
          <w:tcPr>
            <w:tcW w:w="2080" w:type="dxa"/>
            <w:vAlign w:val="bottom"/>
            <w:gridSpan w:val="2"/>
          </w:tcPr>
          <w:p>
            <w:pPr>
              <w:jc w:val="right"/>
              <w:ind w:right="80"/>
              <w:spacing w:after="0"/>
              <w:rPr>
                <w:sz w:val="20"/>
                <w:szCs w:val="20"/>
                <w:color w:val="auto"/>
              </w:rPr>
            </w:pPr>
            <w:r>
              <w:rPr>
                <w:rFonts w:ascii="Arial" w:cs="Arial" w:eastAsia="Arial" w:hAnsi="Arial"/>
                <w:sz w:val="13"/>
                <w:szCs w:val="13"/>
                <w:color w:val="auto"/>
              </w:rPr>
              <w:t>83.8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Mr. Simpson</w:t>
            </w:r>
          </w:p>
        </w:tc>
        <w:tc>
          <w:tcPr>
            <w:tcW w:w="28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85</w:t>
            </w:r>
          </w:p>
        </w:tc>
        <w:tc>
          <w:tcPr>
            <w:tcW w:w="20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71.2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040" w:type="dxa"/>
            <w:vAlign w:val="bottom"/>
            <w:gridSpan w:val="2"/>
          </w:tcPr>
          <w:p>
            <w:pPr>
              <w:spacing w:after="0"/>
              <w:rPr>
                <w:sz w:val="20"/>
                <w:szCs w:val="20"/>
                <w:color w:val="auto"/>
              </w:rPr>
            </w:pPr>
            <w:r>
              <w:rPr>
                <w:rFonts w:ascii="Arial" w:cs="Arial" w:eastAsia="Arial" w:hAnsi="Arial"/>
                <w:sz w:val="13"/>
                <w:szCs w:val="13"/>
                <w:color w:val="auto"/>
              </w:rPr>
              <w:t>Mr. Trevathan</w:t>
            </w:r>
          </w:p>
        </w:tc>
        <w:tc>
          <w:tcPr>
            <w:tcW w:w="2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60" w:type="dxa"/>
            <w:vAlign w:val="bottom"/>
            <w:gridSpan w:val="2"/>
          </w:tcPr>
          <w:p>
            <w:pPr>
              <w:jc w:val="right"/>
              <w:ind w:right="400"/>
              <w:spacing w:after="0"/>
              <w:rPr>
                <w:sz w:val="20"/>
                <w:szCs w:val="20"/>
                <w:color w:val="auto"/>
              </w:rPr>
            </w:pPr>
            <w:r>
              <w:rPr>
                <w:rFonts w:ascii="Arial" w:cs="Arial" w:eastAsia="Arial" w:hAnsi="Arial"/>
                <w:sz w:val="13"/>
                <w:szCs w:val="13"/>
                <w:color w:val="auto"/>
              </w:rPr>
              <w:t>85</w:t>
            </w:r>
          </w:p>
        </w:tc>
        <w:tc>
          <w:tcPr>
            <w:tcW w:w="2080" w:type="dxa"/>
            <w:vAlign w:val="bottom"/>
            <w:gridSpan w:val="2"/>
          </w:tcPr>
          <w:p>
            <w:pPr>
              <w:jc w:val="right"/>
              <w:ind w:right="80"/>
              <w:spacing w:after="0"/>
              <w:rPr>
                <w:sz w:val="20"/>
                <w:szCs w:val="20"/>
                <w:color w:val="auto"/>
              </w:rPr>
            </w:pPr>
            <w:r>
              <w:rPr>
                <w:rFonts w:ascii="Arial" w:cs="Arial" w:eastAsia="Arial" w:hAnsi="Arial"/>
                <w:sz w:val="13"/>
                <w:szCs w:val="13"/>
                <w:color w:val="auto"/>
              </w:rPr>
              <w:t>71.2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Mr. Woods</w:t>
            </w:r>
          </w:p>
        </w:tc>
        <w:tc>
          <w:tcPr>
            <w:tcW w:w="28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85</w:t>
            </w:r>
          </w:p>
        </w:tc>
        <w:tc>
          <w:tcPr>
            <w:tcW w:w="20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71.2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860" w:type="dxa"/>
            <w:vAlign w:val="bottom"/>
          </w:tcPr>
          <w:p>
            <w:pPr>
              <w:jc w:val="right"/>
              <w:ind w:right="773"/>
              <w:spacing w:after="0"/>
              <w:rPr>
                <w:sz w:val="20"/>
                <w:szCs w:val="20"/>
                <w:color w:val="auto"/>
              </w:rPr>
            </w:pPr>
            <w:r>
              <w:rPr>
                <w:rFonts w:ascii="Arial" w:cs="Arial" w:eastAsia="Arial" w:hAnsi="Arial"/>
                <w:sz w:val="13"/>
                <w:szCs w:val="13"/>
                <w:color w:val="auto"/>
              </w:rPr>
              <w:t>26</w:t>
            </w: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980" w:type="dxa"/>
            <w:vAlign w:val="bottom"/>
            <w:tcBorders>
              <w:bottom w:val="single" w:sz="8" w:color="808080"/>
            </w:tcBorders>
          </w:tcPr>
          <w:p>
            <w:pPr>
              <w:spacing w:after="0"/>
              <w:rPr>
                <w:sz w:val="14"/>
                <w:szCs w:val="14"/>
                <w:color w:val="auto"/>
              </w:rPr>
            </w:pPr>
          </w:p>
        </w:tc>
        <w:tc>
          <w:tcPr>
            <w:tcW w:w="2860" w:type="dxa"/>
            <w:vAlign w:val="bottom"/>
            <w:tcBorders>
              <w:bottom w:val="single" w:sz="8" w:color="808080"/>
            </w:tcBorders>
          </w:tcPr>
          <w:p>
            <w:pPr>
              <w:spacing w:after="0"/>
              <w:rPr>
                <w:sz w:val="14"/>
                <w:szCs w:val="14"/>
                <w:color w:val="auto"/>
              </w:rPr>
            </w:pPr>
          </w:p>
        </w:tc>
        <w:tc>
          <w:tcPr>
            <w:tcW w:w="134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20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820" w:firstLine="399"/>
        <w:spacing w:after="0" w:line="290" w:lineRule="auto"/>
        <w:rPr>
          <w:sz w:val="20"/>
          <w:szCs w:val="20"/>
          <w:color w:val="auto"/>
        </w:rPr>
      </w:pPr>
      <w:r>
        <w:rPr>
          <w:rFonts w:ascii="Arial" w:cs="Arial" w:eastAsia="Arial" w:hAnsi="Arial"/>
          <w:sz w:val="12"/>
          <w:szCs w:val="12"/>
          <w:color w:val="auto"/>
        </w:rPr>
        <w:t>The Company’s restructuring was completed in 2009 and we believe the operational and organizational changes that were necessary have been fully integrated into the Company. As a result, the Compensation Committee believes using field-based results of operations for target measures of field-based employees in 2010 is appropriate. Additionally, in setting target measures and determining whether targets have been achieved, the results of Wheelabrator or recycling operations located in a geographic Group will be included in that Group’s financial results for incentive compensation purposes. We believe using field-based measures is appropriate because it ties our field-based named executive officers’ compensation directly to the success or failure of operations over which they have direct control. Including our Wheelabrator and recycling operations in our geographic Groups for incentive compensation of our named executive officers furthers our strategy of fully integrating our operations for full-service waste management solutions and maximizes results across all lines of our business. This is one of the ways in which our Compensation Committee adjusts our practices periodically to ensure that our programs will have their desired effects.</w:t>
      </w:r>
    </w:p>
    <w:p>
      <w:pPr>
        <w:spacing w:after="0" w:line="52" w:lineRule="exact"/>
        <w:rPr>
          <w:sz w:val="20"/>
          <w:szCs w:val="20"/>
          <w:color w:val="auto"/>
        </w:rPr>
      </w:pPr>
    </w:p>
    <w:p>
      <w:pPr>
        <w:ind w:left="680" w:right="820" w:firstLine="399"/>
        <w:spacing w:after="0" w:line="262" w:lineRule="auto"/>
        <w:rPr>
          <w:sz w:val="20"/>
          <w:szCs w:val="20"/>
          <w:color w:val="auto"/>
        </w:rPr>
      </w:pPr>
      <w:r>
        <w:rPr>
          <w:rFonts w:ascii="Arial" w:cs="Arial" w:eastAsia="Arial" w:hAnsi="Arial"/>
          <w:sz w:val="13"/>
          <w:szCs w:val="13"/>
          <w:i w:val="1"/>
          <w:iCs w:val="1"/>
          <w:color w:val="auto"/>
        </w:rPr>
        <w:t xml:space="preserve">Long-Term Equity Incentives </w:t>
      </w:r>
      <w:r>
        <w:rPr>
          <w:rFonts w:ascii="Arial" w:cs="Arial" w:eastAsia="Arial" w:hAnsi="Arial"/>
          <w:sz w:val="13"/>
          <w:szCs w:val="13"/>
          <w:color w:val="auto"/>
        </w:rPr>
        <w:t>— Long-term equity incentives are a key component of our named executive officers’ compensation packages. Our equity awards are designed to</w:t>
      </w:r>
      <w:r>
        <w:rPr>
          <w:rFonts w:ascii="Arial" w:cs="Arial" w:eastAsia="Arial" w:hAnsi="Arial"/>
          <w:sz w:val="13"/>
          <w:szCs w:val="13"/>
          <w:i w:val="1"/>
          <w:iCs w:val="1"/>
          <w:color w:val="auto"/>
        </w:rPr>
        <w:t xml:space="preserve"> </w:t>
      </w:r>
      <w:r>
        <w:rPr>
          <w:rFonts w:ascii="Arial" w:cs="Arial" w:eastAsia="Arial" w:hAnsi="Arial"/>
          <w:sz w:val="13"/>
          <w:szCs w:val="13"/>
          <w:color w:val="auto"/>
        </w:rPr>
        <w:t>hold individuals accountable for long-term decisions by only rewarding the success of those decisions. The Compensation Committee continuously evaluates the components of its programs. In determining which forms of equity compensation are appropriate, the Compensation Committee considers whether the awards granted are achieving their purpose; the competitive market; and accounting, tax or other regulatory issues, among others. In determining the appropriate awards for the named executives’ 2009 long-term incentive grant, the Compensation Committee discussed granting stock options as a means to maximize the link between the value for the individual and the value created for our stockholders. Based on several factors, including the then current economic environment that could have given rise to questions regarding the timing of the stock option grants, the Compensation Committee decided to continue granting only performance share units to the named executive officers for 2009. However, in its discussions relating to 2010 equity compensation, the Compensation Committee decided to grant both performance share units and stock options to its named executive officers. The Compensation Committee determined that equally dividing the awards between performance share units that use ROIC to focus on improved asset utilization and stock options that focus on increasing the market value of our stock would appropriately incentivize our named executives.</w:t>
      </w:r>
    </w:p>
    <w:p>
      <w:pPr>
        <w:spacing w:after="0" w:line="71" w:lineRule="exact"/>
        <w:rPr>
          <w:sz w:val="20"/>
          <w:szCs w:val="20"/>
          <w:color w:val="auto"/>
        </w:rPr>
      </w:pPr>
    </w:p>
    <w:p>
      <w:pPr>
        <w:ind w:left="680" w:right="800" w:firstLine="399"/>
        <w:spacing w:after="0" w:line="309" w:lineRule="auto"/>
        <w:rPr>
          <w:sz w:val="20"/>
          <w:szCs w:val="20"/>
          <w:color w:val="auto"/>
        </w:rPr>
      </w:pPr>
      <w:r>
        <w:rPr>
          <w:rFonts w:ascii="Arial" w:cs="Arial" w:eastAsia="Arial" w:hAnsi="Arial"/>
          <w:sz w:val="12"/>
          <w:szCs w:val="12"/>
          <w:i w:val="1"/>
          <w:iCs w:val="1"/>
          <w:u w:val="single" w:color="auto"/>
          <w:color w:val="auto"/>
        </w:rPr>
        <w:t>Performance Share Units</w:t>
      </w:r>
      <w:r>
        <w:rPr>
          <w:rFonts w:ascii="Arial" w:cs="Arial" w:eastAsia="Arial" w:hAnsi="Arial"/>
          <w:sz w:val="12"/>
          <w:szCs w:val="12"/>
          <w:i w:val="1"/>
          <w:iCs w:val="1"/>
          <w:color w:val="auto"/>
        </w:rPr>
        <w:t xml:space="preserve"> </w:t>
      </w:r>
      <w:r>
        <w:rPr>
          <w:rFonts w:ascii="Arial" w:cs="Arial" w:eastAsia="Arial" w:hAnsi="Arial"/>
          <w:sz w:val="12"/>
          <w:szCs w:val="12"/>
          <w:color w:val="auto"/>
        </w:rPr>
        <w:t>— Performance share units are granted to our named executive officers annually to build stock ownership and align compensation with the achievement</w:t>
      </w:r>
      <w:r>
        <w:rPr>
          <w:rFonts w:ascii="Arial" w:cs="Arial" w:eastAsia="Arial" w:hAnsi="Arial"/>
          <w:sz w:val="12"/>
          <w:szCs w:val="12"/>
          <w:i w:val="1"/>
          <w:iCs w:val="1"/>
          <w:color w:val="auto"/>
        </w:rPr>
        <w:t xml:space="preserve"> </w:t>
      </w:r>
      <w:r>
        <w:rPr>
          <w:rFonts w:ascii="Arial" w:cs="Arial" w:eastAsia="Arial" w:hAnsi="Arial"/>
          <w:sz w:val="12"/>
          <w:szCs w:val="12"/>
          <w:color w:val="auto"/>
        </w:rPr>
        <w:t>of our long-term financial goals. Performance share units provide an immediate retention value to the Company since there is unvested potential value at the date of grant. Each annual grant of performance share units has a three-year performance period, and would be forfeited if the executive were to voluntarily terminate his employment.</w:t>
      </w:r>
    </w:p>
    <w:p>
      <w:pPr>
        <w:spacing w:after="0" w:line="41" w:lineRule="exact"/>
        <w:rPr>
          <w:sz w:val="20"/>
          <w:szCs w:val="20"/>
          <w:color w:val="auto"/>
        </w:rPr>
      </w:pPr>
    </w:p>
    <w:p>
      <w:pPr>
        <w:ind w:left="680" w:right="860" w:firstLine="399"/>
        <w:spacing w:after="0" w:line="292" w:lineRule="auto"/>
        <w:rPr>
          <w:sz w:val="20"/>
          <w:szCs w:val="20"/>
          <w:color w:val="auto"/>
        </w:rPr>
      </w:pPr>
      <w:r>
        <w:rPr>
          <w:rFonts w:ascii="Arial" w:cs="Arial" w:eastAsia="Arial" w:hAnsi="Arial"/>
          <w:sz w:val="12"/>
          <w:szCs w:val="12"/>
          <w:color w:val="auto"/>
        </w:rPr>
        <w:t>The Compensation Committee determined the number of units that were granted to each of the named executives in 2009 by establishing a targeted dollar amount value for the award. The values chosen were based primarily on the comparison information for the competitive market, including an analysis of the named executives’ responsibility for meeting the Company’s strategic objectives. The values also reflect the Compensation Committee’s desired total mix of compensation for each named executive, which includes approximately 50% of total compensation relating to long-term equity although the percentage for Mr. Steiner is closer to 65%. Once dollar values of targeted awards were set, those values were divided by the average of the high and low over the 30 trading days preceding the Compensation Committee meeting at which the grants were approved to determine the target number of performance share units granted. The dollar value of the awards and corresponding number of performance share units are shown in the table below:</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80" w:type="dxa"/>
            <w:vAlign w:val="bottom"/>
          </w:tcPr>
          <w:p>
            <w:pPr>
              <w:spacing w:after="0"/>
              <w:rPr>
                <w:sz w:val="10"/>
                <w:szCs w:val="10"/>
                <w:color w:val="auto"/>
              </w:rPr>
            </w:pPr>
          </w:p>
        </w:tc>
        <w:tc>
          <w:tcPr>
            <w:tcW w:w="3040" w:type="dxa"/>
            <w:vAlign w:val="bottom"/>
            <w:vMerge w:val="restart"/>
          </w:tcPr>
          <w:p>
            <w:pPr>
              <w:spacing w:after="0"/>
              <w:rPr>
                <w:sz w:val="20"/>
                <w:szCs w:val="20"/>
                <w:color w:val="auto"/>
              </w:rPr>
            </w:pPr>
            <w:r>
              <w:rPr>
                <w:rFonts w:ascii="Arial" w:cs="Arial" w:eastAsia="Arial" w:hAnsi="Arial"/>
                <w:sz w:val="11"/>
                <w:szCs w:val="11"/>
                <w:b w:val="1"/>
                <w:bCs w:val="1"/>
                <w:u w:val="single" w:color="auto"/>
                <w:color w:val="auto"/>
              </w:rPr>
              <w:t>N</w:t>
            </w:r>
            <w:r>
              <w:rPr>
                <w:rFonts w:ascii="Arial" w:cs="Arial" w:eastAsia="Arial" w:hAnsi="Arial"/>
                <w:sz w:val="11"/>
                <w:szCs w:val="11"/>
                <w:b w:val="1"/>
                <w:bCs w:val="1"/>
                <w:color w:val="auto"/>
              </w:rPr>
              <w:t>amed Executive Officer</w:t>
            </w:r>
          </w:p>
        </w:tc>
        <w:tc>
          <w:tcPr>
            <w:tcW w:w="19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80" w:type="dxa"/>
            <w:vAlign w:val="bottom"/>
            <w:gridSpan w:val="2"/>
          </w:tcPr>
          <w:p>
            <w:pPr>
              <w:jc w:val="right"/>
              <w:ind w:right="1380"/>
              <w:spacing w:after="0"/>
              <w:rPr>
                <w:sz w:val="20"/>
                <w:szCs w:val="20"/>
                <w:color w:val="auto"/>
              </w:rPr>
            </w:pPr>
            <w:r>
              <w:rPr>
                <w:rFonts w:ascii="Arial" w:cs="Arial" w:eastAsia="Arial" w:hAnsi="Arial"/>
                <w:sz w:val="11"/>
                <w:szCs w:val="11"/>
                <w:b w:val="1"/>
                <w:bCs w:val="1"/>
                <w:color w:val="auto"/>
              </w:rPr>
              <w:t>Dollar Values</w:t>
            </w:r>
          </w:p>
        </w:tc>
        <w:tc>
          <w:tcPr>
            <w:tcW w:w="198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89"/>
              </w:rPr>
              <w:t>Number of Performance</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3040" w:type="dxa"/>
            <w:vAlign w:val="bottom"/>
            <w:vMerge w:val="continue"/>
          </w:tcPr>
          <w:p>
            <w:pPr>
              <w:spacing w:after="0"/>
              <w:rPr>
                <w:sz w:val="11"/>
                <w:szCs w:val="11"/>
                <w:color w:val="auto"/>
              </w:rPr>
            </w:pPr>
          </w:p>
        </w:tc>
        <w:tc>
          <w:tcPr>
            <w:tcW w:w="19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80" w:type="dxa"/>
            <w:vAlign w:val="bottom"/>
            <w:gridSpan w:val="2"/>
          </w:tcPr>
          <w:p>
            <w:pPr>
              <w:jc w:val="right"/>
              <w:ind w:right="940"/>
              <w:spacing w:after="0"/>
              <w:rPr>
                <w:sz w:val="20"/>
                <w:szCs w:val="20"/>
                <w:color w:val="auto"/>
              </w:rPr>
            </w:pPr>
            <w:r>
              <w:rPr>
                <w:rFonts w:ascii="Arial" w:cs="Arial" w:eastAsia="Arial" w:hAnsi="Arial"/>
                <w:sz w:val="11"/>
                <w:szCs w:val="11"/>
                <w:b w:val="1"/>
                <w:bCs w:val="1"/>
                <w:color w:val="auto"/>
              </w:rPr>
              <w:t>Set by the Committee (at Target)</w:t>
            </w:r>
          </w:p>
        </w:tc>
        <w:tc>
          <w:tcPr>
            <w:tcW w:w="19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8"/>
              </w:rPr>
              <w:t>Share Units</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68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2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9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80" w:type="dxa"/>
            <w:vAlign w:val="bottom"/>
          </w:tcPr>
          <w:p>
            <w:pPr>
              <w:spacing w:after="0"/>
              <w:rPr>
                <w:sz w:val="14"/>
                <w:szCs w:val="14"/>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3"/>
                <w:szCs w:val="13"/>
                <w:color w:val="auto"/>
              </w:rPr>
              <w:t>Mr. Steiner</w:t>
            </w:r>
          </w:p>
        </w:tc>
        <w:tc>
          <w:tcPr>
            <w:tcW w:w="22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6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4,200,769</w:t>
            </w:r>
          </w:p>
        </w:tc>
        <w:tc>
          <w:tcPr>
            <w:tcW w:w="19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135,509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040" w:type="dxa"/>
            <w:vAlign w:val="bottom"/>
          </w:tcPr>
          <w:p>
            <w:pPr>
              <w:spacing w:after="0"/>
              <w:rPr>
                <w:sz w:val="20"/>
                <w:szCs w:val="20"/>
                <w:color w:val="auto"/>
              </w:rPr>
            </w:pPr>
            <w:r>
              <w:rPr>
                <w:rFonts w:ascii="Arial" w:cs="Arial" w:eastAsia="Arial" w:hAnsi="Arial"/>
                <w:sz w:val="13"/>
                <w:szCs w:val="13"/>
                <w:color w:val="auto"/>
              </w:rPr>
              <w:t>Mr. O’Donnell</w:t>
            </w:r>
          </w:p>
        </w:tc>
        <w:tc>
          <w:tcPr>
            <w:tcW w:w="2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80" w:type="dxa"/>
            <w:vAlign w:val="bottom"/>
            <w:gridSpan w:val="2"/>
          </w:tcPr>
          <w:p>
            <w:pPr>
              <w:jc w:val="right"/>
              <w:ind w:right="400"/>
              <w:spacing w:after="0"/>
              <w:rPr>
                <w:sz w:val="20"/>
                <w:szCs w:val="20"/>
                <w:color w:val="auto"/>
              </w:rPr>
            </w:pPr>
            <w:r>
              <w:rPr>
                <w:rFonts w:ascii="Arial" w:cs="Arial" w:eastAsia="Arial" w:hAnsi="Arial"/>
                <w:sz w:val="13"/>
                <w:szCs w:val="13"/>
                <w:color w:val="auto"/>
              </w:rPr>
              <w:t>1,717,483</w:t>
            </w:r>
          </w:p>
        </w:tc>
        <w:tc>
          <w:tcPr>
            <w:tcW w:w="1980" w:type="dxa"/>
            <w:vAlign w:val="bottom"/>
            <w:gridSpan w:val="2"/>
          </w:tcPr>
          <w:p>
            <w:pPr>
              <w:jc w:val="right"/>
              <w:ind w:right="80"/>
              <w:spacing w:after="0"/>
              <w:rPr>
                <w:sz w:val="20"/>
                <w:szCs w:val="20"/>
                <w:color w:val="auto"/>
              </w:rPr>
            </w:pPr>
            <w:r>
              <w:rPr>
                <w:rFonts w:ascii="Arial" w:cs="Arial" w:eastAsia="Arial" w:hAnsi="Arial"/>
                <w:sz w:val="13"/>
                <w:szCs w:val="13"/>
                <w:color w:val="auto"/>
              </w:rPr>
              <w:t>55,403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3"/>
                <w:szCs w:val="13"/>
                <w:color w:val="auto"/>
              </w:rPr>
              <w:t>Mr. Simpson</w:t>
            </w:r>
          </w:p>
        </w:tc>
        <w:tc>
          <w:tcPr>
            <w:tcW w:w="22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6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1,157,360</w:t>
            </w:r>
          </w:p>
        </w:tc>
        <w:tc>
          <w:tcPr>
            <w:tcW w:w="19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37,335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040" w:type="dxa"/>
            <w:vAlign w:val="bottom"/>
          </w:tcPr>
          <w:p>
            <w:pPr>
              <w:spacing w:after="0"/>
              <w:rPr>
                <w:sz w:val="20"/>
                <w:szCs w:val="20"/>
                <w:color w:val="auto"/>
              </w:rPr>
            </w:pPr>
            <w:r>
              <w:rPr>
                <w:rFonts w:ascii="Arial" w:cs="Arial" w:eastAsia="Arial" w:hAnsi="Arial"/>
                <w:sz w:val="13"/>
                <w:szCs w:val="13"/>
                <w:color w:val="auto"/>
              </w:rPr>
              <w:t>Mr. Trevathan</w:t>
            </w:r>
          </w:p>
        </w:tc>
        <w:tc>
          <w:tcPr>
            <w:tcW w:w="2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80" w:type="dxa"/>
            <w:vAlign w:val="bottom"/>
            <w:gridSpan w:val="2"/>
          </w:tcPr>
          <w:p>
            <w:pPr>
              <w:jc w:val="right"/>
              <w:ind w:right="400"/>
              <w:spacing w:after="0"/>
              <w:rPr>
                <w:sz w:val="20"/>
                <w:szCs w:val="20"/>
                <w:color w:val="auto"/>
              </w:rPr>
            </w:pPr>
            <w:r>
              <w:rPr>
                <w:rFonts w:ascii="Arial" w:cs="Arial" w:eastAsia="Arial" w:hAnsi="Arial"/>
                <w:sz w:val="13"/>
                <w:szCs w:val="13"/>
                <w:color w:val="auto"/>
              </w:rPr>
              <w:t>684,130</w:t>
            </w:r>
          </w:p>
        </w:tc>
        <w:tc>
          <w:tcPr>
            <w:tcW w:w="1980" w:type="dxa"/>
            <w:vAlign w:val="bottom"/>
            <w:gridSpan w:val="2"/>
          </w:tcPr>
          <w:p>
            <w:pPr>
              <w:jc w:val="right"/>
              <w:ind w:right="80"/>
              <w:spacing w:after="0"/>
              <w:rPr>
                <w:sz w:val="20"/>
                <w:szCs w:val="20"/>
                <w:color w:val="auto"/>
              </w:rPr>
            </w:pPr>
            <w:r>
              <w:rPr>
                <w:rFonts w:ascii="Arial" w:cs="Arial" w:eastAsia="Arial" w:hAnsi="Arial"/>
                <w:sz w:val="13"/>
                <w:szCs w:val="13"/>
                <w:color w:val="auto"/>
              </w:rPr>
              <w:t>22,069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3"/>
                <w:szCs w:val="13"/>
                <w:color w:val="auto"/>
              </w:rPr>
              <w:t>Mr. Woods</w:t>
            </w:r>
          </w:p>
        </w:tc>
        <w:tc>
          <w:tcPr>
            <w:tcW w:w="22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6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684,130</w:t>
            </w:r>
          </w:p>
        </w:tc>
        <w:tc>
          <w:tcPr>
            <w:tcW w:w="19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22,069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3"/>
        </w:trPr>
        <w:tc>
          <w:tcPr>
            <w:tcW w:w="6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280" w:type="dxa"/>
            <w:vAlign w:val="bottom"/>
            <w:gridSpan w:val="2"/>
          </w:tcPr>
          <w:p>
            <w:pPr>
              <w:jc w:val="right"/>
              <w:ind w:right="260"/>
              <w:spacing w:after="0"/>
              <w:rPr>
                <w:sz w:val="20"/>
                <w:szCs w:val="20"/>
                <w:color w:val="auto"/>
              </w:rPr>
            </w:pPr>
            <w:r>
              <w:rPr>
                <w:rFonts w:ascii="Arial" w:cs="Arial" w:eastAsia="Arial" w:hAnsi="Arial"/>
                <w:sz w:val="13"/>
                <w:szCs w:val="13"/>
                <w:color w:val="auto"/>
              </w:rPr>
              <w:t>27</w:t>
            </w:r>
          </w:p>
        </w:tc>
        <w:tc>
          <w:tcPr>
            <w:tcW w:w="2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3040" w:type="dxa"/>
            <w:vAlign w:val="bottom"/>
            <w:tcBorders>
              <w:bottom w:val="single" w:sz="8" w:color="808080"/>
            </w:tcBorders>
          </w:tcPr>
          <w:p>
            <w:pPr>
              <w:spacing w:after="0"/>
              <w:rPr>
                <w:sz w:val="14"/>
                <w:szCs w:val="14"/>
                <w:color w:val="auto"/>
              </w:rPr>
            </w:pPr>
          </w:p>
        </w:tc>
        <w:tc>
          <w:tcPr>
            <w:tcW w:w="196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22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9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table below shows the required achievement of the performance measures and the corresponding potential payouts under our performance share units granted in 2009:</w:t>
      </w:r>
    </w:p>
    <w:p>
      <w:pPr>
        <w:spacing w:after="0" w:line="118"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3920" w:type="dxa"/>
            <w:vAlign w:val="bottom"/>
          </w:tcPr>
          <w:p>
            <w:pPr>
              <w:spacing w:after="0"/>
              <w:rPr>
                <w:sz w:val="11"/>
                <w:szCs w:val="11"/>
                <w:color w:val="auto"/>
              </w:rPr>
            </w:pPr>
          </w:p>
        </w:tc>
        <w:tc>
          <w:tcPr>
            <w:tcW w:w="1280" w:type="dxa"/>
            <w:vAlign w:val="bottom"/>
            <w:tcBorders>
              <w:bottom w:val="single" w:sz="8" w:color="auto"/>
            </w:tcBorders>
            <w:gridSpan w:val="2"/>
          </w:tcPr>
          <w:p>
            <w:pPr>
              <w:ind w:left="680"/>
              <w:spacing w:after="0"/>
              <w:rPr>
                <w:sz w:val="20"/>
                <w:szCs w:val="20"/>
                <w:color w:val="auto"/>
              </w:rPr>
            </w:pPr>
            <w:r>
              <w:rPr>
                <w:rFonts w:ascii="Arial" w:cs="Arial" w:eastAsia="Arial" w:hAnsi="Arial"/>
                <w:sz w:val="11"/>
                <w:szCs w:val="11"/>
                <w:b w:val="1"/>
                <w:bCs w:val="1"/>
                <w:color w:val="auto"/>
              </w:rPr>
              <w:t>Threshold</w:t>
            </w:r>
          </w:p>
        </w:tc>
        <w:tc>
          <w:tcPr>
            <w:tcW w:w="5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Borders>
              <w:bottom w:val="single" w:sz="8" w:color="auto"/>
            </w:tcBorders>
            <w:gridSpan w:val="2"/>
          </w:tcPr>
          <w:p>
            <w:pPr>
              <w:ind w:left="780"/>
              <w:spacing w:after="0"/>
              <w:rPr>
                <w:sz w:val="20"/>
                <w:szCs w:val="20"/>
                <w:color w:val="auto"/>
              </w:rPr>
            </w:pPr>
            <w:r>
              <w:rPr>
                <w:rFonts w:ascii="Arial" w:cs="Arial" w:eastAsia="Arial" w:hAnsi="Arial"/>
                <w:sz w:val="11"/>
                <w:szCs w:val="11"/>
                <w:b w:val="1"/>
                <w:bCs w:val="1"/>
                <w:color w:val="auto"/>
              </w:rPr>
              <w:t>Target</w:t>
            </w:r>
          </w:p>
        </w:tc>
        <w:tc>
          <w:tcPr>
            <w:tcW w:w="5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Borders>
              <w:bottom w:val="single" w:sz="8" w:color="auto"/>
            </w:tcBorders>
            <w:gridSpan w:val="2"/>
          </w:tcPr>
          <w:p>
            <w:pPr>
              <w:ind w:left="700"/>
              <w:spacing w:after="0"/>
              <w:rPr>
                <w:sz w:val="20"/>
                <w:szCs w:val="20"/>
                <w:color w:val="auto"/>
              </w:rPr>
            </w:pPr>
            <w:r>
              <w:rPr>
                <w:rFonts w:ascii="Arial" w:cs="Arial" w:eastAsia="Arial" w:hAnsi="Arial"/>
                <w:sz w:val="11"/>
                <w:szCs w:val="11"/>
                <w:b w:val="1"/>
                <w:bCs w:val="1"/>
                <w:color w:val="auto"/>
              </w:rPr>
              <w:t>Maximum</w:t>
            </w:r>
          </w:p>
        </w:tc>
        <w:tc>
          <w:tcPr>
            <w:tcW w:w="580" w:type="dxa"/>
            <w:vAlign w:val="bottom"/>
            <w:tcBorders>
              <w:bottom w:val="single" w:sz="8" w:color="auto"/>
            </w:tcBorders>
          </w:tcPr>
          <w:p>
            <w:pPr>
              <w:spacing w:after="0"/>
              <w:rPr>
                <w:sz w:val="11"/>
                <w:szCs w:val="11"/>
                <w:color w:val="auto"/>
              </w:rPr>
            </w:pPr>
          </w:p>
        </w:tc>
      </w:tr>
      <w:tr>
        <w:trPr>
          <w:trHeight w:val="101"/>
        </w:trPr>
        <w:tc>
          <w:tcPr>
            <w:tcW w:w="3920" w:type="dxa"/>
            <w:vAlign w:val="bottom"/>
          </w:tcPr>
          <w:p>
            <w:pPr>
              <w:spacing w:after="0"/>
              <w:rPr>
                <w:sz w:val="8"/>
                <w:szCs w:val="8"/>
                <w:color w:val="auto"/>
              </w:rPr>
            </w:pPr>
          </w:p>
        </w:tc>
        <w:tc>
          <w:tcPr>
            <w:tcW w:w="1020" w:type="dxa"/>
            <w:vAlign w:val="bottom"/>
            <w:tcBorders>
              <w:bottom w:val="single" w:sz="8" w:color="auto"/>
            </w:tcBorders>
          </w:tcPr>
          <w:p>
            <w:pPr>
              <w:jc w:val="right"/>
              <w:ind w:right="142"/>
              <w:spacing w:after="0" w:line="101" w:lineRule="exact"/>
              <w:rPr>
                <w:sz w:val="20"/>
                <w:szCs w:val="20"/>
                <w:color w:val="auto"/>
              </w:rPr>
            </w:pPr>
            <w:r>
              <w:rPr>
                <w:rFonts w:ascii="Arial" w:cs="Arial" w:eastAsia="Arial" w:hAnsi="Arial"/>
                <w:sz w:val="11"/>
                <w:szCs w:val="11"/>
                <w:b w:val="1"/>
                <w:bCs w:val="1"/>
                <w:color w:val="auto"/>
              </w:rPr>
              <w:t>Performance</w:t>
            </w:r>
          </w:p>
        </w:tc>
        <w:tc>
          <w:tcPr>
            <w:tcW w:w="260" w:type="dxa"/>
            <w:vAlign w:val="bottom"/>
          </w:tcPr>
          <w:p>
            <w:pPr>
              <w:spacing w:after="0"/>
              <w:rPr>
                <w:sz w:val="8"/>
                <w:szCs w:val="8"/>
                <w:color w:val="auto"/>
              </w:rPr>
            </w:pPr>
          </w:p>
        </w:tc>
        <w:tc>
          <w:tcPr>
            <w:tcW w:w="520" w:type="dxa"/>
            <w:vAlign w:val="bottom"/>
            <w:tcBorders>
              <w:bottom w:val="single" w:sz="8" w:color="auto"/>
            </w:tcBorders>
          </w:tcPr>
          <w:p>
            <w:pPr>
              <w:jc w:val="right"/>
              <w:ind w:right="20"/>
              <w:spacing w:after="0" w:line="101" w:lineRule="exact"/>
              <w:rPr>
                <w:sz w:val="20"/>
                <w:szCs w:val="20"/>
                <w:color w:val="auto"/>
              </w:rPr>
            </w:pPr>
            <w:r>
              <w:rPr>
                <w:rFonts w:ascii="Arial" w:cs="Arial" w:eastAsia="Arial" w:hAnsi="Arial"/>
                <w:sz w:val="11"/>
                <w:szCs w:val="11"/>
                <w:b w:val="1"/>
                <w:bCs w:val="1"/>
                <w:color w:val="auto"/>
              </w:rPr>
              <w:t>Payout</w:t>
            </w:r>
          </w:p>
        </w:tc>
        <w:tc>
          <w:tcPr>
            <w:tcW w:w="280" w:type="dxa"/>
            <w:vAlign w:val="bottom"/>
          </w:tcPr>
          <w:p>
            <w:pPr>
              <w:spacing w:after="0"/>
              <w:rPr>
                <w:sz w:val="8"/>
                <w:szCs w:val="8"/>
                <w:color w:val="auto"/>
              </w:rPr>
            </w:pPr>
          </w:p>
        </w:tc>
        <w:tc>
          <w:tcPr>
            <w:tcW w:w="1000" w:type="dxa"/>
            <w:vAlign w:val="bottom"/>
            <w:tcBorders>
              <w:bottom w:val="single" w:sz="8" w:color="auto"/>
            </w:tcBorders>
          </w:tcPr>
          <w:p>
            <w:pPr>
              <w:jc w:val="right"/>
              <w:ind w:right="146"/>
              <w:spacing w:after="0" w:line="101" w:lineRule="exact"/>
              <w:rPr>
                <w:sz w:val="20"/>
                <w:szCs w:val="20"/>
                <w:color w:val="auto"/>
              </w:rPr>
            </w:pPr>
            <w:r>
              <w:rPr>
                <w:rFonts w:ascii="Arial" w:cs="Arial" w:eastAsia="Arial" w:hAnsi="Arial"/>
                <w:sz w:val="11"/>
                <w:szCs w:val="11"/>
                <w:b w:val="1"/>
                <w:bCs w:val="1"/>
                <w:color w:val="auto"/>
              </w:rPr>
              <w:t>Performance</w:t>
            </w:r>
          </w:p>
        </w:tc>
        <w:tc>
          <w:tcPr>
            <w:tcW w:w="280" w:type="dxa"/>
            <w:vAlign w:val="bottom"/>
          </w:tcPr>
          <w:p>
            <w:pPr>
              <w:spacing w:after="0"/>
              <w:rPr>
                <w:sz w:val="8"/>
                <w:szCs w:val="8"/>
                <w:color w:val="auto"/>
              </w:rPr>
            </w:pPr>
          </w:p>
        </w:tc>
        <w:tc>
          <w:tcPr>
            <w:tcW w:w="580" w:type="dxa"/>
            <w:vAlign w:val="bottom"/>
            <w:tcBorders>
              <w:bottom w:val="single" w:sz="8" w:color="auto"/>
            </w:tcBorders>
          </w:tcPr>
          <w:p>
            <w:pPr>
              <w:jc w:val="right"/>
              <w:ind w:right="60"/>
              <w:spacing w:after="0" w:line="101" w:lineRule="exact"/>
              <w:rPr>
                <w:sz w:val="20"/>
                <w:szCs w:val="20"/>
                <w:color w:val="auto"/>
              </w:rPr>
            </w:pPr>
            <w:r>
              <w:rPr>
                <w:rFonts w:ascii="Arial" w:cs="Arial" w:eastAsia="Arial" w:hAnsi="Arial"/>
                <w:sz w:val="11"/>
                <w:szCs w:val="11"/>
                <w:b w:val="1"/>
                <w:bCs w:val="1"/>
                <w:color w:val="auto"/>
              </w:rPr>
              <w:t>Payout</w:t>
            </w:r>
          </w:p>
        </w:tc>
        <w:tc>
          <w:tcPr>
            <w:tcW w:w="260" w:type="dxa"/>
            <w:vAlign w:val="bottom"/>
          </w:tcPr>
          <w:p>
            <w:pPr>
              <w:spacing w:after="0"/>
              <w:rPr>
                <w:sz w:val="8"/>
                <w:szCs w:val="8"/>
                <w:color w:val="auto"/>
              </w:rPr>
            </w:pPr>
          </w:p>
        </w:tc>
        <w:tc>
          <w:tcPr>
            <w:tcW w:w="1020" w:type="dxa"/>
            <w:vAlign w:val="bottom"/>
            <w:tcBorders>
              <w:bottom w:val="single" w:sz="8" w:color="auto"/>
            </w:tcBorders>
          </w:tcPr>
          <w:p>
            <w:pPr>
              <w:jc w:val="right"/>
              <w:ind w:right="146"/>
              <w:spacing w:after="0" w:line="101" w:lineRule="exact"/>
              <w:rPr>
                <w:sz w:val="20"/>
                <w:szCs w:val="20"/>
                <w:color w:val="auto"/>
              </w:rPr>
            </w:pPr>
            <w:r>
              <w:rPr>
                <w:rFonts w:ascii="Arial" w:cs="Arial" w:eastAsia="Arial" w:hAnsi="Arial"/>
                <w:sz w:val="11"/>
                <w:szCs w:val="11"/>
                <w:b w:val="1"/>
                <w:bCs w:val="1"/>
                <w:color w:val="auto"/>
              </w:rPr>
              <w:t>Performance</w:t>
            </w:r>
          </w:p>
        </w:tc>
        <w:tc>
          <w:tcPr>
            <w:tcW w:w="260" w:type="dxa"/>
            <w:vAlign w:val="bottom"/>
          </w:tcPr>
          <w:p>
            <w:pPr>
              <w:spacing w:after="0"/>
              <w:rPr>
                <w:sz w:val="8"/>
                <w:szCs w:val="8"/>
                <w:color w:val="auto"/>
              </w:rPr>
            </w:pPr>
          </w:p>
        </w:tc>
        <w:tc>
          <w:tcPr>
            <w:tcW w:w="580" w:type="dxa"/>
            <w:vAlign w:val="bottom"/>
            <w:tcBorders>
              <w:bottom w:val="single" w:sz="8" w:color="auto"/>
            </w:tcBorders>
          </w:tcPr>
          <w:p>
            <w:pPr>
              <w:jc w:val="right"/>
              <w:ind w:right="60"/>
              <w:spacing w:after="0" w:line="101" w:lineRule="exact"/>
              <w:rPr>
                <w:sz w:val="20"/>
                <w:szCs w:val="20"/>
                <w:color w:val="auto"/>
              </w:rPr>
            </w:pPr>
            <w:r>
              <w:rPr>
                <w:rFonts w:ascii="Arial" w:cs="Arial" w:eastAsia="Arial" w:hAnsi="Arial"/>
                <w:sz w:val="11"/>
                <w:szCs w:val="11"/>
                <w:b w:val="1"/>
                <w:bCs w:val="1"/>
                <w:color w:val="auto"/>
              </w:rPr>
              <w:t>Payout</w:t>
            </w:r>
          </w:p>
        </w:tc>
      </w:tr>
      <w:tr>
        <w:trPr>
          <w:trHeight w:val="191"/>
        </w:trPr>
        <w:tc>
          <w:tcPr>
            <w:tcW w:w="3920" w:type="dxa"/>
            <w:vAlign w:val="bottom"/>
          </w:tcPr>
          <w:p>
            <w:pPr>
              <w:spacing w:after="0"/>
              <w:rPr>
                <w:sz w:val="20"/>
                <w:szCs w:val="20"/>
                <w:color w:val="auto"/>
              </w:rPr>
            </w:pPr>
            <w:r>
              <w:rPr>
                <w:rFonts w:ascii="Arial" w:cs="Arial" w:eastAsia="Arial" w:hAnsi="Arial"/>
                <w:sz w:val="13"/>
                <w:szCs w:val="13"/>
                <w:b w:val="1"/>
                <w:bCs w:val="1"/>
                <w:color w:val="auto"/>
              </w:rPr>
              <w:t>ROIC</w:t>
            </w:r>
          </w:p>
        </w:tc>
        <w:tc>
          <w:tcPr>
            <w:tcW w:w="1020" w:type="dxa"/>
            <w:vAlign w:val="bottom"/>
          </w:tcPr>
          <w:p>
            <w:pPr>
              <w:jc w:val="right"/>
              <w:ind w:right="222"/>
              <w:spacing w:after="0"/>
              <w:rPr>
                <w:sz w:val="20"/>
                <w:szCs w:val="20"/>
                <w:color w:val="auto"/>
              </w:rPr>
            </w:pPr>
            <w:r>
              <w:rPr>
                <w:rFonts w:ascii="Arial" w:cs="Arial" w:eastAsia="Arial" w:hAnsi="Arial"/>
                <w:sz w:val="13"/>
                <w:szCs w:val="13"/>
                <w:color w:val="auto"/>
              </w:rPr>
              <w:t>15.6%</w:t>
            </w:r>
          </w:p>
        </w:tc>
        <w:tc>
          <w:tcPr>
            <w:tcW w:w="2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60%</w:t>
            </w:r>
          </w:p>
        </w:tc>
        <w:tc>
          <w:tcPr>
            <w:tcW w:w="1280" w:type="dxa"/>
            <w:vAlign w:val="bottom"/>
            <w:gridSpan w:val="2"/>
          </w:tcPr>
          <w:p>
            <w:pPr>
              <w:jc w:val="right"/>
              <w:ind w:right="206"/>
              <w:spacing w:after="0"/>
              <w:rPr>
                <w:sz w:val="20"/>
                <w:szCs w:val="20"/>
                <w:color w:val="auto"/>
              </w:rPr>
            </w:pPr>
            <w:r>
              <w:rPr>
                <w:rFonts w:ascii="Arial" w:cs="Arial" w:eastAsia="Arial" w:hAnsi="Arial"/>
                <w:sz w:val="13"/>
                <w:szCs w:val="13"/>
                <w:color w:val="auto"/>
              </w:rPr>
              <w:t>17.3%</w:t>
            </w:r>
          </w:p>
        </w:tc>
        <w:tc>
          <w:tcPr>
            <w:tcW w:w="280" w:type="dxa"/>
            <w:vAlign w:val="bottom"/>
          </w:tcPr>
          <w:p>
            <w:pPr>
              <w:spacing w:after="0"/>
              <w:rPr>
                <w:sz w:val="16"/>
                <w:szCs w:val="16"/>
                <w:color w:val="auto"/>
              </w:rPr>
            </w:pPr>
          </w:p>
        </w:tc>
        <w:tc>
          <w:tcPr>
            <w:tcW w:w="580" w:type="dxa"/>
            <w:vAlign w:val="bottom"/>
          </w:tcPr>
          <w:p>
            <w:pPr>
              <w:jc w:val="right"/>
              <w:ind w:right="20"/>
              <w:spacing w:after="0"/>
              <w:rPr>
                <w:sz w:val="20"/>
                <w:szCs w:val="20"/>
                <w:color w:val="auto"/>
              </w:rPr>
            </w:pPr>
            <w:r>
              <w:rPr>
                <w:rFonts w:ascii="Arial" w:cs="Arial" w:eastAsia="Arial" w:hAnsi="Arial"/>
                <w:sz w:val="13"/>
                <w:szCs w:val="13"/>
                <w:color w:val="auto"/>
              </w:rPr>
              <w:t>100%</w:t>
            </w:r>
          </w:p>
        </w:tc>
        <w:tc>
          <w:tcPr>
            <w:tcW w:w="1280" w:type="dxa"/>
            <w:vAlign w:val="bottom"/>
            <w:gridSpan w:val="2"/>
          </w:tcPr>
          <w:p>
            <w:pPr>
              <w:jc w:val="right"/>
              <w:ind w:right="226"/>
              <w:spacing w:after="0"/>
              <w:rPr>
                <w:sz w:val="20"/>
                <w:szCs w:val="20"/>
                <w:color w:val="auto"/>
              </w:rPr>
            </w:pPr>
            <w:r>
              <w:rPr>
                <w:rFonts w:ascii="Arial" w:cs="Arial" w:eastAsia="Arial" w:hAnsi="Arial"/>
                <w:sz w:val="13"/>
                <w:szCs w:val="13"/>
                <w:color w:val="auto"/>
              </w:rPr>
              <w:t>20.8%</w:t>
            </w:r>
          </w:p>
        </w:tc>
        <w:tc>
          <w:tcPr>
            <w:tcW w:w="260" w:type="dxa"/>
            <w:vAlign w:val="bottom"/>
          </w:tcPr>
          <w:p>
            <w:pPr>
              <w:spacing w:after="0"/>
              <w:rPr>
                <w:sz w:val="16"/>
                <w:szCs w:val="16"/>
                <w:color w:val="auto"/>
              </w:rPr>
            </w:pPr>
          </w:p>
        </w:tc>
        <w:tc>
          <w:tcPr>
            <w:tcW w:w="580" w:type="dxa"/>
            <w:vAlign w:val="bottom"/>
          </w:tcPr>
          <w:p>
            <w:pPr>
              <w:jc w:val="right"/>
              <w:ind w:right="20"/>
              <w:spacing w:after="0"/>
              <w:rPr>
                <w:sz w:val="20"/>
                <w:szCs w:val="20"/>
                <w:color w:val="auto"/>
              </w:rPr>
            </w:pPr>
            <w:r>
              <w:rPr>
                <w:rFonts w:ascii="Arial" w:cs="Arial" w:eastAsia="Arial" w:hAnsi="Arial"/>
                <w:sz w:val="13"/>
                <w:szCs w:val="13"/>
                <w:color w:val="auto"/>
              </w:rPr>
              <w:t>200%</w:t>
            </w:r>
          </w:p>
        </w:tc>
      </w:tr>
    </w:tbl>
    <w:p>
      <w:pPr>
        <w:spacing w:after="0" w:line="80" w:lineRule="exact"/>
        <w:rPr>
          <w:sz w:val="20"/>
          <w:szCs w:val="20"/>
          <w:color w:val="auto"/>
        </w:rPr>
      </w:pPr>
    </w:p>
    <w:p>
      <w:pPr>
        <w:ind w:left="680" w:firstLine="399"/>
        <w:spacing w:after="0" w:line="267" w:lineRule="auto"/>
        <w:rPr>
          <w:sz w:val="20"/>
          <w:szCs w:val="20"/>
          <w:color w:val="auto"/>
        </w:rPr>
      </w:pPr>
      <w:r>
        <w:rPr>
          <w:rFonts w:ascii="Arial" w:cs="Arial" w:eastAsia="Arial" w:hAnsi="Arial"/>
          <w:sz w:val="13"/>
          <w:szCs w:val="13"/>
          <w:color w:val="auto"/>
        </w:rPr>
        <w:t>The threshold, target and maximum measures are determined based on an analysis of historical performance and current projections and trends. The Compensation Committee uses this analysis and modeling of different scenarios related to items that affect the Company’s performance such as yield, volumes and capital to set the performance measures. As with the consideration of targets for the annual bonus, the Compensation Committee carefully considered several material factors affecting the Company for 2009 and beyond, including the effect of the weak economy in early 2009 and economic indicators for future periods. Given these factors, the Compensation Committee determined that the target for ROIC for the 2009 award should be lower than in the prior year.</w:t>
      </w:r>
    </w:p>
    <w:p>
      <w:pPr>
        <w:spacing w:after="0" w:line="65"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The table below shows the performance measures, the achievement of those measures and the corresponding payouts for the performance share units that have been granted since</w:t>
      </w:r>
    </w:p>
    <w:p>
      <w:pPr>
        <w:spacing w:after="0" w:line="4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2006:</w:t>
      </w:r>
    </w:p>
    <w:p>
      <w:pPr>
        <w:spacing w:after="0" w:line="96"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13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ROIC</w:t>
            </w:r>
          </w:p>
        </w:tc>
        <w:tc>
          <w:tcPr>
            <w:tcW w:w="5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1"/>
                <w:szCs w:val="11"/>
                <w:b w:val="1"/>
                <w:bCs w:val="1"/>
                <w:color w:val="auto"/>
              </w:rPr>
              <w:t>EPS(1)</w:t>
            </w:r>
          </w:p>
        </w:tc>
        <w:tc>
          <w:tcPr>
            <w:tcW w:w="3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300" w:type="dxa"/>
            <w:vAlign w:val="bottom"/>
            <w:gridSpan w:val="2"/>
            <w:vMerge w:val="restart"/>
          </w:tcPr>
          <w:p>
            <w:pPr>
              <w:ind w:left="1240"/>
              <w:spacing w:after="0"/>
              <w:rPr>
                <w:sz w:val="20"/>
                <w:szCs w:val="20"/>
                <w:color w:val="auto"/>
              </w:rPr>
            </w:pPr>
            <w:r>
              <w:rPr>
                <w:rFonts w:ascii="Arial" w:cs="Arial" w:eastAsia="Arial" w:hAnsi="Arial"/>
                <w:sz w:val="11"/>
                <w:szCs w:val="11"/>
                <w:b w:val="1"/>
                <w:bCs w:val="1"/>
                <w:color w:val="auto"/>
              </w:rPr>
              <w:t>Award Earned</w:t>
            </w: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20" w:type="dxa"/>
            <w:vAlign w:val="bottom"/>
            <w:gridSpan w:val="2"/>
          </w:tcPr>
          <w:p>
            <w:pPr>
              <w:jc w:val="right"/>
              <w:ind w:right="480"/>
              <w:spacing w:after="0" w:line="111" w:lineRule="exact"/>
              <w:rPr>
                <w:sz w:val="20"/>
                <w:szCs w:val="20"/>
                <w:color w:val="auto"/>
              </w:rPr>
            </w:pPr>
            <w:r>
              <w:rPr>
                <w:rFonts w:ascii="Arial" w:cs="Arial" w:eastAsia="Arial" w:hAnsi="Arial"/>
                <w:sz w:val="11"/>
                <w:szCs w:val="11"/>
                <w:b w:val="1"/>
                <w:bCs w:val="1"/>
                <w:color w:val="auto"/>
                <w:w w:val="97"/>
              </w:rPr>
              <w:t>Threshold</w:t>
            </w:r>
          </w:p>
        </w:tc>
        <w:tc>
          <w:tcPr>
            <w:tcW w:w="760" w:type="dxa"/>
            <w:vAlign w:val="bottom"/>
            <w:gridSpan w:val="2"/>
          </w:tcPr>
          <w:p>
            <w:pPr>
              <w:ind w:left="20"/>
              <w:spacing w:after="0" w:line="111" w:lineRule="exact"/>
              <w:rPr>
                <w:sz w:val="20"/>
                <w:szCs w:val="20"/>
                <w:color w:val="auto"/>
              </w:rPr>
            </w:pPr>
            <w:r>
              <w:rPr>
                <w:rFonts w:ascii="Arial" w:cs="Arial" w:eastAsia="Arial" w:hAnsi="Arial"/>
                <w:sz w:val="11"/>
                <w:szCs w:val="11"/>
                <w:b w:val="1"/>
                <w:bCs w:val="1"/>
                <w:color w:val="auto"/>
              </w:rPr>
              <w:t>Target</w:t>
            </w:r>
          </w:p>
        </w:tc>
        <w:tc>
          <w:tcPr>
            <w:tcW w:w="580" w:type="dxa"/>
            <w:vAlign w:val="bottom"/>
          </w:tcPr>
          <w:p>
            <w:pPr>
              <w:jc w:val="right"/>
              <w:ind w:right="21"/>
              <w:spacing w:after="0" w:line="111" w:lineRule="exact"/>
              <w:rPr>
                <w:sz w:val="20"/>
                <w:szCs w:val="20"/>
                <w:color w:val="auto"/>
              </w:rPr>
            </w:pPr>
            <w:r>
              <w:rPr>
                <w:rFonts w:ascii="Arial" w:cs="Arial" w:eastAsia="Arial" w:hAnsi="Arial"/>
                <w:sz w:val="11"/>
                <w:szCs w:val="11"/>
                <w:b w:val="1"/>
                <w:bCs w:val="1"/>
                <w:color w:val="auto"/>
              </w:rPr>
              <w:t>Actual(2)</w:t>
            </w:r>
          </w:p>
        </w:tc>
        <w:tc>
          <w:tcPr>
            <w:tcW w:w="380" w:type="dxa"/>
            <w:vAlign w:val="bottom"/>
          </w:tcPr>
          <w:p>
            <w:pPr>
              <w:spacing w:after="0"/>
              <w:rPr>
                <w:sz w:val="9"/>
                <w:szCs w:val="9"/>
                <w:color w:val="auto"/>
              </w:rPr>
            </w:pPr>
          </w:p>
        </w:tc>
        <w:tc>
          <w:tcPr>
            <w:tcW w:w="720" w:type="dxa"/>
            <w:vAlign w:val="bottom"/>
            <w:gridSpan w:val="3"/>
          </w:tcPr>
          <w:p>
            <w:pPr>
              <w:ind w:left="60"/>
              <w:spacing w:after="0" w:line="111" w:lineRule="exact"/>
              <w:rPr>
                <w:sz w:val="20"/>
                <w:szCs w:val="20"/>
                <w:color w:val="auto"/>
              </w:rPr>
            </w:pPr>
            <w:r>
              <w:rPr>
                <w:rFonts w:ascii="Arial" w:cs="Arial" w:eastAsia="Arial" w:hAnsi="Arial"/>
                <w:sz w:val="11"/>
                <w:szCs w:val="11"/>
                <w:b w:val="1"/>
                <w:bCs w:val="1"/>
                <w:color w:val="auto"/>
              </w:rPr>
              <w:t>Threshold</w:t>
            </w:r>
          </w:p>
        </w:tc>
        <w:tc>
          <w:tcPr>
            <w:tcW w:w="260" w:type="dxa"/>
            <w:vAlign w:val="bottom"/>
          </w:tcPr>
          <w:p>
            <w:pPr>
              <w:spacing w:after="0"/>
              <w:rPr>
                <w:sz w:val="9"/>
                <w:szCs w:val="9"/>
                <w:color w:val="auto"/>
              </w:rPr>
            </w:pPr>
          </w:p>
        </w:tc>
        <w:tc>
          <w:tcPr>
            <w:tcW w:w="700" w:type="dxa"/>
            <w:vAlign w:val="bottom"/>
            <w:gridSpan w:val="2"/>
          </w:tcPr>
          <w:p>
            <w:pPr>
              <w:jc w:val="right"/>
              <w:ind w:right="400"/>
              <w:spacing w:after="0" w:line="111" w:lineRule="exact"/>
              <w:rPr>
                <w:sz w:val="20"/>
                <w:szCs w:val="20"/>
                <w:color w:val="auto"/>
              </w:rPr>
            </w:pPr>
            <w:r>
              <w:rPr>
                <w:rFonts w:ascii="Arial" w:cs="Arial" w:eastAsia="Arial" w:hAnsi="Arial"/>
                <w:sz w:val="11"/>
                <w:szCs w:val="11"/>
                <w:b w:val="1"/>
                <w:bCs w:val="1"/>
                <w:color w:val="auto"/>
                <w:w w:val="83"/>
              </w:rPr>
              <w:t>Target</w:t>
            </w:r>
          </w:p>
        </w:tc>
        <w:tc>
          <w:tcPr>
            <w:tcW w:w="300" w:type="dxa"/>
            <w:vAlign w:val="bottom"/>
          </w:tcPr>
          <w:p>
            <w:pPr>
              <w:jc w:val="right"/>
              <w:spacing w:after="0" w:line="111" w:lineRule="exact"/>
              <w:rPr>
                <w:sz w:val="20"/>
                <w:szCs w:val="20"/>
                <w:color w:val="auto"/>
              </w:rPr>
            </w:pPr>
            <w:r>
              <w:rPr>
                <w:rFonts w:ascii="Arial" w:cs="Arial" w:eastAsia="Arial" w:hAnsi="Arial"/>
                <w:sz w:val="11"/>
                <w:szCs w:val="11"/>
                <w:b w:val="1"/>
                <w:bCs w:val="1"/>
                <w:color w:val="auto"/>
                <w:w w:val="83"/>
              </w:rPr>
              <w:t>Actual</w:t>
            </w:r>
          </w:p>
        </w:tc>
        <w:tc>
          <w:tcPr>
            <w:tcW w:w="180" w:type="dxa"/>
            <w:vAlign w:val="bottom"/>
          </w:tcPr>
          <w:p>
            <w:pPr>
              <w:spacing w:after="0"/>
              <w:rPr>
                <w:sz w:val="9"/>
                <w:szCs w:val="9"/>
                <w:color w:val="auto"/>
              </w:rPr>
            </w:pPr>
          </w:p>
        </w:tc>
        <w:tc>
          <w:tcPr>
            <w:tcW w:w="23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1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8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2006 PSUs</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12.1%</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16.7%</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16.2%</w:t>
            </w:r>
          </w:p>
        </w:tc>
        <w:tc>
          <w:tcPr>
            <w:tcW w:w="2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22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93.6% of units paid out in shares of</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8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(Performance period ended 12/31/08)</w:t>
            </w: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Common Stock in February 2009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800" w:type="dxa"/>
            <w:vAlign w:val="bottom"/>
            <w:gridSpan w:val="2"/>
          </w:tcPr>
          <w:p>
            <w:pPr>
              <w:spacing w:after="0"/>
              <w:rPr>
                <w:sz w:val="20"/>
                <w:szCs w:val="20"/>
                <w:color w:val="auto"/>
              </w:rPr>
            </w:pPr>
            <w:r>
              <w:rPr>
                <w:rFonts w:ascii="Arial" w:cs="Arial" w:eastAsia="Arial" w:hAnsi="Arial"/>
                <w:sz w:val="12"/>
                <w:szCs w:val="12"/>
                <w:color w:val="auto"/>
              </w:rPr>
              <w:t>2007 PSUs</w:t>
            </w:r>
          </w:p>
        </w:tc>
        <w:tc>
          <w:tcPr>
            <w:tcW w:w="1020" w:type="dxa"/>
            <w:vAlign w:val="bottom"/>
            <w:gridSpan w:val="2"/>
          </w:tcPr>
          <w:p>
            <w:pPr>
              <w:jc w:val="right"/>
              <w:ind w:right="300"/>
              <w:spacing w:after="0"/>
              <w:rPr>
                <w:sz w:val="20"/>
                <w:szCs w:val="20"/>
                <w:color w:val="auto"/>
              </w:rPr>
            </w:pPr>
            <w:r>
              <w:rPr>
                <w:rFonts w:ascii="Arial" w:cs="Arial" w:eastAsia="Arial" w:hAnsi="Arial"/>
                <w:sz w:val="12"/>
                <w:szCs w:val="12"/>
                <w:color w:val="auto"/>
              </w:rPr>
              <w:t>13.4%</w:t>
            </w:r>
          </w:p>
        </w:tc>
        <w:tc>
          <w:tcPr>
            <w:tcW w:w="760" w:type="dxa"/>
            <w:vAlign w:val="bottom"/>
            <w:gridSpan w:val="2"/>
          </w:tcPr>
          <w:p>
            <w:pPr>
              <w:jc w:val="right"/>
              <w:ind w:right="320"/>
              <w:spacing w:after="0"/>
              <w:rPr>
                <w:sz w:val="20"/>
                <w:szCs w:val="20"/>
                <w:color w:val="auto"/>
              </w:rPr>
            </w:pPr>
            <w:r>
              <w:rPr>
                <w:rFonts w:ascii="Arial" w:cs="Arial" w:eastAsia="Arial" w:hAnsi="Arial"/>
                <w:sz w:val="12"/>
                <w:szCs w:val="12"/>
                <w:color w:val="auto"/>
              </w:rPr>
              <w:t>18.5%</w:t>
            </w: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16.9%</w:t>
            </w:r>
          </w:p>
        </w:tc>
        <w:tc>
          <w:tcPr>
            <w:tcW w:w="220" w:type="dxa"/>
            <w:vAlign w:val="bottom"/>
          </w:tcPr>
          <w:p>
            <w:pPr>
              <w:spacing w:after="0"/>
              <w:rPr>
                <w:sz w:val="12"/>
                <w:szCs w:val="12"/>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280" w:type="dxa"/>
            <w:vAlign w:val="bottom"/>
          </w:tcPr>
          <w:p>
            <w:pPr>
              <w:ind w:left="200"/>
              <w:spacing w:after="0"/>
              <w:rPr>
                <w:sz w:val="20"/>
                <w:szCs w:val="20"/>
                <w:color w:val="auto"/>
              </w:rPr>
            </w:pPr>
            <w:r>
              <w:rPr>
                <w:rFonts w:ascii="Arial" w:cs="Arial" w:eastAsia="Arial" w:hAnsi="Arial"/>
                <w:sz w:val="12"/>
                <w:szCs w:val="12"/>
                <w:color w:val="auto"/>
              </w:rPr>
              <w:t>84.1% of units paid out in shares of</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800" w:type="dxa"/>
            <w:vAlign w:val="bottom"/>
            <w:gridSpan w:val="2"/>
          </w:tcPr>
          <w:p>
            <w:pPr>
              <w:ind w:left="120"/>
              <w:spacing w:after="0"/>
              <w:rPr>
                <w:sz w:val="20"/>
                <w:szCs w:val="20"/>
                <w:color w:val="auto"/>
              </w:rPr>
            </w:pPr>
            <w:r>
              <w:rPr>
                <w:rFonts w:ascii="Arial" w:cs="Arial" w:eastAsia="Arial" w:hAnsi="Arial"/>
                <w:sz w:val="12"/>
                <w:szCs w:val="12"/>
                <w:color w:val="auto"/>
              </w:rPr>
              <w:t>(Performance period ended 12/31/09)</w:t>
            </w: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00" w:type="dxa"/>
            <w:vAlign w:val="bottom"/>
            <w:gridSpan w:val="2"/>
          </w:tcPr>
          <w:p>
            <w:pPr>
              <w:ind w:left="200"/>
              <w:spacing w:after="0"/>
              <w:rPr>
                <w:sz w:val="20"/>
                <w:szCs w:val="20"/>
                <w:color w:val="auto"/>
              </w:rPr>
            </w:pPr>
            <w:r>
              <w:rPr>
                <w:rFonts w:ascii="Arial" w:cs="Arial" w:eastAsia="Arial" w:hAnsi="Arial"/>
                <w:sz w:val="12"/>
                <w:szCs w:val="12"/>
                <w:color w:val="auto"/>
              </w:rPr>
              <w:t>Common Stock in February 2010</w:t>
            </w:r>
          </w:p>
        </w:tc>
        <w:tc>
          <w:tcPr>
            <w:tcW w:w="0" w:type="dxa"/>
            <w:vAlign w:val="bottom"/>
          </w:tcPr>
          <w:p>
            <w:pPr>
              <w:spacing w:after="0"/>
              <w:rPr>
                <w:sz w:val="1"/>
                <w:szCs w:val="1"/>
                <w:color w:val="auto"/>
              </w:rPr>
            </w:pPr>
          </w:p>
        </w:tc>
      </w:tr>
      <w:tr>
        <w:trPr>
          <w:trHeight w:val="149"/>
        </w:trPr>
        <w:tc>
          <w:tcPr>
            <w:tcW w:w="28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2008 PSUs</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17.6%</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19.6%</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w w:val="89"/>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7.15</w:t>
            </w:r>
          </w:p>
        </w:tc>
        <w:tc>
          <w:tcPr>
            <w:tcW w:w="960" w:type="dxa"/>
            <w:vAlign w:val="bottom"/>
            <w:gridSpan w:val="3"/>
            <w:shd w:val="clear" w:color="auto" w:fill="CCEEFF"/>
          </w:tcPr>
          <w:p>
            <w:pPr>
              <w:jc w:val="right"/>
              <w:ind w:right="380"/>
              <w:spacing w:after="0"/>
              <w:rPr>
                <w:sz w:val="20"/>
                <w:szCs w:val="20"/>
                <w:color w:val="auto"/>
              </w:rPr>
            </w:pPr>
            <w:r>
              <w:rPr>
                <w:rFonts w:ascii="Arial" w:cs="Arial" w:eastAsia="Arial" w:hAnsi="Arial"/>
                <w:sz w:val="12"/>
                <w:szCs w:val="12"/>
                <w:color w:val="auto"/>
              </w:rPr>
              <w:t>$ 7.44</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2280" w:type="dxa"/>
            <w:vAlign w:val="bottom"/>
            <w:shd w:val="clear" w:color="auto" w:fill="CCEEFF"/>
          </w:tcPr>
          <w:p>
            <w:pPr>
              <w:ind w:left="2160"/>
              <w:spacing w:after="0"/>
              <w:rPr>
                <w:sz w:val="20"/>
                <w:szCs w:val="20"/>
                <w:color w:val="auto"/>
              </w:rPr>
            </w:pPr>
            <w:r>
              <w:rPr>
                <w:rFonts w:ascii="Arial" w:cs="Arial" w:eastAsia="Arial" w:hAnsi="Arial"/>
                <w:sz w:val="12"/>
                <w:szCs w:val="12"/>
                <w:color w:val="auto"/>
                <w:w w:val="82"/>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8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(Performance period ending 12/31/10)</w:t>
            </w: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1300" w:type="dxa"/>
            <w:vAlign w:val="bottom"/>
            <w:tcBorders>
              <w:bottom w:val="single" w:sz="8" w:color="auto"/>
            </w:tcBorders>
          </w:tcPr>
          <w:p>
            <w:pPr>
              <w:spacing w:after="0"/>
              <w:rPr>
                <w:sz w:val="8"/>
                <w:szCs w:val="8"/>
                <w:color w:val="auto"/>
              </w:rPr>
            </w:pPr>
          </w:p>
        </w:tc>
        <w:tc>
          <w:tcPr>
            <w:tcW w:w="1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6104255</wp:posOffset>
            </wp:positionH>
            <wp:positionV relativeFrom="paragraph">
              <wp:posOffset>-677545</wp:posOffset>
            </wp:positionV>
            <wp:extent cx="12700"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20" w:lineRule="exact"/>
        <w:rPr>
          <w:sz w:val="20"/>
          <w:szCs w:val="20"/>
          <w:color w:val="auto"/>
        </w:rPr>
      </w:pPr>
    </w:p>
    <w:p>
      <w:pPr>
        <w:ind w:left="1000" w:hanging="266"/>
        <w:spacing w:after="0"/>
        <w:tabs>
          <w:tab w:leader="none" w:pos="10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Earnings per share is based on the cumulative measure over the three-year performance period.</w:t>
      </w:r>
    </w:p>
    <w:p>
      <w:pPr>
        <w:spacing w:after="0" w:line="52" w:lineRule="exact"/>
        <w:rPr>
          <w:rFonts w:ascii="Arial" w:cs="Arial" w:eastAsia="Arial" w:hAnsi="Arial"/>
          <w:sz w:val="13"/>
          <w:szCs w:val="13"/>
          <w:color w:val="auto"/>
        </w:rPr>
      </w:pPr>
    </w:p>
    <w:p>
      <w:pPr>
        <w:ind w:left="1000" w:right="320" w:hanging="266"/>
        <w:spacing w:after="0" w:line="294" w:lineRule="auto"/>
        <w:tabs>
          <w:tab w:leader="none" w:pos="10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Actual results are based on the Company’s reported results of operations, as adjusted by the Compensation Committee to exclude the effect of tax audit settlements, described below.</w:t>
      </w:r>
    </w:p>
    <w:p>
      <w:pPr>
        <w:spacing w:after="0" w:line="47" w:lineRule="exact"/>
        <w:rPr>
          <w:sz w:val="20"/>
          <w:szCs w:val="20"/>
          <w:color w:val="auto"/>
        </w:rPr>
      </w:pPr>
    </w:p>
    <w:p>
      <w:pPr>
        <w:ind w:left="680" w:right="60" w:firstLine="399"/>
        <w:spacing w:after="0" w:line="309" w:lineRule="auto"/>
        <w:rPr>
          <w:sz w:val="20"/>
          <w:szCs w:val="20"/>
          <w:color w:val="auto"/>
        </w:rPr>
      </w:pPr>
      <w:r>
        <w:rPr>
          <w:rFonts w:ascii="Arial" w:cs="Arial" w:eastAsia="Arial" w:hAnsi="Arial"/>
          <w:sz w:val="12"/>
          <w:szCs w:val="12"/>
          <w:color w:val="auto"/>
        </w:rPr>
        <w:t>In evaluating appropriate financial measures for the 2009 grant to named executives, the Compensation Committee decided to retain only ROIC, rather than an equal split between ROIC and EPS measurements. This decision was primarily a result of the Compensation Committee’s determination that the 2009 grant should subject named executives to the same measures as all other employees that are granted equity awards and that the most appropriate long-term financial measure for our Company’s employees generally is ROIC.</w:t>
      </w:r>
    </w:p>
    <w:p>
      <w:pPr>
        <w:spacing w:after="0" w:line="41" w:lineRule="exact"/>
        <w:rPr>
          <w:sz w:val="20"/>
          <w:szCs w:val="20"/>
          <w:color w:val="auto"/>
        </w:rPr>
      </w:pPr>
    </w:p>
    <w:p>
      <w:pPr>
        <w:ind w:left="680" w:right="60" w:firstLine="399"/>
        <w:spacing w:after="0" w:line="263" w:lineRule="auto"/>
        <w:rPr>
          <w:sz w:val="20"/>
          <w:szCs w:val="20"/>
          <w:color w:val="auto"/>
        </w:rPr>
      </w:pPr>
      <w:r>
        <w:rPr>
          <w:rFonts w:ascii="Arial" w:cs="Arial" w:eastAsia="Arial" w:hAnsi="Arial"/>
          <w:sz w:val="13"/>
          <w:szCs w:val="13"/>
          <w:color w:val="auto"/>
        </w:rPr>
        <w:t>Our performance share unit awards are intended to meet the qualified performance-based compensation exception under Section 162(m). In February 2009, the Compensation Committee approved adjustments to the calculation of results under the 2006 awards that had a performance period ended December 31, 2008 to exclude the effect significant tax audit settlements had on the equity components of the calculation of ROIC. The adjustments increased the payouts of the 2006 awards and, as a result, the 2006 awards no longer satisfied the qualified performance-based compensation exception. This resulted in an increased tax expense to the Company of approximately $1.1 million, based on the federal and state combined statutory rate of 39%. The Compensation Committee believes that the adjustments were necessary and appropriate, particularly because the tax audit settlements were not reflective of operating performance. Further, it is important and consistent with the Company’s compensation philosophy that extraordinary, unusual, and one-time items do not affect the payout expected based on performance. Modifications were made to the terms of awards granted in 2007 and later to allow for payouts under those awards to be fully deductible under Section 162(m).</w:t>
      </w:r>
    </w:p>
    <w:p>
      <w:pPr>
        <w:spacing w:after="0" w:line="70" w:lineRule="exact"/>
        <w:rPr>
          <w:sz w:val="20"/>
          <w:szCs w:val="20"/>
          <w:color w:val="auto"/>
        </w:rPr>
      </w:pPr>
    </w:p>
    <w:p>
      <w:pPr>
        <w:ind w:left="680" w:right="380" w:firstLine="399"/>
        <w:spacing w:after="0" w:line="294" w:lineRule="auto"/>
        <w:rPr>
          <w:sz w:val="20"/>
          <w:szCs w:val="20"/>
          <w:color w:val="auto"/>
        </w:rPr>
      </w:pPr>
      <w:r>
        <w:rPr>
          <w:rFonts w:ascii="Arial" w:cs="Arial" w:eastAsia="Arial" w:hAnsi="Arial"/>
          <w:sz w:val="13"/>
          <w:szCs w:val="13"/>
          <w:i w:val="1"/>
          <w:iCs w:val="1"/>
          <w:u w:val="single" w:color="auto"/>
          <w:color w:val="auto"/>
        </w:rPr>
        <w:t>Stock Options</w:t>
      </w:r>
      <w:r>
        <w:rPr>
          <w:rFonts w:ascii="Arial" w:cs="Arial" w:eastAsia="Arial" w:hAnsi="Arial"/>
          <w:sz w:val="13"/>
          <w:szCs w:val="13"/>
          <w:i w:val="1"/>
          <w:iCs w:val="1"/>
          <w:color w:val="auto"/>
        </w:rPr>
        <w:t xml:space="preserve"> </w:t>
      </w:r>
      <w:r>
        <w:rPr>
          <w:rFonts w:ascii="Arial" w:cs="Arial" w:eastAsia="Arial" w:hAnsi="Arial"/>
          <w:sz w:val="13"/>
          <w:szCs w:val="13"/>
          <w:color w:val="auto"/>
        </w:rPr>
        <w:t>— In 2010, the Compensation Committee decided to re-introduce stock options as a component of the equity compensation awarded to our named executive</w:t>
      </w:r>
      <w:r>
        <w:rPr>
          <w:rFonts w:ascii="Arial" w:cs="Arial" w:eastAsia="Arial" w:hAnsi="Arial"/>
          <w:sz w:val="13"/>
          <w:szCs w:val="13"/>
          <w:i w:val="1"/>
          <w:iCs w:val="1"/>
          <w:color w:val="auto"/>
        </w:rPr>
        <w:t xml:space="preserve"> </w:t>
      </w:r>
      <w:r>
        <w:rPr>
          <w:rFonts w:ascii="Arial" w:cs="Arial" w:eastAsia="Arial" w:hAnsi="Arial"/>
          <w:sz w:val="13"/>
          <w:szCs w:val="13"/>
          <w:color w:val="auto"/>
        </w:rPr>
        <w:t>officers in order to direct focus on increasing the market value of our Common Stock. Stock options were granted in the first quarter of 2010 in</w:t>
      </w:r>
    </w:p>
    <w:p>
      <w:pPr>
        <w:spacing w:after="0" w:line="24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40"/>
        <w:spacing w:after="0" w:line="265" w:lineRule="auto"/>
        <w:rPr>
          <w:sz w:val="20"/>
          <w:szCs w:val="20"/>
          <w:color w:val="auto"/>
        </w:rPr>
      </w:pPr>
      <w:r>
        <w:rPr>
          <w:rFonts w:ascii="Arial" w:cs="Arial" w:eastAsia="Arial" w:hAnsi="Arial"/>
          <w:sz w:val="13"/>
          <w:szCs w:val="13"/>
          <w:color w:val="auto"/>
        </w:rPr>
        <w:t>connection with the annual grant of long-term equity awards at a regularly scheduled Compensation Committee meeting. The number of options granted to the named executive officers was based on a dollar value of compensation decided by the Compensation Committee; the actual number of stock options granted was determined by assigning a value to the options using an option pricing model, and dividing the dollar value of compensation by the value of each option. The stock options will vest in 25% increments on the first two anniversaries of the date of grant and the remaining 50% will vest on the third anniversary. The exercise price of the options is the fair market value of our Common Stock on the date of grant, and the options have a term of 10 years. More information regarding the Compensation Committee’s practices related to stock options will be included in next year’s CD&amp;A discussing 2010 compensation.</w:t>
      </w:r>
    </w:p>
    <w:p>
      <w:pPr>
        <w:spacing w:after="0" w:line="68" w:lineRule="exact"/>
        <w:rPr>
          <w:sz w:val="20"/>
          <w:szCs w:val="20"/>
          <w:color w:val="auto"/>
        </w:rPr>
      </w:pPr>
    </w:p>
    <w:p>
      <w:pPr>
        <w:ind w:left="680" w:right="40" w:firstLine="399"/>
        <w:spacing w:after="0" w:line="290" w:lineRule="auto"/>
        <w:rPr>
          <w:sz w:val="20"/>
          <w:szCs w:val="20"/>
          <w:color w:val="auto"/>
        </w:rPr>
      </w:pPr>
      <w:r>
        <w:rPr>
          <w:rFonts w:ascii="Arial" w:cs="Arial" w:eastAsia="Arial" w:hAnsi="Arial"/>
          <w:sz w:val="12"/>
          <w:szCs w:val="12"/>
          <w:i w:val="1"/>
          <w:iCs w:val="1"/>
          <w:color w:val="auto"/>
        </w:rPr>
        <w:t xml:space="preserve">Post-Employment Compensation </w:t>
      </w:r>
      <w:r>
        <w:rPr>
          <w:rFonts w:ascii="Arial" w:cs="Arial" w:eastAsia="Arial" w:hAnsi="Arial"/>
          <w:sz w:val="12"/>
          <w:szCs w:val="12"/>
          <w:color w:val="auto"/>
        </w:rPr>
        <w:t>— The compensation our named executives receive post-employment is based on provisions included in individual equity award agreements,</w:t>
      </w:r>
      <w:r>
        <w:rPr>
          <w:rFonts w:ascii="Arial" w:cs="Arial" w:eastAsia="Arial" w:hAnsi="Arial"/>
          <w:sz w:val="12"/>
          <w:szCs w:val="12"/>
          <w:i w:val="1"/>
          <w:iCs w:val="1"/>
          <w:color w:val="auto"/>
        </w:rPr>
        <w:t xml:space="preserve"> </w:t>
      </w:r>
      <w:r>
        <w:rPr>
          <w:rFonts w:ascii="Arial" w:cs="Arial" w:eastAsia="Arial" w:hAnsi="Arial"/>
          <w:sz w:val="12"/>
          <w:szCs w:val="12"/>
          <w:color w:val="auto"/>
        </w:rPr>
        <w:t>retirement plan documents and employment agreements. We enter into employment agreements with our named executive officers because they provide a form of protection for the Company through restrictive covenant provisions. They also provide the individual with the protection that he will be treated fairly in the event of a termination not for cause or under a change-in-control situation. The change-in-control provision included in each named executive officer’s agreement requires a double trigger in order to receive any payment in the event of a change-in-control situation. First, a change-in-control must occur, and second the individual must terminate his employment for good reason or the Company must terminate his employment without cause within six months prior to or two years following the change-in-control event. We believe providing a change-in-control protection ensures impartiality and objectivity of our named executive officers in the context of a change-in-control situation and protects the interests of our stockholders.</w:t>
      </w:r>
    </w:p>
    <w:p>
      <w:pPr>
        <w:spacing w:after="0" w:line="52" w:lineRule="exact"/>
        <w:rPr>
          <w:sz w:val="20"/>
          <w:szCs w:val="20"/>
          <w:color w:val="auto"/>
        </w:rPr>
      </w:pPr>
    </w:p>
    <w:p>
      <w:pPr>
        <w:ind w:left="680" w:right="60" w:firstLine="399"/>
        <w:spacing w:after="0" w:line="270" w:lineRule="auto"/>
        <w:rPr>
          <w:sz w:val="20"/>
          <w:szCs w:val="20"/>
          <w:color w:val="auto"/>
        </w:rPr>
      </w:pPr>
      <w:r>
        <w:rPr>
          <w:rFonts w:ascii="Arial" w:cs="Arial" w:eastAsia="Arial" w:hAnsi="Arial"/>
          <w:sz w:val="13"/>
          <w:szCs w:val="13"/>
          <w:color w:val="auto"/>
        </w:rPr>
        <w:t>In August 2005, the Compensation Committee approved an Executive Officer Severance Policy. The policy generally provides that after the effective date of the policy, the Company may not enter into severance arrangements with its executive officers, as defined in the federal securities laws, that provide for benefits, less the value of vested equity awards and benefits provided to employees generally, in an amount that exceeds 2.99 times the executive officer’s then current base salary and target bonus, unless such future severance arrangement receives stockholder approval. The policy applies to all of our named executive officers.</w:t>
      </w:r>
    </w:p>
    <w:p>
      <w:pPr>
        <w:spacing w:after="0" w:line="63" w:lineRule="exact"/>
        <w:rPr>
          <w:sz w:val="20"/>
          <w:szCs w:val="20"/>
          <w:color w:val="auto"/>
        </w:rPr>
      </w:pPr>
    </w:p>
    <w:p>
      <w:pPr>
        <w:ind w:left="680" w:firstLine="399"/>
        <w:spacing w:after="0" w:line="288" w:lineRule="auto"/>
        <w:rPr>
          <w:sz w:val="20"/>
          <w:szCs w:val="20"/>
          <w:color w:val="auto"/>
        </w:rPr>
      </w:pPr>
      <w:r>
        <w:rPr>
          <w:rFonts w:ascii="Arial" w:cs="Arial" w:eastAsia="Arial" w:hAnsi="Arial"/>
          <w:sz w:val="12"/>
          <w:szCs w:val="12"/>
          <w:i w:val="1"/>
          <w:iCs w:val="1"/>
          <w:color w:val="auto"/>
        </w:rPr>
        <w:t xml:space="preserve">Deferral Plan </w:t>
      </w:r>
      <w:r>
        <w:rPr>
          <w:rFonts w:ascii="Arial" w:cs="Arial" w:eastAsia="Arial" w:hAnsi="Arial"/>
          <w:sz w:val="12"/>
          <w:szCs w:val="12"/>
          <w:color w:val="auto"/>
        </w:rPr>
        <w:t>— Each of our named executive officers is eligible to participate in our 409A Deferred Savings Plan. The plan allows all employees with a minimum base salary of</w:t>
      </w:r>
      <w:r>
        <w:rPr>
          <w:rFonts w:ascii="Arial" w:cs="Arial" w:eastAsia="Arial" w:hAnsi="Arial"/>
          <w:sz w:val="12"/>
          <w:szCs w:val="12"/>
          <w:i w:val="1"/>
          <w:iCs w:val="1"/>
          <w:color w:val="auto"/>
        </w:rPr>
        <w:t xml:space="preserve"> </w:t>
      </w:r>
      <w:r>
        <w:rPr>
          <w:rFonts w:ascii="Arial" w:cs="Arial" w:eastAsia="Arial" w:hAnsi="Arial"/>
          <w:sz w:val="12"/>
          <w:szCs w:val="12"/>
          <w:color w:val="auto"/>
        </w:rPr>
        <w:t>$170,000 to defer up to 25% of their base salary and up to 100% of their annual bonus (“eligible pay”) for payment at a future date. Under the plan, the Company matches the portion of pay that cannot be matched in the Company’s 401(k) Savings Plan due to IRS limits. The Company match provided under the 401(k) Savings Plan and the Deferral Plan is dollar for dollar on the first 3% of eligible pay, and fifty cents on the dollar for the next 3% of eligible pay. Participants can contribute the entire amount of their eligible pay to the Deferral Plan. Contributions in excess of the 6% will not be matched but will be tax-deferred. Company matching contributions begin in the Deferral Plan once the employee has reached the IRS limits in the 401(k) plan. Funds deferred under this plan are allocated into accounts that mirror selected investment funds in our 401(k) plan, although the funds deferred are not actually invested in the funds. We believe that providing a program that allows and encourages planning for retirement is a key factor in our ability to attract and retain talent. Additional details on the plan can be found in the Nonqualified Deferred Compensation table and the footnotes to the table on page 35.</w:t>
      </w:r>
    </w:p>
    <w:p>
      <w:pPr>
        <w:spacing w:after="0" w:line="56" w:lineRule="exact"/>
        <w:rPr>
          <w:sz w:val="20"/>
          <w:szCs w:val="20"/>
          <w:color w:val="auto"/>
        </w:rPr>
      </w:pPr>
    </w:p>
    <w:p>
      <w:pPr>
        <w:ind w:left="680" w:right="40" w:firstLine="399"/>
        <w:spacing w:after="0" w:line="270" w:lineRule="auto"/>
        <w:rPr>
          <w:sz w:val="20"/>
          <w:szCs w:val="20"/>
          <w:color w:val="auto"/>
        </w:rPr>
      </w:pPr>
      <w:r>
        <w:rPr>
          <w:rFonts w:ascii="Arial" w:cs="Arial" w:eastAsia="Arial" w:hAnsi="Arial"/>
          <w:sz w:val="13"/>
          <w:szCs w:val="13"/>
          <w:i w:val="1"/>
          <w:iCs w:val="1"/>
          <w:color w:val="auto"/>
        </w:rPr>
        <w:t xml:space="preserve">Perquisites </w:t>
      </w:r>
      <w:r>
        <w:rPr>
          <w:rFonts w:ascii="Arial" w:cs="Arial" w:eastAsia="Arial" w:hAnsi="Arial"/>
          <w:sz w:val="13"/>
          <w:szCs w:val="13"/>
          <w:color w:val="auto"/>
        </w:rPr>
        <w:t>— In the beginning of 2008, we eliminated all perquisites for our executive officers. At that time, each of the named executive officers was given a one-time increase</w:t>
      </w:r>
      <w:r>
        <w:rPr>
          <w:rFonts w:ascii="Arial" w:cs="Arial" w:eastAsia="Arial" w:hAnsi="Arial"/>
          <w:sz w:val="13"/>
          <w:szCs w:val="13"/>
          <w:i w:val="1"/>
          <w:iCs w:val="1"/>
          <w:color w:val="auto"/>
        </w:rPr>
        <w:t xml:space="preserve"> </w:t>
      </w:r>
      <w:r>
        <w:rPr>
          <w:rFonts w:ascii="Arial" w:cs="Arial" w:eastAsia="Arial" w:hAnsi="Arial"/>
          <w:sz w:val="13"/>
          <w:szCs w:val="13"/>
          <w:color w:val="auto"/>
        </w:rPr>
        <w:t>to his salary in an amount equal to the value of the perquisites, reduced for the impact that the increase would have as a result of annual bonuses being calculated as a percentage of base salary in that year. Our named executive officers will continue to receive an annual physical examination that is treated as a non-taxable benefit because it is required for the benefit of the Company.</w:t>
      </w:r>
    </w:p>
    <w:p>
      <w:pPr>
        <w:spacing w:after="0" w:line="63" w:lineRule="exact"/>
        <w:rPr>
          <w:sz w:val="20"/>
          <w:szCs w:val="20"/>
          <w:color w:val="auto"/>
        </w:rPr>
      </w:pPr>
    </w:p>
    <w:p>
      <w:pPr>
        <w:jc w:val="both"/>
        <w:ind w:left="680" w:right="280" w:firstLine="399"/>
        <w:spacing w:after="0" w:line="276" w:lineRule="auto"/>
        <w:rPr>
          <w:sz w:val="20"/>
          <w:szCs w:val="20"/>
          <w:color w:val="auto"/>
        </w:rPr>
      </w:pPr>
      <w:r>
        <w:rPr>
          <w:rFonts w:ascii="Arial" w:cs="Arial" w:eastAsia="Arial" w:hAnsi="Arial"/>
          <w:sz w:val="13"/>
          <w:szCs w:val="13"/>
          <w:color w:val="auto"/>
        </w:rPr>
        <w:t>Based on a periodic security assessment by an outside consultant, for security purposes, the Company requires the Chief Executive Officer to use the Company’s aircraft for business and personal use. Use of the Company’s aircraft is permitted for other employees’ personal use only with Chief Executive Officer approval in special circumstances, which does not occur often. All of our named executive officers are taxed on the</w:t>
      </w:r>
    </w:p>
    <w:p>
      <w:pPr>
        <w:spacing w:after="0" w:line="27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240"/>
        <w:spacing w:after="0" w:line="294" w:lineRule="auto"/>
        <w:rPr>
          <w:sz w:val="20"/>
          <w:szCs w:val="20"/>
          <w:color w:val="auto"/>
        </w:rPr>
      </w:pPr>
      <w:r>
        <w:rPr>
          <w:rFonts w:ascii="Arial" w:cs="Arial" w:eastAsia="Arial" w:hAnsi="Arial"/>
          <w:sz w:val="13"/>
          <w:szCs w:val="13"/>
          <w:color w:val="auto"/>
        </w:rPr>
        <w:t>value of their personal use of the Company’s airplanes, if any, in accordance with IRS regulations using the Standard Industry Fare Level formula. This is a different amount than we disclose in the Summary Compensation Table, which is based on the SEC requirement to report the incremental cost to us of their use.</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Other Compensation Policies and Practices</w:t>
      </w:r>
    </w:p>
    <w:p>
      <w:pPr>
        <w:spacing w:after="0" w:line="104" w:lineRule="exact"/>
        <w:rPr>
          <w:sz w:val="20"/>
          <w:szCs w:val="20"/>
          <w:color w:val="auto"/>
        </w:rPr>
      </w:pPr>
    </w:p>
    <w:p>
      <w:pPr>
        <w:ind w:left="680" w:right="40" w:firstLine="399"/>
        <w:spacing w:after="0" w:line="265" w:lineRule="auto"/>
        <w:rPr>
          <w:sz w:val="20"/>
          <w:szCs w:val="20"/>
          <w:color w:val="auto"/>
        </w:rPr>
      </w:pPr>
      <w:r>
        <w:rPr>
          <w:rFonts w:ascii="Arial" w:cs="Arial" w:eastAsia="Arial" w:hAnsi="Arial"/>
          <w:sz w:val="13"/>
          <w:szCs w:val="13"/>
          <w:i w:val="1"/>
          <w:iCs w:val="1"/>
          <w:color w:val="auto"/>
        </w:rPr>
        <w:t xml:space="preserve">Stock Ownership Requirements — </w:t>
      </w:r>
      <w:r>
        <w:rPr>
          <w:rFonts w:ascii="Arial" w:cs="Arial" w:eastAsia="Arial" w:hAnsi="Arial"/>
          <w:sz w:val="13"/>
          <w:szCs w:val="13"/>
          <w:color w:val="auto"/>
        </w:rPr>
        <w:t>All of our named executive officers are subject to stock ownership guidelines. We instituted stock ownership guidelines because we believe</w:t>
      </w:r>
      <w:r>
        <w:rPr>
          <w:rFonts w:ascii="Arial" w:cs="Arial" w:eastAsia="Arial" w:hAnsi="Arial"/>
          <w:sz w:val="13"/>
          <w:szCs w:val="13"/>
          <w:i w:val="1"/>
          <w:iCs w:val="1"/>
          <w:color w:val="auto"/>
        </w:rPr>
        <w:t xml:space="preserve"> </w:t>
      </w:r>
      <w:r>
        <w:rPr>
          <w:rFonts w:ascii="Arial" w:cs="Arial" w:eastAsia="Arial" w:hAnsi="Arial"/>
          <w:sz w:val="13"/>
          <w:szCs w:val="13"/>
          <w:color w:val="auto"/>
        </w:rPr>
        <w:t>that ownership of Company stock demonstrates a commitment to, and confidence in, the Company’s long-term prospects and further aligns employees’ interests with those of our stockholders. We believe that the requirement that these individuals maintain a portion of their individual wealth in the form of Company stock deters actions that would not benefit stockholders generally. Additionally, the guidelines contain holding period provisions that generally require Senior Vice Presidents and above to hold all of their shares and Vice Presidents to hold 50% of their shares for at least one year, even after required ownership levels have been achieved. We believe these holding periods discourage these individuals from taking actions in an effort to gain from short-term or otherwise fleeting increases in the market value of our stock.</w:t>
      </w:r>
    </w:p>
    <w:p>
      <w:pPr>
        <w:spacing w:after="0" w:line="68" w:lineRule="exact"/>
        <w:rPr>
          <w:sz w:val="20"/>
          <w:szCs w:val="20"/>
          <w:color w:val="auto"/>
        </w:rPr>
      </w:pPr>
    </w:p>
    <w:p>
      <w:pPr>
        <w:ind w:left="680" w:right="20" w:firstLine="399"/>
        <w:spacing w:after="0" w:line="295" w:lineRule="auto"/>
        <w:rPr>
          <w:sz w:val="20"/>
          <w:szCs w:val="20"/>
          <w:color w:val="auto"/>
        </w:rPr>
      </w:pPr>
      <w:r>
        <w:rPr>
          <w:rFonts w:ascii="Arial" w:cs="Arial" w:eastAsia="Arial" w:hAnsi="Arial"/>
          <w:sz w:val="12"/>
          <w:szCs w:val="12"/>
          <w:color w:val="auto"/>
        </w:rPr>
        <w:t>The stock ownership guidelines vary dependent on the individual’s title and are expressed as a fixed number of shares. Ownership requirements range from one to five times base salary as of the later of January 2005 or date of promotion into current position. The number of shares required to be owned is determined based on a $30.00 stock price, which was the market value of shares of our Common Stock when the guidelines were adopted. The Compensation Committee regularly reviews its ownership guidelines to ensure that the appropriate share ownership requirements are in place. Shares owned outright, deferred stock units, phantom stock held in the 401(k) plan and in the Deferral Plan count toward meeting the targeted ownership requirements. Restricted stock shares, restricted stock units and performance share units, if any, do not count toward meeting the guideline until they are vested or earned.</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The following table outlines the ownership requirements for the named executive officers, each of whom had until January 2009 to meet the ownership levels: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39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Named Executive Officer</w:t>
            </w:r>
          </w:p>
        </w:tc>
        <w:tc>
          <w:tcPr>
            <w:tcW w:w="4580" w:type="dxa"/>
            <w:vAlign w:val="bottom"/>
          </w:tcPr>
          <w:p>
            <w:pPr>
              <w:jc w:val="right"/>
              <w:ind w:right="637"/>
              <w:spacing w:after="0"/>
              <w:rPr>
                <w:sz w:val="20"/>
                <w:szCs w:val="20"/>
                <w:color w:val="auto"/>
              </w:rPr>
            </w:pPr>
            <w:r>
              <w:rPr>
                <w:rFonts w:ascii="Arial" w:cs="Arial" w:eastAsia="Arial" w:hAnsi="Arial"/>
                <w:sz w:val="11"/>
                <w:szCs w:val="11"/>
                <w:b w:val="1"/>
                <w:bCs w:val="1"/>
                <w:color w:val="auto"/>
              </w:rPr>
              <w:t>Ownership Requirement</w:t>
            </w:r>
          </w:p>
        </w:tc>
        <w:tc>
          <w:tcPr>
            <w:tcW w:w="1480" w:type="dxa"/>
            <w:vAlign w:val="bottom"/>
          </w:tcPr>
          <w:p>
            <w:pPr>
              <w:jc w:val="right"/>
              <w:ind w:right="237"/>
              <w:spacing w:after="0"/>
              <w:rPr>
                <w:sz w:val="20"/>
                <w:szCs w:val="20"/>
                <w:color w:val="auto"/>
              </w:rPr>
            </w:pPr>
            <w:r>
              <w:rPr>
                <w:rFonts w:ascii="Arial" w:cs="Arial" w:eastAsia="Arial" w:hAnsi="Arial"/>
                <w:sz w:val="11"/>
                <w:szCs w:val="11"/>
                <w:b w:val="1"/>
                <w:bCs w:val="1"/>
                <w:color w:val="auto"/>
              </w:rPr>
              <w:t>Attainment as of</w:t>
            </w:r>
          </w:p>
        </w:tc>
        <w:tc>
          <w:tcPr>
            <w:tcW w:w="0" w:type="dxa"/>
            <w:vAlign w:val="bottom"/>
          </w:tcPr>
          <w:p>
            <w:pPr>
              <w:spacing w:after="0"/>
              <w:rPr>
                <w:sz w:val="1"/>
                <w:szCs w:val="1"/>
                <w:color w:val="auto"/>
              </w:rPr>
            </w:pPr>
          </w:p>
        </w:tc>
      </w:tr>
      <w:tr>
        <w:trPr>
          <w:trHeight w:val="138"/>
        </w:trPr>
        <w:tc>
          <w:tcPr>
            <w:tcW w:w="3920" w:type="dxa"/>
            <w:vAlign w:val="bottom"/>
            <w:gridSpan w:val="2"/>
            <w:vMerge w:val="continue"/>
          </w:tcPr>
          <w:p>
            <w:pPr>
              <w:spacing w:after="0"/>
              <w:rPr>
                <w:sz w:val="11"/>
                <w:szCs w:val="11"/>
                <w:color w:val="auto"/>
              </w:rPr>
            </w:pPr>
          </w:p>
        </w:tc>
        <w:tc>
          <w:tcPr>
            <w:tcW w:w="4580" w:type="dxa"/>
            <w:vAlign w:val="bottom"/>
          </w:tcPr>
          <w:p>
            <w:pPr>
              <w:jc w:val="right"/>
              <w:ind w:right="337"/>
              <w:spacing w:after="0"/>
              <w:rPr>
                <w:sz w:val="20"/>
                <w:szCs w:val="20"/>
                <w:color w:val="auto"/>
              </w:rPr>
            </w:pPr>
            <w:r>
              <w:rPr>
                <w:rFonts w:ascii="Arial" w:cs="Arial" w:eastAsia="Arial" w:hAnsi="Arial"/>
                <w:sz w:val="11"/>
                <w:szCs w:val="11"/>
                <w:b w:val="1"/>
                <w:bCs w:val="1"/>
                <w:u w:val="single" w:color="auto"/>
                <w:color w:val="auto"/>
              </w:rPr>
              <w:t>(</w:t>
            </w:r>
            <w:r>
              <w:rPr>
                <w:rFonts w:ascii="Arial" w:cs="Arial" w:eastAsia="Arial" w:hAnsi="Arial"/>
                <w:sz w:val="11"/>
                <w:szCs w:val="11"/>
                <w:b w:val="1"/>
                <w:bCs w:val="1"/>
                <w:color w:val="auto"/>
              </w:rPr>
              <w:t>number of shares)</w:t>
            </w:r>
          </w:p>
        </w:tc>
        <w:tc>
          <w:tcPr>
            <w:tcW w:w="1480" w:type="dxa"/>
            <w:vAlign w:val="bottom"/>
          </w:tcPr>
          <w:p>
            <w:pPr>
              <w:jc w:val="right"/>
              <w:ind w:right="137"/>
              <w:spacing w:after="0"/>
              <w:rPr>
                <w:sz w:val="20"/>
                <w:szCs w:val="20"/>
                <w:color w:val="auto"/>
              </w:rPr>
            </w:pPr>
            <w:r>
              <w:rPr>
                <w:rFonts w:ascii="Arial" w:cs="Arial" w:eastAsia="Arial" w:hAnsi="Arial"/>
                <w:sz w:val="11"/>
                <w:szCs w:val="11"/>
                <w:b w:val="1"/>
                <w:bCs w:val="1"/>
                <w:color w:val="auto"/>
              </w:rPr>
              <w:t>12/31/2009</w:t>
            </w:r>
          </w:p>
        </w:tc>
        <w:tc>
          <w:tcPr>
            <w:tcW w:w="0" w:type="dxa"/>
            <w:vAlign w:val="bottom"/>
          </w:tcPr>
          <w:p>
            <w:pPr>
              <w:spacing w:after="0"/>
              <w:rPr>
                <w:sz w:val="1"/>
                <w:szCs w:val="1"/>
                <w:color w:val="auto"/>
              </w:rPr>
            </w:pPr>
          </w:p>
        </w:tc>
      </w:tr>
      <w:tr>
        <w:trPr>
          <w:trHeight w:val="30"/>
        </w:trPr>
        <w:tc>
          <w:tcPr>
            <w:tcW w:w="60" w:type="dxa"/>
            <w:vAlign w:val="bottom"/>
            <w:tcBorders>
              <w:top w:val="single" w:sz="8" w:color="auto"/>
            </w:tcBorders>
          </w:tcPr>
          <w:p>
            <w:pPr>
              <w:spacing w:after="0"/>
              <w:rPr>
                <w:sz w:val="2"/>
                <w:szCs w:val="2"/>
                <w:color w:val="auto"/>
              </w:rPr>
            </w:pPr>
          </w:p>
        </w:tc>
        <w:tc>
          <w:tcPr>
            <w:tcW w:w="38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3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Mr. Steiner</w:t>
            </w:r>
          </w:p>
        </w:tc>
        <w:tc>
          <w:tcPr>
            <w:tcW w:w="4580" w:type="dxa"/>
            <w:vAlign w:val="bottom"/>
            <w:shd w:val="clear" w:color="auto" w:fill="CCEEFF"/>
          </w:tcPr>
          <w:p>
            <w:pPr>
              <w:jc w:val="right"/>
              <w:ind w:right="977"/>
              <w:spacing w:after="0"/>
              <w:rPr>
                <w:sz w:val="20"/>
                <w:szCs w:val="20"/>
                <w:color w:val="auto"/>
              </w:rPr>
            </w:pPr>
            <w:r>
              <w:rPr>
                <w:rFonts w:ascii="Arial" w:cs="Arial" w:eastAsia="Arial" w:hAnsi="Arial"/>
                <w:sz w:val="13"/>
                <w:szCs w:val="13"/>
                <w:color w:val="auto"/>
              </w:rPr>
              <w:t>145,000</w:t>
            </w:r>
          </w:p>
        </w:tc>
        <w:tc>
          <w:tcPr>
            <w:tcW w:w="1480" w:type="dxa"/>
            <w:vAlign w:val="bottom"/>
            <w:shd w:val="clear" w:color="auto" w:fill="CCEEFF"/>
          </w:tcPr>
          <w:p>
            <w:pPr>
              <w:jc w:val="right"/>
              <w:ind w:right="397"/>
              <w:spacing w:after="0"/>
              <w:rPr>
                <w:sz w:val="20"/>
                <w:szCs w:val="20"/>
                <w:color w:val="auto"/>
              </w:rPr>
            </w:pPr>
            <w:r>
              <w:rPr>
                <w:rFonts w:ascii="Arial" w:cs="Arial" w:eastAsia="Arial" w:hAnsi="Arial"/>
                <w:sz w:val="13"/>
                <w:szCs w:val="13"/>
                <w:color w:val="auto"/>
              </w:rPr>
              <w:t>221%</w:t>
            </w:r>
          </w:p>
        </w:tc>
        <w:tc>
          <w:tcPr>
            <w:tcW w:w="0" w:type="dxa"/>
            <w:vAlign w:val="bottom"/>
          </w:tcPr>
          <w:p>
            <w:pPr>
              <w:spacing w:after="0"/>
              <w:rPr>
                <w:sz w:val="1"/>
                <w:szCs w:val="1"/>
                <w:color w:val="auto"/>
              </w:rPr>
            </w:pPr>
          </w:p>
        </w:tc>
      </w:tr>
      <w:tr>
        <w:trPr>
          <w:trHeight w:val="161"/>
        </w:trPr>
        <w:tc>
          <w:tcPr>
            <w:tcW w:w="3920" w:type="dxa"/>
            <w:vAlign w:val="bottom"/>
            <w:gridSpan w:val="2"/>
          </w:tcPr>
          <w:p>
            <w:pPr>
              <w:spacing w:after="0"/>
              <w:rPr>
                <w:sz w:val="20"/>
                <w:szCs w:val="20"/>
                <w:color w:val="auto"/>
              </w:rPr>
            </w:pPr>
            <w:r>
              <w:rPr>
                <w:rFonts w:ascii="Arial" w:cs="Arial" w:eastAsia="Arial" w:hAnsi="Arial"/>
                <w:sz w:val="13"/>
                <w:szCs w:val="13"/>
                <w:color w:val="auto"/>
              </w:rPr>
              <w:t>Mr. O’Donnell</w:t>
            </w:r>
          </w:p>
        </w:tc>
        <w:tc>
          <w:tcPr>
            <w:tcW w:w="4580" w:type="dxa"/>
            <w:vAlign w:val="bottom"/>
          </w:tcPr>
          <w:p>
            <w:pPr>
              <w:jc w:val="right"/>
              <w:ind w:right="977"/>
              <w:spacing w:after="0"/>
              <w:rPr>
                <w:sz w:val="20"/>
                <w:szCs w:val="20"/>
                <w:color w:val="auto"/>
              </w:rPr>
            </w:pPr>
            <w:r>
              <w:rPr>
                <w:rFonts w:ascii="Arial" w:cs="Arial" w:eastAsia="Arial" w:hAnsi="Arial"/>
                <w:sz w:val="13"/>
                <w:szCs w:val="13"/>
                <w:color w:val="auto"/>
              </w:rPr>
              <w:t>87,350</w:t>
            </w:r>
          </w:p>
        </w:tc>
        <w:tc>
          <w:tcPr>
            <w:tcW w:w="1480" w:type="dxa"/>
            <w:vAlign w:val="bottom"/>
          </w:tcPr>
          <w:p>
            <w:pPr>
              <w:jc w:val="right"/>
              <w:ind w:right="397"/>
              <w:spacing w:after="0"/>
              <w:rPr>
                <w:sz w:val="20"/>
                <w:szCs w:val="20"/>
                <w:color w:val="auto"/>
              </w:rPr>
            </w:pPr>
            <w:r>
              <w:rPr>
                <w:rFonts w:ascii="Arial" w:cs="Arial" w:eastAsia="Arial" w:hAnsi="Arial"/>
                <w:sz w:val="13"/>
                <w:szCs w:val="13"/>
                <w:color w:val="auto"/>
              </w:rPr>
              <w:t>294%</w:t>
            </w:r>
          </w:p>
        </w:tc>
        <w:tc>
          <w:tcPr>
            <w:tcW w:w="0" w:type="dxa"/>
            <w:vAlign w:val="bottom"/>
          </w:tcPr>
          <w:p>
            <w:pPr>
              <w:spacing w:after="0"/>
              <w:rPr>
                <w:sz w:val="1"/>
                <w:szCs w:val="1"/>
                <w:color w:val="auto"/>
              </w:rPr>
            </w:pPr>
          </w:p>
        </w:tc>
      </w:tr>
      <w:tr>
        <w:trPr>
          <w:trHeight w:val="161"/>
        </w:trPr>
        <w:tc>
          <w:tcPr>
            <w:tcW w:w="3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Mr. Simpson</w:t>
            </w:r>
          </w:p>
        </w:tc>
        <w:tc>
          <w:tcPr>
            <w:tcW w:w="4580" w:type="dxa"/>
            <w:vAlign w:val="bottom"/>
            <w:shd w:val="clear" w:color="auto" w:fill="CCEEFF"/>
          </w:tcPr>
          <w:p>
            <w:pPr>
              <w:jc w:val="right"/>
              <w:ind w:right="977"/>
              <w:spacing w:after="0"/>
              <w:rPr>
                <w:sz w:val="20"/>
                <w:szCs w:val="20"/>
                <w:color w:val="auto"/>
              </w:rPr>
            </w:pPr>
            <w:r>
              <w:rPr>
                <w:rFonts w:ascii="Arial" w:cs="Arial" w:eastAsia="Arial" w:hAnsi="Arial"/>
                <w:sz w:val="13"/>
                <w:szCs w:val="13"/>
                <w:color w:val="auto"/>
              </w:rPr>
              <w:t>42,000</w:t>
            </w:r>
          </w:p>
        </w:tc>
        <w:tc>
          <w:tcPr>
            <w:tcW w:w="1480" w:type="dxa"/>
            <w:vAlign w:val="bottom"/>
            <w:shd w:val="clear" w:color="auto" w:fill="CCEEFF"/>
          </w:tcPr>
          <w:p>
            <w:pPr>
              <w:jc w:val="right"/>
              <w:ind w:right="397"/>
              <w:spacing w:after="0"/>
              <w:rPr>
                <w:sz w:val="20"/>
                <w:szCs w:val="20"/>
                <w:color w:val="auto"/>
              </w:rPr>
            </w:pPr>
            <w:r>
              <w:rPr>
                <w:rFonts w:ascii="Arial" w:cs="Arial" w:eastAsia="Arial" w:hAnsi="Arial"/>
                <w:sz w:val="13"/>
                <w:szCs w:val="13"/>
                <w:color w:val="auto"/>
              </w:rPr>
              <w:t>195%</w:t>
            </w:r>
          </w:p>
        </w:tc>
        <w:tc>
          <w:tcPr>
            <w:tcW w:w="0" w:type="dxa"/>
            <w:vAlign w:val="bottom"/>
          </w:tcPr>
          <w:p>
            <w:pPr>
              <w:spacing w:after="0"/>
              <w:rPr>
                <w:sz w:val="1"/>
                <w:szCs w:val="1"/>
                <w:color w:val="auto"/>
              </w:rPr>
            </w:pPr>
          </w:p>
        </w:tc>
      </w:tr>
      <w:tr>
        <w:trPr>
          <w:trHeight w:val="161"/>
        </w:trPr>
        <w:tc>
          <w:tcPr>
            <w:tcW w:w="3920" w:type="dxa"/>
            <w:vAlign w:val="bottom"/>
            <w:gridSpan w:val="2"/>
          </w:tcPr>
          <w:p>
            <w:pPr>
              <w:spacing w:after="0"/>
              <w:rPr>
                <w:sz w:val="20"/>
                <w:szCs w:val="20"/>
                <w:color w:val="auto"/>
              </w:rPr>
            </w:pPr>
            <w:r>
              <w:rPr>
                <w:rFonts w:ascii="Arial" w:cs="Arial" w:eastAsia="Arial" w:hAnsi="Arial"/>
                <w:sz w:val="13"/>
                <w:szCs w:val="13"/>
                <w:color w:val="auto"/>
              </w:rPr>
              <w:t>Mr. Trevathan</w:t>
            </w:r>
          </w:p>
        </w:tc>
        <w:tc>
          <w:tcPr>
            <w:tcW w:w="4580" w:type="dxa"/>
            <w:vAlign w:val="bottom"/>
          </w:tcPr>
          <w:p>
            <w:pPr>
              <w:jc w:val="right"/>
              <w:ind w:right="977"/>
              <w:spacing w:after="0"/>
              <w:rPr>
                <w:sz w:val="20"/>
                <w:szCs w:val="20"/>
                <w:color w:val="auto"/>
              </w:rPr>
            </w:pPr>
            <w:r>
              <w:rPr>
                <w:rFonts w:ascii="Arial" w:cs="Arial" w:eastAsia="Arial" w:hAnsi="Arial"/>
                <w:sz w:val="13"/>
                <w:szCs w:val="13"/>
                <w:color w:val="auto"/>
              </w:rPr>
              <w:t>32,600</w:t>
            </w:r>
          </w:p>
        </w:tc>
        <w:tc>
          <w:tcPr>
            <w:tcW w:w="1480" w:type="dxa"/>
            <w:vAlign w:val="bottom"/>
          </w:tcPr>
          <w:p>
            <w:pPr>
              <w:jc w:val="right"/>
              <w:ind w:right="397"/>
              <w:spacing w:after="0"/>
              <w:rPr>
                <w:sz w:val="20"/>
                <w:szCs w:val="20"/>
                <w:color w:val="auto"/>
              </w:rPr>
            </w:pPr>
            <w:r>
              <w:rPr>
                <w:rFonts w:ascii="Arial" w:cs="Arial" w:eastAsia="Arial" w:hAnsi="Arial"/>
                <w:sz w:val="13"/>
                <w:szCs w:val="13"/>
                <w:color w:val="auto"/>
              </w:rPr>
              <w:t>218%</w:t>
            </w:r>
          </w:p>
        </w:tc>
        <w:tc>
          <w:tcPr>
            <w:tcW w:w="0" w:type="dxa"/>
            <w:vAlign w:val="bottom"/>
          </w:tcPr>
          <w:p>
            <w:pPr>
              <w:spacing w:after="0"/>
              <w:rPr>
                <w:sz w:val="1"/>
                <w:szCs w:val="1"/>
                <w:color w:val="auto"/>
              </w:rPr>
            </w:pPr>
          </w:p>
        </w:tc>
      </w:tr>
      <w:tr>
        <w:trPr>
          <w:trHeight w:val="161"/>
        </w:trPr>
        <w:tc>
          <w:tcPr>
            <w:tcW w:w="3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Mr. Woods</w:t>
            </w:r>
          </w:p>
        </w:tc>
        <w:tc>
          <w:tcPr>
            <w:tcW w:w="4580" w:type="dxa"/>
            <w:vAlign w:val="bottom"/>
            <w:shd w:val="clear" w:color="auto" w:fill="CCEEFF"/>
          </w:tcPr>
          <w:p>
            <w:pPr>
              <w:jc w:val="right"/>
              <w:ind w:right="977"/>
              <w:spacing w:after="0"/>
              <w:rPr>
                <w:sz w:val="20"/>
                <w:szCs w:val="20"/>
                <w:color w:val="auto"/>
              </w:rPr>
            </w:pPr>
            <w:r>
              <w:rPr>
                <w:rFonts w:ascii="Arial" w:cs="Arial" w:eastAsia="Arial" w:hAnsi="Arial"/>
                <w:sz w:val="13"/>
                <w:szCs w:val="13"/>
                <w:color w:val="auto"/>
              </w:rPr>
              <w:t>32,600</w:t>
            </w:r>
          </w:p>
        </w:tc>
        <w:tc>
          <w:tcPr>
            <w:tcW w:w="1480" w:type="dxa"/>
            <w:vAlign w:val="bottom"/>
            <w:shd w:val="clear" w:color="auto" w:fill="CCEEFF"/>
          </w:tcPr>
          <w:p>
            <w:pPr>
              <w:jc w:val="right"/>
              <w:ind w:right="397"/>
              <w:spacing w:after="0"/>
              <w:rPr>
                <w:sz w:val="20"/>
                <w:szCs w:val="20"/>
                <w:color w:val="auto"/>
              </w:rPr>
            </w:pPr>
            <w:r>
              <w:rPr>
                <w:rFonts w:ascii="Arial" w:cs="Arial" w:eastAsia="Arial" w:hAnsi="Arial"/>
                <w:sz w:val="13"/>
                <w:szCs w:val="13"/>
                <w:color w:val="auto"/>
              </w:rPr>
              <w:t>156%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6334760</wp:posOffset>
            </wp:positionH>
            <wp:positionV relativeFrom="paragraph">
              <wp:posOffset>-542925</wp:posOffset>
            </wp:positionV>
            <wp:extent cx="6350"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60" w:lineRule="exact"/>
        <w:rPr>
          <w:sz w:val="20"/>
          <w:szCs w:val="20"/>
          <w:color w:val="auto"/>
        </w:rPr>
      </w:pPr>
    </w:p>
    <w:p>
      <w:pPr>
        <w:ind w:left="680" w:right="60" w:firstLine="399"/>
        <w:spacing w:after="0" w:line="295" w:lineRule="auto"/>
        <w:rPr>
          <w:sz w:val="20"/>
          <w:szCs w:val="20"/>
          <w:color w:val="auto"/>
        </w:rPr>
      </w:pPr>
      <w:r>
        <w:rPr>
          <w:rFonts w:ascii="Arial" w:cs="Arial" w:eastAsia="Arial" w:hAnsi="Arial"/>
          <w:sz w:val="12"/>
          <w:szCs w:val="12"/>
          <w:i w:val="1"/>
          <w:iCs w:val="1"/>
          <w:color w:val="auto"/>
        </w:rPr>
        <w:t xml:space="preserve">Insider Trading — </w:t>
      </w:r>
      <w:r>
        <w:rPr>
          <w:rFonts w:ascii="Arial" w:cs="Arial" w:eastAsia="Arial" w:hAnsi="Arial"/>
          <w:sz w:val="12"/>
          <w:szCs w:val="12"/>
          <w:color w:val="auto"/>
        </w:rPr>
        <w:t>The Company maintains an insider trading policy that prohibits the named executive officers from engaging in most transactions involving the Company’s</w:t>
      </w:r>
      <w:r>
        <w:rPr>
          <w:rFonts w:ascii="Arial" w:cs="Arial" w:eastAsia="Arial" w:hAnsi="Arial"/>
          <w:sz w:val="12"/>
          <w:szCs w:val="12"/>
          <w:i w:val="1"/>
          <w:iCs w:val="1"/>
          <w:color w:val="auto"/>
        </w:rPr>
        <w:t xml:space="preserve"> </w:t>
      </w:r>
      <w:r>
        <w:rPr>
          <w:rFonts w:ascii="Arial" w:cs="Arial" w:eastAsia="Arial" w:hAnsi="Arial"/>
          <w:sz w:val="12"/>
          <w:szCs w:val="12"/>
          <w:color w:val="auto"/>
        </w:rPr>
        <w:t>Common Stock during periods, determined by the Company, that those executives are most likely to be aware of material inside information. Named executive officers must clear all of their transactions in our Common Stock with the Company’s General Counsel’s office to ensure they are not transacting in our securities during a time that they may have material, non-public information. Additionally, as a general matter, it is our policy that no transactions that reduce or cancel the risk of an investment in our Common Stock, such as puts, calls and other exchange-traded derivatives, or hedging activities that allow a holder to own a covered security without the full risks and rewards of ownership, will be cleared.</w:t>
      </w:r>
    </w:p>
    <w:p>
      <w:pPr>
        <w:spacing w:after="0" w:line="20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Executive Compensation</w:t>
      </w:r>
    </w:p>
    <w:p>
      <w:pPr>
        <w:spacing w:after="0" w:line="104" w:lineRule="exact"/>
        <w:rPr>
          <w:sz w:val="20"/>
          <w:szCs w:val="20"/>
          <w:color w:val="auto"/>
        </w:rPr>
      </w:pPr>
    </w:p>
    <w:p>
      <w:pPr>
        <w:jc w:val="both"/>
        <w:ind w:left="680" w:right="40" w:firstLine="399"/>
        <w:spacing w:after="0" w:line="276" w:lineRule="auto"/>
        <w:rPr>
          <w:sz w:val="20"/>
          <w:szCs w:val="20"/>
          <w:color w:val="auto"/>
        </w:rPr>
      </w:pPr>
      <w:r>
        <w:rPr>
          <w:rFonts w:ascii="Arial" w:cs="Arial" w:eastAsia="Arial" w:hAnsi="Arial"/>
          <w:sz w:val="13"/>
          <w:szCs w:val="13"/>
          <w:color w:val="auto"/>
        </w:rPr>
        <w:t>We are required to present compensation information in the tabular format prescribed by the SEC. This format, including the tables’ column headings, may be different from the way we describe or consider elements and components of compensation internally. We have provided the following information because we believe it may be useful to an understanding of the tables presented in this section. The CD&amp;A contains a</w:t>
      </w:r>
    </w:p>
    <w:p>
      <w:pPr>
        <w:spacing w:after="0" w:line="27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discussion that should be read in conjunction with these tables to gain a complete understanding of our executive compensation philosophy, programs and decisions.</w:t>
      </w:r>
    </w:p>
    <w:p>
      <w:pPr>
        <w:spacing w:after="0" w:line="102" w:lineRule="exact"/>
        <w:rPr>
          <w:sz w:val="20"/>
          <w:szCs w:val="20"/>
          <w:color w:val="auto"/>
        </w:rPr>
      </w:pPr>
    </w:p>
    <w:p>
      <w:pPr>
        <w:ind w:left="1300" w:right="800" w:hanging="208"/>
        <w:spacing w:after="0" w:line="294" w:lineRule="auto"/>
        <w:tabs>
          <w:tab w:leader="none" w:pos="13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Our annual cash bonuses are earned and paid based on the achievement of performance goals. As a result, they are included in the “Non-Equity Incentive Plan Compensation”column of the Summary Compensation Table.</w:t>
      </w:r>
    </w:p>
    <w:p>
      <w:pPr>
        <w:spacing w:after="0" w:line="36" w:lineRule="exact"/>
        <w:rPr>
          <w:rFonts w:ascii="Arial" w:cs="Arial" w:eastAsia="Arial" w:hAnsi="Arial"/>
          <w:sz w:val="13"/>
          <w:szCs w:val="13"/>
          <w:color w:val="auto"/>
        </w:rPr>
      </w:pPr>
    </w:p>
    <w:p>
      <w:pPr>
        <w:ind w:left="1300" w:right="40" w:hanging="208"/>
        <w:spacing w:after="0" w:line="276" w:lineRule="auto"/>
        <w:tabs>
          <w:tab w:leader="none" w:pos="13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As described in CD&amp;A, equity awards granted to the named executive officers include performance share units earned over a three-year performance period, after which shares of Common Stock may be issued depending on whether financial performance measures have been met. In 2007, named executives were also granted restricted stock units, which cliff-vested after a three-year period that ended in January 2010.</w:t>
      </w:r>
    </w:p>
    <w:p>
      <w:pPr>
        <w:spacing w:after="0" w:line="58" w:lineRule="exact"/>
        <w:rPr>
          <w:rFonts w:ascii="Arial" w:cs="Arial" w:eastAsia="Arial" w:hAnsi="Arial"/>
          <w:sz w:val="13"/>
          <w:szCs w:val="13"/>
          <w:color w:val="auto"/>
        </w:rPr>
      </w:pPr>
    </w:p>
    <w:p>
      <w:pPr>
        <w:ind w:left="1280" w:right="20"/>
        <w:spacing w:after="0" w:line="286" w:lineRule="auto"/>
        <w:rPr>
          <w:rFonts w:ascii="Arial" w:cs="Arial" w:eastAsia="Arial" w:hAnsi="Arial"/>
          <w:sz w:val="13"/>
          <w:szCs w:val="13"/>
          <w:color w:val="auto"/>
        </w:rPr>
      </w:pPr>
      <w:r>
        <w:rPr>
          <w:rFonts w:ascii="Arial" w:cs="Arial" w:eastAsia="Arial" w:hAnsi="Arial"/>
          <w:sz w:val="12"/>
          <w:szCs w:val="12"/>
          <w:color w:val="auto"/>
        </w:rPr>
        <w:t>The value of stock awards included in the tables is the aggregate fair value of the awards on the date of grant. For the restricted stock units granted in 2007, this means that the entire grant date fair value of the awards is included in the table even though the awards vested in full after a three-year service period ended in January 2010. In the case of performance share units, the value is based on what we believe the most probable outcome is at the date of grant, and excludes the effect of forfeitures. The grant date fair values in the tables are based on the “grant date” for accounting purposes, which generally is the date on which the material terms of the awards have been communicated to the named executives. The Compensation Committee determines the dollar value of equity awards at a meeting that precedes the date of grant, and determines a number of performance share units to be granted based on a thirty day trailing average of the market price of our Common Stock. As a result, the amounts in the tables show the grant date fair value for accounting purposes, which differs from the “value” of the awards granted by the Compensation Committee as shown in the CD&amp;A on page 27 of this Proxy Statement. These values are neither guarantees of performance by the Company nor compensation to the executives. Rather, they generally are the aggregate amounts the named executives may receive three years in the future if they and the Company meet expectations set by the Compensation Committee. We believe these values are helpful to readers, as they give the reader an understanding of the named executives’ potential compensation, and the amounts the Compensation Committee deemed appropriate compensation after the three-year period if the Company performed at target.</w:t>
      </w:r>
    </w:p>
    <w:p>
      <w:pPr>
        <w:spacing w:after="0" w:line="55" w:lineRule="exact"/>
        <w:rPr>
          <w:rFonts w:ascii="Arial" w:cs="Arial" w:eastAsia="Arial" w:hAnsi="Arial"/>
          <w:sz w:val="13"/>
          <w:szCs w:val="13"/>
          <w:color w:val="auto"/>
        </w:rPr>
      </w:pPr>
    </w:p>
    <w:p>
      <w:pPr>
        <w:ind w:left="1300" w:hanging="208"/>
        <w:spacing w:after="0" w:line="270" w:lineRule="auto"/>
        <w:tabs>
          <w:tab w:leader="none" w:pos="13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As described in CD&amp;A, our 2009 annual bonuses had threshold, target and maximum payouts based on the achievement of Company financial measures. In March 2010, we paid out bonuses to the named executives at 83.8% of target, as disclosed in the Summary Compensation Table. Notwithstanding that the bonuses were earned and paid, we included the threshold, target and maximum dollar amounts that were possible during 2009 in the “Estimated Possible Payouts Under Non-Equity Incentive Plan Awards,” in the Grant of Plan-Based Awards in 2009 table.</w:t>
      </w:r>
    </w:p>
    <w:p>
      <w:pPr>
        <w:spacing w:after="0" w:line="52" w:lineRule="exact"/>
        <w:rPr>
          <w:rFonts w:ascii="Arial" w:cs="Arial" w:eastAsia="Arial" w:hAnsi="Arial"/>
          <w:sz w:val="13"/>
          <w:szCs w:val="13"/>
          <w:color w:val="auto"/>
        </w:rPr>
      </w:pPr>
    </w:p>
    <w:p>
      <w:pPr>
        <w:ind w:left="1300" w:right="40" w:hanging="208"/>
        <w:spacing w:after="0" w:line="270" w:lineRule="auto"/>
        <w:tabs>
          <w:tab w:leader="none" w:pos="13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Although we consider all of our equity awards to be a form of incentive compensation because their value will increase as the market value of our Common Stock increases, only awards with performance criteria are considered “equity incentive plan awards” for SEC disclosure purposes. As a result, only performance share units have been included as “Equity Incentive Plan Awards” in the Outstanding Equity Awards at December 31, 2009 table. Restricted stock units, restricted stock awards and stock options, if any, are disclosed in other tables as applicable.</w:t>
      </w:r>
    </w:p>
    <w:p>
      <w:pPr>
        <w:spacing w:after="0" w:line="27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00"/>
          </w:cols>
          <w:pgMar w:left="220" w:top="349" w:right="107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ind w:left="4780"/>
        <w:spacing w:after="0"/>
        <w:rPr>
          <w:sz w:val="20"/>
          <w:szCs w:val="20"/>
          <w:color w:val="auto"/>
        </w:rPr>
      </w:pPr>
      <w:r>
        <w:rPr>
          <w:rFonts w:ascii="Arial" w:cs="Arial" w:eastAsia="Arial" w:hAnsi="Arial"/>
          <w:sz w:val="13"/>
          <w:szCs w:val="13"/>
          <w:b w:val="1"/>
          <w:bCs w:val="1"/>
          <w:color w:val="auto"/>
        </w:rPr>
        <w:t>Summary Compensation Table</w:t>
      </w:r>
    </w:p>
    <w:p>
      <w:pPr>
        <w:spacing w:after="0" w:line="93"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13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86"/>
              </w:rPr>
              <w:t>Stock</w:t>
            </w:r>
          </w:p>
        </w:tc>
        <w:tc>
          <w:tcPr>
            <w:tcW w:w="160" w:type="dxa"/>
            <w:vAlign w:val="bottom"/>
          </w:tcPr>
          <w:p>
            <w:pPr>
              <w:spacing w:after="0"/>
              <w:rPr>
                <w:sz w:val="10"/>
                <w:szCs w:val="10"/>
                <w:color w:val="auto"/>
              </w:rPr>
            </w:pPr>
          </w:p>
        </w:tc>
        <w:tc>
          <w:tcPr>
            <w:tcW w:w="1280" w:type="dxa"/>
            <w:vAlign w:val="bottom"/>
          </w:tcPr>
          <w:p>
            <w:pPr>
              <w:jc w:val="center"/>
              <w:spacing w:after="0"/>
              <w:rPr>
                <w:sz w:val="20"/>
                <w:szCs w:val="20"/>
                <w:color w:val="auto"/>
              </w:rPr>
            </w:pPr>
            <w:r>
              <w:rPr>
                <w:rFonts w:ascii="Arial" w:cs="Arial" w:eastAsia="Arial" w:hAnsi="Arial"/>
                <w:sz w:val="11"/>
                <w:szCs w:val="11"/>
                <w:b w:val="1"/>
                <w:bCs w:val="1"/>
                <w:color w:val="auto"/>
                <w:w w:val="88"/>
              </w:rPr>
              <w:t>Non-Equity</w:t>
            </w:r>
          </w:p>
        </w:tc>
        <w:tc>
          <w:tcPr>
            <w:tcW w:w="160" w:type="dxa"/>
            <w:vAlign w:val="bottom"/>
          </w:tcPr>
          <w:p>
            <w:pPr>
              <w:spacing w:after="0"/>
              <w:rPr>
                <w:sz w:val="10"/>
                <w:szCs w:val="10"/>
                <w:color w:val="auto"/>
              </w:rPr>
            </w:pPr>
          </w:p>
        </w:tc>
        <w:tc>
          <w:tcPr>
            <w:tcW w:w="11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4"/>
              </w:rPr>
              <w:t>All Other</w:t>
            </w: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vMerge w:val="restart"/>
          </w:tcPr>
          <w:p>
            <w:pPr>
              <w:jc w:val="right"/>
              <w:ind w:right="286"/>
              <w:spacing w:after="0"/>
              <w:rPr>
                <w:sz w:val="20"/>
                <w:szCs w:val="20"/>
                <w:color w:val="auto"/>
              </w:rPr>
            </w:pPr>
            <w:r>
              <w:rPr>
                <w:rFonts w:ascii="Arial" w:cs="Arial" w:eastAsia="Arial" w:hAnsi="Arial"/>
                <w:sz w:val="11"/>
                <w:szCs w:val="11"/>
                <w:b w:val="1"/>
                <w:bCs w:val="1"/>
                <w:color w:val="auto"/>
              </w:rPr>
              <w:t>Salary</w:t>
            </w:r>
          </w:p>
        </w:tc>
        <w:tc>
          <w:tcPr>
            <w:tcW w:w="16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9"/>
              </w:rPr>
              <w:t>Incentive Plan</w:t>
            </w:r>
          </w:p>
        </w:tc>
        <w:tc>
          <w:tcPr>
            <w:tcW w:w="16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83"/>
              </w:rPr>
              <w:t>Total</w:t>
            </w:r>
          </w:p>
        </w:tc>
        <w:tc>
          <w:tcPr>
            <w:tcW w:w="0" w:type="dxa"/>
            <w:vAlign w:val="bottom"/>
          </w:tcPr>
          <w:p>
            <w:pPr>
              <w:spacing w:after="0"/>
              <w:rPr>
                <w:sz w:val="1"/>
                <w:szCs w:val="1"/>
                <w:color w:val="auto"/>
              </w:rPr>
            </w:pPr>
          </w:p>
        </w:tc>
      </w:tr>
      <w:tr>
        <w:trPr>
          <w:trHeight w:val="121"/>
        </w:trPr>
        <w:tc>
          <w:tcPr>
            <w:tcW w:w="32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Name and Principal Position</w:t>
            </w: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85"/>
              </w:rPr>
              <w:t>Awards</w:t>
            </w:r>
          </w:p>
        </w:tc>
        <w:tc>
          <w:tcPr>
            <w:tcW w:w="160" w:type="dxa"/>
            <w:vAlign w:val="bottom"/>
          </w:tcPr>
          <w:p>
            <w:pPr>
              <w:spacing w:after="0"/>
              <w:rPr>
                <w:sz w:val="10"/>
                <w:szCs w:val="10"/>
                <w:color w:val="auto"/>
              </w:rPr>
            </w:pPr>
          </w:p>
        </w:tc>
        <w:tc>
          <w:tcPr>
            <w:tcW w:w="128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88"/>
              </w:rPr>
              <w:t>Compensation</w:t>
            </w:r>
          </w:p>
        </w:tc>
        <w:tc>
          <w:tcPr>
            <w:tcW w:w="160" w:type="dxa"/>
            <w:vAlign w:val="bottom"/>
          </w:tcPr>
          <w:p>
            <w:pPr>
              <w:spacing w:after="0"/>
              <w:rPr>
                <w:sz w:val="10"/>
                <w:szCs w:val="10"/>
                <w:color w:val="auto"/>
              </w:rPr>
            </w:pPr>
          </w:p>
        </w:tc>
        <w:tc>
          <w:tcPr>
            <w:tcW w:w="118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86"/>
              </w:rPr>
              <w:t>Compensation</w:t>
            </w:r>
          </w:p>
        </w:tc>
        <w:tc>
          <w:tcPr>
            <w:tcW w:w="16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32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jc w:val="center"/>
              <w:spacing w:after="0"/>
              <w:rPr>
                <w:sz w:val="20"/>
                <w:szCs w:val="20"/>
                <w:color w:val="auto"/>
              </w:rPr>
            </w:pPr>
            <w:r>
              <w:rPr>
                <w:rFonts w:ascii="Arial" w:cs="Arial" w:eastAsia="Arial" w:hAnsi="Arial"/>
                <w:sz w:val="11"/>
                <w:szCs w:val="11"/>
                <w:b w:val="1"/>
                <w:bCs w:val="1"/>
                <w:color w:val="auto"/>
                <w:w w:val="92"/>
              </w:rPr>
              <w:t>Year</w:t>
            </w:r>
          </w:p>
        </w:tc>
        <w:tc>
          <w:tcPr>
            <w:tcW w:w="1140" w:type="dxa"/>
            <w:vAlign w:val="bottom"/>
            <w:gridSpan w:val="2"/>
          </w:tcPr>
          <w:p>
            <w:pPr>
              <w:jc w:val="right"/>
              <w:ind w:right="366"/>
              <w:spacing w:after="0"/>
              <w:rPr>
                <w:sz w:val="20"/>
                <w:szCs w:val="20"/>
                <w:color w:val="auto"/>
              </w:rPr>
            </w:pPr>
            <w:r>
              <w:rPr>
                <w:rFonts w:ascii="Arial" w:cs="Arial" w:eastAsia="Arial" w:hAnsi="Arial"/>
                <w:sz w:val="11"/>
                <w:szCs w:val="11"/>
                <w:b w:val="1"/>
                <w:bCs w:val="1"/>
                <w:color w:val="auto"/>
              </w:rPr>
              <w:t>($)</w:t>
            </w:r>
          </w:p>
        </w:tc>
        <w:tc>
          <w:tcPr>
            <w:tcW w:w="1140" w:type="dxa"/>
            <w:vAlign w:val="bottom"/>
            <w:gridSpan w:val="2"/>
          </w:tcPr>
          <w:p>
            <w:pPr>
              <w:jc w:val="center"/>
              <w:ind w:left="94"/>
              <w:spacing w:after="0"/>
              <w:rPr>
                <w:sz w:val="20"/>
                <w:szCs w:val="20"/>
                <w:color w:val="auto"/>
              </w:rPr>
            </w:pPr>
            <w:r>
              <w:rPr>
                <w:rFonts w:ascii="Arial" w:cs="Arial" w:eastAsia="Arial" w:hAnsi="Arial"/>
                <w:sz w:val="11"/>
                <w:szCs w:val="11"/>
                <w:b w:val="1"/>
                <w:bCs w:val="1"/>
                <w:color w:val="auto"/>
                <w:w w:val="96"/>
              </w:rPr>
              <w:t>($)(1)</w:t>
            </w:r>
          </w:p>
        </w:tc>
        <w:tc>
          <w:tcPr>
            <w:tcW w:w="1440" w:type="dxa"/>
            <w:vAlign w:val="bottom"/>
            <w:gridSpan w:val="2"/>
          </w:tcPr>
          <w:p>
            <w:pPr>
              <w:jc w:val="center"/>
              <w:ind w:left="94"/>
              <w:spacing w:after="0"/>
              <w:rPr>
                <w:sz w:val="20"/>
                <w:szCs w:val="20"/>
                <w:color w:val="auto"/>
              </w:rPr>
            </w:pPr>
            <w:r>
              <w:rPr>
                <w:rFonts w:ascii="Arial" w:cs="Arial" w:eastAsia="Arial" w:hAnsi="Arial"/>
                <w:sz w:val="11"/>
                <w:szCs w:val="11"/>
                <w:b w:val="1"/>
                <w:bCs w:val="1"/>
                <w:color w:val="auto"/>
                <w:w w:val="88"/>
              </w:rPr>
              <w:t>($)</w:t>
            </w:r>
          </w:p>
        </w:tc>
        <w:tc>
          <w:tcPr>
            <w:tcW w:w="1340" w:type="dxa"/>
            <w:vAlign w:val="bottom"/>
            <w:gridSpan w:val="2"/>
          </w:tcPr>
          <w:p>
            <w:pPr>
              <w:jc w:val="center"/>
              <w:ind w:left="94"/>
              <w:spacing w:after="0"/>
              <w:rPr>
                <w:sz w:val="20"/>
                <w:szCs w:val="20"/>
                <w:color w:val="auto"/>
              </w:rPr>
            </w:pPr>
            <w:r>
              <w:rPr>
                <w:rFonts w:ascii="Arial" w:cs="Arial" w:eastAsia="Arial" w:hAnsi="Arial"/>
                <w:sz w:val="11"/>
                <w:szCs w:val="11"/>
                <w:b w:val="1"/>
                <w:bCs w:val="1"/>
                <w:color w:val="auto"/>
                <w:w w:val="96"/>
              </w:rPr>
              <w:t>($)(2)</w:t>
            </w:r>
          </w:p>
        </w:tc>
        <w:tc>
          <w:tcPr>
            <w:tcW w:w="1140" w:type="dxa"/>
            <w:vAlign w:val="bottom"/>
            <w:gridSpan w:val="2"/>
          </w:tcPr>
          <w:p>
            <w:pPr>
              <w:jc w:val="center"/>
              <w:ind w:left="94"/>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30"/>
        </w:trPr>
        <w:tc>
          <w:tcPr>
            <w:tcW w:w="13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3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David P. Steiner</w:t>
            </w:r>
          </w:p>
        </w:tc>
        <w:tc>
          <w:tcPr>
            <w:tcW w:w="580" w:type="dxa"/>
            <w:vAlign w:val="bottom"/>
            <w:gridSpan w:val="2"/>
            <w:shd w:val="clear" w:color="auto" w:fill="CCEEFF"/>
          </w:tcPr>
          <w:p>
            <w:pPr>
              <w:jc w:val="center"/>
              <w:ind w:left="93"/>
              <w:spacing w:after="0"/>
              <w:rPr>
                <w:sz w:val="20"/>
                <w:szCs w:val="20"/>
                <w:color w:val="auto"/>
              </w:rPr>
            </w:pPr>
            <w:r>
              <w:rPr>
                <w:rFonts w:ascii="Arial" w:cs="Arial" w:eastAsia="Arial" w:hAnsi="Arial"/>
                <w:sz w:val="13"/>
                <w:szCs w:val="13"/>
                <w:color w:val="auto"/>
                <w:w w:val="89"/>
              </w:rPr>
              <w:t>2009</w:t>
            </w:r>
          </w:p>
        </w:tc>
        <w:tc>
          <w:tcPr>
            <w:tcW w:w="1140" w:type="dxa"/>
            <w:vAlign w:val="bottom"/>
            <w:gridSpan w:val="2"/>
            <w:shd w:val="clear" w:color="auto" w:fill="CCEEFF"/>
          </w:tcPr>
          <w:p>
            <w:pPr>
              <w:jc w:val="right"/>
              <w:ind w:right="166"/>
              <w:spacing w:after="0"/>
              <w:rPr>
                <w:sz w:val="20"/>
                <w:szCs w:val="20"/>
                <w:color w:val="auto"/>
              </w:rPr>
            </w:pPr>
            <w:r>
              <w:rPr>
                <w:rFonts w:ascii="Arial" w:cs="Arial" w:eastAsia="Arial" w:hAnsi="Arial"/>
                <w:sz w:val="13"/>
                <w:szCs w:val="13"/>
                <w:color w:val="auto"/>
              </w:rPr>
              <w:t>1,116,346</w:t>
            </w:r>
          </w:p>
        </w:tc>
        <w:tc>
          <w:tcPr>
            <w:tcW w:w="1140" w:type="dxa"/>
            <w:vAlign w:val="bottom"/>
            <w:gridSpan w:val="2"/>
            <w:shd w:val="clear" w:color="auto" w:fill="CCEEFF"/>
          </w:tcPr>
          <w:p>
            <w:pPr>
              <w:jc w:val="right"/>
              <w:ind w:right="166"/>
              <w:spacing w:after="0"/>
              <w:rPr>
                <w:sz w:val="20"/>
                <w:szCs w:val="20"/>
                <w:color w:val="auto"/>
              </w:rPr>
            </w:pPr>
            <w:r>
              <w:rPr>
                <w:rFonts w:ascii="Arial" w:cs="Arial" w:eastAsia="Arial" w:hAnsi="Arial"/>
                <w:sz w:val="13"/>
                <w:szCs w:val="13"/>
                <w:color w:val="auto"/>
              </w:rPr>
              <w:t>3,069,956</w:t>
            </w:r>
          </w:p>
        </w:tc>
        <w:tc>
          <w:tcPr>
            <w:tcW w:w="1440" w:type="dxa"/>
            <w:vAlign w:val="bottom"/>
            <w:gridSpan w:val="2"/>
            <w:shd w:val="clear" w:color="auto" w:fill="CCEEFF"/>
          </w:tcPr>
          <w:p>
            <w:pPr>
              <w:jc w:val="right"/>
              <w:ind w:right="306"/>
              <w:spacing w:after="0"/>
              <w:rPr>
                <w:sz w:val="20"/>
                <w:szCs w:val="20"/>
                <w:color w:val="auto"/>
              </w:rPr>
            </w:pPr>
            <w:r>
              <w:rPr>
                <w:rFonts w:ascii="Arial" w:cs="Arial" w:eastAsia="Arial" w:hAnsi="Arial"/>
                <w:sz w:val="13"/>
                <w:szCs w:val="13"/>
                <w:color w:val="auto"/>
              </w:rPr>
              <w:t>1,035,978</w:t>
            </w:r>
          </w:p>
        </w:tc>
        <w:tc>
          <w:tcPr>
            <w:tcW w:w="1340" w:type="dxa"/>
            <w:vAlign w:val="bottom"/>
            <w:gridSpan w:val="2"/>
            <w:shd w:val="clear" w:color="auto" w:fill="CCEEFF"/>
          </w:tcPr>
          <w:p>
            <w:pPr>
              <w:jc w:val="right"/>
              <w:ind w:right="306"/>
              <w:spacing w:after="0"/>
              <w:rPr>
                <w:sz w:val="20"/>
                <w:szCs w:val="20"/>
                <w:color w:val="auto"/>
              </w:rPr>
            </w:pPr>
            <w:r>
              <w:rPr>
                <w:rFonts w:ascii="Arial" w:cs="Arial" w:eastAsia="Arial" w:hAnsi="Arial"/>
                <w:sz w:val="13"/>
                <w:szCs w:val="13"/>
                <w:color w:val="auto"/>
              </w:rPr>
              <w:t>258,524</w:t>
            </w:r>
          </w:p>
        </w:tc>
        <w:tc>
          <w:tcPr>
            <w:tcW w:w="1140" w:type="dxa"/>
            <w:vAlign w:val="bottom"/>
            <w:gridSpan w:val="2"/>
            <w:shd w:val="clear" w:color="auto" w:fill="CCEEFF"/>
          </w:tcPr>
          <w:p>
            <w:pPr>
              <w:jc w:val="center"/>
              <w:ind w:left="94"/>
              <w:spacing w:after="0"/>
              <w:rPr>
                <w:sz w:val="20"/>
                <w:szCs w:val="20"/>
                <w:color w:val="auto"/>
              </w:rPr>
            </w:pPr>
            <w:r>
              <w:rPr>
                <w:rFonts w:ascii="Arial" w:cs="Arial" w:eastAsia="Arial" w:hAnsi="Arial"/>
                <w:sz w:val="13"/>
                <w:szCs w:val="13"/>
                <w:color w:val="auto"/>
                <w:w w:val="93"/>
              </w:rPr>
              <w:t>5,480,804</w:t>
            </w:r>
          </w:p>
        </w:tc>
        <w:tc>
          <w:tcPr>
            <w:tcW w:w="0" w:type="dxa"/>
            <w:vAlign w:val="bottom"/>
          </w:tcPr>
          <w:p>
            <w:pPr>
              <w:spacing w:after="0"/>
              <w:rPr>
                <w:sz w:val="1"/>
                <w:szCs w:val="1"/>
                <w:color w:val="auto"/>
              </w:rPr>
            </w:pPr>
          </w:p>
        </w:tc>
      </w:tr>
      <w:tr>
        <w:trPr>
          <w:trHeight w:val="161"/>
        </w:trPr>
        <w:tc>
          <w:tcPr>
            <w:tcW w:w="32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Chief Executive Officer</w:t>
            </w: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2008</w:t>
            </w:r>
          </w:p>
        </w:tc>
        <w:tc>
          <w:tcPr>
            <w:tcW w:w="1140" w:type="dxa"/>
            <w:vAlign w:val="bottom"/>
            <w:gridSpan w:val="2"/>
            <w:shd w:val="clear" w:color="auto" w:fill="CCEEFF"/>
          </w:tcPr>
          <w:p>
            <w:pPr>
              <w:jc w:val="right"/>
              <w:ind w:right="166"/>
              <w:spacing w:after="0"/>
              <w:rPr>
                <w:sz w:val="20"/>
                <w:szCs w:val="20"/>
                <w:color w:val="auto"/>
              </w:rPr>
            </w:pPr>
            <w:r>
              <w:rPr>
                <w:rFonts w:ascii="Arial" w:cs="Arial" w:eastAsia="Arial" w:hAnsi="Arial"/>
                <w:sz w:val="13"/>
                <w:szCs w:val="13"/>
                <w:color w:val="auto"/>
              </w:rPr>
              <w:t>1,066,049</w:t>
            </w:r>
          </w:p>
        </w:tc>
        <w:tc>
          <w:tcPr>
            <w:tcW w:w="1140" w:type="dxa"/>
            <w:vAlign w:val="bottom"/>
            <w:gridSpan w:val="2"/>
            <w:shd w:val="clear" w:color="auto" w:fill="CCEEFF"/>
          </w:tcPr>
          <w:p>
            <w:pPr>
              <w:jc w:val="right"/>
              <w:ind w:right="166"/>
              <w:spacing w:after="0"/>
              <w:rPr>
                <w:sz w:val="20"/>
                <w:szCs w:val="20"/>
                <w:color w:val="auto"/>
              </w:rPr>
            </w:pPr>
            <w:r>
              <w:rPr>
                <w:rFonts w:ascii="Arial" w:cs="Arial" w:eastAsia="Arial" w:hAnsi="Arial"/>
                <w:sz w:val="13"/>
                <w:szCs w:val="13"/>
                <w:color w:val="auto"/>
              </w:rPr>
              <w:t>3,928,673</w:t>
            </w:r>
          </w:p>
        </w:tc>
        <w:tc>
          <w:tcPr>
            <w:tcW w:w="1440" w:type="dxa"/>
            <w:vAlign w:val="bottom"/>
            <w:gridSpan w:val="2"/>
            <w:shd w:val="clear" w:color="auto" w:fill="CCEEFF"/>
          </w:tcPr>
          <w:p>
            <w:pPr>
              <w:jc w:val="right"/>
              <w:ind w:right="306"/>
              <w:spacing w:after="0"/>
              <w:rPr>
                <w:sz w:val="20"/>
                <w:szCs w:val="20"/>
                <w:color w:val="auto"/>
              </w:rPr>
            </w:pPr>
            <w:r>
              <w:rPr>
                <w:rFonts w:ascii="Arial" w:cs="Arial" w:eastAsia="Arial" w:hAnsi="Arial"/>
                <w:sz w:val="13"/>
                <w:szCs w:val="13"/>
                <w:color w:val="auto"/>
              </w:rPr>
              <w:t>1,050,895</w:t>
            </w:r>
          </w:p>
        </w:tc>
        <w:tc>
          <w:tcPr>
            <w:tcW w:w="1340" w:type="dxa"/>
            <w:vAlign w:val="bottom"/>
            <w:gridSpan w:val="2"/>
            <w:shd w:val="clear" w:color="auto" w:fill="CCEEFF"/>
          </w:tcPr>
          <w:p>
            <w:pPr>
              <w:jc w:val="right"/>
              <w:ind w:right="306"/>
              <w:spacing w:after="0"/>
              <w:rPr>
                <w:sz w:val="20"/>
                <w:szCs w:val="20"/>
                <w:color w:val="auto"/>
              </w:rPr>
            </w:pPr>
            <w:r>
              <w:rPr>
                <w:rFonts w:ascii="Arial" w:cs="Arial" w:eastAsia="Arial" w:hAnsi="Arial"/>
                <w:sz w:val="13"/>
                <w:szCs w:val="13"/>
                <w:color w:val="auto"/>
              </w:rPr>
              <w:t>153,976</w:t>
            </w:r>
          </w:p>
        </w:tc>
        <w:tc>
          <w:tcPr>
            <w:tcW w:w="1140" w:type="dxa"/>
            <w:vAlign w:val="bottom"/>
            <w:gridSpan w:val="2"/>
            <w:shd w:val="clear" w:color="auto" w:fill="CCEEFF"/>
          </w:tcPr>
          <w:p>
            <w:pPr>
              <w:jc w:val="center"/>
              <w:ind w:left="94"/>
              <w:spacing w:after="0"/>
              <w:rPr>
                <w:sz w:val="20"/>
                <w:szCs w:val="20"/>
                <w:color w:val="auto"/>
              </w:rPr>
            </w:pPr>
            <w:r>
              <w:rPr>
                <w:rFonts w:ascii="Arial" w:cs="Arial" w:eastAsia="Arial" w:hAnsi="Arial"/>
                <w:sz w:val="13"/>
                <w:szCs w:val="13"/>
                <w:color w:val="auto"/>
                <w:w w:val="93"/>
              </w:rPr>
              <w:t>6,199,593</w:t>
            </w:r>
          </w:p>
        </w:tc>
        <w:tc>
          <w:tcPr>
            <w:tcW w:w="0" w:type="dxa"/>
            <w:vAlign w:val="bottom"/>
          </w:tcPr>
          <w:p>
            <w:pPr>
              <w:spacing w:after="0"/>
              <w:rPr>
                <w:sz w:val="1"/>
                <w:szCs w:val="1"/>
                <w:color w:val="auto"/>
              </w:rPr>
            </w:pPr>
          </w:p>
        </w:tc>
      </w:tr>
      <w:tr>
        <w:trPr>
          <w:trHeight w:val="161"/>
        </w:trPr>
        <w:tc>
          <w:tcPr>
            <w:tcW w:w="130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2007</w:t>
            </w:r>
          </w:p>
        </w:tc>
        <w:tc>
          <w:tcPr>
            <w:tcW w:w="1140" w:type="dxa"/>
            <w:vAlign w:val="bottom"/>
            <w:gridSpan w:val="2"/>
            <w:shd w:val="clear" w:color="auto" w:fill="CCEEFF"/>
          </w:tcPr>
          <w:p>
            <w:pPr>
              <w:jc w:val="right"/>
              <w:ind w:right="166"/>
              <w:spacing w:after="0"/>
              <w:rPr>
                <w:sz w:val="20"/>
                <w:szCs w:val="20"/>
                <w:color w:val="auto"/>
              </w:rPr>
            </w:pPr>
            <w:r>
              <w:rPr>
                <w:rFonts w:ascii="Arial" w:cs="Arial" w:eastAsia="Arial" w:hAnsi="Arial"/>
                <w:sz w:val="13"/>
                <w:szCs w:val="13"/>
                <w:color w:val="auto"/>
              </w:rPr>
              <w:t>998,077</w:t>
            </w:r>
          </w:p>
        </w:tc>
        <w:tc>
          <w:tcPr>
            <w:tcW w:w="1140" w:type="dxa"/>
            <w:vAlign w:val="bottom"/>
            <w:gridSpan w:val="2"/>
            <w:shd w:val="clear" w:color="auto" w:fill="CCEEFF"/>
          </w:tcPr>
          <w:p>
            <w:pPr>
              <w:jc w:val="right"/>
              <w:ind w:right="166"/>
              <w:spacing w:after="0"/>
              <w:rPr>
                <w:sz w:val="20"/>
                <w:szCs w:val="20"/>
                <w:color w:val="auto"/>
              </w:rPr>
            </w:pPr>
            <w:r>
              <w:rPr>
                <w:rFonts w:ascii="Arial" w:cs="Arial" w:eastAsia="Arial" w:hAnsi="Arial"/>
                <w:sz w:val="13"/>
                <w:szCs w:val="13"/>
                <w:color w:val="auto"/>
              </w:rPr>
              <w:t>3,497,982</w:t>
            </w:r>
          </w:p>
        </w:tc>
        <w:tc>
          <w:tcPr>
            <w:tcW w:w="1440" w:type="dxa"/>
            <w:vAlign w:val="bottom"/>
            <w:gridSpan w:val="2"/>
            <w:shd w:val="clear" w:color="auto" w:fill="CCEEFF"/>
          </w:tcPr>
          <w:p>
            <w:pPr>
              <w:jc w:val="right"/>
              <w:ind w:right="306"/>
              <w:spacing w:after="0"/>
              <w:rPr>
                <w:sz w:val="20"/>
                <w:szCs w:val="20"/>
                <w:color w:val="auto"/>
              </w:rPr>
            </w:pPr>
            <w:r>
              <w:rPr>
                <w:rFonts w:ascii="Arial" w:cs="Arial" w:eastAsia="Arial" w:hAnsi="Arial"/>
                <w:sz w:val="13"/>
                <w:szCs w:val="13"/>
                <w:color w:val="auto"/>
              </w:rPr>
              <w:t>1,612,277</w:t>
            </w:r>
          </w:p>
        </w:tc>
        <w:tc>
          <w:tcPr>
            <w:tcW w:w="1340" w:type="dxa"/>
            <w:vAlign w:val="bottom"/>
            <w:gridSpan w:val="2"/>
            <w:shd w:val="clear" w:color="auto" w:fill="CCEEFF"/>
          </w:tcPr>
          <w:p>
            <w:pPr>
              <w:jc w:val="right"/>
              <w:ind w:right="306"/>
              <w:spacing w:after="0"/>
              <w:rPr>
                <w:sz w:val="20"/>
                <w:szCs w:val="20"/>
                <w:color w:val="auto"/>
              </w:rPr>
            </w:pPr>
            <w:r>
              <w:rPr>
                <w:rFonts w:ascii="Arial" w:cs="Arial" w:eastAsia="Arial" w:hAnsi="Arial"/>
                <w:sz w:val="13"/>
                <w:szCs w:val="13"/>
                <w:color w:val="auto"/>
              </w:rPr>
              <w:t>131,058</w:t>
            </w:r>
          </w:p>
        </w:tc>
        <w:tc>
          <w:tcPr>
            <w:tcW w:w="1140" w:type="dxa"/>
            <w:vAlign w:val="bottom"/>
            <w:gridSpan w:val="2"/>
            <w:shd w:val="clear" w:color="auto" w:fill="CCEEFF"/>
          </w:tcPr>
          <w:p>
            <w:pPr>
              <w:jc w:val="center"/>
              <w:ind w:left="94"/>
              <w:spacing w:after="0"/>
              <w:rPr>
                <w:sz w:val="20"/>
                <w:szCs w:val="20"/>
                <w:color w:val="auto"/>
              </w:rPr>
            </w:pPr>
            <w:r>
              <w:rPr>
                <w:rFonts w:ascii="Arial" w:cs="Arial" w:eastAsia="Arial" w:hAnsi="Arial"/>
                <w:sz w:val="13"/>
                <w:szCs w:val="13"/>
                <w:color w:val="auto"/>
                <w:w w:val="93"/>
              </w:rPr>
              <w:t>6,239,394</w:t>
            </w:r>
          </w:p>
        </w:tc>
        <w:tc>
          <w:tcPr>
            <w:tcW w:w="0" w:type="dxa"/>
            <w:vAlign w:val="bottom"/>
          </w:tcPr>
          <w:p>
            <w:pPr>
              <w:spacing w:after="0"/>
              <w:rPr>
                <w:sz w:val="1"/>
                <w:szCs w:val="1"/>
                <w:color w:val="auto"/>
              </w:rPr>
            </w:pPr>
          </w:p>
        </w:tc>
      </w:tr>
      <w:tr>
        <w:trPr>
          <w:trHeight w:val="150"/>
        </w:trPr>
        <w:tc>
          <w:tcPr>
            <w:tcW w:w="3200" w:type="dxa"/>
            <w:vAlign w:val="bottom"/>
            <w:gridSpan w:val="2"/>
          </w:tcPr>
          <w:p>
            <w:pPr>
              <w:spacing w:after="0"/>
              <w:rPr>
                <w:sz w:val="20"/>
                <w:szCs w:val="20"/>
                <w:color w:val="auto"/>
              </w:rPr>
            </w:pPr>
            <w:r>
              <w:rPr>
                <w:rFonts w:ascii="Arial" w:cs="Arial" w:eastAsia="Arial" w:hAnsi="Arial"/>
                <w:sz w:val="13"/>
                <w:szCs w:val="13"/>
                <w:color w:val="auto"/>
              </w:rPr>
              <w:t>Lawrence O’Donnell, III</w:t>
            </w:r>
          </w:p>
        </w:tc>
        <w:tc>
          <w:tcPr>
            <w:tcW w:w="160" w:type="dxa"/>
            <w:vAlign w:val="bottom"/>
          </w:tcPr>
          <w:p>
            <w:pPr>
              <w:spacing w:after="0"/>
              <w:rPr>
                <w:sz w:val="13"/>
                <w:szCs w:val="13"/>
                <w:color w:val="auto"/>
              </w:rPr>
            </w:pPr>
          </w:p>
        </w:tc>
        <w:tc>
          <w:tcPr>
            <w:tcW w:w="420" w:type="dxa"/>
            <w:vAlign w:val="bottom"/>
          </w:tcPr>
          <w:p>
            <w:pPr>
              <w:jc w:val="center"/>
              <w:spacing w:after="0"/>
              <w:rPr>
                <w:sz w:val="20"/>
                <w:szCs w:val="20"/>
                <w:color w:val="auto"/>
              </w:rPr>
            </w:pPr>
            <w:r>
              <w:rPr>
                <w:rFonts w:ascii="Arial" w:cs="Arial" w:eastAsia="Arial" w:hAnsi="Arial"/>
                <w:sz w:val="13"/>
                <w:szCs w:val="13"/>
                <w:color w:val="auto"/>
                <w:w w:val="89"/>
              </w:rPr>
              <w:t>2009</w:t>
            </w:r>
          </w:p>
        </w:tc>
        <w:tc>
          <w:tcPr>
            <w:tcW w:w="1140" w:type="dxa"/>
            <w:vAlign w:val="bottom"/>
            <w:gridSpan w:val="2"/>
          </w:tcPr>
          <w:p>
            <w:pPr>
              <w:jc w:val="right"/>
              <w:ind w:right="166"/>
              <w:spacing w:after="0"/>
              <w:rPr>
                <w:sz w:val="20"/>
                <w:szCs w:val="20"/>
                <w:color w:val="auto"/>
              </w:rPr>
            </w:pPr>
            <w:r>
              <w:rPr>
                <w:rFonts w:ascii="Arial" w:cs="Arial" w:eastAsia="Arial" w:hAnsi="Arial"/>
                <w:sz w:val="13"/>
                <w:szCs w:val="13"/>
                <w:color w:val="auto"/>
              </w:rPr>
              <w:t>805,107</w:t>
            </w:r>
          </w:p>
        </w:tc>
        <w:tc>
          <w:tcPr>
            <w:tcW w:w="1140" w:type="dxa"/>
            <w:vAlign w:val="bottom"/>
            <w:gridSpan w:val="2"/>
          </w:tcPr>
          <w:p>
            <w:pPr>
              <w:jc w:val="right"/>
              <w:ind w:right="166"/>
              <w:spacing w:after="0"/>
              <w:rPr>
                <w:sz w:val="20"/>
                <w:szCs w:val="20"/>
                <w:color w:val="auto"/>
              </w:rPr>
            </w:pPr>
            <w:r>
              <w:rPr>
                <w:rFonts w:ascii="Arial" w:cs="Arial" w:eastAsia="Arial" w:hAnsi="Arial"/>
                <w:sz w:val="13"/>
                <w:szCs w:val="13"/>
                <w:color w:val="auto"/>
              </w:rPr>
              <w:t>1,255,155</w:t>
            </w:r>
          </w:p>
        </w:tc>
        <w:tc>
          <w:tcPr>
            <w:tcW w:w="1440" w:type="dxa"/>
            <w:vAlign w:val="bottom"/>
            <w:gridSpan w:val="2"/>
          </w:tcPr>
          <w:p>
            <w:pPr>
              <w:jc w:val="right"/>
              <w:ind w:right="306"/>
              <w:spacing w:after="0"/>
              <w:rPr>
                <w:sz w:val="20"/>
                <w:szCs w:val="20"/>
                <w:color w:val="auto"/>
              </w:rPr>
            </w:pPr>
            <w:r>
              <w:rPr>
                <w:rFonts w:ascii="Arial" w:cs="Arial" w:eastAsia="Arial" w:hAnsi="Arial"/>
                <w:sz w:val="13"/>
                <w:szCs w:val="13"/>
                <w:color w:val="auto"/>
              </w:rPr>
              <w:t>649,691</w:t>
            </w:r>
          </w:p>
        </w:tc>
        <w:tc>
          <w:tcPr>
            <w:tcW w:w="1340" w:type="dxa"/>
            <w:vAlign w:val="bottom"/>
            <w:gridSpan w:val="2"/>
          </w:tcPr>
          <w:p>
            <w:pPr>
              <w:jc w:val="right"/>
              <w:ind w:right="306"/>
              <w:spacing w:after="0"/>
              <w:rPr>
                <w:sz w:val="20"/>
                <w:szCs w:val="20"/>
                <w:color w:val="auto"/>
              </w:rPr>
            </w:pPr>
            <w:r>
              <w:rPr>
                <w:rFonts w:ascii="Arial" w:cs="Arial" w:eastAsia="Arial" w:hAnsi="Arial"/>
                <w:sz w:val="13"/>
                <w:szCs w:val="13"/>
                <w:color w:val="auto"/>
              </w:rPr>
              <w:t>66,818</w:t>
            </w:r>
          </w:p>
        </w:tc>
        <w:tc>
          <w:tcPr>
            <w:tcW w:w="1140" w:type="dxa"/>
            <w:vAlign w:val="bottom"/>
            <w:gridSpan w:val="2"/>
          </w:tcPr>
          <w:p>
            <w:pPr>
              <w:jc w:val="center"/>
              <w:ind w:left="94"/>
              <w:spacing w:after="0"/>
              <w:rPr>
                <w:sz w:val="20"/>
                <w:szCs w:val="20"/>
                <w:color w:val="auto"/>
              </w:rPr>
            </w:pPr>
            <w:r>
              <w:rPr>
                <w:rFonts w:ascii="Arial" w:cs="Arial" w:eastAsia="Arial" w:hAnsi="Arial"/>
                <w:sz w:val="13"/>
                <w:szCs w:val="13"/>
                <w:color w:val="auto"/>
                <w:w w:val="93"/>
              </w:rPr>
              <w:t>2,776,771</w:t>
            </w:r>
          </w:p>
        </w:tc>
        <w:tc>
          <w:tcPr>
            <w:tcW w:w="0" w:type="dxa"/>
            <w:vAlign w:val="bottom"/>
          </w:tcPr>
          <w:p>
            <w:pPr>
              <w:spacing w:after="0"/>
              <w:rPr>
                <w:sz w:val="1"/>
                <w:szCs w:val="1"/>
                <w:color w:val="auto"/>
              </w:rPr>
            </w:pPr>
          </w:p>
        </w:tc>
      </w:tr>
      <w:tr>
        <w:trPr>
          <w:trHeight w:val="161"/>
        </w:trPr>
        <w:tc>
          <w:tcPr>
            <w:tcW w:w="3200" w:type="dxa"/>
            <w:vAlign w:val="bottom"/>
            <w:gridSpan w:val="2"/>
          </w:tcPr>
          <w:p>
            <w:pPr>
              <w:ind w:left="140"/>
              <w:spacing w:after="0"/>
              <w:rPr>
                <w:sz w:val="20"/>
                <w:szCs w:val="20"/>
                <w:color w:val="auto"/>
              </w:rPr>
            </w:pPr>
            <w:r>
              <w:rPr>
                <w:rFonts w:ascii="Arial" w:cs="Arial" w:eastAsia="Arial" w:hAnsi="Arial"/>
                <w:sz w:val="13"/>
                <w:szCs w:val="13"/>
                <w:color w:val="auto"/>
              </w:rPr>
              <w:t>President &amp; Chief Operating</w:t>
            </w:r>
          </w:p>
        </w:tc>
        <w:tc>
          <w:tcPr>
            <w:tcW w:w="580" w:type="dxa"/>
            <w:vAlign w:val="bottom"/>
            <w:gridSpan w:val="2"/>
          </w:tcPr>
          <w:p>
            <w:pPr>
              <w:jc w:val="center"/>
              <w:ind w:left="93"/>
              <w:spacing w:after="0"/>
              <w:rPr>
                <w:sz w:val="20"/>
                <w:szCs w:val="20"/>
                <w:color w:val="auto"/>
              </w:rPr>
            </w:pPr>
            <w:r>
              <w:rPr>
                <w:rFonts w:ascii="Arial" w:cs="Arial" w:eastAsia="Arial" w:hAnsi="Arial"/>
                <w:sz w:val="13"/>
                <w:szCs w:val="13"/>
                <w:color w:val="auto"/>
                <w:w w:val="89"/>
              </w:rPr>
              <w:t>2008</w:t>
            </w:r>
          </w:p>
        </w:tc>
        <w:tc>
          <w:tcPr>
            <w:tcW w:w="1140" w:type="dxa"/>
            <w:vAlign w:val="bottom"/>
            <w:gridSpan w:val="2"/>
          </w:tcPr>
          <w:p>
            <w:pPr>
              <w:jc w:val="right"/>
              <w:ind w:right="166"/>
              <w:spacing w:after="0"/>
              <w:rPr>
                <w:sz w:val="20"/>
                <w:szCs w:val="20"/>
                <w:color w:val="auto"/>
              </w:rPr>
            </w:pPr>
            <w:r>
              <w:rPr>
                <w:rFonts w:ascii="Arial" w:cs="Arial" w:eastAsia="Arial" w:hAnsi="Arial"/>
                <w:sz w:val="13"/>
                <w:szCs w:val="13"/>
                <w:color w:val="auto"/>
              </w:rPr>
              <w:t>768,754</w:t>
            </w:r>
          </w:p>
        </w:tc>
        <w:tc>
          <w:tcPr>
            <w:tcW w:w="1140" w:type="dxa"/>
            <w:vAlign w:val="bottom"/>
            <w:gridSpan w:val="2"/>
          </w:tcPr>
          <w:p>
            <w:pPr>
              <w:jc w:val="right"/>
              <w:ind w:right="166"/>
              <w:spacing w:after="0"/>
              <w:rPr>
                <w:sz w:val="20"/>
                <w:szCs w:val="20"/>
                <w:color w:val="auto"/>
              </w:rPr>
            </w:pPr>
            <w:r>
              <w:rPr>
                <w:rFonts w:ascii="Arial" w:cs="Arial" w:eastAsia="Arial" w:hAnsi="Arial"/>
                <w:sz w:val="13"/>
                <w:szCs w:val="13"/>
                <w:color w:val="auto"/>
              </w:rPr>
              <w:t>1,606,233</w:t>
            </w:r>
          </w:p>
        </w:tc>
        <w:tc>
          <w:tcPr>
            <w:tcW w:w="1440" w:type="dxa"/>
            <w:vAlign w:val="bottom"/>
            <w:gridSpan w:val="2"/>
          </w:tcPr>
          <w:p>
            <w:pPr>
              <w:jc w:val="right"/>
              <w:ind w:right="306"/>
              <w:spacing w:after="0"/>
              <w:rPr>
                <w:sz w:val="20"/>
                <w:szCs w:val="20"/>
                <w:color w:val="auto"/>
              </w:rPr>
            </w:pPr>
            <w:r>
              <w:rPr>
                <w:rFonts w:ascii="Arial" w:cs="Arial" w:eastAsia="Arial" w:hAnsi="Arial"/>
                <w:sz w:val="13"/>
                <w:szCs w:val="13"/>
                <w:color w:val="auto"/>
              </w:rPr>
              <w:t>659,102</w:t>
            </w:r>
          </w:p>
        </w:tc>
        <w:tc>
          <w:tcPr>
            <w:tcW w:w="1340" w:type="dxa"/>
            <w:vAlign w:val="bottom"/>
            <w:gridSpan w:val="2"/>
          </w:tcPr>
          <w:p>
            <w:pPr>
              <w:jc w:val="right"/>
              <w:ind w:right="306"/>
              <w:spacing w:after="0"/>
              <w:rPr>
                <w:sz w:val="20"/>
                <w:szCs w:val="20"/>
                <w:color w:val="auto"/>
              </w:rPr>
            </w:pPr>
            <w:r>
              <w:rPr>
                <w:rFonts w:ascii="Arial" w:cs="Arial" w:eastAsia="Arial" w:hAnsi="Arial"/>
                <w:sz w:val="13"/>
                <w:szCs w:val="13"/>
                <w:color w:val="auto"/>
              </w:rPr>
              <w:t>83,289</w:t>
            </w:r>
          </w:p>
        </w:tc>
        <w:tc>
          <w:tcPr>
            <w:tcW w:w="1140" w:type="dxa"/>
            <w:vAlign w:val="bottom"/>
            <w:gridSpan w:val="2"/>
          </w:tcPr>
          <w:p>
            <w:pPr>
              <w:jc w:val="center"/>
              <w:ind w:left="114"/>
              <w:spacing w:after="0"/>
              <w:rPr>
                <w:sz w:val="20"/>
                <w:szCs w:val="20"/>
                <w:color w:val="auto"/>
              </w:rPr>
            </w:pPr>
            <w:r>
              <w:rPr>
                <w:rFonts w:ascii="Arial" w:cs="Arial" w:eastAsia="Arial" w:hAnsi="Arial"/>
                <w:sz w:val="13"/>
                <w:szCs w:val="13"/>
                <w:color w:val="auto"/>
                <w:w w:val="89"/>
              </w:rPr>
              <w:t>3,117,378</w:t>
            </w:r>
          </w:p>
        </w:tc>
        <w:tc>
          <w:tcPr>
            <w:tcW w:w="0" w:type="dxa"/>
            <w:vAlign w:val="bottom"/>
          </w:tcPr>
          <w:p>
            <w:pPr>
              <w:spacing w:after="0"/>
              <w:rPr>
                <w:sz w:val="1"/>
                <w:szCs w:val="1"/>
                <w:color w:val="auto"/>
              </w:rPr>
            </w:pPr>
          </w:p>
        </w:tc>
      </w:tr>
      <w:tr>
        <w:trPr>
          <w:trHeight w:val="172"/>
        </w:trPr>
        <w:tc>
          <w:tcPr>
            <w:tcW w:w="3200" w:type="dxa"/>
            <w:vAlign w:val="bottom"/>
            <w:gridSpan w:val="2"/>
          </w:tcPr>
          <w:p>
            <w:pPr>
              <w:ind w:left="140"/>
              <w:spacing w:after="0"/>
              <w:rPr>
                <w:sz w:val="20"/>
                <w:szCs w:val="20"/>
                <w:color w:val="auto"/>
              </w:rPr>
            </w:pPr>
            <w:r>
              <w:rPr>
                <w:rFonts w:ascii="Arial" w:cs="Arial" w:eastAsia="Arial" w:hAnsi="Arial"/>
                <w:sz w:val="13"/>
                <w:szCs w:val="13"/>
                <w:color w:val="auto"/>
              </w:rPr>
              <w:t>Officer</w:t>
            </w:r>
          </w:p>
        </w:tc>
        <w:tc>
          <w:tcPr>
            <w:tcW w:w="580" w:type="dxa"/>
            <w:vAlign w:val="bottom"/>
            <w:gridSpan w:val="2"/>
          </w:tcPr>
          <w:p>
            <w:pPr>
              <w:jc w:val="center"/>
              <w:ind w:left="93"/>
              <w:spacing w:after="0"/>
              <w:rPr>
                <w:sz w:val="20"/>
                <w:szCs w:val="20"/>
                <w:color w:val="auto"/>
              </w:rPr>
            </w:pPr>
            <w:r>
              <w:rPr>
                <w:rFonts w:ascii="Arial" w:cs="Arial" w:eastAsia="Arial" w:hAnsi="Arial"/>
                <w:sz w:val="13"/>
                <w:szCs w:val="13"/>
                <w:color w:val="auto"/>
                <w:w w:val="89"/>
              </w:rPr>
              <w:t>2007</w:t>
            </w:r>
          </w:p>
        </w:tc>
        <w:tc>
          <w:tcPr>
            <w:tcW w:w="1140" w:type="dxa"/>
            <w:vAlign w:val="bottom"/>
            <w:gridSpan w:val="2"/>
          </w:tcPr>
          <w:p>
            <w:pPr>
              <w:jc w:val="right"/>
              <w:ind w:right="166"/>
              <w:spacing w:after="0"/>
              <w:rPr>
                <w:sz w:val="20"/>
                <w:szCs w:val="20"/>
                <w:color w:val="auto"/>
              </w:rPr>
            </w:pPr>
            <w:r>
              <w:rPr>
                <w:rFonts w:ascii="Arial" w:cs="Arial" w:eastAsia="Arial" w:hAnsi="Arial"/>
                <w:sz w:val="13"/>
                <w:szCs w:val="13"/>
                <w:color w:val="auto"/>
              </w:rPr>
              <w:t>721,837</w:t>
            </w:r>
          </w:p>
        </w:tc>
        <w:tc>
          <w:tcPr>
            <w:tcW w:w="1140" w:type="dxa"/>
            <w:vAlign w:val="bottom"/>
            <w:gridSpan w:val="2"/>
          </w:tcPr>
          <w:p>
            <w:pPr>
              <w:jc w:val="right"/>
              <w:ind w:right="166"/>
              <w:spacing w:after="0"/>
              <w:rPr>
                <w:sz w:val="20"/>
                <w:szCs w:val="20"/>
                <w:color w:val="auto"/>
              </w:rPr>
            </w:pPr>
            <w:r>
              <w:rPr>
                <w:rFonts w:ascii="Arial" w:cs="Arial" w:eastAsia="Arial" w:hAnsi="Arial"/>
                <w:sz w:val="13"/>
                <w:szCs w:val="13"/>
                <w:color w:val="auto"/>
              </w:rPr>
              <w:t>1,484,117</w:t>
            </w:r>
          </w:p>
        </w:tc>
        <w:tc>
          <w:tcPr>
            <w:tcW w:w="1440" w:type="dxa"/>
            <w:vAlign w:val="bottom"/>
            <w:gridSpan w:val="2"/>
          </w:tcPr>
          <w:p>
            <w:pPr>
              <w:jc w:val="right"/>
              <w:ind w:right="306"/>
              <w:spacing w:after="0"/>
              <w:rPr>
                <w:sz w:val="20"/>
                <w:szCs w:val="20"/>
                <w:color w:val="auto"/>
              </w:rPr>
            </w:pPr>
            <w:r>
              <w:rPr>
                <w:rFonts w:ascii="Arial" w:cs="Arial" w:eastAsia="Arial" w:hAnsi="Arial"/>
                <w:sz w:val="13"/>
                <w:szCs w:val="13"/>
                <w:color w:val="auto"/>
              </w:rPr>
              <w:t>1,012,971</w:t>
            </w:r>
          </w:p>
        </w:tc>
        <w:tc>
          <w:tcPr>
            <w:tcW w:w="1340" w:type="dxa"/>
            <w:vAlign w:val="bottom"/>
            <w:gridSpan w:val="2"/>
          </w:tcPr>
          <w:p>
            <w:pPr>
              <w:jc w:val="right"/>
              <w:ind w:right="306"/>
              <w:spacing w:after="0"/>
              <w:rPr>
                <w:sz w:val="20"/>
                <w:szCs w:val="20"/>
                <w:color w:val="auto"/>
              </w:rPr>
            </w:pPr>
            <w:r>
              <w:rPr>
                <w:rFonts w:ascii="Arial" w:cs="Arial" w:eastAsia="Arial" w:hAnsi="Arial"/>
                <w:sz w:val="13"/>
                <w:szCs w:val="13"/>
                <w:color w:val="auto"/>
              </w:rPr>
              <w:t>64,749</w:t>
            </w:r>
          </w:p>
        </w:tc>
        <w:tc>
          <w:tcPr>
            <w:tcW w:w="1140" w:type="dxa"/>
            <w:vAlign w:val="bottom"/>
            <w:gridSpan w:val="2"/>
          </w:tcPr>
          <w:p>
            <w:pPr>
              <w:jc w:val="center"/>
              <w:ind w:left="94"/>
              <w:spacing w:after="0"/>
              <w:rPr>
                <w:sz w:val="20"/>
                <w:szCs w:val="20"/>
                <w:color w:val="auto"/>
              </w:rPr>
            </w:pPr>
            <w:r>
              <w:rPr>
                <w:rFonts w:ascii="Arial" w:cs="Arial" w:eastAsia="Arial" w:hAnsi="Arial"/>
                <w:sz w:val="13"/>
                <w:szCs w:val="13"/>
                <w:color w:val="auto"/>
                <w:w w:val="93"/>
              </w:rPr>
              <w:t>3,283,674</w:t>
            </w:r>
          </w:p>
        </w:tc>
        <w:tc>
          <w:tcPr>
            <w:tcW w:w="0" w:type="dxa"/>
            <w:vAlign w:val="bottom"/>
          </w:tcPr>
          <w:p>
            <w:pPr>
              <w:spacing w:after="0"/>
              <w:rPr>
                <w:sz w:val="1"/>
                <w:szCs w:val="1"/>
                <w:color w:val="auto"/>
              </w:rPr>
            </w:pPr>
          </w:p>
        </w:tc>
      </w:tr>
      <w:tr>
        <w:trPr>
          <w:trHeight w:val="161"/>
        </w:trPr>
        <w:tc>
          <w:tcPr>
            <w:tcW w:w="3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Robert G. Simpson</w:t>
            </w:r>
          </w:p>
        </w:tc>
        <w:tc>
          <w:tcPr>
            <w:tcW w:w="580" w:type="dxa"/>
            <w:vAlign w:val="bottom"/>
            <w:gridSpan w:val="2"/>
            <w:shd w:val="clear" w:color="auto" w:fill="CCEEFF"/>
          </w:tcPr>
          <w:p>
            <w:pPr>
              <w:jc w:val="center"/>
              <w:ind w:left="93"/>
              <w:spacing w:after="0"/>
              <w:rPr>
                <w:sz w:val="20"/>
                <w:szCs w:val="20"/>
                <w:color w:val="auto"/>
              </w:rPr>
            </w:pPr>
            <w:r>
              <w:rPr>
                <w:rFonts w:ascii="Arial" w:cs="Arial" w:eastAsia="Arial" w:hAnsi="Arial"/>
                <w:sz w:val="13"/>
                <w:szCs w:val="13"/>
                <w:color w:val="auto"/>
                <w:w w:val="89"/>
              </w:rPr>
              <w:t>2009</w:t>
            </w:r>
          </w:p>
        </w:tc>
        <w:tc>
          <w:tcPr>
            <w:tcW w:w="1140" w:type="dxa"/>
            <w:vAlign w:val="bottom"/>
            <w:gridSpan w:val="2"/>
            <w:shd w:val="clear" w:color="auto" w:fill="CCEEFF"/>
          </w:tcPr>
          <w:p>
            <w:pPr>
              <w:jc w:val="right"/>
              <w:ind w:right="166"/>
              <w:spacing w:after="0"/>
              <w:rPr>
                <w:sz w:val="20"/>
                <w:szCs w:val="20"/>
                <w:color w:val="auto"/>
              </w:rPr>
            </w:pPr>
            <w:r>
              <w:rPr>
                <w:rFonts w:ascii="Arial" w:cs="Arial" w:eastAsia="Arial" w:hAnsi="Arial"/>
                <w:sz w:val="13"/>
                <w:szCs w:val="13"/>
                <w:color w:val="auto"/>
              </w:rPr>
              <w:t>541,022</w:t>
            </w:r>
          </w:p>
        </w:tc>
        <w:tc>
          <w:tcPr>
            <w:tcW w:w="1140" w:type="dxa"/>
            <w:vAlign w:val="bottom"/>
            <w:gridSpan w:val="2"/>
            <w:shd w:val="clear" w:color="auto" w:fill="CCEEFF"/>
          </w:tcPr>
          <w:p>
            <w:pPr>
              <w:jc w:val="right"/>
              <w:ind w:right="166"/>
              <w:spacing w:after="0"/>
              <w:rPr>
                <w:sz w:val="20"/>
                <w:szCs w:val="20"/>
                <w:color w:val="auto"/>
              </w:rPr>
            </w:pPr>
            <w:r>
              <w:rPr>
                <w:rFonts w:ascii="Arial" w:cs="Arial" w:eastAsia="Arial" w:hAnsi="Arial"/>
                <w:sz w:val="13"/>
                <w:szCs w:val="13"/>
                <w:color w:val="auto"/>
              </w:rPr>
              <w:t>845,824</w:t>
            </w:r>
          </w:p>
        </w:tc>
        <w:tc>
          <w:tcPr>
            <w:tcW w:w="1440" w:type="dxa"/>
            <w:vAlign w:val="bottom"/>
            <w:gridSpan w:val="2"/>
            <w:shd w:val="clear" w:color="auto" w:fill="CCEEFF"/>
          </w:tcPr>
          <w:p>
            <w:pPr>
              <w:jc w:val="right"/>
              <w:ind w:right="306"/>
              <w:spacing w:after="0"/>
              <w:rPr>
                <w:sz w:val="20"/>
                <w:szCs w:val="20"/>
                <w:color w:val="auto"/>
              </w:rPr>
            </w:pPr>
            <w:r>
              <w:rPr>
                <w:rFonts w:ascii="Arial" w:cs="Arial" w:eastAsia="Arial" w:hAnsi="Arial"/>
                <w:sz w:val="13"/>
                <w:szCs w:val="13"/>
                <w:color w:val="auto"/>
              </w:rPr>
              <w:t>371,098</w:t>
            </w:r>
          </w:p>
        </w:tc>
        <w:tc>
          <w:tcPr>
            <w:tcW w:w="1340" w:type="dxa"/>
            <w:vAlign w:val="bottom"/>
            <w:gridSpan w:val="2"/>
            <w:shd w:val="clear" w:color="auto" w:fill="CCEEFF"/>
          </w:tcPr>
          <w:p>
            <w:pPr>
              <w:jc w:val="right"/>
              <w:ind w:right="306"/>
              <w:spacing w:after="0"/>
              <w:rPr>
                <w:sz w:val="20"/>
                <w:szCs w:val="20"/>
                <w:color w:val="auto"/>
              </w:rPr>
            </w:pPr>
            <w:r>
              <w:rPr>
                <w:rFonts w:ascii="Arial" w:cs="Arial" w:eastAsia="Arial" w:hAnsi="Arial"/>
                <w:sz w:val="13"/>
                <w:szCs w:val="13"/>
                <w:color w:val="auto"/>
              </w:rPr>
              <w:t>31,655</w:t>
            </w:r>
          </w:p>
        </w:tc>
        <w:tc>
          <w:tcPr>
            <w:tcW w:w="1140" w:type="dxa"/>
            <w:vAlign w:val="bottom"/>
            <w:gridSpan w:val="2"/>
            <w:shd w:val="clear" w:color="auto" w:fill="CCEEFF"/>
          </w:tcPr>
          <w:p>
            <w:pPr>
              <w:jc w:val="center"/>
              <w:ind w:left="94"/>
              <w:spacing w:after="0"/>
              <w:rPr>
                <w:sz w:val="20"/>
                <w:szCs w:val="20"/>
                <w:color w:val="auto"/>
              </w:rPr>
            </w:pPr>
            <w:r>
              <w:rPr>
                <w:rFonts w:ascii="Arial" w:cs="Arial" w:eastAsia="Arial" w:hAnsi="Arial"/>
                <w:sz w:val="13"/>
                <w:szCs w:val="13"/>
                <w:color w:val="auto"/>
                <w:w w:val="93"/>
              </w:rPr>
              <w:t>1,789,599</w:t>
            </w:r>
          </w:p>
        </w:tc>
        <w:tc>
          <w:tcPr>
            <w:tcW w:w="0" w:type="dxa"/>
            <w:vAlign w:val="bottom"/>
          </w:tcPr>
          <w:p>
            <w:pPr>
              <w:spacing w:after="0"/>
              <w:rPr>
                <w:sz w:val="1"/>
                <w:szCs w:val="1"/>
                <w:color w:val="auto"/>
              </w:rPr>
            </w:pPr>
          </w:p>
        </w:tc>
      </w:tr>
      <w:tr>
        <w:trPr>
          <w:trHeight w:val="161"/>
        </w:trPr>
        <w:tc>
          <w:tcPr>
            <w:tcW w:w="32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Senior Vice President &amp; Chief</w:t>
            </w: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2008</w:t>
            </w:r>
          </w:p>
        </w:tc>
        <w:tc>
          <w:tcPr>
            <w:tcW w:w="1140" w:type="dxa"/>
            <w:vAlign w:val="bottom"/>
            <w:gridSpan w:val="2"/>
            <w:shd w:val="clear" w:color="auto" w:fill="CCEEFF"/>
          </w:tcPr>
          <w:p>
            <w:pPr>
              <w:jc w:val="right"/>
              <w:ind w:right="166"/>
              <w:spacing w:after="0"/>
              <w:rPr>
                <w:sz w:val="20"/>
                <w:szCs w:val="20"/>
                <w:color w:val="auto"/>
              </w:rPr>
            </w:pPr>
            <w:r>
              <w:rPr>
                <w:rFonts w:ascii="Arial" w:cs="Arial" w:eastAsia="Arial" w:hAnsi="Arial"/>
                <w:sz w:val="13"/>
                <w:szCs w:val="13"/>
                <w:color w:val="auto"/>
              </w:rPr>
              <w:t>516,483</w:t>
            </w:r>
          </w:p>
        </w:tc>
        <w:tc>
          <w:tcPr>
            <w:tcW w:w="1140" w:type="dxa"/>
            <w:vAlign w:val="bottom"/>
            <w:gridSpan w:val="2"/>
            <w:shd w:val="clear" w:color="auto" w:fill="CCEEFF"/>
          </w:tcPr>
          <w:p>
            <w:pPr>
              <w:jc w:val="right"/>
              <w:ind w:right="166"/>
              <w:spacing w:after="0"/>
              <w:rPr>
                <w:sz w:val="20"/>
                <w:szCs w:val="20"/>
                <w:color w:val="auto"/>
              </w:rPr>
            </w:pPr>
            <w:r>
              <w:rPr>
                <w:rFonts w:ascii="Arial" w:cs="Arial" w:eastAsia="Arial" w:hAnsi="Arial"/>
                <w:sz w:val="13"/>
                <w:szCs w:val="13"/>
                <w:color w:val="auto"/>
              </w:rPr>
              <w:t>1,190,651</w:t>
            </w:r>
          </w:p>
        </w:tc>
        <w:tc>
          <w:tcPr>
            <w:tcW w:w="1440" w:type="dxa"/>
            <w:vAlign w:val="bottom"/>
            <w:gridSpan w:val="2"/>
            <w:shd w:val="clear" w:color="auto" w:fill="CCEEFF"/>
          </w:tcPr>
          <w:p>
            <w:pPr>
              <w:jc w:val="right"/>
              <w:ind w:right="306"/>
              <w:spacing w:after="0"/>
              <w:rPr>
                <w:sz w:val="20"/>
                <w:szCs w:val="20"/>
                <w:color w:val="auto"/>
              </w:rPr>
            </w:pPr>
            <w:r>
              <w:rPr>
                <w:rFonts w:ascii="Arial" w:cs="Arial" w:eastAsia="Arial" w:hAnsi="Arial"/>
                <w:sz w:val="13"/>
                <w:szCs w:val="13"/>
                <w:color w:val="auto"/>
              </w:rPr>
              <w:t>376,473</w:t>
            </w:r>
          </w:p>
        </w:tc>
        <w:tc>
          <w:tcPr>
            <w:tcW w:w="1340" w:type="dxa"/>
            <w:vAlign w:val="bottom"/>
            <w:gridSpan w:val="2"/>
            <w:shd w:val="clear" w:color="auto" w:fill="CCEEFF"/>
          </w:tcPr>
          <w:p>
            <w:pPr>
              <w:jc w:val="right"/>
              <w:ind w:right="306"/>
              <w:spacing w:after="0"/>
              <w:rPr>
                <w:sz w:val="20"/>
                <w:szCs w:val="20"/>
                <w:color w:val="auto"/>
              </w:rPr>
            </w:pPr>
            <w:r>
              <w:rPr>
                <w:rFonts w:ascii="Arial" w:cs="Arial" w:eastAsia="Arial" w:hAnsi="Arial"/>
                <w:sz w:val="13"/>
                <w:szCs w:val="13"/>
                <w:color w:val="auto"/>
              </w:rPr>
              <w:t>31,114</w:t>
            </w:r>
          </w:p>
        </w:tc>
        <w:tc>
          <w:tcPr>
            <w:tcW w:w="1140" w:type="dxa"/>
            <w:vAlign w:val="bottom"/>
            <w:gridSpan w:val="2"/>
            <w:shd w:val="clear" w:color="auto" w:fill="CCEEFF"/>
          </w:tcPr>
          <w:p>
            <w:pPr>
              <w:jc w:val="center"/>
              <w:ind w:left="114"/>
              <w:spacing w:after="0"/>
              <w:rPr>
                <w:sz w:val="20"/>
                <w:szCs w:val="20"/>
                <w:color w:val="auto"/>
              </w:rPr>
            </w:pPr>
            <w:r>
              <w:rPr>
                <w:rFonts w:ascii="Arial" w:cs="Arial" w:eastAsia="Arial" w:hAnsi="Arial"/>
                <w:sz w:val="13"/>
                <w:szCs w:val="13"/>
                <w:color w:val="auto"/>
                <w:w w:val="89"/>
              </w:rPr>
              <w:t>2,114,721</w:t>
            </w:r>
          </w:p>
        </w:tc>
        <w:tc>
          <w:tcPr>
            <w:tcW w:w="0" w:type="dxa"/>
            <w:vAlign w:val="bottom"/>
          </w:tcPr>
          <w:p>
            <w:pPr>
              <w:spacing w:after="0"/>
              <w:rPr>
                <w:sz w:val="1"/>
                <w:szCs w:val="1"/>
                <w:color w:val="auto"/>
              </w:rPr>
            </w:pPr>
          </w:p>
        </w:tc>
      </w:tr>
      <w:tr>
        <w:trPr>
          <w:trHeight w:val="161"/>
        </w:trPr>
        <w:tc>
          <w:tcPr>
            <w:tcW w:w="32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Financial Officer</w:t>
            </w: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2007</w:t>
            </w:r>
          </w:p>
        </w:tc>
        <w:tc>
          <w:tcPr>
            <w:tcW w:w="1140" w:type="dxa"/>
            <w:vAlign w:val="bottom"/>
            <w:gridSpan w:val="2"/>
            <w:shd w:val="clear" w:color="auto" w:fill="CCEEFF"/>
          </w:tcPr>
          <w:p>
            <w:pPr>
              <w:jc w:val="right"/>
              <w:ind w:right="166"/>
              <w:spacing w:after="0"/>
              <w:rPr>
                <w:sz w:val="20"/>
                <w:szCs w:val="20"/>
                <w:color w:val="auto"/>
              </w:rPr>
            </w:pPr>
            <w:r>
              <w:rPr>
                <w:rFonts w:ascii="Arial" w:cs="Arial" w:eastAsia="Arial" w:hAnsi="Arial"/>
                <w:sz w:val="13"/>
                <w:szCs w:val="13"/>
                <w:color w:val="auto"/>
              </w:rPr>
              <w:t>483,932</w:t>
            </w:r>
          </w:p>
        </w:tc>
        <w:tc>
          <w:tcPr>
            <w:tcW w:w="1140" w:type="dxa"/>
            <w:vAlign w:val="bottom"/>
            <w:gridSpan w:val="2"/>
            <w:shd w:val="clear" w:color="auto" w:fill="CCEEFF"/>
          </w:tcPr>
          <w:p>
            <w:pPr>
              <w:jc w:val="right"/>
              <w:ind w:right="166"/>
              <w:spacing w:after="0"/>
              <w:rPr>
                <w:sz w:val="20"/>
                <w:szCs w:val="20"/>
                <w:color w:val="auto"/>
              </w:rPr>
            </w:pPr>
            <w:r>
              <w:rPr>
                <w:rFonts w:ascii="Arial" w:cs="Arial" w:eastAsia="Arial" w:hAnsi="Arial"/>
                <w:sz w:val="13"/>
                <w:szCs w:val="13"/>
                <w:color w:val="auto"/>
              </w:rPr>
              <w:t>1,166,119</w:t>
            </w:r>
          </w:p>
        </w:tc>
        <w:tc>
          <w:tcPr>
            <w:tcW w:w="1440" w:type="dxa"/>
            <w:vAlign w:val="bottom"/>
            <w:gridSpan w:val="2"/>
            <w:shd w:val="clear" w:color="auto" w:fill="CCEEFF"/>
          </w:tcPr>
          <w:p>
            <w:pPr>
              <w:jc w:val="right"/>
              <w:ind w:right="306"/>
              <w:spacing w:after="0"/>
              <w:rPr>
                <w:sz w:val="20"/>
                <w:szCs w:val="20"/>
                <w:color w:val="auto"/>
              </w:rPr>
            </w:pPr>
            <w:r>
              <w:rPr>
                <w:rFonts w:ascii="Arial" w:cs="Arial" w:eastAsia="Arial" w:hAnsi="Arial"/>
                <w:sz w:val="13"/>
                <w:szCs w:val="13"/>
                <w:color w:val="auto"/>
              </w:rPr>
              <w:t>576,880</w:t>
            </w:r>
          </w:p>
        </w:tc>
        <w:tc>
          <w:tcPr>
            <w:tcW w:w="1340" w:type="dxa"/>
            <w:vAlign w:val="bottom"/>
            <w:gridSpan w:val="2"/>
            <w:shd w:val="clear" w:color="auto" w:fill="CCEEFF"/>
          </w:tcPr>
          <w:p>
            <w:pPr>
              <w:jc w:val="right"/>
              <w:ind w:right="306"/>
              <w:spacing w:after="0"/>
              <w:rPr>
                <w:sz w:val="20"/>
                <w:szCs w:val="20"/>
                <w:color w:val="auto"/>
              </w:rPr>
            </w:pPr>
            <w:r>
              <w:rPr>
                <w:rFonts w:ascii="Arial" w:cs="Arial" w:eastAsia="Arial" w:hAnsi="Arial"/>
                <w:sz w:val="13"/>
                <w:szCs w:val="13"/>
                <w:color w:val="auto"/>
              </w:rPr>
              <w:t>55,863</w:t>
            </w:r>
          </w:p>
        </w:tc>
        <w:tc>
          <w:tcPr>
            <w:tcW w:w="1140" w:type="dxa"/>
            <w:vAlign w:val="bottom"/>
            <w:gridSpan w:val="2"/>
            <w:shd w:val="clear" w:color="auto" w:fill="CCEEFF"/>
          </w:tcPr>
          <w:p>
            <w:pPr>
              <w:jc w:val="center"/>
              <w:ind w:left="94"/>
              <w:spacing w:after="0"/>
              <w:rPr>
                <w:sz w:val="20"/>
                <w:szCs w:val="20"/>
                <w:color w:val="auto"/>
              </w:rPr>
            </w:pPr>
            <w:r>
              <w:rPr>
                <w:rFonts w:ascii="Arial" w:cs="Arial" w:eastAsia="Arial" w:hAnsi="Arial"/>
                <w:sz w:val="13"/>
                <w:szCs w:val="13"/>
                <w:color w:val="auto"/>
                <w:w w:val="93"/>
              </w:rPr>
              <w:t>2,282,794</w:t>
            </w:r>
          </w:p>
        </w:tc>
        <w:tc>
          <w:tcPr>
            <w:tcW w:w="0" w:type="dxa"/>
            <w:vAlign w:val="bottom"/>
          </w:tcPr>
          <w:p>
            <w:pPr>
              <w:spacing w:after="0"/>
              <w:rPr>
                <w:sz w:val="1"/>
                <w:szCs w:val="1"/>
                <w:color w:val="auto"/>
              </w:rPr>
            </w:pPr>
          </w:p>
        </w:tc>
      </w:tr>
      <w:tr>
        <w:trPr>
          <w:trHeight w:val="150"/>
        </w:trPr>
        <w:tc>
          <w:tcPr>
            <w:tcW w:w="3200" w:type="dxa"/>
            <w:vAlign w:val="bottom"/>
            <w:gridSpan w:val="2"/>
          </w:tcPr>
          <w:p>
            <w:pPr>
              <w:spacing w:after="0"/>
              <w:rPr>
                <w:sz w:val="20"/>
                <w:szCs w:val="20"/>
                <w:color w:val="auto"/>
              </w:rPr>
            </w:pPr>
            <w:r>
              <w:rPr>
                <w:rFonts w:ascii="Arial" w:cs="Arial" w:eastAsia="Arial" w:hAnsi="Arial"/>
                <w:sz w:val="13"/>
                <w:szCs w:val="13"/>
                <w:color w:val="auto"/>
              </w:rPr>
              <w:t>James E. Trevathan</w:t>
            </w:r>
          </w:p>
        </w:tc>
        <w:tc>
          <w:tcPr>
            <w:tcW w:w="160" w:type="dxa"/>
            <w:vAlign w:val="bottom"/>
          </w:tcPr>
          <w:p>
            <w:pPr>
              <w:spacing w:after="0"/>
              <w:rPr>
                <w:sz w:val="13"/>
                <w:szCs w:val="13"/>
                <w:color w:val="auto"/>
              </w:rPr>
            </w:pPr>
          </w:p>
        </w:tc>
        <w:tc>
          <w:tcPr>
            <w:tcW w:w="420" w:type="dxa"/>
            <w:vAlign w:val="bottom"/>
          </w:tcPr>
          <w:p>
            <w:pPr>
              <w:jc w:val="center"/>
              <w:spacing w:after="0"/>
              <w:rPr>
                <w:sz w:val="20"/>
                <w:szCs w:val="20"/>
                <w:color w:val="auto"/>
              </w:rPr>
            </w:pPr>
            <w:r>
              <w:rPr>
                <w:rFonts w:ascii="Arial" w:cs="Arial" w:eastAsia="Arial" w:hAnsi="Arial"/>
                <w:sz w:val="13"/>
                <w:szCs w:val="13"/>
                <w:color w:val="auto"/>
                <w:w w:val="89"/>
              </w:rPr>
              <w:t>2009</w:t>
            </w:r>
          </w:p>
        </w:tc>
        <w:tc>
          <w:tcPr>
            <w:tcW w:w="1140" w:type="dxa"/>
            <w:vAlign w:val="bottom"/>
            <w:gridSpan w:val="2"/>
          </w:tcPr>
          <w:p>
            <w:pPr>
              <w:jc w:val="right"/>
              <w:ind w:right="166"/>
              <w:spacing w:after="0"/>
              <w:rPr>
                <w:sz w:val="20"/>
                <w:szCs w:val="20"/>
                <w:color w:val="auto"/>
              </w:rPr>
            </w:pPr>
            <w:r>
              <w:rPr>
                <w:rFonts w:ascii="Arial" w:cs="Arial" w:eastAsia="Arial" w:hAnsi="Arial"/>
                <w:sz w:val="13"/>
                <w:szCs w:val="13"/>
                <w:color w:val="auto"/>
              </w:rPr>
              <w:t>566,298</w:t>
            </w:r>
          </w:p>
        </w:tc>
        <w:tc>
          <w:tcPr>
            <w:tcW w:w="1140" w:type="dxa"/>
            <w:vAlign w:val="bottom"/>
            <w:gridSpan w:val="2"/>
          </w:tcPr>
          <w:p>
            <w:pPr>
              <w:jc w:val="right"/>
              <w:ind w:right="166"/>
              <w:spacing w:after="0"/>
              <w:rPr>
                <w:sz w:val="20"/>
                <w:szCs w:val="20"/>
                <w:color w:val="auto"/>
              </w:rPr>
            </w:pPr>
            <w:r>
              <w:rPr>
                <w:rFonts w:ascii="Arial" w:cs="Arial" w:eastAsia="Arial" w:hAnsi="Arial"/>
                <w:sz w:val="13"/>
                <w:szCs w:val="13"/>
                <w:color w:val="auto"/>
              </w:rPr>
              <w:t>499,973</w:t>
            </w:r>
          </w:p>
        </w:tc>
        <w:tc>
          <w:tcPr>
            <w:tcW w:w="1440" w:type="dxa"/>
            <w:vAlign w:val="bottom"/>
            <w:gridSpan w:val="2"/>
          </w:tcPr>
          <w:p>
            <w:pPr>
              <w:jc w:val="right"/>
              <w:ind w:right="306"/>
              <w:spacing w:after="0"/>
              <w:rPr>
                <w:sz w:val="20"/>
                <w:szCs w:val="20"/>
                <w:color w:val="auto"/>
              </w:rPr>
            </w:pPr>
            <w:r>
              <w:rPr>
                <w:rFonts w:ascii="Arial" w:cs="Arial" w:eastAsia="Arial" w:hAnsi="Arial"/>
                <w:sz w:val="13"/>
                <w:szCs w:val="13"/>
                <w:color w:val="auto"/>
              </w:rPr>
              <w:t>403,374</w:t>
            </w:r>
          </w:p>
        </w:tc>
        <w:tc>
          <w:tcPr>
            <w:tcW w:w="1340" w:type="dxa"/>
            <w:vAlign w:val="bottom"/>
            <w:gridSpan w:val="2"/>
          </w:tcPr>
          <w:p>
            <w:pPr>
              <w:jc w:val="right"/>
              <w:ind w:right="306"/>
              <w:spacing w:after="0"/>
              <w:rPr>
                <w:sz w:val="20"/>
                <w:szCs w:val="20"/>
                <w:color w:val="auto"/>
              </w:rPr>
            </w:pPr>
            <w:r>
              <w:rPr>
                <w:rFonts w:ascii="Arial" w:cs="Arial" w:eastAsia="Arial" w:hAnsi="Arial"/>
                <w:sz w:val="13"/>
                <w:szCs w:val="13"/>
                <w:color w:val="auto"/>
              </w:rPr>
              <w:t>12,575</w:t>
            </w:r>
          </w:p>
        </w:tc>
        <w:tc>
          <w:tcPr>
            <w:tcW w:w="1140" w:type="dxa"/>
            <w:vAlign w:val="bottom"/>
            <w:gridSpan w:val="2"/>
          </w:tcPr>
          <w:p>
            <w:pPr>
              <w:jc w:val="center"/>
              <w:ind w:left="94"/>
              <w:spacing w:after="0"/>
              <w:rPr>
                <w:sz w:val="20"/>
                <w:szCs w:val="20"/>
                <w:color w:val="auto"/>
              </w:rPr>
            </w:pPr>
            <w:r>
              <w:rPr>
                <w:rFonts w:ascii="Arial" w:cs="Arial" w:eastAsia="Arial" w:hAnsi="Arial"/>
                <w:sz w:val="13"/>
                <w:szCs w:val="13"/>
                <w:color w:val="auto"/>
                <w:w w:val="93"/>
              </w:rPr>
              <w:t>1,482,220</w:t>
            </w:r>
          </w:p>
        </w:tc>
        <w:tc>
          <w:tcPr>
            <w:tcW w:w="0" w:type="dxa"/>
            <w:vAlign w:val="bottom"/>
          </w:tcPr>
          <w:p>
            <w:pPr>
              <w:spacing w:after="0"/>
              <w:rPr>
                <w:sz w:val="1"/>
                <w:szCs w:val="1"/>
                <w:color w:val="auto"/>
              </w:rPr>
            </w:pPr>
          </w:p>
        </w:tc>
      </w:tr>
      <w:tr>
        <w:trPr>
          <w:trHeight w:val="161"/>
        </w:trPr>
        <w:tc>
          <w:tcPr>
            <w:tcW w:w="3200" w:type="dxa"/>
            <w:vAlign w:val="bottom"/>
            <w:gridSpan w:val="2"/>
          </w:tcPr>
          <w:p>
            <w:pPr>
              <w:ind w:left="140"/>
              <w:spacing w:after="0"/>
              <w:rPr>
                <w:sz w:val="20"/>
                <w:szCs w:val="20"/>
                <w:color w:val="auto"/>
              </w:rPr>
            </w:pPr>
            <w:r>
              <w:rPr>
                <w:rFonts w:ascii="Arial" w:cs="Arial" w:eastAsia="Arial" w:hAnsi="Arial"/>
                <w:sz w:val="13"/>
                <w:szCs w:val="13"/>
                <w:color w:val="auto"/>
              </w:rPr>
              <w:t>Senior Vice President — Southern</w:t>
            </w:r>
          </w:p>
        </w:tc>
        <w:tc>
          <w:tcPr>
            <w:tcW w:w="580" w:type="dxa"/>
            <w:vAlign w:val="bottom"/>
            <w:gridSpan w:val="2"/>
          </w:tcPr>
          <w:p>
            <w:pPr>
              <w:jc w:val="center"/>
              <w:ind w:left="93"/>
              <w:spacing w:after="0"/>
              <w:rPr>
                <w:sz w:val="20"/>
                <w:szCs w:val="20"/>
                <w:color w:val="auto"/>
              </w:rPr>
            </w:pPr>
            <w:r>
              <w:rPr>
                <w:rFonts w:ascii="Arial" w:cs="Arial" w:eastAsia="Arial" w:hAnsi="Arial"/>
                <w:sz w:val="13"/>
                <w:szCs w:val="13"/>
                <w:color w:val="auto"/>
                <w:w w:val="89"/>
              </w:rPr>
              <w:t>2008</w:t>
            </w:r>
          </w:p>
        </w:tc>
        <w:tc>
          <w:tcPr>
            <w:tcW w:w="1140" w:type="dxa"/>
            <w:vAlign w:val="bottom"/>
            <w:gridSpan w:val="2"/>
          </w:tcPr>
          <w:p>
            <w:pPr>
              <w:jc w:val="right"/>
              <w:ind w:right="166"/>
              <w:spacing w:after="0"/>
              <w:rPr>
                <w:sz w:val="20"/>
                <w:szCs w:val="20"/>
                <w:color w:val="auto"/>
              </w:rPr>
            </w:pPr>
            <w:r>
              <w:rPr>
                <w:rFonts w:ascii="Arial" w:cs="Arial" w:eastAsia="Arial" w:hAnsi="Arial"/>
                <w:sz w:val="13"/>
                <w:szCs w:val="13"/>
                <w:color w:val="auto"/>
              </w:rPr>
              <w:t>562,105</w:t>
            </w:r>
          </w:p>
        </w:tc>
        <w:tc>
          <w:tcPr>
            <w:tcW w:w="1140" w:type="dxa"/>
            <w:vAlign w:val="bottom"/>
            <w:gridSpan w:val="2"/>
          </w:tcPr>
          <w:p>
            <w:pPr>
              <w:jc w:val="right"/>
              <w:ind w:right="166"/>
              <w:spacing w:after="0"/>
              <w:rPr>
                <w:sz w:val="20"/>
                <w:szCs w:val="20"/>
                <w:color w:val="auto"/>
              </w:rPr>
            </w:pPr>
            <w:r>
              <w:rPr>
                <w:rFonts w:ascii="Arial" w:cs="Arial" w:eastAsia="Arial" w:hAnsi="Arial"/>
                <w:sz w:val="13"/>
                <w:szCs w:val="13"/>
                <w:color w:val="auto"/>
              </w:rPr>
              <w:t>703,797</w:t>
            </w:r>
          </w:p>
        </w:tc>
        <w:tc>
          <w:tcPr>
            <w:tcW w:w="1440" w:type="dxa"/>
            <w:vAlign w:val="bottom"/>
            <w:gridSpan w:val="2"/>
          </w:tcPr>
          <w:p>
            <w:pPr>
              <w:jc w:val="right"/>
              <w:ind w:right="306"/>
              <w:spacing w:after="0"/>
              <w:rPr>
                <w:sz w:val="20"/>
                <w:szCs w:val="20"/>
                <w:color w:val="auto"/>
              </w:rPr>
            </w:pPr>
            <w:r>
              <w:rPr>
                <w:rFonts w:ascii="Arial" w:cs="Arial" w:eastAsia="Arial" w:hAnsi="Arial"/>
                <w:sz w:val="13"/>
                <w:szCs w:val="13"/>
                <w:color w:val="auto"/>
              </w:rPr>
              <w:t>409,936</w:t>
            </w:r>
          </w:p>
        </w:tc>
        <w:tc>
          <w:tcPr>
            <w:tcW w:w="1340" w:type="dxa"/>
            <w:vAlign w:val="bottom"/>
            <w:gridSpan w:val="2"/>
          </w:tcPr>
          <w:p>
            <w:pPr>
              <w:jc w:val="right"/>
              <w:ind w:right="306"/>
              <w:spacing w:after="0"/>
              <w:rPr>
                <w:sz w:val="20"/>
                <w:szCs w:val="20"/>
                <w:color w:val="auto"/>
              </w:rPr>
            </w:pPr>
            <w:r>
              <w:rPr>
                <w:rFonts w:ascii="Arial" w:cs="Arial" w:eastAsia="Arial" w:hAnsi="Arial"/>
                <w:sz w:val="13"/>
                <w:szCs w:val="13"/>
                <w:color w:val="auto"/>
              </w:rPr>
              <w:t>32,855</w:t>
            </w:r>
          </w:p>
        </w:tc>
        <w:tc>
          <w:tcPr>
            <w:tcW w:w="1140" w:type="dxa"/>
            <w:vAlign w:val="bottom"/>
            <w:gridSpan w:val="2"/>
          </w:tcPr>
          <w:p>
            <w:pPr>
              <w:jc w:val="center"/>
              <w:ind w:left="94"/>
              <w:spacing w:after="0"/>
              <w:rPr>
                <w:sz w:val="20"/>
                <w:szCs w:val="20"/>
                <w:color w:val="auto"/>
              </w:rPr>
            </w:pPr>
            <w:r>
              <w:rPr>
                <w:rFonts w:ascii="Arial" w:cs="Arial" w:eastAsia="Arial" w:hAnsi="Arial"/>
                <w:sz w:val="13"/>
                <w:szCs w:val="13"/>
                <w:color w:val="auto"/>
                <w:w w:val="93"/>
              </w:rPr>
              <w:t>1,708,693</w:t>
            </w:r>
          </w:p>
        </w:tc>
        <w:tc>
          <w:tcPr>
            <w:tcW w:w="0" w:type="dxa"/>
            <w:vAlign w:val="bottom"/>
          </w:tcPr>
          <w:p>
            <w:pPr>
              <w:spacing w:after="0"/>
              <w:rPr>
                <w:sz w:val="1"/>
                <w:szCs w:val="1"/>
                <w:color w:val="auto"/>
              </w:rPr>
            </w:pPr>
          </w:p>
        </w:tc>
      </w:tr>
      <w:tr>
        <w:trPr>
          <w:trHeight w:val="172"/>
        </w:trPr>
        <w:tc>
          <w:tcPr>
            <w:tcW w:w="3200" w:type="dxa"/>
            <w:vAlign w:val="bottom"/>
            <w:gridSpan w:val="2"/>
          </w:tcPr>
          <w:p>
            <w:pPr>
              <w:ind w:left="140"/>
              <w:spacing w:after="0"/>
              <w:rPr>
                <w:sz w:val="20"/>
                <w:szCs w:val="20"/>
                <w:color w:val="auto"/>
              </w:rPr>
            </w:pPr>
            <w:r>
              <w:rPr>
                <w:rFonts w:ascii="Arial" w:cs="Arial" w:eastAsia="Arial" w:hAnsi="Arial"/>
                <w:sz w:val="13"/>
                <w:szCs w:val="13"/>
                <w:color w:val="auto"/>
              </w:rPr>
              <w:t>Group</w:t>
            </w:r>
          </w:p>
        </w:tc>
        <w:tc>
          <w:tcPr>
            <w:tcW w:w="580" w:type="dxa"/>
            <w:vAlign w:val="bottom"/>
            <w:gridSpan w:val="2"/>
          </w:tcPr>
          <w:p>
            <w:pPr>
              <w:jc w:val="center"/>
              <w:ind w:left="93"/>
              <w:spacing w:after="0"/>
              <w:rPr>
                <w:sz w:val="20"/>
                <w:szCs w:val="20"/>
                <w:color w:val="auto"/>
              </w:rPr>
            </w:pPr>
            <w:r>
              <w:rPr>
                <w:rFonts w:ascii="Arial" w:cs="Arial" w:eastAsia="Arial" w:hAnsi="Arial"/>
                <w:sz w:val="13"/>
                <w:szCs w:val="13"/>
                <w:color w:val="auto"/>
                <w:w w:val="89"/>
              </w:rPr>
              <w:t>2007</w:t>
            </w:r>
          </w:p>
        </w:tc>
        <w:tc>
          <w:tcPr>
            <w:tcW w:w="1140" w:type="dxa"/>
            <w:vAlign w:val="bottom"/>
            <w:gridSpan w:val="2"/>
          </w:tcPr>
          <w:p>
            <w:pPr>
              <w:jc w:val="right"/>
              <w:ind w:right="166"/>
              <w:spacing w:after="0"/>
              <w:rPr>
                <w:sz w:val="20"/>
                <w:szCs w:val="20"/>
                <w:color w:val="auto"/>
              </w:rPr>
            </w:pPr>
            <w:r>
              <w:rPr>
                <w:rFonts w:ascii="Arial" w:cs="Arial" w:eastAsia="Arial" w:hAnsi="Arial"/>
                <w:sz w:val="13"/>
                <w:szCs w:val="13"/>
                <w:color w:val="auto"/>
              </w:rPr>
              <w:t>527,878</w:t>
            </w:r>
          </w:p>
        </w:tc>
        <w:tc>
          <w:tcPr>
            <w:tcW w:w="1140" w:type="dxa"/>
            <w:vAlign w:val="bottom"/>
            <w:gridSpan w:val="2"/>
          </w:tcPr>
          <w:p>
            <w:pPr>
              <w:jc w:val="right"/>
              <w:ind w:right="166"/>
              <w:spacing w:after="0"/>
              <w:rPr>
                <w:sz w:val="20"/>
                <w:szCs w:val="20"/>
                <w:color w:val="auto"/>
              </w:rPr>
            </w:pPr>
            <w:r>
              <w:rPr>
                <w:rFonts w:ascii="Arial" w:cs="Arial" w:eastAsia="Arial" w:hAnsi="Arial"/>
                <w:sz w:val="13"/>
                <w:szCs w:val="13"/>
                <w:color w:val="auto"/>
              </w:rPr>
              <w:t>689,307</w:t>
            </w:r>
          </w:p>
        </w:tc>
        <w:tc>
          <w:tcPr>
            <w:tcW w:w="1440" w:type="dxa"/>
            <w:vAlign w:val="bottom"/>
            <w:gridSpan w:val="2"/>
          </w:tcPr>
          <w:p>
            <w:pPr>
              <w:jc w:val="right"/>
              <w:ind w:right="306"/>
              <w:spacing w:after="0"/>
              <w:rPr>
                <w:sz w:val="20"/>
                <w:szCs w:val="20"/>
                <w:color w:val="auto"/>
              </w:rPr>
            </w:pPr>
            <w:r>
              <w:rPr>
                <w:rFonts w:ascii="Arial" w:cs="Arial" w:eastAsia="Arial" w:hAnsi="Arial"/>
                <w:sz w:val="13"/>
                <w:szCs w:val="13"/>
                <w:color w:val="auto"/>
              </w:rPr>
              <w:t>552,546</w:t>
            </w:r>
          </w:p>
        </w:tc>
        <w:tc>
          <w:tcPr>
            <w:tcW w:w="1340" w:type="dxa"/>
            <w:vAlign w:val="bottom"/>
            <w:gridSpan w:val="2"/>
          </w:tcPr>
          <w:p>
            <w:pPr>
              <w:jc w:val="right"/>
              <w:ind w:right="306"/>
              <w:spacing w:after="0"/>
              <w:rPr>
                <w:sz w:val="20"/>
                <w:szCs w:val="20"/>
                <w:color w:val="auto"/>
              </w:rPr>
            </w:pPr>
            <w:r>
              <w:rPr>
                <w:rFonts w:ascii="Arial" w:cs="Arial" w:eastAsia="Arial" w:hAnsi="Arial"/>
                <w:sz w:val="13"/>
                <w:szCs w:val="13"/>
                <w:color w:val="auto"/>
              </w:rPr>
              <w:t>53,706</w:t>
            </w:r>
          </w:p>
        </w:tc>
        <w:tc>
          <w:tcPr>
            <w:tcW w:w="1140" w:type="dxa"/>
            <w:vAlign w:val="bottom"/>
            <w:gridSpan w:val="2"/>
          </w:tcPr>
          <w:p>
            <w:pPr>
              <w:jc w:val="center"/>
              <w:ind w:left="94"/>
              <w:spacing w:after="0"/>
              <w:rPr>
                <w:sz w:val="20"/>
                <w:szCs w:val="20"/>
                <w:color w:val="auto"/>
              </w:rPr>
            </w:pPr>
            <w:r>
              <w:rPr>
                <w:rFonts w:ascii="Arial" w:cs="Arial" w:eastAsia="Arial" w:hAnsi="Arial"/>
                <w:sz w:val="13"/>
                <w:szCs w:val="13"/>
                <w:color w:val="auto"/>
                <w:w w:val="93"/>
              </w:rPr>
              <w:t>1,823,437</w:t>
            </w:r>
          </w:p>
        </w:tc>
        <w:tc>
          <w:tcPr>
            <w:tcW w:w="0" w:type="dxa"/>
            <w:vAlign w:val="bottom"/>
          </w:tcPr>
          <w:p>
            <w:pPr>
              <w:spacing w:after="0"/>
              <w:rPr>
                <w:sz w:val="1"/>
                <w:szCs w:val="1"/>
                <w:color w:val="auto"/>
              </w:rPr>
            </w:pPr>
          </w:p>
        </w:tc>
      </w:tr>
      <w:tr>
        <w:trPr>
          <w:trHeight w:val="161"/>
        </w:trPr>
        <w:tc>
          <w:tcPr>
            <w:tcW w:w="3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Duane C. Woods</w:t>
            </w:r>
          </w:p>
        </w:tc>
        <w:tc>
          <w:tcPr>
            <w:tcW w:w="580" w:type="dxa"/>
            <w:vAlign w:val="bottom"/>
            <w:gridSpan w:val="2"/>
            <w:shd w:val="clear" w:color="auto" w:fill="CCEEFF"/>
          </w:tcPr>
          <w:p>
            <w:pPr>
              <w:jc w:val="center"/>
              <w:ind w:left="93"/>
              <w:spacing w:after="0"/>
              <w:rPr>
                <w:sz w:val="20"/>
                <w:szCs w:val="20"/>
                <w:color w:val="auto"/>
              </w:rPr>
            </w:pPr>
            <w:r>
              <w:rPr>
                <w:rFonts w:ascii="Arial" w:cs="Arial" w:eastAsia="Arial" w:hAnsi="Arial"/>
                <w:sz w:val="13"/>
                <w:szCs w:val="13"/>
                <w:color w:val="auto"/>
                <w:w w:val="89"/>
              </w:rPr>
              <w:t>2009</w:t>
            </w:r>
          </w:p>
        </w:tc>
        <w:tc>
          <w:tcPr>
            <w:tcW w:w="1140" w:type="dxa"/>
            <w:vAlign w:val="bottom"/>
            <w:gridSpan w:val="2"/>
            <w:shd w:val="clear" w:color="auto" w:fill="CCEEFF"/>
          </w:tcPr>
          <w:p>
            <w:pPr>
              <w:jc w:val="right"/>
              <w:ind w:right="166"/>
              <w:spacing w:after="0"/>
              <w:rPr>
                <w:sz w:val="20"/>
                <w:szCs w:val="20"/>
                <w:color w:val="auto"/>
              </w:rPr>
            </w:pPr>
            <w:r>
              <w:rPr>
                <w:rFonts w:ascii="Arial" w:cs="Arial" w:eastAsia="Arial" w:hAnsi="Arial"/>
                <w:sz w:val="13"/>
                <w:szCs w:val="13"/>
                <w:color w:val="auto"/>
              </w:rPr>
              <w:t>565,710</w:t>
            </w:r>
          </w:p>
        </w:tc>
        <w:tc>
          <w:tcPr>
            <w:tcW w:w="1140" w:type="dxa"/>
            <w:vAlign w:val="bottom"/>
            <w:gridSpan w:val="2"/>
            <w:shd w:val="clear" w:color="auto" w:fill="CCEEFF"/>
          </w:tcPr>
          <w:p>
            <w:pPr>
              <w:jc w:val="right"/>
              <w:ind w:right="166"/>
              <w:spacing w:after="0"/>
              <w:rPr>
                <w:sz w:val="20"/>
                <w:szCs w:val="20"/>
                <w:color w:val="auto"/>
              </w:rPr>
            </w:pPr>
            <w:r>
              <w:rPr>
                <w:rFonts w:ascii="Arial" w:cs="Arial" w:eastAsia="Arial" w:hAnsi="Arial"/>
                <w:sz w:val="13"/>
                <w:szCs w:val="13"/>
                <w:color w:val="auto"/>
              </w:rPr>
              <w:t>499,973</w:t>
            </w:r>
          </w:p>
        </w:tc>
        <w:tc>
          <w:tcPr>
            <w:tcW w:w="1440" w:type="dxa"/>
            <w:vAlign w:val="bottom"/>
            <w:gridSpan w:val="2"/>
            <w:shd w:val="clear" w:color="auto" w:fill="CCEEFF"/>
          </w:tcPr>
          <w:p>
            <w:pPr>
              <w:jc w:val="right"/>
              <w:ind w:right="306"/>
              <w:spacing w:after="0"/>
              <w:rPr>
                <w:sz w:val="20"/>
                <w:szCs w:val="20"/>
                <w:color w:val="auto"/>
              </w:rPr>
            </w:pPr>
            <w:r>
              <w:rPr>
                <w:rFonts w:ascii="Arial" w:cs="Arial" w:eastAsia="Arial" w:hAnsi="Arial"/>
                <w:sz w:val="13"/>
                <w:szCs w:val="13"/>
                <w:color w:val="auto"/>
              </w:rPr>
              <w:t>402,955</w:t>
            </w:r>
          </w:p>
        </w:tc>
        <w:tc>
          <w:tcPr>
            <w:tcW w:w="1340" w:type="dxa"/>
            <w:vAlign w:val="bottom"/>
            <w:gridSpan w:val="2"/>
            <w:shd w:val="clear" w:color="auto" w:fill="CCEEFF"/>
          </w:tcPr>
          <w:p>
            <w:pPr>
              <w:jc w:val="right"/>
              <w:ind w:right="306"/>
              <w:spacing w:after="0"/>
              <w:rPr>
                <w:sz w:val="20"/>
                <w:szCs w:val="20"/>
                <w:color w:val="auto"/>
              </w:rPr>
            </w:pPr>
            <w:r>
              <w:rPr>
                <w:rFonts w:ascii="Arial" w:cs="Arial" w:eastAsia="Arial" w:hAnsi="Arial"/>
                <w:sz w:val="13"/>
                <w:szCs w:val="13"/>
                <w:color w:val="auto"/>
              </w:rPr>
              <w:t>15,263</w:t>
            </w:r>
          </w:p>
        </w:tc>
        <w:tc>
          <w:tcPr>
            <w:tcW w:w="1140" w:type="dxa"/>
            <w:vAlign w:val="bottom"/>
            <w:gridSpan w:val="2"/>
            <w:shd w:val="clear" w:color="auto" w:fill="CCEEFF"/>
          </w:tcPr>
          <w:p>
            <w:pPr>
              <w:jc w:val="center"/>
              <w:ind w:left="94"/>
              <w:spacing w:after="0"/>
              <w:rPr>
                <w:sz w:val="20"/>
                <w:szCs w:val="20"/>
                <w:color w:val="auto"/>
              </w:rPr>
            </w:pPr>
            <w:r>
              <w:rPr>
                <w:rFonts w:ascii="Arial" w:cs="Arial" w:eastAsia="Arial" w:hAnsi="Arial"/>
                <w:sz w:val="13"/>
                <w:szCs w:val="13"/>
                <w:color w:val="auto"/>
                <w:w w:val="93"/>
              </w:rPr>
              <w:t>1,483,901</w:t>
            </w:r>
          </w:p>
        </w:tc>
        <w:tc>
          <w:tcPr>
            <w:tcW w:w="0" w:type="dxa"/>
            <w:vAlign w:val="bottom"/>
          </w:tcPr>
          <w:p>
            <w:pPr>
              <w:spacing w:after="0"/>
              <w:rPr>
                <w:sz w:val="1"/>
                <w:szCs w:val="1"/>
                <w:color w:val="auto"/>
              </w:rPr>
            </w:pPr>
          </w:p>
        </w:tc>
      </w:tr>
      <w:tr>
        <w:trPr>
          <w:trHeight w:val="161"/>
        </w:trPr>
        <w:tc>
          <w:tcPr>
            <w:tcW w:w="32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Senior Vice President — Western</w:t>
            </w: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2008</w:t>
            </w:r>
          </w:p>
        </w:tc>
        <w:tc>
          <w:tcPr>
            <w:tcW w:w="1140" w:type="dxa"/>
            <w:vAlign w:val="bottom"/>
            <w:gridSpan w:val="2"/>
            <w:shd w:val="clear" w:color="auto" w:fill="CCEEFF"/>
          </w:tcPr>
          <w:p>
            <w:pPr>
              <w:jc w:val="right"/>
              <w:ind w:right="166"/>
              <w:spacing w:after="0"/>
              <w:rPr>
                <w:sz w:val="20"/>
                <w:szCs w:val="20"/>
                <w:color w:val="auto"/>
              </w:rPr>
            </w:pPr>
            <w:r>
              <w:rPr>
                <w:rFonts w:ascii="Arial" w:cs="Arial" w:eastAsia="Arial" w:hAnsi="Arial"/>
                <w:sz w:val="13"/>
                <w:szCs w:val="13"/>
                <w:color w:val="auto"/>
              </w:rPr>
              <w:t>561,521</w:t>
            </w:r>
          </w:p>
        </w:tc>
        <w:tc>
          <w:tcPr>
            <w:tcW w:w="1140" w:type="dxa"/>
            <w:vAlign w:val="bottom"/>
            <w:gridSpan w:val="2"/>
            <w:shd w:val="clear" w:color="auto" w:fill="CCEEFF"/>
          </w:tcPr>
          <w:p>
            <w:pPr>
              <w:jc w:val="right"/>
              <w:ind w:right="166"/>
              <w:spacing w:after="0"/>
              <w:rPr>
                <w:sz w:val="20"/>
                <w:szCs w:val="20"/>
                <w:color w:val="auto"/>
              </w:rPr>
            </w:pPr>
            <w:r>
              <w:rPr>
                <w:rFonts w:ascii="Arial" w:cs="Arial" w:eastAsia="Arial" w:hAnsi="Arial"/>
                <w:sz w:val="13"/>
                <w:szCs w:val="13"/>
                <w:color w:val="auto"/>
              </w:rPr>
              <w:t>703,797</w:t>
            </w:r>
          </w:p>
        </w:tc>
        <w:tc>
          <w:tcPr>
            <w:tcW w:w="1440" w:type="dxa"/>
            <w:vAlign w:val="bottom"/>
            <w:gridSpan w:val="2"/>
            <w:shd w:val="clear" w:color="auto" w:fill="CCEEFF"/>
          </w:tcPr>
          <w:p>
            <w:pPr>
              <w:jc w:val="right"/>
              <w:ind w:right="306"/>
              <w:spacing w:after="0"/>
              <w:rPr>
                <w:sz w:val="20"/>
                <w:szCs w:val="20"/>
                <w:color w:val="auto"/>
              </w:rPr>
            </w:pPr>
            <w:r>
              <w:rPr>
                <w:rFonts w:ascii="Arial" w:cs="Arial" w:eastAsia="Arial" w:hAnsi="Arial"/>
                <w:sz w:val="13"/>
                <w:szCs w:val="13"/>
                <w:color w:val="auto"/>
              </w:rPr>
              <w:t>378,635</w:t>
            </w:r>
          </w:p>
        </w:tc>
        <w:tc>
          <w:tcPr>
            <w:tcW w:w="1340" w:type="dxa"/>
            <w:vAlign w:val="bottom"/>
            <w:gridSpan w:val="2"/>
            <w:shd w:val="clear" w:color="auto" w:fill="CCEEFF"/>
          </w:tcPr>
          <w:p>
            <w:pPr>
              <w:jc w:val="right"/>
              <w:ind w:right="306"/>
              <w:spacing w:after="0"/>
              <w:rPr>
                <w:sz w:val="20"/>
                <w:szCs w:val="20"/>
                <w:color w:val="auto"/>
              </w:rPr>
            </w:pPr>
            <w:r>
              <w:rPr>
                <w:rFonts w:ascii="Arial" w:cs="Arial" w:eastAsia="Arial" w:hAnsi="Arial"/>
                <w:sz w:val="13"/>
                <w:szCs w:val="13"/>
                <w:color w:val="auto"/>
              </w:rPr>
              <w:t>32,382</w:t>
            </w:r>
          </w:p>
        </w:tc>
        <w:tc>
          <w:tcPr>
            <w:tcW w:w="1140" w:type="dxa"/>
            <w:vAlign w:val="bottom"/>
            <w:gridSpan w:val="2"/>
            <w:shd w:val="clear" w:color="auto" w:fill="CCEEFF"/>
          </w:tcPr>
          <w:p>
            <w:pPr>
              <w:jc w:val="center"/>
              <w:ind w:left="94"/>
              <w:spacing w:after="0"/>
              <w:rPr>
                <w:sz w:val="20"/>
                <w:szCs w:val="20"/>
                <w:color w:val="auto"/>
              </w:rPr>
            </w:pPr>
            <w:r>
              <w:rPr>
                <w:rFonts w:ascii="Arial" w:cs="Arial" w:eastAsia="Arial" w:hAnsi="Arial"/>
                <w:sz w:val="13"/>
                <w:szCs w:val="13"/>
                <w:color w:val="auto"/>
                <w:w w:val="93"/>
              </w:rPr>
              <w:t>1,676,335</w:t>
            </w:r>
          </w:p>
        </w:tc>
        <w:tc>
          <w:tcPr>
            <w:tcW w:w="0" w:type="dxa"/>
            <w:vAlign w:val="bottom"/>
          </w:tcPr>
          <w:p>
            <w:pPr>
              <w:spacing w:after="0"/>
              <w:rPr>
                <w:sz w:val="1"/>
                <w:szCs w:val="1"/>
                <w:color w:val="auto"/>
              </w:rPr>
            </w:pPr>
          </w:p>
        </w:tc>
      </w:tr>
      <w:tr>
        <w:trPr>
          <w:trHeight w:val="161"/>
        </w:trPr>
        <w:tc>
          <w:tcPr>
            <w:tcW w:w="32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Group</w:t>
            </w: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2007</w:t>
            </w:r>
          </w:p>
        </w:tc>
        <w:tc>
          <w:tcPr>
            <w:tcW w:w="1140" w:type="dxa"/>
            <w:vAlign w:val="bottom"/>
            <w:gridSpan w:val="2"/>
            <w:shd w:val="clear" w:color="auto" w:fill="CCEEFF"/>
          </w:tcPr>
          <w:p>
            <w:pPr>
              <w:jc w:val="right"/>
              <w:ind w:right="166"/>
              <w:spacing w:after="0"/>
              <w:rPr>
                <w:sz w:val="20"/>
                <w:szCs w:val="20"/>
                <w:color w:val="auto"/>
              </w:rPr>
            </w:pPr>
            <w:r>
              <w:rPr>
                <w:rFonts w:ascii="Arial" w:cs="Arial" w:eastAsia="Arial" w:hAnsi="Arial"/>
                <w:sz w:val="13"/>
                <w:szCs w:val="13"/>
                <w:color w:val="auto"/>
              </w:rPr>
              <w:t>521,342</w:t>
            </w:r>
          </w:p>
        </w:tc>
        <w:tc>
          <w:tcPr>
            <w:tcW w:w="1140" w:type="dxa"/>
            <w:vAlign w:val="bottom"/>
            <w:gridSpan w:val="2"/>
            <w:shd w:val="clear" w:color="auto" w:fill="CCEEFF"/>
          </w:tcPr>
          <w:p>
            <w:pPr>
              <w:jc w:val="right"/>
              <w:ind w:right="166"/>
              <w:spacing w:after="0"/>
              <w:rPr>
                <w:sz w:val="20"/>
                <w:szCs w:val="20"/>
                <w:color w:val="auto"/>
              </w:rPr>
            </w:pPr>
            <w:r>
              <w:rPr>
                <w:rFonts w:ascii="Arial" w:cs="Arial" w:eastAsia="Arial" w:hAnsi="Arial"/>
                <w:sz w:val="13"/>
                <w:szCs w:val="13"/>
                <w:color w:val="auto"/>
              </w:rPr>
              <w:t>689,307</w:t>
            </w:r>
          </w:p>
        </w:tc>
        <w:tc>
          <w:tcPr>
            <w:tcW w:w="1440" w:type="dxa"/>
            <w:vAlign w:val="bottom"/>
            <w:gridSpan w:val="2"/>
            <w:shd w:val="clear" w:color="auto" w:fill="CCEEFF"/>
          </w:tcPr>
          <w:p>
            <w:pPr>
              <w:jc w:val="right"/>
              <w:ind w:right="306"/>
              <w:spacing w:after="0"/>
              <w:rPr>
                <w:sz w:val="20"/>
                <w:szCs w:val="20"/>
                <w:color w:val="auto"/>
              </w:rPr>
            </w:pPr>
            <w:r>
              <w:rPr>
                <w:rFonts w:ascii="Arial" w:cs="Arial" w:eastAsia="Arial" w:hAnsi="Arial"/>
                <w:sz w:val="13"/>
                <w:szCs w:val="13"/>
                <w:color w:val="auto"/>
              </w:rPr>
              <w:t>580,000</w:t>
            </w:r>
          </w:p>
        </w:tc>
        <w:tc>
          <w:tcPr>
            <w:tcW w:w="1340" w:type="dxa"/>
            <w:vAlign w:val="bottom"/>
            <w:gridSpan w:val="2"/>
            <w:shd w:val="clear" w:color="auto" w:fill="CCEEFF"/>
          </w:tcPr>
          <w:p>
            <w:pPr>
              <w:jc w:val="right"/>
              <w:ind w:right="306"/>
              <w:spacing w:after="0"/>
              <w:rPr>
                <w:sz w:val="20"/>
                <w:szCs w:val="20"/>
                <w:color w:val="auto"/>
              </w:rPr>
            </w:pPr>
            <w:r>
              <w:rPr>
                <w:rFonts w:ascii="Arial" w:cs="Arial" w:eastAsia="Arial" w:hAnsi="Arial"/>
                <w:sz w:val="13"/>
                <w:szCs w:val="13"/>
                <w:color w:val="auto"/>
              </w:rPr>
              <w:t>58,649</w:t>
            </w:r>
          </w:p>
        </w:tc>
        <w:tc>
          <w:tcPr>
            <w:tcW w:w="1140" w:type="dxa"/>
            <w:vAlign w:val="bottom"/>
            <w:gridSpan w:val="2"/>
            <w:shd w:val="clear" w:color="auto" w:fill="CCEEFF"/>
          </w:tcPr>
          <w:p>
            <w:pPr>
              <w:jc w:val="center"/>
              <w:ind w:left="94"/>
              <w:spacing w:after="0"/>
              <w:rPr>
                <w:sz w:val="20"/>
                <w:szCs w:val="20"/>
                <w:color w:val="auto"/>
              </w:rPr>
            </w:pPr>
            <w:r>
              <w:rPr>
                <w:rFonts w:ascii="Arial" w:cs="Arial" w:eastAsia="Arial" w:hAnsi="Arial"/>
                <w:sz w:val="13"/>
                <w:szCs w:val="13"/>
                <w:color w:val="auto"/>
                <w:w w:val="93"/>
              </w:rPr>
              <w:t>1,849,298</w:t>
            </w:r>
          </w:p>
        </w:tc>
        <w:tc>
          <w:tcPr>
            <w:tcW w:w="0" w:type="dxa"/>
            <w:vAlign w:val="bottom"/>
          </w:tcPr>
          <w:p>
            <w:pPr>
              <w:spacing w:after="0"/>
              <w:rPr>
                <w:sz w:val="1"/>
                <w:szCs w:val="1"/>
                <w:color w:val="auto"/>
              </w:rPr>
            </w:pPr>
          </w:p>
        </w:tc>
      </w:tr>
      <w:tr>
        <w:trPr>
          <w:trHeight w:val="101"/>
        </w:trPr>
        <w:tc>
          <w:tcPr>
            <w:tcW w:w="1300" w:type="dxa"/>
            <w:vAlign w:val="bottom"/>
            <w:tcBorders>
              <w:bottom w:val="single" w:sz="8" w:color="auto"/>
            </w:tcBorders>
          </w:tcPr>
          <w:p>
            <w:pPr>
              <w:spacing w:after="0"/>
              <w:rPr>
                <w:sz w:val="8"/>
                <w:szCs w:val="8"/>
                <w:color w:val="auto"/>
              </w:rPr>
            </w:pPr>
          </w:p>
        </w:tc>
        <w:tc>
          <w:tcPr>
            <w:tcW w:w="1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-1637665</wp:posOffset>
            </wp:positionV>
            <wp:extent cx="19050"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9050" cy="6350"/>
                    </a:xfrm>
                    <a:prstGeom prst="rect">
                      <a:avLst/>
                    </a:prstGeom>
                    <a:noFill/>
                  </pic:spPr>
                </pic:pic>
              </a:graphicData>
            </a:graphic>
          </wp:anchor>
        </w:drawing>
      </w:r>
    </w:p>
    <w:p>
      <w:pPr>
        <w:spacing w:after="0" w:line="20" w:lineRule="exact"/>
        <w:rPr>
          <w:sz w:val="20"/>
          <w:szCs w:val="20"/>
          <w:color w:val="auto"/>
        </w:rPr>
      </w:pPr>
    </w:p>
    <w:p>
      <w:pPr>
        <w:ind w:left="1000" w:right="480" w:hanging="266"/>
        <w:spacing w:after="0" w:line="375" w:lineRule="auto"/>
        <w:tabs>
          <w:tab w:leader="none" w:pos="10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For 2007, amounts include the aggregate grant date fair value of restricted stock units and performance share units. All other years consist of performance share units only. The table below shows the aggregate grant date fair value of performance share units if we assumed the maximum amounts will be earned.</w:t>
      </w:r>
    </w:p>
    <w:tbl>
      <w:tblPr>
        <w:tblLayout w:type="fixed"/>
        <w:tblInd w:w="680" w:type="dxa"/>
        <w:tblCellMar>
          <w:top w:w="0" w:type="dxa"/>
          <w:left w:w="0" w:type="dxa"/>
          <w:bottom w:w="0" w:type="dxa"/>
          <w:right w:w="0" w:type="dxa"/>
        </w:tblCellMar>
      </w:tblPr>
      <w:tr>
        <w:trPr>
          <w:trHeight w:val="111"/>
        </w:trPr>
        <w:tc>
          <w:tcPr>
            <w:tcW w:w="6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6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90"/>
              </w:rPr>
              <w:t>Aggregate Grant Date Fair</w:t>
            </w:r>
          </w:p>
        </w:tc>
        <w:tc>
          <w:tcPr>
            <w:tcW w:w="0" w:type="dxa"/>
            <w:vAlign w:val="bottom"/>
          </w:tcPr>
          <w:p>
            <w:pPr>
              <w:spacing w:after="0"/>
              <w:rPr>
                <w:sz w:val="1"/>
                <w:szCs w:val="1"/>
                <w:color w:val="auto"/>
              </w:rPr>
            </w:pPr>
          </w:p>
        </w:tc>
      </w:tr>
      <w:tr>
        <w:trPr>
          <w:trHeight w:val="111"/>
        </w:trPr>
        <w:tc>
          <w:tcPr>
            <w:tcW w:w="6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6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6"/>
              </w:rPr>
              <w:t>Value of Award Assuming</w:t>
            </w:r>
          </w:p>
        </w:tc>
        <w:tc>
          <w:tcPr>
            <w:tcW w:w="0" w:type="dxa"/>
            <w:vAlign w:val="bottom"/>
          </w:tcPr>
          <w:p>
            <w:pPr>
              <w:spacing w:after="0"/>
              <w:rPr>
                <w:sz w:val="1"/>
                <w:szCs w:val="1"/>
                <w:color w:val="auto"/>
              </w:rPr>
            </w:pPr>
          </w:p>
        </w:tc>
      </w:tr>
      <w:tr>
        <w:trPr>
          <w:trHeight w:val="111"/>
        </w:trPr>
        <w:tc>
          <w:tcPr>
            <w:tcW w:w="6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6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8"/>
              </w:rPr>
              <w:t>Highest Level of Performance</w:t>
            </w:r>
          </w:p>
        </w:tc>
        <w:tc>
          <w:tcPr>
            <w:tcW w:w="0" w:type="dxa"/>
            <w:vAlign w:val="bottom"/>
          </w:tcPr>
          <w:p>
            <w:pPr>
              <w:spacing w:after="0"/>
              <w:rPr>
                <w:sz w:val="1"/>
                <w:szCs w:val="1"/>
                <w:color w:val="auto"/>
              </w:rPr>
            </w:pPr>
          </w:p>
        </w:tc>
      </w:tr>
      <w:tr>
        <w:trPr>
          <w:trHeight w:val="111"/>
        </w:trPr>
        <w:tc>
          <w:tcPr>
            <w:tcW w:w="6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2"/>
              </w:rPr>
              <w:t>Year</w:t>
            </w:r>
          </w:p>
        </w:tc>
        <w:tc>
          <w:tcPr>
            <w:tcW w:w="280" w:type="dxa"/>
            <w:vAlign w:val="bottom"/>
          </w:tcPr>
          <w:p>
            <w:pPr>
              <w:spacing w:after="0"/>
              <w:rPr>
                <w:sz w:val="9"/>
                <w:szCs w:val="9"/>
                <w:color w:val="auto"/>
              </w:rPr>
            </w:pPr>
          </w:p>
        </w:tc>
        <w:tc>
          <w:tcPr>
            <w:tcW w:w="266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5"/>
              </w:rPr>
              <w:t>Achieved</w:t>
            </w:r>
          </w:p>
        </w:tc>
        <w:tc>
          <w:tcPr>
            <w:tcW w:w="0" w:type="dxa"/>
            <w:vAlign w:val="bottom"/>
          </w:tcPr>
          <w:p>
            <w:pPr>
              <w:spacing w:after="0"/>
              <w:rPr>
                <w:sz w:val="1"/>
                <w:szCs w:val="1"/>
                <w:color w:val="auto"/>
              </w:rPr>
            </w:pPr>
          </w:p>
        </w:tc>
      </w:tr>
      <w:tr>
        <w:trPr>
          <w:trHeight w:val="128"/>
        </w:trPr>
        <w:tc>
          <w:tcPr>
            <w:tcW w:w="6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2940" w:type="dxa"/>
            <w:vAlign w:val="bottom"/>
            <w:gridSpan w:val="2"/>
          </w:tcPr>
          <w:p>
            <w:pPr>
              <w:jc w:val="center"/>
              <w:ind w:left="234"/>
              <w:spacing w:after="0"/>
              <w:rPr>
                <w:sz w:val="20"/>
                <w:szCs w:val="20"/>
                <w:color w:val="auto"/>
              </w:rPr>
            </w:pPr>
            <w:r>
              <w:rPr>
                <w:rFonts w:ascii="Arial" w:cs="Arial" w:eastAsia="Arial" w:hAnsi="Arial"/>
                <w:sz w:val="11"/>
                <w:szCs w:val="11"/>
                <w:b w:val="1"/>
                <w:bCs w:val="1"/>
                <w:color w:val="auto"/>
                <w:w w:val="88"/>
              </w:rPr>
              <w:t>($)</w:t>
            </w:r>
          </w:p>
        </w:tc>
        <w:tc>
          <w:tcPr>
            <w:tcW w:w="0" w:type="dxa"/>
            <w:vAlign w:val="bottom"/>
          </w:tcPr>
          <w:p>
            <w:pPr>
              <w:spacing w:after="0"/>
              <w:rPr>
                <w:sz w:val="1"/>
                <w:szCs w:val="1"/>
                <w:color w:val="auto"/>
              </w:rPr>
            </w:pPr>
          </w:p>
        </w:tc>
      </w:tr>
      <w:tr>
        <w:trPr>
          <w:trHeight w:val="30"/>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66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Mr. Steiner</w:t>
            </w:r>
          </w:p>
        </w:tc>
        <w:tc>
          <w:tcPr>
            <w:tcW w:w="640" w:type="dxa"/>
            <w:vAlign w:val="bottom"/>
            <w:gridSpan w:val="2"/>
            <w:shd w:val="clear" w:color="auto" w:fill="CCEEFF"/>
          </w:tcPr>
          <w:p>
            <w:pPr>
              <w:jc w:val="center"/>
              <w:ind w:left="133"/>
              <w:spacing w:after="0"/>
              <w:rPr>
                <w:sz w:val="20"/>
                <w:szCs w:val="20"/>
                <w:color w:val="auto"/>
              </w:rPr>
            </w:pPr>
            <w:r>
              <w:rPr>
                <w:rFonts w:ascii="Arial" w:cs="Arial" w:eastAsia="Arial" w:hAnsi="Arial"/>
                <w:sz w:val="13"/>
                <w:szCs w:val="13"/>
                <w:color w:val="auto"/>
                <w:w w:val="96"/>
              </w:rPr>
              <w:t>2009</w:t>
            </w:r>
          </w:p>
        </w:tc>
        <w:tc>
          <w:tcPr>
            <w:tcW w:w="2940" w:type="dxa"/>
            <w:vAlign w:val="bottom"/>
            <w:gridSpan w:val="2"/>
            <w:shd w:val="clear" w:color="auto" w:fill="CCEEFF"/>
          </w:tcPr>
          <w:p>
            <w:pPr>
              <w:jc w:val="right"/>
              <w:ind w:right="1006"/>
              <w:spacing w:after="0"/>
              <w:rPr>
                <w:sz w:val="20"/>
                <w:szCs w:val="20"/>
                <w:color w:val="auto"/>
              </w:rPr>
            </w:pPr>
            <w:r>
              <w:rPr>
                <w:rFonts w:ascii="Arial" w:cs="Arial" w:eastAsia="Arial" w:hAnsi="Arial"/>
                <w:sz w:val="13"/>
                <w:szCs w:val="13"/>
                <w:color w:val="auto"/>
              </w:rPr>
              <w:t>6,139,912</w:t>
            </w:r>
          </w:p>
        </w:tc>
        <w:tc>
          <w:tcPr>
            <w:tcW w:w="0" w:type="dxa"/>
            <w:vAlign w:val="bottom"/>
          </w:tcPr>
          <w:p>
            <w:pPr>
              <w:spacing w:after="0"/>
              <w:rPr>
                <w:sz w:val="1"/>
                <w:szCs w:val="1"/>
                <w:color w:val="auto"/>
              </w:rPr>
            </w:pPr>
          </w:p>
        </w:tc>
      </w:tr>
      <w:tr>
        <w:trPr>
          <w:trHeight w:val="161"/>
        </w:trPr>
        <w:tc>
          <w:tcPr>
            <w:tcW w:w="6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2008</w:t>
            </w:r>
          </w:p>
        </w:tc>
        <w:tc>
          <w:tcPr>
            <w:tcW w:w="2940" w:type="dxa"/>
            <w:vAlign w:val="bottom"/>
            <w:gridSpan w:val="2"/>
            <w:shd w:val="clear" w:color="auto" w:fill="CCEEFF"/>
          </w:tcPr>
          <w:p>
            <w:pPr>
              <w:jc w:val="right"/>
              <w:ind w:right="1006"/>
              <w:spacing w:after="0"/>
              <w:rPr>
                <w:sz w:val="20"/>
                <w:szCs w:val="20"/>
                <w:color w:val="auto"/>
              </w:rPr>
            </w:pPr>
            <w:r>
              <w:rPr>
                <w:rFonts w:ascii="Arial" w:cs="Arial" w:eastAsia="Arial" w:hAnsi="Arial"/>
                <w:sz w:val="13"/>
                <w:szCs w:val="13"/>
                <w:color w:val="auto"/>
              </w:rPr>
              <w:t>7,857,346</w:t>
            </w:r>
          </w:p>
        </w:tc>
        <w:tc>
          <w:tcPr>
            <w:tcW w:w="0" w:type="dxa"/>
            <w:vAlign w:val="bottom"/>
          </w:tcPr>
          <w:p>
            <w:pPr>
              <w:spacing w:after="0"/>
              <w:rPr>
                <w:sz w:val="1"/>
                <w:szCs w:val="1"/>
                <w:color w:val="auto"/>
              </w:rPr>
            </w:pPr>
          </w:p>
        </w:tc>
      </w:tr>
      <w:tr>
        <w:trPr>
          <w:trHeight w:val="161"/>
        </w:trPr>
        <w:tc>
          <w:tcPr>
            <w:tcW w:w="6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2007</w:t>
            </w:r>
          </w:p>
        </w:tc>
        <w:tc>
          <w:tcPr>
            <w:tcW w:w="2940" w:type="dxa"/>
            <w:vAlign w:val="bottom"/>
            <w:gridSpan w:val="2"/>
            <w:shd w:val="clear" w:color="auto" w:fill="CCEEFF"/>
          </w:tcPr>
          <w:p>
            <w:pPr>
              <w:jc w:val="right"/>
              <w:ind w:right="1006"/>
              <w:spacing w:after="0"/>
              <w:rPr>
                <w:sz w:val="20"/>
                <w:szCs w:val="20"/>
                <w:color w:val="auto"/>
              </w:rPr>
            </w:pPr>
            <w:r>
              <w:rPr>
                <w:rFonts w:ascii="Arial" w:cs="Arial" w:eastAsia="Arial" w:hAnsi="Arial"/>
                <w:sz w:val="13"/>
                <w:szCs w:val="13"/>
                <w:color w:val="auto"/>
              </w:rPr>
              <w:t>5,247,010</w:t>
            </w:r>
          </w:p>
        </w:tc>
        <w:tc>
          <w:tcPr>
            <w:tcW w:w="0" w:type="dxa"/>
            <w:vAlign w:val="bottom"/>
          </w:tcPr>
          <w:p>
            <w:pPr>
              <w:spacing w:after="0"/>
              <w:rPr>
                <w:sz w:val="1"/>
                <w:szCs w:val="1"/>
                <w:color w:val="auto"/>
              </w:rPr>
            </w:pPr>
          </w:p>
        </w:tc>
      </w:tr>
      <w:tr>
        <w:trPr>
          <w:trHeight w:val="150"/>
        </w:trPr>
        <w:tc>
          <w:tcPr>
            <w:tcW w:w="6400" w:type="dxa"/>
            <w:vAlign w:val="bottom"/>
          </w:tcPr>
          <w:p>
            <w:pPr>
              <w:spacing w:after="0"/>
              <w:rPr>
                <w:sz w:val="20"/>
                <w:szCs w:val="20"/>
                <w:color w:val="auto"/>
              </w:rPr>
            </w:pPr>
            <w:r>
              <w:rPr>
                <w:rFonts w:ascii="Arial" w:cs="Arial" w:eastAsia="Arial" w:hAnsi="Arial"/>
                <w:sz w:val="13"/>
                <w:szCs w:val="13"/>
                <w:color w:val="auto"/>
              </w:rPr>
              <w:t>Mr. O’Donnell</w:t>
            </w:r>
          </w:p>
        </w:tc>
        <w:tc>
          <w:tcPr>
            <w:tcW w:w="180" w:type="dxa"/>
            <w:vAlign w:val="bottom"/>
          </w:tcPr>
          <w:p>
            <w:pPr>
              <w:spacing w:after="0"/>
              <w:rPr>
                <w:sz w:val="13"/>
                <w:szCs w:val="13"/>
                <w:color w:val="auto"/>
              </w:rPr>
            </w:pPr>
          </w:p>
        </w:tc>
        <w:tc>
          <w:tcPr>
            <w:tcW w:w="460" w:type="dxa"/>
            <w:vAlign w:val="bottom"/>
          </w:tcPr>
          <w:p>
            <w:pPr>
              <w:jc w:val="center"/>
              <w:spacing w:after="0"/>
              <w:rPr>
                <w:sz w:val="20"/>
                <w:szCs w:val="20"/>
                <w:color w:val="auto"/>
              </w:rPr>
            </w:pPr>
            <w:r>
              <w:rPr>
                <w:rFonts w:ascii="Arial" w:cs="Arial" w:eastAsia="Arial" w:hAnsi="Arial"/>
                <w:sz w:val="13"/>
                <w:szCs w:val="13"/>
                <w:color w:val="auto"/>
                <w:w w:val="96"/>
              </w:rPr>
              <w:t>2009</w:t>
            </w:r>
          </w:p>
        </w:tc>
        <w:tc>
          <w:tcPr>
            <w:tcW w:w="2940" w:type="dxa"/>
            <w:vAlign w:val="bottom"/>
            <w:gridSpan w:val="2"/>
          </w:tcPr>
          <w:p>
            <w:pPr>
              <w:jc w:val="right"/>
              <w:ind w:right="1006"/>
              <w:spacing w:after="0"/>
              <w:rPr>
                <w:sz w:val="20"/>
                <w:szCs w:val="20"/>
                <w:color w:val="auto"/>
              </w:rPr>
            </w:pPr>
            <w:r>
              <w:rPr>
                <w:rFonts w:ascii="Arial" w:cs="Arial" w:eastAsia="Arial" w:hAnsi="Arial"/>
                <w:sz w:val="13"/>
                <w:szCs w:val="13"/>
                <w:color w:val="auto"/>
              </w:rPr>
              <w:t>2,510,310</w:t>
            </w:r>
          </w:p>
        </w:tc>
        <w:tc>
          <w:tcPr>
            <w:tcW w:w="0" w:type="dxa"/>
            <w:vAlign w:val="bottom"/>
          </w:tcPr>
          <w:p>
            <w:pPr>
              <w:spacing w:after="0"/>
              <w:rPr>
                <w:sz w:val="1"/>
                <w:szCs w:val="1"/>
                <w:color w:val="auto"/>
              </w:rPr>
            </w:pPr>
          </w:p>
        </w:tc>
      </w:tr>
      <w:tr>
        <w:trPr>
          <w:trHeight w:val="161"/>
        </w:trPr>
        <w:tc>
          <w:tcPr>
            <w:tcW w:w="6400" w:type="dxa"/>
            <w:vAlign w:val="bottom"/>
          </w:tcPr>
          <w:p>
            <w:pPr>
              <w:spacing w:after="0"/>
              <w:rPr>
                <w:sz w:val="14"/>
                <w:szCs w:val="14"/>
                <w:color w:val="auto"/>
              </w:rPr>
            </w:pPr>
          </w:p>
        </w:tc>
        <w:tc>
          <w:tcPr>
            <w:tcW w:w="640" w:type="dxa"/>
            <w:vAlign w:val="bottom"/>
            <w:gridSpan w:val="2"/>
          </w:tcPr>
          <w:p>
            <w:pPr>
              <w:jc w:val="center"/>
              <w:ind w:left="133"/>
              <w:spacing w:after="0"/>
              <w:rPr>
                <w:sz w:val="20"/>
                <w:szCs w:val="20"/>
                <w:color w:val="auto"/>
              </w:rPr>
            </w:pPr>
            <w:r>
              <w:rPr>
                <w:rFonts w:ascii="Arial" w:cs="Arial" w:eastAsia="Arial" w:hAnsi="Arial"/>
                <w:sz w:val="13"/>
                <w:szCs w:val="13"/>
                <w:color w:val="auto"/>
                <w:w w:val="96"/>
              </w:rPr>
              <w:t>2008</w:t>
            </w:r>
          </w:p>
        </w:tc>
        <w:tc>
          <w:tcPr>
            <w:tcW w:w="2940" w:type="dxa"/>
            <w:vAlign w:val="bottom"/>
            <w:gridSpan w:val="2"/>
          </w:tcPr>
          <w:p>
            <w:pPr>
              <w:jc w:val="right"/>
              <w:ind w:right="1006"/>
              <w:spacing w:after="0"/>
              <w:rPr>
                <w:sz w:val="20"/>
                <w:szCs w:val="20"/>
                <w:color w:val="auto"/>
              </w:rPr>
            </w:pPr>
            <w:r>
              <w:rPr>
                <w:rFonts w:ascii="Arial" w:cs="Arial" w:eastAsia="Arial" w:hAnsi="Arial"/>
                <w:sz w:val="13"/>
                <w:szCs w:val="13"/>
                <w:color w:val="auto"/>
              </w:rPr>
              <w:t>3,212,466</w:t>
            </w:r>
          </w:p>
        </w:tc>
        <w:tc>
          <w:tcPr>
            <w:tcW w:w="0" w:type="dxa"/>
            <w:vAlign w:val="bottom"/>
          </w:tcPr>
          <w:p>
            <w:pPr>
              <w:spacing w:after="0"/>
              <w:rPr>
                <w:sz w:val="1"/>
                <w:szCs w:val="1"/>
                <w:color w:val="auto"/>
              </w:rPr>
            </w:pPr>
          </w:p>
        </w:tc>
      </w:tr>
      <w:tr>
        <w:trPr>
          <w:trHeight w:val="172"/>
        </w:trPr>
        <w:tc>
          <w:tcPr>
            <w:tcW w:w="6400" w:type="dxa"/>
            <w:vAlign w:val="bottom"/>
          </w:tcPr>
          <w:p>
            <w:pPr>
              <w:spacing w:after="0"/>
              <w:rPr>
                <w:sz w:val="14"/>
                <w:szCs w:val="14"/>
                <w:color w:val="auto"/>
              </w:rPr>
            </w:pPr>
          </w:p>
        </w:tc>
        <w:tc>
          <w:tcPr>
            <w:tcW w:w="640" w:type="dxa"/>
            <w:vAlign w:val="bottom"/>
            <w:gridSpan w:val="2"/>
          </w:tcPr>
          <w:p>
            <w:pPr>
              <w:jc w:val="center"/>
              <w:ind w:left="133"/>
              <w:spacing w:after="0"/>
              <w:rPr>
                <w:sz w:val="20"/>
                <w:szCs w:val="20"/>
                <w:color w:val="auto"/>
              </w:rPr>
            </w:pPr>
            <w:r>
              <w:rPr>
                <w:rFonts w:ascii="Arial" w:cs="Arial" w:eastAsia="Arial" w:hAnsi="Arial"/>
                <w:sz w:val="13"/>
                <w:szCs w:val="13"/>
                <w:color w:val="auto"/>
                <w:w w:val="96"/>
              </w:rPr>
              <w:t>2007</w:t>
            </w:r>
          </w:p>
        </w:tc>
        <w:tc>
          <w:tcPr>
            <w:tcW w:w="2940" w:type="dxa"/>
            <w:vAlign w:val="bottom"/>
            <w:gridSpan w:val="2"/>
          </w:tcPr>
          <w:p>
            <w:pPr>
              <w:jc w:val="right"/>
              <w:ind w:right="1006"/>
              <w:spacing w:after="0"/>
              <w:rPr>
                <w:sz w:val="20"/>
                <w:szCs w:val="20"/>
                <w:color w:val="auto"/>
              </w:rPr>
            </w:pPr>
            <w:r>
              <w:rPr>
                <w:rFonts w:ascii="Arial" w:cs="Arial" w:eastAsia="Arial" w:hAnsi="Arial"/>
                <w:sz w:val="13"/>
                <w:szCs w:val="13"/>
                <w:color w:val="auto"/>
              </w:rPr>
              <w:t>2,226,212</w:t>
            </w:r>
          </w:p>
        </w:tc>
        <w:tc>
          <w:tcPr>
            <w:tcW w:w="0" w:type="dxa"/>
            <w:vAlign w:val="bottom"/>
          </w:tcPr>
          <w:p>
            <w:pPr>
              <w:spacing w:after="0"/>
              <w:rPr>
                <w:sz w:val="1"/>
                <w:szCs w:val="1"/>
                <w:color w:val="auto"/>
              </w:rPr>
            </w:pPr>
          </w:p>
        </w:tc>
      </w:tr>
      <w:tr>
        <w:trPr>
          <w:trHeight w:val="161"/>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Mr. Simpson</w:t>
            </w:r>
          </w:p>
        </w:tc>
        <w:tc>
          <w:tcPr>
            <w:tcW w:w="640" w:type="dxa"/>
            <w:vAlign w:val="bottom"/>
            <w:gridSpan w:val="2"/>
            <w:shd w:val="clear" w:color="auto" w:fill="CCEEFF"/>
          </w:tcPr>
          <w:p>
            <w:pPr>
              <w:jc w:val="center"/>
              <w:ind w:left="133"/>
              <w:spacing w:after="0"/>
              <w:rPr>
                <w:sz w:val="20"/>
                <w:szCs w:val="20"/>
                <w:color w:val="auto"/>
              </w:rPr>
            </w:pPr>
            <w:r>
              <w:rPr>
                <w:rFonts w:ascii="Arial" w:cs="Arial" w:eastAsia="Arial" w:hAnsi="Arial"/>
                <w:sz w:val="13"/>
                <w:szCs w:val="13"/>
                <w:color w:val="auto"/>
                <w:w w:val="96"/>
              </w:rPr>
              <w:t>2009</w:t>
            </w:r>
          </w:p>
        </w:tc>
        <w:tc>
          <w:tcPr>
            <w:tcW w:w="2940" w:type="dxa"/>
            <w:vAlign w:val="bottom"/>
            <w:gridSpan w:val="2"/>
            <w:shd w:val="clear" w:color="auto" w:fill="CCEEFF"/>
          </w:tcPr>
          <w:p>
            <w:pPr>
              <w:jc w:val="right"/>
              <w:ind w:right="1006"/>
              <w:spacing w:after="0"/>
              <w:rPr>
                <w:sz w:val="20"/>
                <w:szCs w:val="20"/>
                <w:color w:val="auto"/>
              </w:rPr>
            </w:pPr>
            <w:r>
              <w:rPr>
                <w:rFonts w:ascii="Arial" w:cs="Arial" w:eastAsia="Arial" w:hAnsi="Arial"/>
                <w:sz w:val="13"/>
                <w:szCs w:val="13"/>
                <w:color w:val="auto"/>
              </w:rPr>
              <w:t>1,691,648</w:t>
            </w:r>
          </w:p>
        </w:tc>
        <w:tc>
          <w:tcPr>
            <w:tcW w:w="0" w:type="dxa"/>
            <w:vAlign w:val="bottom"/>
          </w:tcPr>
          <w:p>
            <w:pPr>
              <w:spacing w:after="0"/>
              <w:rPr>
                <w:sz w:val="1"/>
                <w:szCs w:val="1"/>
                <w:color w:val="auto"/>
              </w:rPr>
            </w:pPr>
          </w:p>
        </w:tc>
      </w:tr>
      <w:tr>
        <w:trPr>
          <w:trHeight w:val="161"/>
        </w:trPr>
        <w:tc>
          <w:tcPr>
            <w:tcW w:w="6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2008</w:t>
            </w:r>
          </w:p>
        </w:tc>
        <w:tc>
          <w:tcPr>
            <w:tcW w:w="2940" w:type="dxa"/>
            <w:vAlign w:val="bottom"/>
            <w:gridSpan w:val="2"/>
            <w:shd w:val="clear" w:color="auto" w:fill="CCEEFF"/>
          </w:tcPr>
          <w:p>
            <w:pPr>
              <w:jc w:val="right"/>
              <w:ind w:right="1006"/>
              <w:spacing w:after="0"/>
              <w:rPr>
                <w:sz w:val="20"/>
                <w:szCs w:val="20"/>
                <w:color w:val="auto"/>
              </w:rPr>
            </w:pPr>
            <w:r>
              <w:rPr>
                <w:rFonts w:ascii="Arial" w:cs="Arial" w:eastAsia="Arial" w:hAnsi="Arial"/>
                <w:sz w:val="13"/>
                <w:szCs w:val="13"/>
                <w:color w:val="auto"/>
              </w:rPr>
              <w:t>2,381,302</w:t>
            </w:r>
          </w:p>
        </w:tc>
        <w:tc>
          <w:tcPr>
            <w:tcW w:w="0" w:type="dxa"/>
            <w:vAlign w:val="bottom"/>
          </w:tcPr>
          <w:p>
            <w:pPr>
              <w:spacing w:after="0"/>
              <w:rPr>
                <w:sz w:val="1"/>
                <w:szCs w:val="1"/>
                <w:color w:val="auto"/>
              </w:rPr>
            </w:pPr>
          </w:p>
        </w:tc>
      </w:tr>
      <w:tr>
        <w:trPr>
          <w:trHeight w:val="161"/>
        </w:trPr>
        <w:tc>
          <w:tcPr>
            <w:tcW w:w="6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2007</w:t>
            </w:r>
          </w:p>
        </w:tc>
        <w:tc>
          <w:tcPr>
            <w:tcW w:w="2940" w:type="dxa"/>
            <w:vAlign w:val="bottom"/>
            <w:gridSpan w:val="2"/>
            <w:shd w:val="clear" w:color="auto" w:fill="CCEEFF"/>
          </w:tcPr>
          <w:p>
            <w:pPr>
              <w:jc w:val="right"/>
              <w:ind w:right="1006"/>
              <w:spacing w:after="0"/>
              <w:rPr>
                <w:sz w:val="20"/>
                <w:szCs w:val="20"/>
                <w:color w:val="auto"/>
              </w:rPr>
            </w:pPr>
            <w:r>
              <w:rPr>
                <w:rFonts w:ascii="Arial" w:cs="Arial" w:eastAsia="Arial" w:hAnsi="Arial"/>
                <w:sz w:val="13"/>
                <w:szCs w:val="13"/>
                <w:color w:val="auto"/>
              </w:rPr>
              <w:t>1,749,178</w:t>
            </w:r>
          </w:p>
        </w:tc>
        <w:tc>
          <w:tcPr>
            <w:tcW w:w="0" w:type="dxa"/>
            <w:vAlign w:val="bottom"/>
          </w:tcPr>
          <w:p>
            <w:pPr>
              <w:spacing w:after="0"/>
              <w:rPr>
                <w:sz w:val="1"/>
                <w:szCs w:val="1"/>
                <w:color w:val="auto"/>
              </w:rPr>
            </w:pPr>
          </w:p>
        </w:tc>
      </w:tr>
      <w:tr>
        <w:trPr>
          <w:trHeight w:val="150"/>
        </w:trPr>
        <w:tc>
          <w:tcPr>
            <w:tcW w:w="6400" w:type="dxa"/>
            <w:vAlign w:val="bottom"/>
          </w:tcPr>
          <w:p>
            <w:pPr>
              <w:spacing w:after="0"/>
              <w:rPr>
                <w:sz w:val="20"/>
                <w:szCs w:val="20"/>
                <w:color w:val="auto"/>
              </w:rPr>
            </w:pPr>
            <w:r>
              <w:rPr>
                <w:rFonts w:ascii="Arial" w:cs="Arial" w:eastAsia="Arial" w:hAnsi="Arial"/>
                <w:sz w:val="13"/>
                <w:szCs w:val="13"/>
                <w:color w:val="auto"/>
              </w:rPr>
              <w:t>Mr. Trevathan</w:t>
            </w:r>
          </w:p>
        </w:tc>
        <w:tc>
          <w:tcPr>
            <w:tcW w:w="180" w:type="dxa"/>
            <w:vAlign w:val="bottom"/>
          </w:tcPr>
          <w:p>
            <w:pPr>
              <w:spacing w:after="0"/>
              <w:rPr>
                <w:sz w:val="13"/>
                <w:szCs w:val="13"/>
                <w:color w:val="auto"/>
              </w:rPr>
            </w:pPr>
          </w:p>
        </w:tc>
        <w:tc>
          <w:tcPr>
            <w:tcW w:w="460" w:type="dxa"/>
            <w:vAlign w:val="bottom"/>
          </w:tcPr>
          <w:p>
            <w:pPr>
              <w:jc w:val="center"/>
              <w:spacing w:after="0"/>
              <w:rPr>
                <w:sz w:val="20"/>
                <w:szCs w:val="20"/>
                <w:color w:val="auto"/>
              </w:rPr>
            </w:pPr>
            <w:r>
              <w:rPr>
                <w:rFonts w:ascii="Arial" w:cs="Arial" w:eastAsia="Arial" w:hAnsi="Arial"/>
                <w:sz w:val="13"/>
                <w:szCs w:val="13"/>
                <w:color w:val="auto"/>
                <w:w w:val="96"/>
              </w:rPr>
              <w:t>2009</w:t>
            </w:r>
          </w:p>
        </w:tc>
        <w:tc>
          <w:tcPr>
            <w:tcW w:w="2940" w:type="dxa"/>
            <w:vAlign w:val="bottom"/>
            <w:gridSpan w:val="2"/>
          </w:tcPr>
          <w:p>
            <w:pPr>
              <w:jc w:val="right"/>
              <w:ind w:right="1006"/>
              <w:spacing w:after="0"/>
              <w:rPr>
                <w:sz w:val="20"/>
                <w:szCs w:val="20"/>
                <w:color w:val="auto"/>
              </w:rPr>
            </w:pPr>
            <w:r>
              <w:rPr>
                <w:rFonts w:ascii="Arial" w:cs="Arial" w:eastAsia="Arial" w:hAnsi="Arial"/>
                <w:sz w:val="13"/>
                <w:szCs w:val="13"/>
                <w:color w:val="auto"/>
              </w:rPr>
              <w:t>999,946</w:t>
            </w:r>
          </w:p>
        </w:tc>
        <w:tc>
          <w:tcPr>
            <w:tcW w:w="0" w:type="dxa"/>
            <w:vAlign w:val="bottom"/>
          </w:tcPr>
          <w:p>
            <w:pPr>
              <w:spacing w:after="0"/>
              <w:rPr>
                <w:sz w:val="1"/>
                <w:szCs w:val="1"/>
                <w:color w:val="auto"/>
              </w:rPr>
            </w:pPr>
          </w:p>
        </w:tc>
      </w:tr>
      <w:tr>
        <w:trPr>
          <w:trHeight w:val="161"/>
        </w:trPr>
        <w:tc>
          <w:tcPr>
            <w:tcW w:w="6400" w:type="dxa"/>
            <w:vAlign w:val="bottom"/>
          </w:tcPr>
          <w:p>
            <w:pPr>
              <w:spacing w:after="0"/>
              <w:rPr>
                <w:sz w:val="14"/>
                <w:szCs w:val="14"/>
                <w:color w:val="auto"/>
              </w:rPr>
            </w:pPr>
          </w:p>
        </w:tc>
        <w:tc>
          <w:tcPr>
            <w:tcW w:w="640" w:type="dxa"/>
            <w:vAlign w:val="bottom"/>
            <w:gridSpan w:val="2"/>
          </w:tcPr>
          <w:p>
            <w:pPr>
              <w:jc w:val="center"/>
              <w:ind w:left="133"/>
              <w:spacing w:after="0"/>
              <w:rPr>
                <w:sz w:val="20"/>
                <w:szCs w:val="20"/>
                <w:color w:val="auto"/>
              </w:rPr>
            </w:pPr>
            <w:r>
              <w:rPr>
                <w:rFonts w:ascii="Arial" w:cs="Arial" w:eastAsia="Arial" w:hAnsi="Arial"/>
                <w:sz w:val="13"/>
                <w:szCs w:val="13"/>
                <w:color w:val="auto"/>
                <w:w w:val="96"/>
              </w:rPr>
              <w:t>2008</w:t>
            </w:r>
          </w:p>
        </w:tc>
        <w:tc>
          <w:tcPr>
            <w:tcW w:w="2940" w:type="dxa"/>
            <w:vAlign w:val="bottom"/>
            <w:gridSpan w:val="2"/>
          </w:tcPr>
          <w:p>
            <w:pPr>
              <w:jc w:val="right"/>
              <w:ind w:right="1006"/>
              <w:spacing w:after="0"/>
              <w:rPr>
                <w:sz w:val="20"/>
                <w:szCs w:val="20"/>
                <w:color w:val="auto"/>
              </w:rPr>
            </w:pPr>
            <w:r>
              <w:rPr>
                <w:rFonts w:ascii="Arial" w:cs="Arial" w:eastAsia="Arial" w:hAnsi="Arial"/>
                <w:sz w:val="13"/>
                <w:szCs w:val="13"/>
                <w:color w:val="auto"/>
              </w:rPr>
              <w:t>1,407,594</w:t>
            </w:r>
          </w:p>
        </w:tc>
        <w:tc>
          <w:tcPr>
            <w:tcW w:w="0" w:type="dxa"/>
            <w:vAlign w:val="bottom"/>
          </w:tcPr>
          <w:p>
            <w:pPr>
              <w:spacing w:after="0"/>
              <w:rPr>
                <w:sz w:val="1"/>
                <w:szCs w:val="1"/>
                <w:color w:val="auto"/>
              </w:rPr>
            </w:pPr>
          </w:p>
        </w:tc>
      </w:tr>
      <w:tr>
        <w:trPr>
          <w:trHeight w:val="172"/>
        </w:trPr>
        <w:tc>
          <w:tcPr>
            <w:tcW w:w="6400" w:type="dxa"/>
            <w:vAlign w:val="bottom"/>
          </w:tcPr>
          <w:p>
            <w:pPr>
              <w:spacing w:after="0"/>
              <w:rPr>
                <w:sz w:val="14"/>
                <w:szCs w:val="14"/>
                <w:color w:val="auto"/>
              </w:rPr>
            </w:pPr>
          </w:p>
        </w:tc>
        <w:tc>
          <w:tcPr>
            <w:tcW w:w="640" w:type="dxa"/>
            <w:vAlign w:val="bottom"/>
            <w:gridSpan w:val="2"/>
          </w:tcPr>
          <w:p>
            <w:pPr>
              <w:jc w:val="center"/>
              <w:ind w:left="133"/>
              <w:spacing w:after="0"/>
              <w:rPr>
                <w:sz w:val="20"/>
                <w:szCs w:val="20"/>
                <w:color w:val="auto"/>
              </w:rPr>
            </w:pPr>
            <w:r>
              <w:rPr>
                <w:rFonts w:ascii="Arial" w:cs="Arial" w:eastAsia="Arial" w:hAnsi="Arial"/>
                <w:sz w:val="13"/>
                <w:szCs w:val="13"/>
                <w:color w:val="auto"/>
                <w:w w:val="96"/>
              </w:rPr>
              <w:t>2007</w:t>
            </w:r>
          </w:p>
        </w:tc>
        <w:tc>
          <w:tcPr>
            <w:tcW w:w="2940" w:type="dxa"/>
            <w:vAlign w:val="bottom"/>
            <w:gridSpan w:val="2"/>
          </w:tcPr>
          <w:p>
            <w:pPr>
              <w:jc w:val="right"/>
              <w:ind w:right="1006"/>
              <w:spacing w:after="0"/>
              <w:rPr>
                <w:sz w:val="20"/>
                <w:szCs w:val="20"/>
                <w:color w:val="auto"/>
              </w:rPr>
            </w:pPr>
            <w:r>
              <w:rPr>
                <w:rFonts w:ascii="Arial" w:cs="Arial" w:eastAsia="Arial" w:hAnsi="Arial"/>
                <w:sz w:val="13"/>
                <w:szCs w:val="13"/>
                <w:color w:val="auto"/>
              </w:rPr>
              <w:t>1,033,998</w:t>
            </w:r>
          </w:p>
        </w:tc>
        <w:tc>
          <w:tcPr>
            <w:tcW w:w="0" w:type="dxa"/>
            <w:vAlign w:val="bottom"/>
          </w:tcPr>
          <w:p>
            <w:pPr>
              <w:spacing w:after="0"/>
              <w:rPr>
                <w:sz w:val="1"/>
                <w:szCs w:val="1"/>
                <w:color w:val="auto"/>
              </w:rPr>
            </w:pPr>
          </w:p>
        </w:tc>
      </w:tr>
      <w:tr>
        <w:trPr>
          <w:trHeight w:val="161"/>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Mr. Woods</w:t>
            </w:r>
          </w:p>
        </w:tc>
        <w:tc>
          <w:tcPr>
            <w:tcW w:w="640" w:type="dxa"/>
            <w:vAlign w:val="bottom"/>
            <w:gridSpan w:val="2"/>
            <w:shd w:val="clear" w:color="auto" w:fill="CCEEFF"/>
          </w:tcPr>
          <w:p>
            <w:pPr>
              <w:jc w:val="center"/>
              <w:ind w:left="133"/>
              <w:spacing w:after="0"/>
              <w:rPr>
                <w:sz w:val="20"/>
                <w:szCs w:val="20"/>
                <w:color w:val="auto"/>
              </w:rPr>
            </w:pPr>
            <w:r>
              <w:rPr>
                <w:rFonts w:ascii="Arial" w:cs="Arial" w:eastAsia="Arial" w:hAnsi="Arial"/>
                <w:sz w:val="13"/>
                <w:szCs w:val="13"/>
                <w:color w:val="auto"/>
                <w:w w:val="96"/>
              </w:rPr>
              <w:t>2009</w:t>
            </w:r>
          </w:p>
        </w:tc>
        <w:tc>
          <w:tcPr>
            <w:tcW w:w="2940" w:type="dxa"/>
            <w:vAlign w:val="bottom"/>
            <w:gridSpan w:val="2"/>
            <w:shd w:val="clear" w:color="auto" w:fill="CCEEFF"/>
          </w:tcPr>
          <w:p>
            <w:pPr>
              <w:jc w:val="right"/>
              <w:ind w:right="1006"/>
              <w:spacing w:after="0"/>
              <w:rPr>
                <w:sz w:val="20"/>
                <w:szCs w:val="20"/>
                <w:color w:val="auto"/>
              </w:rPr>
            </w:pPr>
            <w:r>
              <w:rPr>
                <w:rFonts w:ascii="Arial" w:cs="Arial" w:eastAsia="Arial" w:hAnsi="Arial"/>
                <w:sz w:val="13"/>
                <w:szCs w:val="13"/>
                <w:color w:val="auto"/>
              </w:rPr>
              <w:t>999,946</w:t>
            </w:r>
          </w:p>
        </w:tc>
        <w:tc>
          <w:tcPr>
            <w:tcW w:w="0" w:type="dxa"/>
            <w:vAlign w:val="bottom"/>
          </w:tcPr>
          <w:p>
            <w:pPr>
              <w:spacing w:after="0"/>
              <w:rPr>
                <w:sz w:val="1"/>
                <w:szCs w:val="1"/>
                <w:color w:val="auto"/>
              </w:rPr>
            </w:pPr>
          </w:p>
        </w:tc>
      </w:tr>
      <w:tr>
        <w:trPr>
          <w:trHeight w:val="161"/>
        </w:trPr>
        <w:tc>
          <w:tcPr>
            <w:tcW w:w="6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2008</w:t>
            </w:r>
          </w:p>
        </w:tc>
        <w:tc>
          <w:tcPr>
            <w:tcW w:w="2940" w:type="dxa"/>
            <w:vAlign w:val="bottom"/>
            <w:gridSpan w:val="2"/>
            <w:shd w:val="clear" w:color="auto" w:fill="CCEEFF"/>
          </w:tcPr>
          <w:p>
            <w:pPr>
              <w:jc w:val="right"/>
              <w:ind w:right="1006"/>
              <w:spacing w:after="0"/>
              <w:rPr>
                <w:sz w:val="20"/>
                <w:szCs w:val="20"/>
                <w:color w:val="auto"/>
              </w:rPr>
            </w:pPr>
            <w:r>
              <w:rPr>
                <w:rFonts w:ascii="Arial" w:cs="Arial" w:eastAsia="Arial" w:hAnsi="Arial"/>
                <w:sz w:val="13"/>
                <w:szCs w:val="13"/>
                <w:color w:val="auto"/>
              </w:rPr>
              <w:t>1,407,594</w:t>
            </w:r>
          </w:p>
        </w:tc>
        <w:tc>
          <w:tcPr>
            <w:tcW w:w="0" w:type="dxa"/>
            <w:vAlign w:val="bottom"/>
          </w:tcPr>
          <w:p>
            <w:pPr>
              <w:spacing w:after="0"/>
              <w:rPr>
                <w:sz w:val="1"/>
                <w:szCs w:val="1"/>
                <w:color w:val="auto"/>
              </w:rPr>
            </w:pPr>
          </w:p>
        </w:tc>
      </w:tr>
      <w:tr>
        <w:trPr>
          <w:trHeight w:val="161"/>
        </w:trPr>
        <w:tc>
          <w:tcPr>
            <w:tcW w:w="6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2007</w:t>
            </w:r>
          </w:p>
        </w:tc>
        <w:tc>
          <w:tcPr>
            <w:tcW w:w="2940" w:type="dxa"/>
            <w:vAlign w:val="bottom"/>
            <w:gridSpan w:val="2"/>
            <w:shd w:val="clear" w:color="auto" w:fill="CCEEFF"/>
          </w:tcPr>
          <w:p>
            <w:pPr>
              <w:jc w:val="right"/>
              <w:ind w:right="1006"/>
              <w:spacing w:after="0"/>
              <w:rPr>
                <w:sz w:val="20"/>
                <w:szCs w:val="20"/>
                <w:color w:val="auto"/>
              </w:rPr>
            </w:pPr>
            <w:r>
              <w:rPr>
                <w:rFonts w:ascii="Arial" w:cs="Arial" w:eastAsia="Arial" w:hAnsi="Arial"/>
                <w:sz w:val="13"/>
                <w:szCs w:val="13"/>
                <w:color w:val="auto"/>
              </w:rPr>
              <w:t>1,033,998</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320"/>
        <w:spacing w:after="0" w:line="294" w:lineRule="auto"/>
        <w:rPr>
          <w:sz w:val="20"/>
          <w:szCs w:val="20"/>
          <w:color w:val="auto"/>
        </w:rPr>
      </w:pPr>
      <w:r>
        <w:rPr>
          <w:rFonts w:ascii="Arial" w:cs="Arial" w:eastAsia="Arial" w:hAnsi="Arial"/>
          <w:sz w:val="13"/>
          <w:szCs w:val="13"/>
          <w:color w:val="auto"/>
        </w:rPr>
        <w:t>See Note 16 in the Notes to the Consolidated Financial Statements in our 2009 Annual Report on Form 10-K for a discussion of the assumptions used in the evaluation of our equity awards.</w:t>
      </w:r>
    </w:p>
    <w:p>
      <w:pPr>
        <w:spacing w:after="0" w:line="24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740"/>
        <w:spacing w:after="0"/>
        <w:rPr>
          <w:sz w:val="20"/>
          <w:szCs w:val="20"/>
          <w:color w:val="auto"/>
        </w:rPr>
      </w:pPr>
      <w:r>
        <w:rPr>
          <w:rFonts w:ascii="Arial" w:cs="Arial" w:eastAsia="Arial" w:hAnsi="Arial"/>
          <w:sz w:val="13"/>
          <w:szCs w:val="13"/>
          <w:color w:val="auto"/>
        </w:rPr>
        <w:t>(2)  The amounts included in “All Other Compensation” for 2009 are shown below (in dollars):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3380" w:type="dxa"/>
            <w:vAlign w:val="bottom"/>
          </w:tcPr>
          <w:p>
            <w:pPr>
              <w:spacing w:after="0"/>
              <w:rPr>
                <w:sz w:val="10"/>
                <w:szCs w:val="10"/>
                <w:color w:val="auto"/>
              </w:rPr>
            </w:pP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w w:val="85"/>
              </w:rPr>
              <w:t>Personal</w:t>
            </w: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4"/>
              </w:rPr>
              <w:t>401(k)</w:t>
            </w:r>
          </w:p>
        </w:tc>
        <w:tc>
          <w:tcPr>
            <w:tcW w:w="240" w:type="dxa"/>
            <w:vAlign w:val="bottom"/>
          </w:tcPr>
          <w:p>
            <w:pPr>
              <w:spacing w:after="0"/>
              <w:rPr>
                <w:sz w:val="10"/>
                <w:szCs w:val="10"/>
                <w:color w:val="auto"/>
              </w:rPr>
            </w:pPr>
          </w:p>
        </w:tc>
        <w:tc>
          <w:tcPr>
            <w:tcW w:w="1120" w:type="dxa"/>
            <w:vAlign w:val="bottom"/>
          </w:tcPr>
          <w:p>
            <w:pPr>
              <w:jc w:val="center"/>
              <w:spacing w:after="0"/>
              <w:rPr>
                <w:sz w:val="20"/>
                <w:szCs w:val="20"/>
                <w:color w:val="auto"/>
              </w:rPr>
            </w:pPr>
            <w:r>
              <w:rPr>
                <w:rFonts w:ascii="Arial" w:cs="Arial" w:eastAsia="Arial" w:hAnsi="Arial"/>
                <w:sz w:val="11"/>
                <w:szCs w:val="11"/>
                <w:b w:val="1"/>
                <w:bCs w:val="1"/>
                <w:color w:val="auto"/>
                <w:w w:val="91"/>
              </w:rPr>
              <w:t>Deferral</w:t>
            </w:r>
          </w:p>
        </w:tc>
        <w:tc>
          <w:tcPr>
            <w:tcW w:w="240" w:type="dxa"/>
            <w:vAlign w:val="bottom"/>
          </w:tcPr>
          <w:p>
            <w:pPr>
              <w:spacing w:after="0"/>
              <w:rPr>
                <w:sz w:val="10"/>
                <w:szCs w:val="10"/>
                <w:color w:val="auto"/>
              </w:rPr>
            </w:pPr>
          </w:p>
        </w:tc>
        <w:tc>
          <w:tcPr>
            <w:tcW w:w="8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1"/>
              </w:rPr>
              <w:t>Life</w:t>
            </w: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3380" w:type="dxa"/>
            <w:vAlign w:val="bottom"/>
          </w:tcPr>
          <w:p>
            <w:pPr>
              <w:spacing w:after="0"/>
              <w:rPr>
                <w:sz w:val="9"/>
                <w:szCs w:val="9"/>
                <w:color w:val="auto"/>
              </w:rPr>
            </w:pPr>
          </w:p>
        </w:tc>
        <w:tc>
          <w:tcPr>
            <w:tcW w:w="92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3"/>
              </w:rPr>
              <w:t>Use of</w:t>
            </w:r>
          </w:p>
        </w:tc>
        <w:tc>
          <w:tcPr>
            <w:tcW w:w="240" w:type="dxa"/>
            <w:vAlign w:val="bottom"/>
          </w:tcPr>
          <w:p>
            <w:pPr>
              <w:spacing w:after="0"/>
              <w:rPr>
                <w:sz w:val="9"/>
                <w:szCs w:val="9"/>
                <w:color w:val="auto"/>
              </w:rPr>
            </w:pPr>
          </w:p>
        </w:tc>
        <w:tc>
          <w:tcPr>
            <w:tcW w:w="5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1"/>
              </w:rPr>
              <w:t>Annual</w:t>
            </w:r>
          </w:p>
        </w:tc>
        <w:tc>
          <w:tcPr>
            <w:tcW w:w="24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94"/>
              </w:rPr>
              <w:t>Plan</w:t>
            </w:r>
          </w:p>
        </w:tc>
        <w:tc>
          <w:tcPr>
            <w:tcW w:w="24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380" w:type="dxa"/>
            <w:vAlign w:val="bottom"/>
          </w:tcPr>
          <w:p>
            <w:pPr>
              <w:spacing w:after="0"/>
              <w:rPr>
                <w:sz w:val="9"/>
                <w:szCs w:val="9"/>
                <w:color w:val="auto"/>
              </w:rPr>
            </w:pPr>
          </w:p>
        </w:tc>
        <w:tc>
          <w:tcPr>
            <w:tcW w:w="92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7"/>
              </w:rPr>
              <w:t>Company</w:t>
            </w:r>
          </w:p>
        </w:tc>
        <w:tc>
          <w:tcPr>
            <w:tcW w:w="2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8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91"/>
              </w:rPr>
              <w:t>Matching</w:t>
            </w:r>
          </w:p>
        </w:tc>
        <w:tc>
          <w:tcPr>
            <w:tcW w:w="240" w:type="dxa"/>
            <w:vAlign w:val="bottom"/>
          </w:tcPr>
          <w:p>
            <w:pPr>
              <w:spacing w:after="0"/>
              <w:rPr>
                <w:sz w:val="9"/>
                <w:szCs w:val="9"/>
                <w:color w:val="auto"/>
              </w:rPr>
            </w:pPr>
          </w:p>
        </w:tc>
        <w:tc>
          <w:tcPr>
            <w:tcW w:w="112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95"/>
              </w:rPr>
              <w:t>Matching</w:t>
            </w:r>
          </w:p>
        </w:tc>
        <w:tc>
          <w:tcPr>
            <w:tcW w:w="240" w:type="dxa"/>
            <w:vAlign w:val="bottom"/>
          </w:tcPr>
          <w:p>
            <w:pPr>
              <w:spacing w:after="0"/>
              <w:rPr>
                <w:sz w:val="9"/>
                <w:szCs w:val="9"/>
                <w:color w:val="auto"/>
              </w:rPr>
            </w:pPr>
          </w:p>
        </w:tc>
        <w:tc>
          <w:tcPr>
            <w:tcW w:w="88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8"/>
              </w:rPr>
              <w:t>Insurance</w:t>
            </w:r>
          </w:p>
        </w:tc>
        <w:tc>
          <w:tcPr>
            <w:tcW w:w="240" w:type="dxa"/>
            <w:vAlign w:val="bottom"/>
          </w:tcPr>
          <w:p>
            <w:pPr>
              <w:spacing w:after="0"/>
              <w:rPr>
                <w:sz w:val="9"/>
                <w:szCs w:val="9"/>
                <w:color w:val="auto"/>
              </w:rPr>
            </w:pPr>
          </w:p>
        </w:tc>
        <w:tc>
          <w:tcPr>
            <w:tcW w:w="620" w:type="dxa"/>
            <w:vAlign w:val="bottom"/>
            <w:vMerge w:val="restart"/>
          </w:tcPr>
          <w:p>
            <w:pPr>
              <w:jc w:val="right"/>
              <w:ind w:right="126"/>
              <w:spacing w:after="0"/>
              <w:rPr>
                <w:sz w:val="20"/>
                <w:szCs w:val="20"/>
                <w:color w:val="auto"/>
              </w:rPr>
            </w:pPr>
            <w:r>
              <w:rPr>
                <w:rFonts w:ascii="Arial" w:cs="Arial" w:eastAsia="Arial" w:hAnsi="Arial"/>
                <w:sz w:val="11"/>
                <w:szCs w:val="11"/>
                <w:b w:val="1"/>
                <w:bCs w:val="1"/>
                <w:color w:val="auto"/>
              </w:rPr>
              <w:t>Other</w:t>
            </w:r>
          </w:p>
        </w:tc>
        <w:tc>
          <w:tcPr>
            <w:tcW w:w="0" w:type="dxa"/>
            <w:vAlign w:val="bottom"/>
          </w:tcPr>
          <w:p>
            <w:pPr>
              <w:spacing w:after="0"/>
              <w:rPr>
                <w:sz w:val="1"/>
                <w:szCs w:val="1"/>
                <w:color w:val="auto"/>
              </w:rPr>
            </w:pPr>
          </w:p>
        </w:tc>
      </w:tr>
      <w:tr>
        <w:trPr>
          <w:trHeight w:val="128"/>
        </w:trPr>
        <w:tc>
          <w:tcPr>
            <w:tcW w:w="3380" w:type="dxa"/>
            <w:vAlign w:val="bottom"/>
          </w:tcPr>
          <w:p>
            <w:pPr>
              <w:spacing w:after="0"/>
              <w:rPr>
                <w:sz w:val="11"/>
                <w:szCs w:val="11"/>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Aircraft</w:t>
            </w:r>
          </w:p>
        </w:tc>
        <w:tc>
          <w:tcPr>
            <w:tcW w:w="240" w:type="dxa"/>
            <w:vAlign w:val="bottom"/>
          </w:tcPr>
          <w:p>
            <w:pPr>
              <w:spacing w:after="0"/>
              <w:rPr>
                <w:sz w:val="11"/>
                <w:szCs w:val="11"/>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5"/>
              </w:rPr>
              <w:t>Physical</w:t>
            </w:r>
          </w:p>
        </w:tc>
        <w:tc>
          <w:tcPr>
            <w:tcW w:w="240" w:type="dxa"/>
            <w:vAlign w:val="bottom"/>
          </w:tcPr>
          <w:p>
            <w:pPr>
              <w:spacing w:after="0"/>
              <w:rPr>
                <w:sz w:val="11"/>
                <w:szCs w:val="11"/>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Contributions</w:t>
            </w:r>
          </w:p>
        </w:tc>
        <w:tc>
          <w:tcPr>
            <w:tcW w:w="240" w:type="dxa"/>
            <w:vAlign w:val="bottom"/>
          </w:tcPr>
          <w:p>
            <w:pPr>
              <w:spacing w:after="0"/>
              <w:rPr>
                <w:sz w:val="11"/>
                <w:szCs w:val="11"/>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Contribution</w:t>
            </w:r>
          </w:p>
        </w:tc>
        <w:tc>
          <w:tcPr>
            <w:tcW w:w="240" w:type="dxa"/>
            <w:vAlign w:val="bottom"/>
          </w:tcPr>
          <w:p>
            <w:pPr>
              <w:spacing w:after="0"/>
              <w:rPr>
                <w:sz w:val="11"/>
                <w:szCs w:val="11"/>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Premiums</w:t>
            </w:r>
          </w:p>
        </w:tc>
        <w:tc>
          <w:tcPr>
            <w:tcW w:w="240" w:type="dxa"/>
            <w:vAlign w:val="bottom"/>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3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Mr. Steiner</w:t>
            </w:r>
          </w:p>
        </w:tc>
        <w:tc>
          <w:tcPr>
            <w:tcW w:w="920" w:type="dxa"/>
            <w:vAlign w:val="bottom"/>
            <w:shd w:val="clear" w:color="auto" w:fill="CCEEFF"/>
          </w:tcPr>
          <w:p>
            <w:pPr>
              <w:jc w:val="right"/>
              <w:ind w:right="179"/>
              <w:spacing w:after="0"/>
              <w:rPr>
                <w:sz w:val="20"/>
                <w:szCs w:val="20"/>
                <w:color w:val="auto"/>
              </w:rPr>
            </w:pPr>
            <w:r>
              <w:rPr>
                <w:rFonts w:ascii="Arial" w:cs="Arial" w:eastAsia="Arial" w:hAnsi="Arial"/>
                <w:sz w:val="13"/>
                <w:szCs w:val="13"/>
                <w:color w:val="auto"/>
              </w:rPr>
              <w:t>196,777</w:t>
            </w:r>
          </w:p>
        </w:tc>
        <w:tc>
          <w:tcPr>
            <w:tcW w:w="820" w:type="dxa"/>
            <w:vAlign w:val="bottom"/>
            <w:gridSpan w:val="2"/>
            <w:shd w:val="clear" w:color="auto" w:fill="CCEEFF"/>
          </w:tcPr>
          <w:p>
            <w:pPr>
              <w:jc w:val="center"/>
              <w:ind w:left="193"/>
              <w:spacing w:after="0"/>
              <w:rPr>
                <w:sz w:val="20"/>
                <w:szCs w:val="20"/>
                <w:color w:val="auto"/>
              </w:rPr>
            </w:pPr>
            <w:r>
              <w:rPr>
                <w:rFonts w:ascii="Arial" w:cs="Arial" w:eastAsia="Arial" w:hAnsi="Arial"/>
                <w:sz w:val="13"/>
                <w:szCs w:val="13"/>
                <w:color w:val="auto"/>
                <w:w w:val="92"/>
              </w:rPr>
              <w:t>390</w:t>
            </w:r>
          </w:p>
        </w:tc>
        <w:tc>
          <w:tcPr>
            <w:tcW w:w="1520" w:type="dxa"/>
            <w:vAlign w:val="bottom"/>
            <w:gridSpan w:val="2"/>
            <w:shd w:val="clear" w:color="auto" w:fill="CCEEFF"/>
          </w:tcPr>
          <w:p>
            <w:pPr>
              <w:jc w:val="center"/>
              <w:ind w:left="213"/>
              <w:spacing w:after="0"/>
              <w:rPr>
                <w:sz w:val="20"/>
                <w:szCs w:val="20"/>
                <w:color w:val="auto"/>
              </w:rPr>
            </w:pPr>
            <w:r>
              <w:rPr>
                <w:rFonts w:ascii="Arial" w:cs="Arial" w:eastAsia="Arial" w:hAnsi="Arial"/>
                <w:sz w:val="13"/>
                <w:szCs w:val="13"/>
                <w:color w:val="auto"/>
                <w:w w:val="90"/>
              </w:rPr>
              <w:t>11,025</w:t>
            </w:r>
          </w:p>
        </w:tc>
        <w:tc>
          <w:tcPr>
            <w:tcW w:w="1360" w:type="dxa"/>
            <w:vAlign w:val="bottom"/>
            <w:gridSpan w:val="2"/>
            <w:shd w:val="clear" w:color="auto" w:fill="CCEEFF"/>
          </w:tcPr>
          <w:p>
            <w:pPr>
              <w:jc w:val="right"/>
              <w:ind w:right="306"/>
              <w:spacing w:after="0"/>
              <w:rPr>
                <w:sz w:val="20"/>
                <w:szCs w:val="20"/>
                <w:color w:val="auto"/>
              </w:rPr>
            </w:pPr>
            <w:r>
              <w:rPr>
                <w:rFonts w:ascii="Arial" w:cs="Arial" w:eastAsia="Arial" w:hAnsi="Arial"/>
                <w:sz w:val="13"/>
                <w:szCs w:val="13"/>
                <w:color w:val="auto"/>
              </w:rPr>
              <w:t>47,868</w:t>
            </w:r>
          </w:p>
        </w:tc>
        <w:tc>
          <w:tcPr>
            <w:tcW w:w="1120" w:type="dxa"/>
            <w:vAlign w:val="bottom"/>
            <w:gridSpan w:val="2"/>
            <w:shd w:val="clear" w:color="auto" w:fill="CCEEFF"/>
          </w:tcPr>
          <w:p>
            <w:pPr>
              <w:jc w:val="center"/>
              <w:ind w:left="193"/>
              <w:spacing w:after="0"/>
              <w:rPr>
                <w:sz w:val="20"/>
                <w:szCs w:val="20"/>
                <w:color w:val="auto"/>
              </w:rPr>
            </w:pPr>
            <w:r>
              <w:rPr>
                <w:rFonts w:ascii="Arial" w:cs="Arial" w:eastAsia="Arial" w:hAnsi="Arial"/>
                <w:sz w:val="13"/>
                <w:szCs w:val="13"/>
                <w:color w:val="auto"/>
                <w:w w:val="92"/>
              </w:rPr>
              <w:t>2,464</w:t>
            </w:r>
          </w:p>
        </w:tc>
        <w:tc>
          <w:tcPr>
            <w:tcW w:w="860" w:type="dxa"/>
            <w:vAlign w:val="bottom"/>
            <w:gridSpan w:val="2"/>
            <w:shd w:val="clear" w:color="auto" w:fill="CCEEFF"/>
          </w:tcPr>
          <w:p>
            <w:pPr>
              <w:jc w:val="right"/>
              <w:ind w:right="106"/>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61"/>
        </w:trPr>
        <w:tc>
          <w:tcPr>
            <w:tcW w:w="3380" w:type="dxa"/>
            <w:vAlign w:val="bottom"/>
          </w:tcPr>
          <w:p>
            <w:pPr>
              <w:spacing w:after="0"/>
              <w:rPr>
                <w:sz w:val="20"/>
                <w:szCs w:val="20"/>
                <w:color w:val="auto"/>
              </w:rPr>
            </w:pPr>
            <w:r>
              <w:rPr>
                <w:rFonts w:ascii="Arial" w:cs="Arial" w:eastAsia="Arial" w:hAnsi="Arial"/>
                <w:sz w:val="13"/>
                <w:szCs w:val="13"/>
                <w:color w:val="auto"/>
              </w:rPr>
              <w:t>Mr. O’Donnell</w:t>
            </w:r>
          </w:p>
        </w:tc>
        <w:tc>
          <w:tcPr>
            <w:tcW w:w="920" w:type="dxa"/>
            <w:vAlign w:val="bottom"/>
          </w:tcPr>
          <w:p>
            <w:pPr>
              <w:jc w:val="right"/>
              <w:ind w:right="179"/>
              <w:spacing w:after="0"/>
              <w:rPr>
                <w:sz w:val="20"/>
                <w:szCs w:val="20"/>
                <w:color w:val="auto"/>
              </w:rPr>
            </w:pPr>
            <w:r>
              <w:rPr>
                <w:rFonts w:ascii="Arial" w:cs="Arial" w:eastAsia="Arial" w:hAnsi="Arial"/>
                <w:sz w:val="13"/>
                <w:szCs w:val="13"/>
                <w:color w:val="auto"/>
              </w:rPr>
              <w:t>0</w:t>
            </w:r>
          </w:p>
        </w:tc>
        <w:tc>
          <w:tcPr>
            <w:tcW w:w="820" w:type="dxa"/>
            <w:vAlign w:val="bottom"/>
            <w:gridSpan w:val="2"/>
          </w:tcPr>
          <w:p>
            <w:pPr>
              <w:jc w:val="center"/>
              <w:ind w:left="193"/>
              <w:spacing w:after="0"/>
              <w:rPr>
                <w:sz w:val="20"/>
                <w:szCs w:val="20"/>
                <w:color w:val="auto"/>
              </w:rPr>
            </w:pPr>
            <w:r>
              <w:rPr>
                <w:rFonts w:ascii="Arial" w:cs="Arial" w:eastAsia="Arial" w:hAnsi="Arial"/>
                <w:sz w:val="13"/>
                <w:szCs w:val="13"/>
                <w:color w:val="auto"/>
                <w:w w:val="92"/>
              </w:rPr>
              <w:t>500</w:t>
            </w:r>
          </w:p>
        </w:tc>
        <w:tc>
          <w:tcPr>
            <w:tcW w:w="1520" w:type="dxa"/>
            <w:vAlign w:val="bottom"/>
            <w:gridSpan w:val="2"/>
          </w:tcPr>
          <w:p>
            <w:pPr>
              <w:jc w:val="center"/>
              <w:ind w:left="213"/>
              <w:spacing w:after="0"/>
              <w:rPr>
                <w:sz w:val="20"/>
                <w:szCs w:val="20"/>
                <w:color w:val="auto"/>
              </w:rPr>
            </w:pPr>
            <w:r>
              <w:rPr>
                <w:rFonts w:ascii="Arial" w:cs="Arial" w:eastAsia="Arial" w:hAnsi="Arial"/>
                <w:sz w:val="13"/>
                <w:szCs w:val="13"/>
                <w:color w:val="auto"/>
                <w:w w:val="90"/>
              </w:rPr>
              <w:t>11,025</w:t>
            </w:r>
          </w:p>
        </w:tc>
        <w:tc>
          <w:tcPr>
            <w:tcW w:w="1360" w:type="dxa"/>
            <w:vAlign w:val="bottom"/>
            <w:gridSpan w:val="2"/>
          </w:tcPr>
          <w:p>
            <w:pPr>
              <w:jc w:val="right"/>
              <w:ind w:right="306"/>
              <w:spacing w:after="0"/>
              <w:rPr>
                <w:sz w:val="20"/>
                <w:szCs w:val="20"/>
                <w:color w:val="auto"/>
              </w:rPr>
            </w:pPr>
            <w:r>
              <w:rPr>
                <w:rFonts w:ascii="Arial" w:cs="Arial" w:eastAsia="Arial" w:hAnsi="Arial"/>
                <w:sz w:val="13"/>
                <w:szCs w:val="13"/>
                <w:color w:val="auto"/>
              </w:rPr>
              <w:t>53,514</w:t>
            </w:r>
          </w:p>
        </w:tc>
        <w:tc>
          <w:tcPr>
            <w:tcW w:w="1120" w:type="dxa"/>
            <w:vAlign w:val="bottom"/>
            <w:gridSpan w:val="2"/>
          </w:tcPr>
          <w:p>
            <w:pPr>
              <w:jc w:val="center"/>
              <w:ind w:left="193"/>
              <w:spacing w:after="0"/>
              <w:rPr>
                <w:sz w:val="20"/>
                <w:szCs w:val="20"/>
                <w:color w:val="auto"/>
              </w:rPr>
            </w:pPr>
            <w:r>
              <w:rPr>
                <w:rFonts w:ascii="Arial" w:cs="Arial" w:eastAsia="Arial" w:hAnsi="Arial"/>
                <w:sz w:val="13"/>
                <w:szCs w:val="13"/>
                <w:color w:val="auto"/>
                <w:w w:val="92"/>
              </w:rPr>
              <w:t>1,779</w:t>
            </w:r>
          </w:p>
        </w:tc>
        <w:tc>
          <w:tcPr>
            <w:tcW w:w="860" w:type="dxa"/>
            <w:vAlign w:val="bottom"/>
            <w:gridSpan w:val="2"/>
          </w:tcPr>
          <w:p>
            <w:pPr>
              <w:jc w:val="right"/>
              <w:ind w:right="106"/>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61"/>
        </w:trPr>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Mr. Simpson</w:t>
            </w:r>
          </w:p>
        </w:tc>
        <w:tc>
          <w:tcPr>
            <w:tcW w:w="920" w:type="dxa"/>
            <w:vAlign w:val="bottom"/>
            <w:shd w:val="clear" w:color="auto" w:fill="CCEEFF"/>
          </w:tcPr>
          <w:p>
            <w:pPr>
              <w:jc w:val="right"/>
              <w:ind w:right="179"/>
              <w:spacing w:after="0"/>
              <w:rPr>
                <w:sz w:val="20"/>
                <w:szCs w:val="20"/>
                <w:color w:val="auto"/>
              </w:rPr>
            </w:pPr>
            <w:r>
              <w:rPr>
                <w:rFonts w:ascii="Arial" w:cs="Arial" w:eastAsia="Arial" w:hAnsi="Arial"/>
                <w:sz w:val="13"/>
                <w:szCs w:val="13"/>
                <w:color w:val="auto"/>
              </w:rPr>
              <w:t>0</w:t>
            </w:r>
          </w:p>
        </w:tc>
        <w:tc>
          <w:tcPr>
            <w:tcW w:w="820" w:type="dxa"/>
            <w:vAlign w:val="bottom"/>
            <w:gridSpan w:val="2"/>
            <w:shd w:val="clear" w:color="auto" w:fill="CCEEFF"/>
          </w:tcPr>
          <w:p>
            <w:pPr>
              <w:jc w:val="center"/>
              <w:ind w:left="193"/>
              <w:spacing w:after="0"/>
              <w:rPr>
                <w:sz w:val="20"/>
                <w:szCs w:val="20"/>
                <w:color w:val="auto"/>
              </w:rPr>
            </w:pPr>
            <w:r>
              <w:rPr>
                <w:rFonts w:ascii="Arial" w:cs="Arial" w:eastAsia="Arial" w:hAnsi="Arial"/>
                <w:sz w:val="13"/>
                <w:szCs w:val="13"/>
                <w:color w:val="auto"/>
                <w:w w:val="92"/>
              </w:rPr>
              <w:t>500</w:t>
            </w:r>
          </w:p>
        </w:tc>
        <w:tc>
          <w:tcPr>
            <w:tcW w:w="1520" w:type="dxa"/>
            <w:vAlign w:val="bottom"/>
            <w:gridSpan w:val="2"/>
            <w:shd w:val="clear" w:color="auto" w:fill="CCEEFF"/>
          </w:tcPr>
          <w:p>
            <w:pPr>
              <w:jc w:val="center"/>
              <w:ind w:left="213"/>
              <w:spacing w:after="0"/>
              <w:rPr>
                <w:sz w:val="20"/>
                <w:szCs w:val="20"/>
                <w:color w:val="auto"/>
              </w:rPr>
            </w:pPr>
            <w:r>
              <w:rPr>
                <w:rFonts w:ascii="Arial" w:cs="Arial" w:eastAsia="Arial" w:hAnsi="Arial"/>
                <w:sz w:val="13"/>
                <w:szCs w:val="13"/>
                <w:color w:val="auto"/>
                <w:w w:val="90"/>
              </w:rPr>
              <w:t>11,025</w:t>
            </w:r>
          </w:p>
        </w:tc>
        <w:tc>
          <w:tcPr>
            <w:tcW w:w="1360" w:type="dxa"/>
            <w:vAlign w:val="bottom"/>
            <w:gridSpan w:val="2"/>
            <w:shd w:val="clear" w:color="auto" w:fill="CCEEFF"/>
          </w:tcPr>
          <w:p>
            <w:pPr>
              <w:jc w:val="right"/>
              <w:ind w:right="306"/>
              <w:spacing w:after="0"/>
              <w:rPr>
                <w:sz w:val="20"/>
                <w:szCs w:val="20"/>
                <w:color w:val="auto"/>
              </w:rPr>
            </w:pPr>
            <w:r>
              <w:rPr>
                <w:rFonts w:ascii="Arial" w:cs="Arial" w:eastAsia="Arial" w:hAnsi="Arial"/>
                <w:sz w:val="13"/>
                <w:szCs w:val="13"/>
                <w:color w:val="auto"/>
              </w:rPr>
              <w:t>18,936</w:t>
            </w:r>
          </w:p>
        </w:tc>
        <w:tc>
          <w:tcPr>
            <w:tcW w:w="1120" w:type="dxa"/>
            <w:vAlign w:val="bottom"/>
            <w:gridSpan w:val="2"/>
            <w:shd w:val="clear" w:color="auto" w:fill="CCEEFF"/>
          </w:tcPr>
          <w:p>
            <w:pPr>
              <w:jc w:val="center"/>
              <w:ind w:left="193"/>
              <w:spacing w:after="0"/>
              <w:rPr>
                <w:sz w:val="20"/>
                <w:szCs w:val="20"/>
                <w:color w:val="auto"/>
              </w:rPr>
            </w:pPr>
            <w:r>
              <w:rPr>
                <w:rFonts w:ascii="Arial" w:cs="Arial" w:eastAsia="Arial" w:hAnsi="Arial"/>
                <w:sz w:val="13"/>
                <w:szCs w:val="13"/>
                <w:color w:val="auto"/>
                <w:w w:val="92"/>
              </w:rPr>
              <w:t>1,194</w:t>
            </w:r>
          </w:p>
        </w:tc>
        <w:tc>
          <w:tcPr>
            <w:tcW w:w="860" w:type="dxa"/>
            <w:vAlign w:val="bottom"/>
            <w:gridSpan w:val="2"/>
            <w:shd w:val="clear" w:color="auto" w:fill="CCEEFF"/>
          </w:tcPr>
          <w:p>
            <w:pPr>
              <w:jc w:val="right"/>
              <w:ind w:right="106"/>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61"/>
        </w:trPr>
        <w:tc>
          <w:tcPr>
            <w:tcW w:w="3380" w:type="dxa"/>
            <w:vAlign w:val="bottom"/>
          </w:tcPr>
          <w:p>
            <w:pPr>
              <w:spacing w:after="0"/>
              <w:rPr>
                <w:sz w:val="20"/>
                <w:szCs w:val="20"/>
                <w:color w:val="auto"/>
              </w:rPr>
            </w:pPr>
            <w:r>
              <w:rPr>
                <w:rFonts w:ascii="Arial" w:cs="Arial" w:eastAsia="Arial" w:hAnsi="Arial"/>
                <w:sz w:val="13"/>
                <w:szCs w:val="13"/>
                <w:color w:val="auto"/>
              </w:rPr>
              <w:t>Mr. Trevathan</w:t>
            </w:r>
          </w:p>
        </w:tc>
        <w:tc>
          <w:tcPr>
            <w:tcW w:w="920" w:type="dxa"/>
            <w:vAlign w:val="bottom"/>
          </w:tcPr>
          <w:p>
            <w:pPr>
              <w:jc w:val="right"/>
              <w:ind w:right="179"/>
              <w:spacing w:after="0"/>
              <w:rPr>
                <w:sz w:val="20"/>
                <w:szCs w:val="20"/>
                <w:color w:val="auto"/>
              </w:rPr>
            </w:pPr>
            <w:r>
              <w:rPr>
                <w:rFonts w:ascii="Arial" w:cs="Arial" w:eastAsia="Arial" w:hAnsi="Arial"/>
                <w:sz w:val="13"/>
                <w:szCs w:val="13"/>
                <w:color w:val="auto"/>
              </w:rPr>
              <w:t>0</w:t>
            </w:r>
          </w:p>
        </w:tc>
        <w:tc>
          <w:tcPr>
            <w:tcW w:w="820" w:type="dxa"/>
            <w:vAlign w:val="bottom"/>
            <w:gridSpan w:val="2"/>
          </w:tcPr>
          <w:p>
            <w:pPr>
              <w:jc w:val="center"/>
              <w:ind w:left="193"/>
              <w:spacing w:after="0"/>
              <w:rPr>
                <w:sz w:val="20"/>
                <w:szCs w:val="20"/>
                <w:color w:val="auto"/>
              </w:rPr>
            </w:pPr>
            <w:r>
              <w:rPr>
                <w:rFonts w:ascii="Arial" w:cs="Arial" w:eastAsia="Arial" w:hAnsi="Arial"/>
                <w:sz w:val="13"/>
                <w:szCs w:val="13"/>
                <w:color w:val="auto"/>
                <w:w w:val="92"/>
              </w:rPr>
              <w:t>250</w:t>
            </w:r>
          </w:p>
        </w:tc>
        <w:tc>
          <w:tcPr>
            <w:tcW w:w="1520" w:type="dxa"/>
            <w:vAlign w:val="bottom"/>
            <w:gridSpan w:val="2"/>
          </w:tcPr>
          <w:p>
            <w:pPr>
              <w:jc w:val="center"/>
              <w:ind w:left="213"/>
              <w:spacing w:after="0"/>
              <w:rPr>
                <w:sz w:val="20"/>
                <w:szCs w:val="20"/>
                <w:color w:val="auto"/>
              </w:rPr>
            </w:pPr>
            <w:r>
              <w:rPr>
                <w:rFonts w:ascii="Arial" w:cs="Arial" w:eastAsia="Arial" w:hAnsi="Arial"/>
                <w:sz w:val="13"/>
                <w:szCs w:val="13"/>
                <w:color w:val="auto"/>
                <w:w w:val="90"/>
              </w:rPr>
              <w:t>11,025</w:t>
            </w:r>
          </w:p>
        </w:tc>
        <w:tc>
          <w:tcPr>
            <w:tcW w:w="1360" w:type="dxa"/>
            <w:vAlign w:val="bottom"/>
            <w:gridSpan w:val="2"/>
          </w:tcPr>
          <w:p>
            <w:pPr>
              <w:jc w:val="right"/>
              <w:ind w:right="306"/>
              <w:spacing w:after="0"/>
              <w:rPr>
                <w:sz w:val="20"/>
                <w:szCs w:val="20"/>
                <w:color w:val="auto"/>
              </w:rPr>
            </w:pPr>
            <w:r>
              <w:rPr>
                <w:rFonts w:ascii="Arial" w:cs="Arial" w:eastAsia="Arial" w:hAnsi="Arial"/>
                <w:sz w:val="13"/>
                <w:szCs w:val="13"/>
                <w:color w:val="auto"/>
              </w:rPr>
              <w:t>0</w:t>
            </w:r>
          </w:p>
        </w:tc>
        <w:tc>
          <w:tcPr>
            <w:tcW w:w="1120" w:type="dxa"/>
            <w:vAlign w:val="bottom"/>
            <w:gridSpan w:val="2"/>
          </w:tcPr>
          <w:p>
            <w:pPr>
              <w:jc w:val="center"/>
              <w:ind w:left="193"/>
              <w:spacing w:after="0"/>
              <w:rPr>
                <w:sz w:val="20"/>
                <w:szCs w:val="20"/>
                <w:color w:val="auto"/>
              </w:rPr>
            </w:pPr>
            <w:r>
              <w:rPr>
                <w:rFonts w:ascii="Arial" w:cs="Arial" w:eastAsia="Arial" w:hAnsi="Arial"/>
                <w:sz w:val="13"/>
                <w:szCs w:val="13"/>
                <w:color w:val="auto"/>
                <w:w w:val="92"/>
              </w:rPr>
              <w:t>1,300</w:t>
            </w:r>
          </w:p>
        </w:tc>
        <w:tc>
          <w:tcPr>
            <w:tcW w:w="860" w:type="dxa"/>
            <w:vAlign w:val="bottom"/>
            <w:gridSpan w:val="2"/>
          </w:tcPr>
          <w:p>
            <w:pPr>
              <w:jc w:val="right"/>
              <w:ind w:right="106"/>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61"/>
        </w:trPr>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Mr. Woods</w:t>
            </w:r>
          </w:p>
        </w:tc>
        <w:tc>
          <w:tcPr>
            <w:tcW w:w="920" w:type="dxa"/>
            <w:vAlign w:val="bottom"/>
            <w:shd w:val="clear" w:color="auto" w:fill="CCEEFF"/>
          </w:tcPr>
          <w:p>
            <w:pPr>
              <w:jc w:val="right"/>
              <w:ind w:right="179"/>
              <w:spacing w:after="0"/>
              <w:rPr>
                <w:sz w:val="20"/>
                <w:szCs w:val="20"/>
                <w:color w:val="auto"/>
              </w:rPr>
            </w:pPr>
            <w:r>
              <w:rPr>
                <w:rFonts w:ascii="Arial" w:cs="Arial" w:eastAsia="Arial" w:hAnsi="Arial"/>
                <w:sz w:val="13"/>
                <w:szCs w:val="13"/>
                <w:color w:val="auto"/>
              </w:rPr>
              <w:t>0</w:t>
            </w:r>
          </w:p>
        </w:tc>
        <w:tc>
          <w:tcPr>
            <w:tcW w:w="820" w:type="dxa"/>
            <w:vAlign w:val="bottom"/>
            <w:gridSpan w:val="2"/>
            <w:shd w:val="clear" w:color="auto" w:fill="CCEEFF"/>
          </w:tcPr>
          <w:p>
            <w:pPr>
              <w:jc w:val="center"/>
              <w:ind w:left="193"/>
              <w:spacing w:after="0"/>
              <w:rPr>
                <w:sz w:val="20"/>
                <w:szCs w:val="20"/>
                <w:color w:val="auto"/>
              </w:rPr>
            </w:pPr>
            <w:r>
              <w:rPr>
                <w:rFonts w:ascii="Arial" w:cs="Arial" w:eastAsia="Arial" w:hAnsi="Arial"/>
                <w:sz w:val="13"/>
                <w:szCs w:val="13"/>
                <w:color w:val="auto"/>
                <w:w w:val="92"/>
              </w:rPr>
              <w:t>390</w:t>
            </w:r>
          </w:p>
        </w:tc>
        <w:tc>
          <w:tcPr>
            <w:tcW w:w="1520" w:type="dxa"/>
            <w:vAlign w:val="bottom"/>
            <w:gridSpan w:val="2"/>
            <w:shd w:val="clear" w:color="auto" w:fill="CCEEFF"/>
          </w:tcPr>
          <w:p>
            <w:pPr>
              <w:jc w:val="center"/>
              <w:ind w:left="213"/>
              <w:spacing w:after="0"/>
              <w:rPr>
                <w:sz w:val="20"/>
                <w:szCs w:val="20"/>
                <w:color w:val="auto"/>
              </w:rPr>
            </w:pPr>
            <w:r>
              <w:rPr>
                <w:rFonts w:ascii="Arial" w:cs="Arial" w:eastAsia="Arial" w:hAnsi="Arial"/>
                <w:sz w:val="13"/>
                <w:szCs w:val="13"/>
                <w:color w:val="auto"/>
                <w:w w:val="90"/>
              </w:rPr>
              <w:t>11,025</w:t>
            </w:r>
          </w:p>
        </w:tc>
        <w:tc>
          <w:tcPr>
            <w:tcW w:w="1360" w:type="dxa"/>
            <w:vAlign w:val="bottom"/>
            <w:gridSpan w:val="2"/>
            <w:shd w:val="clear" w:color="auto" w:fill="CCEEFF"/>
          </w:tcPr>
          <w:p>
            <w:pPr>
              <w:jc w:val="right"/>
              <w:ind w:right="306"/>
              <w:spacing w:after="0"/>
              <w:rPr>
                <w:sz w:val="20"/>
                <w:szCs w:val="20"/>
                <w:color w:val="auto"/>
              </w:rPr>
            </w:pPr>
            <w:r>
              <w:rPr>
                <w:rFonts w:ascii="Arial" w:cs="Arial" w:eastAsia="Arial" w:hAnsi="Arial"/>
                <w:sz w:val="13"/>
                <w:szCs w:val="13"/>
                <w:color w:val="auto"/>
              </w:rPr>
              <w:t>0</w:t>
            </w:r>
          </w:p>
        </w:tc>
        <w:tc>
          <w:tcPr>
            <w:tcW w:w="1120" w:type="dxa"/>
            <w:vAlign w:val="bottom"/>
            <w:gridSpan w:val="2"/>
            <w:shd w:val="clear" w:color="auto" w:fill="CCEEFF"/>
          </w:tcPr>
          <w:p>
            <w:pPr>
              <w:jc w:val="center"/>
              <w:ind w:left="193"/>
              <w:spacing w:after="0"/>
              <w:rPr>
                <w:sz w:val="20"/>
                <w:szCs w:val="20"/>
                <w:color w:val="auto"/>
              </w:rPr>
            </w:pPr>
            <w:r>
              <w:rPr>
                <w:rFonts w:ascii="Arial" w:cs="Arial" w:eastAsia="Arial" w:hAnsi="Arial"/>
                <w:sz w:val="13"/>
                <w:szCs w:val="13"/>
                <w:color w:val="auto"/>
                <w:w w:val="92"/>
              </w:rPr>
              <w:t>1,297</w:t>
            </w:r>
          </w:p>
        </w:tc>
        <w:tc>
          <w:tcPr>
            <w:tcW w:w="860" w:type="dxa"/>
            <w:vAlign w:val="bottom"/>
            <w:gridSpan w:val="2"/>
            <w:shd w:val="clear" w:color="auto" w:fill="CCEEFF"/>
          </w:tcPr>
          <w:p>
            <w:pPr>
              <w:jc w:val="right"/>
              <w:ind w:right="106"/>
              <w:spacing w:after="0"/>
              <w:rPr>
                <w:sz w:val="20"/>
                <w:szCs w:val="20"/>
                <w:color w:val="auto"/>
              </w:rPr>
            </w:pPr>
            <w:r>
              <w:rPr>
                <w:rFonts w:ascii="Arial" w:cs="Arial" w:eastAsia="Arial" w:hAnsi="Arial"/>
                <w:sz w:val="13"/>
                <w:szCs w:val="13"/>
                <w:color w:val="auto"/>
              </w:rPr>
              <w:t>2,551</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080" w:right="60"/>
        <w:spacing w:after="0" w:line="270" w:lineRule="auto"/>
        <w:rPr>
          <w:sz w:val="20"/>
          <w:szCs w:val="20"/>
          <w:color w:val="auto"/>
        </w:rPr>
      </w:pPr>
      <w:r>
        <w:rPr>
          <w:rFonts w:ascii="Arial" w:cs="Arial" w:eastAsia="Arial" w:hAnsi="Arial"/>
          <w:sz w:val="13"/>
          <w:szCs w:val="13"/>
          <w:color w:val="auto"/>
        </w:rPr>
        <w:t>Mr. Steiner is required by us to use the Company aircraft for all travel, whether for personal or business purposes. We calculated the amount of the perquisite based on the incremental cost to us, which includes fuel, crew travel expenses, on-board catering, landing fees, trip related hangar/parking costs and other variable costs. We own or operate our aircraft primarily for business use; therefore, we do not include the fixed costs associated with the ownership or operation such as pilots’ salaries, purchase costs and non-trip related maintenance.</w:t>
      </w:r>
    </w:p>
    <w:p>
      <w:pPr>
        <w:spacing w:after="0" w:line="63" w:lineRule="exact"/>
        <w:rPr>
          <w:sz w:val="20"/>
          <w:szCs w:val="20"/>
          <w:color w:val="auto"/>
        </w:rPr>
      </w:pPr>
    </w:p>
    <w:p>
      <w:pPr>
        <w:ind w:left="1080" w:right="120"/>
        <w:spacing w:after="0" w:line="276" w:lineRule="auto"/>
        <w:rPr>
          <w:sz w:val="20"/>
          <w:szCs w:val="20"/>
          <w:color w:val="auto"/>
        </w:rPr>
      </w:pPr>
      <w:r>
        <w:rPr>
          <w:rFonts w:ascii="Arial" w:cs="Arial" w:eastAsia="Arial" w:hAnsi="Arial"/>
          <w:sz w:val="13"/>
          <w:szCs w:val="13"/>
          <w:color w:val="auto"/>
        </w:rPr>
        <w:t>The amounts reported under “Other” include infrequent items that do not fall within any of the other categories. The amounts reported under “Other” for Mr. Woods relate to an airline club membership and a Company-sponsored entertainment event, and include the amounts of the gross-ups provided by the Company for the taxes owed on those perquisites.</w:t>
      </w:r>
    </w:p>
    <w:p>
      <w:pPr>
        <w:spacing w:after="0" w:line="218" w:lineRule="exact"/>
        <w:rPr>
          <w:sz w:val="20"/>
          <w:szCs w:val="20"/>
          <w:color w:val="auto"/>
        </w:rPr>
      </w:pPr>
    </w:p>
    <w:p>
      <w:pPr>
        <w:ind w:left="4620"/>
        <w:spacing w:after="0"/>
        <w:rPr>
          <w:sz w:val="20"/>
          <w:szCs w:val="20"/>
          <w:color w:val="auto"/>
        </w:rPr>
      </w:pPr>
      <w:r>
        <w:rPr>
          <w:rFonts w:ascii="Arial" w:cs="Arial" w:eastAsia="Arial" w:hAnsi="Arial"/>
          <w:sz w:val="13"/>
          <w:szCs w:val="13"/>
          <w:b w:val="1"/>
          <w:bCs w:val="1"/>
          <w:color w:val="auto"/>
        </w:rPr>
        <w:t>Grant of Plan-Based Awards in 2009</w:t>
      </w:r>
    </w:p>
    <w:p>
      <w:pPr>
        <w:spacing w:after="0" w:line="93"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jc w:val="center"/>
              <w:spacing w:after="0"/>
              <w:rPr>
                <w:sz w:val="20"/>
                <w:szCs w:val="20"/>
                <w:color w:val="auto"/>
              </w:rPr>
            </w:pPr>
            <w:r>
              <w:rPr>
                <w:rFonts w:ascii="Arial" w:cs="Arial" w:eastAsia="Arial" w:hAnsi="Arial"/>
                <w:sz w:val="11"/>
                <w:szCs w:val="11"/>
                <w:b w:val="1"/>
                <w:bCs w:val="1"/>
                <w:color w:val="auto"/>
                <w:w w:val="92"/>
              </w:rPr>
              <w:t>Grant Date</w:t>
            </w:r>
          </w:p>
        </w:tc>
        <w:tc>
          <w:tcPr>
            <w:tcW w:w="0" w:type="dxa"/>
            <w:vAlign w:val="bottom"/>
          </w:tcPr>
          <w:p>
            <w:pPr>
              <w:spacing w:after="0"/>
              <w:rPr>
                <w:sz w:val="1"/>
                <w:szCs w:val="1"/>
                <w:color w:val="auto"/>
              </w:rPr>
            </w:pPr>
          </w:p>
        </w:tc>
      </w:tr>
      <w:tr>
        <w:trPr>
          <w:trHeight w:val="111"/>
        </w:trPr>
        <w:tc>
          <w:tcPr>
            <w:tcW w:w="26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80" w:type="dxa"/>
            <w:vAlign w:val="bottom"/>
            <w:gridSpan w:val="5"/>
            <w:vMerge w:val="restart"/>
          </w:tcPr>
          <w:p>
            <w:pPr>
              <w:jc w:val="right"/>
              <w:ind w:right="512"/>
              <w:spacing w:after="0"/>
              <w:rPr>
                <w:sz w:val="20"/>
                <w:szCs w:val="20"/>
                <w:color w:val="auto"/>
              </w:rPr>
            </w:pPr>
            <w:r>
              <w:rPr>
                <w:rFonts w:ascii="Arial" w:cs="Arial" w:eastAsia="Arial" w:hAnsi="Arial"/>
                <w:sz w:val="11"/>
                <w:szCs w:val="11"/>
                <w:b w:val="1"/>
                <w:bCs w:val="1"/>
                <w:color w:val="auto"/>
              </w:rPr>
              <w:t>Estimated Possible Payouts Under</w:t>
            </w:r>
          </w:p>
        </w:tc>
        <w:tc>
          <w:tcPr>
            <w:tcW w:w="80" w:type="dxa"/>
            <w:vAlign w:val="bottom"/>
          </w:tcPr>
          <w:p>
            <w:pPr>
              <w:spacing w:after="0"/>
              <w:rPr>
                <w:sz w:val="9"/>
                <w:szCs w:val="9"/>
                <w:color w:val="auto"/>
              </w:rPr>
            </w:pPr>
          </w:p>
        </w:tc>
        <w:tc>
          <w:tcPr>
            <w:tcW w:w="2480" w:type="dxa"/>
            <w:vAlign w:val="bottom"/>
            <w:gridSpan w:val="5"/>
            <w:vMerge w:val="restart"/>
          </w:tcPr>
          <w:p>
            <w:pPr>
              <w:jc w:val="right"/>
              <w:ind w:right="432"/>
              <w:spacing w:after="0"/>
              <w:rPr>
                <w:sz w:val="20"/>
                <w:szCs w:val="20"/>
                <w:color w:val="auto"/>
              </w:rPr>
            </w:pPr>
            <w:r>
              <w:rPr>
                <w:rFonts w:ascii="Arial" w:cs="Arial" w:eastAsia="Arial" w:hAnsi="Arial"/>
                <w:sz w:val="11"/>
                <w:szCs w:val="11"/>
                <w:b w:val="1"/>
                <w:bCs w:val="1"/>
                <w:color w:val="auto"/>
              </w:rPr>
              <w:t>Estimated Future Payouts Under</w:t>
            </w:r>
          </w:p>
        </w:tc>
        <w:tc>
          <w:tcPr>
            <w:tcW w:w="60" w:type="dxa"/>
            <w:vAlign w:val="bottom"/>
          </w:tcPr>
          <w:p>
            <w:pPr>
              <w:spacing w:after="0"/>
              <w:rPr>
                <w:sz w:val="9"/>
                <w:szCs w:val="9"/>
                <w:color w:val="auto"/>
              </w:rPr>
            </w:pPr>
          </w:p>
        </w:tc>
        <w:tc>
          <w:tcPr>
            <w:tcW w:w="112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91"/>
              </w:rPr>
              <w:t>Fair Value</w:t>
            </w:r>
          </w:p>
        </w:tc>
        <w:tc>
          <w:tcPr>
            <w:tcW w:w="0" w:type="dxa"/>
            <w:vAlign w:val="bottom"/>
          </w:tcPr>
          <w:p>
            <w:pPr>
              <w:spacing w:after="0"/>
              <w:rPr>
                <w:sz w:val="1"/>
                <w:szCs w:val="1"/>
                <w:color w:val="auto"/>
              </w:rPr>
            </w:pPr>
          </w:p>
        </w:tc>
      </w:tr>
      <w:tr>
        <w:trPr>
          <w:trHeight w:val="111"/>
        </w:trPr>
        <w:tc>
          <w:tcPr>
            <w:tcW w:w="26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8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2480" w:type="dxa"/>
            <w:vAlign w:val="bottom"/>
            <w:gridSpan w:val="5"/>
            <w:vMerge w:val="continue"/>
          </w:tcPr>
          <w:p>
            <w:pPr>
              <w:spacing w:after="0"/>
              <w:rPr>
                <w:sz w:val="9"/>
                <w:szCs w:val="9"/>
                <w:color w:val="auto"/>
              </w:rPr>
            </w:pPr>
          </w:p>
        </w:tc>
        <w:tc>
          <w:tcPr>
            <w:tcW w:w="60" w:type="dxa"/>
            <w:vAlign w:val="bottom"/>
          </w:tcPr>
          <w:p>
            <w:pPr>
              <w:spacing w:after="0"/>
              <w:rPr>
                <w:sz w:val="9"/>
                <w:szCs w:val="9"/>
                <w:color w:val="auto"/>
              </w:rPr>
            </w:pPr>
          </w:p>
        </w:tc>
        <w:tc>
          <w:tcPr>
            <w:tcW w:w="112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7"/>
              </w:rPr>
              <w:t>of Stock and</w:t>
            </w:r>
          </w:p>
        </w:tc>
        <w:tc>
          <w:tcPr>
            <w:tcW w:w="0" w:type="dxa"/>
            <w:vAlign w:val="bottom"/>
          </w:tcPr>
          <w:p>
            <w:pPr>
              <w:spacing w:after="0"/>
              <w:rPr>
                <w:sz w:val="1"/>
                <w:szCs w:val="1"/>
                <w:color w:val="auto"/>
              </w:rPr>
            </w:pPr>
          </w:p>
        </w:tc>
      </w:tr>
      <w:tr>
        <w:trPr>
          <w:trHeight w:val="128"/>
        </w:trPr>
        <w:tc>
          <w:tcPr>
            <w:tcW w:w="2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80" w:type="dxa"/>
            <w:vAlign w:val="bottom"/>
            <w:tcBorders>
              <w:bottom w:val="single" w:sz="8" w:color="auto"/>
            </w:tcBorders>
            <w:gridSpan w:val="5"/>
          </w:tcPr>
          <w:p>
            <w:pPr>
              <w:jc w:val="right"/>
              <w:ind w:right="432"/>
              <w:spacing w:after="0"/>
              <w:rPr>
                <w:sz w:val="20"/>
                <w:szCs w:val="20"/>
                <w:color w:val="auto"/>
              </w:rPr>
            </w:pPr>
            <w:r>
              <w:rPr>
                <w:rFonts w:ascii="Arial" w:cs="Arial" w:eastAsia="Arial" w:hAnsi="Arial"/>
                <w:sz w:val="11"/>
                <w:szCs w:val="11"/>
                <w:b w:val="1"/>
                <w:bCs w:val="1"/>
                <w:color w:val="auto"/>
              </w:rPr>
              <w:t>Non-Equity Incentive Plan Awards(1)</w:t>
            </w:r>
          </w:p>
        </w:tc>
        <w:tc>
          <w:tcPr>
            <w:tcW w:w="80" w:type="dxa"/>
            <w:vAlign w:val="bottom"/>
          </w:tcPr>
          <w:p>
            <w:pPr>
              <w:spacing w:after="0"/>
              <w:rPr>
                <w:sz w:val="11"/>
                <w:szCs w:val="11"/>
                <w:color w:val="auto"/>
              </w:rPr>
            </w:pPr>
          </w:p>
        </w:tc>
        <w:tc>
          <w:tcPr>
            <w:tcW w:w="2480" w:type="dxa"/>
            <w:vAlign w:val="bottom"/>
            <w:tcBorders>
              <w:bottom w:val="single" w:sz="8" w:color="auto"/>
            </w:tcBorders>
            <w:gridSpan w:val="5"/>
          </w:tcPr>
          <w:p>
            <w:pPr>
              <w:jc w:val="right"/>
              <w:ind w:right="452"/>
              <w:spacing w:after="0"/>
              <w:rPr>
                <w:sz w:val="20"/>
                <w:szCs w:val="20"/>
                <w:color w:val="auto"/>
              </w:rPr>
            </w:pPr>
            <w:r>
              <w:rPr>
                <w:rFonts w:ascii="Arial" w:cs="Arial" w:eastAsia="Arial" w:hAnsi="Arial"/>
                <w:sz w:val="11"/>
                <w:szCs w:val="11"/>
                <w:b w:val="1"/>
                <w:bCs w:val="1"/>
                <w:color w:val="auto"/>
              </w:rPr>
              <w:t>Equity Incentive Plan Awards(2)</w:t>
            </w:r>
          </w:p>
        </w:tc>
        <w:tc>
          <w:tcPr>
            <w:tcW w:w="60" w:type="dxa"/>
            <w:vAlign w:val="bottom"/>
          </w:tcPr>
          <w:p>
            <w:pPr>
              <w:spacing w:after="0"/>
              <w:rPr>
                <w:sz w:val="11"/>
                <w:szCs w:val="11"/>
                <w:color w:val="auto"/>
              </w:rPr>
            </w:pPr>
          </w:p>
        </w:tc>
        <w:tc>
          <w:tcPr>
            <w:tcW w:w="1120" w:type="dxa"/>
            <w:vAlign w:val="bottom"/>
          </w:tcPr>
          <w:p>
            <w:pPr>
              <w:jc w:val="center"/>
              <w:spacing w:after="0"/>
              <w:rPr>
                <w:sz w:val="20"/>
                <w:szCs w:val="20"/>
                <w:color w:val="auto"/>
              </w:rPr>
            </w:pPr>
            <w:r>
              <w:rPr>
                <w:rFonts w:ascii="Arial" w:cs="Arial" w:eastAsia="Arial" w:hAnsi="Arial"/>
                <w:sz w:val="11"/>
                <w:szCs w:val="11"/>
                <w:b w:val="1"/>
                <w:bCs w:val="1"/>
                <w:color w:val="auto"/>
                <w:w w:val="90"/>
              </w:rPr>
              <w:t>Option</w:t>
            </w:r>
          </w:p>
        </w:tc>
        <w:tc>
          <w:tcPr>
            <w:tcW w:w="0" w:type="dxa"/>
            <w:vAlign w:val="bottom"/>
          </w:tcPr>
          <w:p>
            <w:pPr>
              <w:spacing w:after="0"/>
              <w:rPr>
                <w:sz w:val="1"/>
                <w:szCs w:val="1"/>
                <w:color w:val="auto"/>
              </w:rPr>
            </w:pPr>
          </w:p>
        </w:tc>
      </w:tr>
      <w:tr>
        <w:trPr>
          <w:trHeight w:val="94"/>
        </w:trPr>
        <w:tc>
          <w:tcPr>
            <w:tcW w:w="2620" w:type="dxa"/>
            <w:vAlign w:val="bottom"/>
            <w:vMerge w:val="restart"/>
          </w:tcPr>
          <w:p>
            <w:pPr>
              <w:spacing w:after="0"/>
              <w:rPr>
                <w:sz w:val="20"/>
                <w:szCs w:val="20"/>
                <w:color w:val="auto"/>
              </w:rPr>
            </w:pPr>
            <w:r>
              <w:rPr>
                <w:rFonts w:ascii="Arial" w:cs="Arial" w:eastAsia="Arial" w:hAnsi="Arial"/>
                <w:sz w:val="11"/>
                <w:szCs w:val="11"/>
                <w:b w:val="1"/>
                <w:bCs w:val="1"/>
                <w:color w:val="auto"/>
              </w:rPr>
              <w:t>Name</w:t>
            </w:r>
          </w:p>
        </w:tc>
        <w:tc>
          <w:tcPr>
            <w:tcW w:w="80" w:type="dxa"/>
            <w:vAlign w:val="bottom"/>
          </w:tcPr>
          <w:p>
            <w:pPr>
              <w:spacing w:after="0"/>
              <w:rPr>
                <w:sz w:val="8"/>
                <w:szCs w:val="8"/>
                <w:color w:val="auto"/>
              </w:rPr>
            </w:pPr>
          </w:p>
        </w:tc>
        <w:tc>
          <w:tcPr>
            <w:tcW w:w="860" w:type="dxa"/>
            <w:vAlign w:val="bottom"/>
            <w:gridSpan w:val="2"/>
          </w:tcPr>
          <w:p>
            <w:pPr>
              <w:jc w:val="center"/>
              <w:ind w:right="60"/>
              <w:spacing w:after="0" w:line="94" w:lineRule="exact"/>
              <w:rPr>
                <w:sz w:val="20"/>
                <w:szCs w:val="20"/>
                <w:color w:val="auto"/>
              </w:rPr>
            </w:pPr>
            <w:r>
              <w:rPr>
                <w:rFonts w:ascii="Arial" w:cs="Arial" w:eastAsia="Arial" w:hAnsi="Arial"/>
                <w:sz w:val="10"/>
                <w:szCs w:val="10"/>
                <w:b w:val="1"/>
                <w:bCs w:val="1"/>
                <w:color w:val="auto"/>
              </w:rPr>
              <w:t>Grant</w:t>
            </w:r>
          </w:p>
        </w:tc>
        <w:tc>
          <w:tcPr>
            <w:tcW w:w="860" w:type="dxa"/>
            <w:vAlign w:val="bottom"/>
          </w:tcPr>
          <w:p>
            <w:pPr>
              <w:ind w:left="200"/>
              <w:spacing w:after="0" w:line="94" w:lineRule="exact"/>
              <w:rPr>
                <w:sz w:val="20"/>
                <w:szCs w:val="20"/>
                <w:color w:val="auto"/>
              </w:rPr>
            </w:pPr>
            <w:r>
              <w:rPr>
                <w:rFonts w:ascii="Arial" w:cs="Arial" w:eastAsia="Arial" w:hAnsi="Arial"/>
                <w:sz w:val="10"/>
                <w:szCs w:val="10"/>
                <w:b w:val="1"/>
                <w:bCs w:val="1"/>
                <w:color w:val="auto"/>
              </w:rPr>
              <w:t>Threshold</w:t>
            </w:r>
          </w:p>
        </w:tc>
        <w:tc>
          <w:tcPr>
            <w:tcW w:w="80" w:type="dxa"/>
            <w:vAlign w:val="bottom"/>
          </w:tcPr>
          <w:p>
            <w:pPr>
              <w:spacing w:after="0"/>
              <w:rPr>
                <w:sz w:val="8"/>
                <w:szCs w:val="8"/>
                <w:color w:val="auto"/>
              </w:rPr>
            </w:pPr>
          </w:p>
        </w:tc>
        <w:tc>
          <w:tcPr>
            <w:tcW w:w="840" w:type="dxa"/>
            <w:vAlign w:val="bottom"/>
          </w:tcPr>
          <w:p>
            <w:pPr>
              <w:jc w:val="right"/>
              <w:ind w:right="212"/>
              <w:spacing w:after="0" w:line="94" w:lineRule="exact"/>
              <w:rPr>
                <w:sz w:val="20"/>
                <w:szCs w:val="20"/>
                <w:color w:val="auto"/>
              </w:rPr>
            </w:pPr>
            <w:r>
              <w:rPr>
                <w:rFonts w:ascii="Arial" w:cs="Arial" w:eastAsia="Arial" w:hAnsi="Arial"/>
                <w:sz w:val="10"/>
                <w:szCs w:val="10"/>
                <w:b w:val="1"/>
                <w:bCs w:val="1"/>
                <w:color w:val="auto"/>
              </w:rPr>
              <w:t>Target</w:t>
            </w:r>
          </w:p>
        </w:tc>
        <w:tc>
          <w:tcPr>
            <w:tcW w:w="60" w:type="dxa"/>
            <w:vAlign w:val="bottom"/>
          </w:tcPr>
          <w:p>
            <w:pPr>
              <w:spacing w:after="0"/>
              <w:rPr>
                <w:sz w:val="8"/>
                <w:szCs w:val="8"/>
                <w:color w:val="auto"/>
              </w:rPr>
            </w:pPr>
          </w:p>
        </w:tc>
        <w:tc>
          <w:tcPr>
            <w:tcW w:w="840" w:type="dxa"/>
            <w:vAlign w:val="bottom"/>
          </w:tcPr>
          <w:p>
            <w:pPr>
              <w:jc w:val="right"/>
              <w:ind w:right="132"/>
              <w:spacing w:after="0" w:line="94" w:lineRule="exact"/>
              <w:rPr>
                <w:sz w:val="20"/>
                <w:szCs w:val="20"/>
                <w:color w:val="auto"/>
              </w:rPr>
            </w:pPr>
            <w:r>
              <w:rPr>
                <w:rFonts w:ascii="Arial" w:cs="Arial" w:eastAsia="Arial" w:hAnsi="Arial"/>
                <w:sz w:val="10"/>
                <w:szCs w:val="10"/>
                <w:b w:val="1"/>
                <w:bCs w:val="1"/>
                <w:color w:val="auto"/>
              </w:rPr>
              <w:t>Maximum</w:t>
            </w:r>
          </w:p>
        </w:tc>
        <w:tc>
          <w:tcPr>
            <w:tcW w:w="80" w:type="dxa"/>
            <w:vAlign w:val="bottom"/>
          </w:tcPr>
          <w:p>
            <w:pPr>
              <w:spacing w:after="0"/>
              <w:rPr>
                <w:sz w:val="8"/>
                <w:szCs w:val="8"/>
                <w:color w:val="auto"/>
              </w:rPr>
            </w:pPr>
          </w:p>
        </w:tc>
        <w:tc>
          <w:tcPr>
            <w:tcW w:w="820" w:type="dxa"/>
            <w:vAlign w:val="bottom"/>
          </w:tcPr>
          <w:p>
            <w:pPr>
              <w:jc w:val="center"/>
              <w:spacing w:after="0" w:line="94" w:lineRule="exact"/>
              <w:rPr>
                <w:sz w:val="20"/>
                <w:szCs w:val="20"/>
                <w:color w:val="auto"/>
              </w:rPr>
            </w:pPr>
            <w:r>
              <w:rPr>
                <w:rFonts w:ascii="Arial" w:cs="Arial" w:eastAsia="Arial" w:hAnsi="Arial"/>
                <w:sz w:val="10"/>
                <w:szCs w:val="10"/>
                <w:b w:val="1"/>
                <w:bCs w:val="1"/>
                <w:color w:val="auto"/>
                <w:w w:val="95"/>
              </w:rPr>
              <w:t>Threshold</w:t>
            </w:r>
          </w:p>
        </w:tc>
        <w:tc>
          <w:tcPr>
            <w:tcW w:w="80" w:type="dxa"/>
            <w:vAlign w:val="bottom"/>
          </w:tcPr>
          <w:p>
            <w:pPr>
              <w:spacing w:after="0"/>
              <w:rPr>
                <w:sz w:val="8"/>
                <w:szCs w:val="8"/>
                <w:color w:val="auto"/>
              </w:rPr>
            </w:pPr>
          </w:p>
        </w:tc>
        <w:tc>
          <w:tcPr>
            <w:tcW w:w="620" w:type="dxa"/>
            <w:vAlign w:val="bottom"/>
          </w:tcPr>
          <w:p>
            <w:pPr>
              <w:jc w:val="right"/>
              <w:ind w:right="112"/>
              <w:spacing w:after="0" w:line="94" w:lineRule="exact"/>
              <w:rPr>
                <w:sz w:val="20"/>
                <w:szCs w:val="20"/>
                <w:color w:val="auto"/>
              </w:rPr>
            </w:pPr>
            <w:r>
              <w:rPr>
                <w:rFonts w:ascii="Arial" w:cs="Arial" w:eastAsia="Arial" w:hAnsi="Arial"/>
                <w:sz w:val="10"/>
                <w:szCs w:val="10"/>
                <w:b w:val="1"/>
                <w:bCs w:val="1"/>
                <w:color w:val="auto"/>
              </w:rPr>
              <w:t>Target</w:t>
            </w:r>
          </w:p>
        </w:tc>
        <w:tc>
          <w:tcPr>
            <w:tcW w:w="80" w:type="dxa"/>
            <w:vAlign w:val="bottom"/>
          </w:tcPr>
          <w:p>
            <w:pPr>
              <w:spacing w:after="0"/>
              <w:rPr>
                <w:sz w:val="8"/>
                <w:szCs w:val="8"/>
                <w:color w:val="auto"/>
              </w:rPr>
            </w:pPr>
          </w:p>
        </w:tc>
        <w:tc>
          <w:tcPr>
            <w:tcW w:w="880" w:type="dxa"/>
            <w:vAlign w:val="bottom"/>
          </w:tcPr>
          <w:p>
            <w:pPr>
              <w:jc w:val="right"/>
              <w:ind w:right="152"/>
              <w:spacing w:after="0" w:line="94" w:lineRule="exact"/>
              <w:rPr>
                <w:sz w:val="20"/>
                <w:szCs w:val="20"/>
                <w:color w:val="auto"/>
              </w:rPr>
            </w:pPr>
            <w:r>
              <w:rPr>
                <w:rFonts w:ascii="Arial" w:cs="Arial" w:eastAsia="Arial" w:hAnsi="Arial"/>
                <w:sz w:val="10"/>
                <w:szCs w:val="10"/>
                <w:b w:val="1"/>
                <w:bCs w:val="1"/>
                <w:color w:val="auto"/>
              </w:rPr>
              <w:t>Maximum</w:t>
            </w:r>
          </w:p>
        </w:tc>
        <w:tc>
          <w:tcPr>
            <w:tcW w:w="60" w:type="dxa"/>
            <w:vAlign w:val="bottom"/>
          </w:tcPr>
          <w:p>
            <w:pPr>
              <w:spacing w:after="0"/>
              <w:rPr>
                <w:sz w:val="8"/>
                <w:szCs w:val="8"/>
                <w:color w:val="auto"/>
              </w:rPr>
            </w:pPr>
          </w:p>
        </w:tc>
        <w:tc>
          <w:tcPr>
            <w:tcW w:w="1120" w:type="dxa"/>
            <w:vAlign w:val="bottom"/>
          </w:tcPr>
          <w:p>
            <w:pPr>
              <w:jc w:val="center"/>
              <w:spacing w:after="0" w:line="94" w:lineRule="exact"/>
              <w:rPr>
                <w:sz w:val="20"/>
                <w:szCs w:val="20"/>
                <w:color w:val="auto"/>
              </w:rPr>
            </w:pPr>
            <w:r>
              <w:rPr>
                <w:rFonts w:ascii="Arial" w:cs="Arial" w:eastAsia="Arial" w:hAnsi="Arial"/>
                <w:sz w:val="10"/>
                <w:szCs w:val="10"/>
                <w:b w:val="1"/>
                <w:bCs w:val="1"/>
                <w:color w:val="auto"/>
                <w:w w:val="93"/>
              </w:rPr>
              <w:t>Awards</w:t>
            </w:r>
          </w:p>
        </w:tc>
        <w:tc>
          <w:tcPr>
            <w:tcW w:w="0" w:type="dxa"/>
            <w:vAlign w:val="bottom"/>
          </w:tcPr>
          <w:p>
            <w:pPr>
              <w:spacing w:after="0"/>
              <w:rPr>
                <w:sz w:val="1"/>
                <w:szCs w:val="1"/>
                <w:color w:val="auto"/>
              </w:rPr>
            </w:pPr>
          </w:p>
        </w:tc>
      </w:tr>
      <w:tr>
        <w:trPr>
          <w:trHeight w:val="128"/>
        </w:trPr>
        <w:tc>
          <w:tcPr>
            <w:tcW w:w="26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2"/>
              </w:rPr>
              <w:t>Date</w:t>
            </w:r>
          </w:p>
        </w:tc>
        <w:tc>
          <w:tcPr>
            <w:tcW w:w="860" w:type="dxa"/>
            <w:vAlign w:val="bottom"/>
          </w:tcPr>
          <w:p>
            <w:pPr>
              <w:jc w:val="center"/>
              <w:spacing w:after="0"/>
              <w:rPr>
                <w:sz w:val="20"/>
                <w:szCs w:val="20"/>
                <w:color w:val="auto"/>
              </w:rPr>
            </w:pPr>
            <w:r>
              <w:rPr>
                <w:rFonts w:ascii="Arial" w:cs="Arial" w:eastAsia="Arial" w:hAnsi="Arial"/>
                <w:sz w:val="11"/>
                <w:szCs w:val="11"/>
                <w:b w:val="1"/>
                <w:bCs w:val="1"/>
                <w:color w:val="auto"/>
                <w:w w:val="88"/>
              </w:rPr>
              <w:t>($)</w:t>
            </w:r>
          </w:p>
        </w:tc>
        <w:tc>
          <w:tcPr>
            <w:tcW w:w="920" w:type="dxa"/>
            <w:vAlign w:val="bottom"/>
            <w:gridSpan w:val="2"/>
          </w:tcPr>
          <w:p>
            <w:pPr>
              <w:jc w:val="right"/>
              <w:ind w:right="312"/>
              <w:spacing w:after="0"/>
              <w:rPr>
                <w:sz w:val="20"/>
                <w:szCs w:val="20"/>
                <w:color w:val="auto"/>
              </w:rPr>
            </w:pPr>
            <w:r>
              <w:rPr>
                <w:rFonts w:ascii="Arial" w:cs="Arial" w:eastAsia="Arial" w:hAnsi="Arial"/>
                <w:sz w:val="11"/>
                <w:szCs w:val="11"/>
                <w:b w:val="1"/>
                <w:bCs w:val="1"/>
                <w:color w:val="auto"/>
              </w:rPr>
              <w:t>($)</w:t>
            </w:r>
          </w:p>
        </w:tc>
        <w:tc>
          <w:tcPr>
            <w:tcW w:w="900" w:type="dxa"/>
            <w:vAlign w:val="bottom"/>
            <w:gridSpan w:val="2"/>
          </w:tcPr>
          <w:p>
            <w:pPr>
              <w:jc w:val="right"/>
              <w:ind w:right="292"/>
              <w:spacing w:after="0"/>
              <w:rPr>
                <w:sz w:val="20"/>
                <w:szCs w:val="20"/>
                <w:color w:val="auto"/>
              </w:rPr>
            </w:pPr>
            <w:r>
              <w:rPr>
                <w:rFonts w:ascii="Arial" w:cs="Arial" w:eastAsia="Arial" w:hAnsi="Arial"/>
                <w:sz w:val="11"/>
                <w:szCs w:val="11"/>
                <w:b w:val="1"/>
                <w:bCs w:val="1"/>
                <w:color w:val="auto"/>
              </w:rPr>
              <w:t>($)</w:t>
            </w:r>
          </w:p>
        </w:tc>
        <w:tc>
          <w:tcPr>
            <w:tcW w:w="900" w:type="dxa"/>
            <w:vAlign w:val="bottom"/>
            <w:gridSpan w:val="2"/>
          </w:tcPr>
          <w:p>
            <w:pPr>
              <w:jc w:val="center"/>
              <w:ind w:left="26"/>
              <w:spacing w:after="0"/>
              <w:rPr>
                <w:sz w:val="20"/>
                <w:szCs w:val="20"/>
                <w:color w:val="auto"/>
              </w:rPr>
            </w:pPr>
            <w:r>
              <w:rPr>
                <w:rFonts w:ascii="Arial" w:cs="Arial" w:eastAsia="Arial" w:hAnsi="Arial"/>
                <w:sz w:val="11"/>
                <w:szCs w:val="11"/>
                <w:b w:val="1"/>
                <w:bCs w:val="1"/>
                <w:color w:val="auto"/>
              </w:rPr>
              <w:t>(#)</w:t>
            </w:r>
          </w:p>
        </w:tc>
        <w:tc>
          <w:tcPr>
            <w:tcW w:w="700" w:type="dxa"/>
            <w:vAlign w:val="bottom"/>
            <w:gridSpan w:val="2"/>
          </w:tcPr>
          <w:p>
            <w:pPr>
              <w:jc w:val="right"/>
              <w:ind w:right="192"/>
              <w:spacing w:after="0"/>
              <w:rPr>
                <w:sz w:val="20"/>
                <w:szCs w:val="20"/>
                <w:color w:val="auto"/>
              </w:rPr>
            </w:pPr>
            <w:r>
              <w:rPr>
                <w:rFonts w:ascii="Arial" w:cs="Arial" w:eastAsia="Arial" w:hAnsi="Arial"/>
                <w:sz w:val="11"/>
                <w:szCs w:val="11"/>
                <w:b w:val="1"/>
                <w:bCs w:val="1"/>
                <w:color w:val="auto"/>
              </w:rPr>
              <w:t>(#)</w:t>
            </w:r>
          </w:p>
        </w:tc>
        <w:tc>
          <w:tcPr>
            <w:tcW w:w="960" w:type="dxa"/>
            <w:vAlign w:val="bottom"/>
            <w:gridSpan w:val="2"/>
          </w:tcPr>
          <w:p>
            <w:pPr>
              <w:jc w:val="right"/>
              <w:ind w:right="332"/>
              <w:spacing w:after="0"/>
              <w:rPr>
                <w:sz w:val="20"/>
                <w:szCs w:val="20"/>
                <w:color w:val="auto"/>
              </w:rPr>
            </w:pPr>
            <w:r>
              <w:rPr>
                <w:rFonts w:ascii="Arial" w:cs="Arial" w:eastAsia="Arial" w:hAnsi="Arial"/>
                <w:sz w:val="11"/>
                <w:szCs w:val="11"/>
                <w:b w:val="1"/>
                <w:bCs w:val="1"/>
                <w:color w:val="auto"/>
              </w:rPr>
              <w:t>(#)</w:t>
            </w:r>
          </w:p>
        </w:tc>
        <w:tc>
          <w:tcPr>
            <w:tcW w:w="1180" w:type="dxa"/>
            <w:vAlign w:val="bottom"/>
            <w:gridSpan w:val="2"/>
          </w:tcPr>
          <w:p>
            <w:pPr>
              <w:jc w:val="center"/>
              <w:ind w:left="6"/>
              <w:spacing w:after="0"/>
              <w:rPr>
                <w:sz w:val="20"/>
                <w:szCs w:val="20"/>
                <w:color w:val="auto"/>
              </w:rPr>
            </w:pPr>
            <w:r>
              <w:rPr>
                <w:rFonts w:ascii="Arial" w:cs="Arial" w:eastAsia="Arial" w:hAnsi="Arial"/>
                <w:sz w:val="11"/>
                <w:szCs w:val="11"/>
                <w:b w:val="1"/>
                <w:bCs w:val="1"/>
                <w:color w:val="auto"/>
                <w:w w:val="88"/>
              </w:rPr>
              <w:t>($)</w:t>
            </w:r>
          </w:p>
        </w:tc>
        <w:tc>
          <w:tcPr>
            <w:tcW w:w="0" w:type="dxa"/>
            <w:vAlign w:val="bottom"/>
          </w:tcPr>
          <w:p>
            <w:pPr>
              <w:spacing w:after="0"/>
              <w:rPr>
                <w:sz w:val="1"/>
                <w:szCs w:val="1"/>
                <w:color w:val="auto"/>
              </w:rPr>
            </w:pPr>
          </w:p>
        </w:tc>
      </w:tr>
      <w:tr>
        <w:trPr>
          <w:trHeight w:val="30"/>
        </w:trPr>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1"/>
        </w:trPr>
        <w:tc>
          <w:tcPr>
            <w:tcW w:w="262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David P. Steiner</w:t>
            </w:r>
          </w:p>
        </w:tc>
        <w:tc>
          <w:tcPr>
            <w:tcW w:w="860" w:type="dxa"/>
            <w:vAlign w:val="bottom"/>
            <w:gridSpan w:val="2"/>
            <w:vMerge w:val="restart"/>
            <w:shd w:val="clear" w:color="auto" w:fill="CCEEFF"/>
          </w:tcPr>
          <w:p>
            <w:pPr>
              <w:jc w:val="center"/>
              <w:ind w:left="26"/>
              <w:spacing w:after="0"/>
              <w:rPr>
                <w:sz w:val="20"/>
                <w:szCs w:val="20"/>
                <w:color w:val="auto"/>
              </w:rPr>
            </w:pPr>
            <w:r>
              <w:rPr>
                <w:rFonts w:ascii="Arial" w:cs="Arial" w:eastAsia="Arial" w:hAnsi="Arial"/>
                <w:sz w:val="11"/>
                <w:szCs w:val="11"/>
                <w:color w:val="auto"/>
                <w:w w:val="88"/>
              </w:rPr>
              <w:t>03/09/09</w:t>
            </w:r>
          </w:p>
        </w:tc>
        <w:tc>
          <w:tcPr>
            <w:tcW w:w="80" w:type="dxa"/>
            <w:vAlign w:val="bottom"/>
            <w:shd w:val="clear" w:color="auto" w:fill="CCEEFF"/>
          </w:tcPr>
          <w:p>
            <w:pPr>
              <w:spacing w:after="0"/>
              <w:rPr>
                <w:sz w:val="9"/>
                <w:szCs w:val="9"/>
                <w:color w:val="auto"/>
              </w:rPr>
            </w:pPr>
          </w:p>
        </w:tc>
        <w:tc>
          <w:tcPr>
            <w:tcW w:w="860" w:type="dxa"/>
            <w:vAlign w:val="bottom"/>
            <w:shd w:val="clear" w:color="auto" w:fill="CCEEFF"/>
          </w:tcPr>
          <w:p>
            <w:pPr>
              <w:jc w:val="center"/>
              <w:spacing w:after="0" w:line="111" w:lineRule="exact"/>
              <w:rPr>
                <w:sz w:val="20"/>
                <w:szCs w:val="20"/>
                <w:color w:val="auto"/>
              </w:rPr>
            </w:pPr>
            <w:r>
              <w:rPr>
                <w:rFonts w:ascii="Arial" w:cs="Arial" w:eastAsia="Arial" w:hAnsi="Arial"/>
                <w:sz w:val="11"/>
                <w:szCs w:val="11"/>
                <w:color w:val="auto"/>
                <w:w w:val="90"/>
              </w:rPr>
              <w:t>370,875</w:t>
            </w:r>
          </w:p>
        </w:tc>
        <w:tc>
          <w:tcPr>
            <w:tcW w:w="920" w:type="dxa"/>
            <w:vAlign w:val="bottom"/>
            <w:gridSpan w:val="2"/>
            <w:shd w:val="clear" w:color="auto" w:fill="CCEEFF"/>
          </w:tcPr>
          <w:p>
            <w:pPr>
              <w:jc w:val="right"/>
              <w:ind w:right="152"/>
              <w:spacing w:after="0" w:line="111" w:lineRule="exact"/>
              <w:rPr>
                <w:sz w:val="20"/>
                <w:szCs w:val="20"/>
                <w:color w:val="auto"/>
              </w:rPr>
            </w:pPr>
            <w:r>
              <w:rPr>
                <w:rFonts w:ascii="Arial" w:cs="Arial" w:eastAsia="Arial" w:hAnsi="Arial"/>
                <w:sz w:val="11"/>
                <w:szCs w:val="11"/>
                <w:color w:val="auto"/>
              </w:rPr>
              <w:t>1,236,250</w:t>
            </w:r>
          </w:p>
        </w:tc>
        <w:tc>
          <w:tcPr>
            <w:tcW w:w="900" w:type="dxa"/>
            <w:vAlign w:val="bottom"/>
            <w:gridSpan w:val="2"/>
            <w:shd w:val="clear" w:color="auto" w:fill="CCEEFF"/>
          </w:tcPr>
          <w:p>
            <w:pPr>
              <w:jc w:val="right"/>
              <w:ind w:right="152"/>
              <w:spacing w:after="0" w:line="111" w:lineRule="exact"/>
              <w:rPr>
                <w:sz w:val="20"/>
                <w:szCs w:val="20"/>
                <w:color w:val="auto"/>
              </w:rPr>
            </w:pPr>
            <w:r>
              <w:rPr>
                <w:rFonts w:ascii="Arial" w:cs="Arial" w:eastAsia="Arial" w:hAnsi="Arial"/>
                <w:sz w:val="11"/>
                <w:szCs w:val="11"/>
                <w:color w:val="auto"/>
              </w:rPr>
              <w:t>2,472,500</w:t>
            </w:r>
          </w:p>
        </w:tc>
        <w:tc>
          <w:tcPr>
            <w:tcW w:w="900" w:type="dxa"/>
            <w:vAlign w:val="bottom"/>
            <w:gridSpan w:val="2"/>
            <w:vMerge w:val="restart"/>
            <w:shd w:val="clear" w:color="auto" w:fill="CCEEFF"/>
          </w:tcPr>
          <w:p>
            <w:pPr>
              <w:jc w:val="center"/>
              <w:ind w:left="26"/>
              <w:spacing w:after="0"/>
              <w:rPr>
                <w:sz w:val="20"/>
                <w:szCs w:val="20"/>
                <w:color w:val="auto"/>
              </w:rPr>
            </w:pPr>
            <w:r>
              <w:rPr>
                <w:rFonts w:ascii="Arial" w:cs="Arial" w:eastAsia="Arial" w:hAnsi="Arial"/>
                <w:sz w:val="11"/>
                <w:szCs w:val="11"/>
                <w:color w:val="auto"/>
                <w:w w:val="89"/>
              </w:rPr>
              <w:t>81,305</w:t>
            </w:r>
          </w:p>
        </w:tc>
        <w:tc>
          <w:tcPr>
            <w:tcW w:w="700" w:type="dxa"/>
            <w:vAlign w:val="bottom"/>
            <w:gridSpan w:val="2"/>
            <w:vMerge w:val="restart"/>
            <w:shd w:val="clear" w:color="auto" w:fill="CCEEFF"/>
          </w:tcPr>
          <w:p>
            <w:pPr>
              <w:jc w:val="right"/>
              <w:ind w:right="92"/>
              <w:spacing w:after="0"/>
              <w:rPr>
                <w:sz w:val="20"/>
                <w:szCs w:val="20"/>
                <w:color w:val="auto"/>
              </w:rPr>
            </w:pPr>
            <w:r>
              <w:rPr>
                <w:rFonts w:ascii="Arial" w:cs="Arial" w:eastAsia="Arial" w:hAnsi="Arial"/>
                <w:sz w:val="11"/>
                <w:szCs w:val="11"/>
                <w:color w:val="auto"/>
              </w:rPr>
              <w:t>135,509</w:t>
            </w:r>
          </w:p>
        </w:tc>
        <w:tc>
          <w:tcPr>
            <w:tcW w:w="960" w:type="dxa"/>
            <w:vAlign w:val="bottom"/>
            <w:gridSpan w:val="2"/>
            <w:vMerge w:val="restart"/>
            <w:shd w:val="clear" w:color="auto" w:fill="CCEEFF"/>
          </w:tcPr>
          <w:p>
            <w:pPr>
              <w:jc w:val="right"/>
              <w:ind w:right="212"/>
              <w:spacing w:after="0"/>
              <w:rPr>
                <w:sz w:val="20"/>
                <w:szCs w:val="20"/>
                <w:color w:val="auto"/>
              </w:rPr>
            </w:pPr>
            <w:r>
              <w:rPr>
                <w:rFonts w:ascii="Arial" w:cs="Arial" w:eastAsia="Arial" w:hAnsi="Arial"/>
                <w:sz w:val="11"/>
                <w:szCs w:val="11"/>
                <w:color w:val="auto"/>
              </w:rPr>
              <w:t>271,018</w:t>
            </w:r>
          </w:p>
        </w:tc>
        <w:tc>
          <w:tcPr>
            <w:tcW w:w="1180" w:type="dxa"/>
            <w:vAlign w:val="bottom"/>
            <w:gridSpan w:val="2"/>
            <w:vMerge w:val="restart"/>
            <w:shd w:val="clear" w:color="auto" w:fill="CCEEFF"/>
          </w:tcPr>
          <w:p>
            <w:pPr>
              <w:jc w:val="right"/>
              <w:ind w:right="287"/>
              <w:spacing w:after="0"/>
              <w:rPr>
                <w:sz w:val="20"/>
                <w:szCs w:val="20"/>
                <w:color w:val="auto"/>
              </w:rPr>
            </w:pPr>
            <w:r>
              <w:rPr>
                <w:rFonts w:ascii="Arial" w:cs="Arial" w:eastAsia="Arial" w:hAnsi="Arial"/>
                <w:sz w:val="11"/>
                <w:szCs w:val="11"/>
                <w:color w:val="auto"/>
              </w:rPr>
              <w:t>3,069,956</w:t>
            </w:r>
          </w:p>
        </w:tc>
        <w:tc>
          <w:tcPr>
            <w:tcW w:w="0" w:type="dxa"/>
            <w:vAlign w:val="bottom"/>
          </w:tcPr>
          <w:p>
            <w:pPr>
              <w:spacing w:after="0"/>
              <w:rPr>
                <w:sz w:val="1"/>
                <w:szCs w:val="1"/>
                <w:color w:val="auto"/>
              </w:rPr>
            </w:pPr>
          </w:p>
        </w:tc>
      </w:tr>
      <w:tr>
        <w:trPr>
          <w:trHeight w:val="111"/>
        </w:trPr>
        <w:tc>
          <w:tcPr>
            <w:tcW w:w="2620" w:type="dxa"/>
            <w:vAlign w:val="bottom"/>
            <w:shd w:val="clear" w:color="auto" w:fill="CCEEFF"/>
          </w:tcPr>
          <w:p>
            <w:pPr>
              <w:spacing w:after="0"/>
              <w:rPr>
                <w:sz w:val="9"/>
                <w:szCs w:val="9"/>
                <w:color w:val="auto"/>
              </w:rPr>
            </w:pPr>
          </w:p>
        </w:tc>
        <w:tc>
          <w:tcPr>
            <w:tcW w:w="860" w:type="dxa"/>
            <w:vAlign w:val="bottom"/>
            <w:gridSpan w:val="2"/>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900" w:type="dxa"/>
            <w:vAlign w:val="bottom"/>
            <w:gridSpan w:val="2"/>
            <w:vMerge w:val="continue"/>
            <w:shd w:val="clear" w:color="auto" w:fill="CCEEFF"/>
          </w:tcPr>
          <w:p>
            <w:pPr>
              <w:spacing w:after="0"/>
              <w:rPr>
                <w:sz w:val="9"/>
                <w:szCs w:val="9"/>
                <w:color w:val="auto"/>
              </w:rPr>
            </w:pPr>
          </w:p>
        </w:tc>
        <w:tc>
          <w:tcPr>
            <w:tcW w:w="700" w:type="dxa"/>
            <w:vAlign w:val="bottom"/>
            <w:gridSpan w:val="2"/>
            <w:vMerge w:val="continue"/>
            <w:shd w:val="clear" w:color="auto" w:fill="CCEEFF"/>
          </w:tcPr>
          <w:p>
            <w:pPr>
              <w:spacing w:after="0"/>
              <w:rPr>
                <w:sz w:val="9"/>
                <w:szCs w:val="9"/>
                <w:color w:val="auto"/>
              </w:rPr>
            </w:pPr>
          </w:p>
        </w:tc>
        <w:tc>
          <w:tcPr>
            <w:tcW w:w="960" w:type="dxa"/>
            <w:vAlign w:val="bottom"/>
            <w:gridSpan w:val="2"/>
            <w:vMerge w:val="continue"/>
            <w:shd w:val="clear" w:color="auto" w:fill="CCEEFF"/>
          </w:tcPr>
          <w:p>
            <w:pPr>
              <w:spacing w:after="0"/>
              <w:rPr>
                <w:sz w:val="9"/>
                <w:szCs w:val="9"/>
                <w:color w:val="auto"/>
              </w:rPr>
            </w:pPr>
          </w:p>
        </w:tc>
        <w:tc>
          <w:tcPr>
            <w:tcW w:w="118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620" w:type="dxa"/>
            <w:vAlign w:val="bottom"/>
          </w:tcPr>
          <w:p>
            <w:pPr>
              <w:spacing w:after="0"/>
              <w:rPr>
                <w:sz w:val="20"/>
                <w:szCs w:val="20"/>
                <w:color w:val="auto"/>
              </w:rPr>
            </w:pPr>
            <w:r>
              <w:rPr>
                <w:rFonts w:ascii="Arial" w:cs="Arial" w:eastAsia="Arial" w:hAnsi="Arial"/>
                <w:sz w:val="11"/>
                <w:szCs w:val="11"/>
                <w:color w:val="auto"/>
              </w:rPr>
              <w:t>Lawrence O’Donnell, III</w:t>
            </w:r>
          </w:p>
        </w:tc>
        <w:tc>
          <w:tcPr>
            <w:tcW w:w="860" w:type="dxa"/>
            <w:vAlign w:val="bottom"/>
            <w:gridSpan w:val="2"/>
            <w:vMerge w:val="restart"/>
          </w:tcPr>
          <w:p>
            <w:pPr>
              <w:jc w:val="center"/>
              <w:ind w:left="26"/>
              <w:spacing w:after="0"/>
              <w:rPr>
                <w:sz w:val="20"/>
                <w:szCs w:val="20"/>
                <w:color w:val="auto"/>
              </w:rPr>
            </w:pPr>
            <w:r>
              <w:rPr>
                <w:rFonts w:ascii="Arial" w:cs="Arial" w:eastAsia="Arial" w:hAnsi="Arial"/>
                <w:sz w:val="11"/>
                <w:szCs w:val="11"/>
                <w:color w:val="auto"/>
                <w:w w:val="88"/>
              </w:rPr>
              <w:t>03/09/09</w:t>
            </w:r>
          </w:p>
        </w:tc>
        <w:tc>
          <w:tcPr>
            <w:tcW w:w="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0"/>
              </w:rPr>
              <w:t>232,586</w:t>
            </w:r>
          </w:p>
        </w:tc>
        <w:tc>
          <w:tcPr>
            <w:tcW w:w="920" w:type="dxa"/>
            <w:vAlign w:val="bottom"/>
            <w:gridSpan w:val="2"/>
          </w:tcPr>
          <w:p>
            <w:pPr>
              <w:jc w:val="right"/>
              <w:ind w:right="152"/>
              <w:spacing w:after="0"/>
              <w:rPr>
                <w:sz w:val="20"/>
                <w:szCs w:val="20"/>
                <w:color w:val="auto"/>
              </w:rPr>
            </w:pPr>
            <w:r>
              <w:rPr>
                <w:rFonts w:ascii="Arial" w:cs="Arial" w:eastAsia="Arial" w:hAnsi="Arial"/>
                <w:sz w:val="11"/>
                <w:szCs w:val="11"/>
                <w:color w:val="auto"/>
              </w:rPr>
              <w:t>775,288</w:t>
            </w:r>
          </w:p>
        </w:tc>
        <w:tc>
          <w:tcPr>
            <w:tcW w:w="900" w:type="dxa"/>
            <w:vAlign w:val="bottom"/>
            <w:gridSpan w:val="2"/>
          </w:tcPr>
          <w:p>
            <w:pPr>
              <w:jc w:val="right"/>
              <w:ind w:right="152"/>
              <w:spacing w:after="0"/>
              <w:rPr>
                <w:sz w:val="20"/>
                <w:szCs w:val="20"/>
                <w:color w:val="auto"/>
              </w:rPr>
            </w:pPr>
            <w:r>
              <w:rPr>
                <w:rFonts w:ascii="Arial" w:cs="Arial" w:eastAsia="Arial" w:hAnsi="Arial"/>
                <w:sz w:val="11"/>
                <w:szCs w:val="11"/>
                <w:color w:val="auto"/>
              </w:rPr>
              <w:t>1,550,576</w:t>
            </w:r>
          </w:p>
        </w:tc>
        <w:tc>
          <w:tcPr>
            <w:tcW w:w="900" w:type="dxa"/>
            <w:vAlign w:val="bottom"/>
            <w:gridSpan w:val="2"/>
            <w:vMerge w:val="restart"/>
          </w:tcPr>
          <w:p>
            <w:pPr>
              <w:jc w:val="center"/>
              <w:ind w:left="26"/>
              <w:spacing w:after="0"/>
              <w:rPr>
                <w:sz w:val="20"/>
                <w:szCs w:val="20"/>
                <w:color w:val="auto"/>
              </w:rPr>
            </w:pPr>
            <w:r>
              <w:rPr>
                <w:rFonts w:ascii="Arial" w:cs="Arial" w:eastAsia="Arial" w:hAnsi="Arial"/>
                <w:sz w:val="11"/>
                <w:szCs w:val="11"/>
                <w:color w:val="auto"/>
                <w:w w:val="89"/>
              </w:rPr>
              <w:t>33,242</w:t>
            </w:r>
          </w:p>
        </w:tc>
        <w:tc>
          <w:tcPr>
            <w:tcW w:w="700" w:type="dxa"/>
            <w:vAlign w:val="bottom"/>
            <w:gridSpan w:val="2"/>
            <w:vMerge w:val="restart"/>
          </w:tcPr>
          <w:p>
            <w:pPr>
              <w:jc w:val="right"/>
              <w:ind w:right="92"/>
              <w:spacing w:after="0"/>
              <w:rPr>
                <w:sz w:val="20"/>
                <w:szCs w:val="20"/>
                <w:color w:val="auto"/>
              </w:rPr>
            </w:pPr>
            <w:r>
              <w:rPr>
                <w:rFonts w:ascii="Arial" w:cs="Arial" w:eastAsia="Arial" w:hAnsi="Arial"/>
                <w:sz w:val="11"/>
                <w:szCs w:val="11"/>
                <w:color w:val="auto"/>
              </w:rPr>
              <w:t>55,403</w:t>
            </w:r>
          </w:p>
        </w:tc>
        <w:tc>
          <w:tcPr>
            <w:tcW w:w="960" w:type="dxa"/>
            <w:vAlign w:val="bottom"/>
            <w:gridSpan w:val="2"/>
            <w:vMerge w:val="restart"/>
          </w:tcPr>
          <w:p>
            <w:pPr>
              <w:jc w:val="right"/>
              <w:ind w:right="212"/>
              <w:spacing w:after="0"/>
              <w:rPr>
                <w:sz w:val="20"/>
                <w:szCs w:val="20"/>
                <w:color w:val="auto"/>
              </w:rPr>
            </w:pPr>
            <w:r>
              <w:rPr>
                <w:rFonts w:ascii="Arial" w:cs="Arial" w:eastAsia="Arial" w:hAnsi="Arial"/>
                <w:sz w:val="11"/>
                <w:szCs w:val="11"/>
                <w:color w:val="auto"/>
              </w:rPr>
              <w:t>110,806</w:t>
            </w:r>
          </w:p>
        </w:tc>
        <w:tc>
          <w:tcPr>
            <w:tcW w:w="1180" w:type="dxa"/>
            <w:vAlign w:val="bottom"/>
            <w:gridSpan w:val="2"/>
            <w:vMerge w:val="restart"/>
          </w:tcPr>
          <w:p>
            <w:pPr>
              <w:jc w:val="right"/>
              <w:ind w:right="287"/>
              <w:spacing w:after="0"/>
              <w:rPr>
                <w:sz w:val="20"/>
                <w:szCs w:val="20"/>
                <w:color w:val="auto"/>
              </w:rPr>
            </w:pPr>
            <w:r>
              <w:rPr>
                <w:rFonts w:ascii="Arial" w:cs="Arial" w:eastAsia="Arial" w:hAnsi="Arial"/>
                <w:sz w:val="11"/>
                <w:szCs w:val="11"/>
                <w:color w:val="auto"/>
              </w:rPr>
              <w:t>1,255,155</w:t>
            </w:r>
          </w:p>
        </w:tc>
        <w:tc>
          <w:tcPr>
            <w:tcW w:w="0" w:type="dxa"/>
            <w:vAlign w:val="bottom"/>
          </w:tcPr>
          <w:p>
            <w:pPr>
              <w:spacing w:after="0"/>
              <w:rPr>
                <w:sz w:val="1"/>
                <w:szCs w:val="1"/>
                <w:color w:val="auto"/>
              </w:rPr>
            </w:pPr>
          </w:p>
        </w:tc>
      </w:tr>
      <w:tr>
        <w:trPr>
          <w:trHeight w:val="86"/>
        </w:trPr>
        <w:tc>
          <w:tcPr>
            <w:tcW w:w="262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262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Robert G. Simpson</w:t>
            </w:r>
          </w:p>
        </w:tc>
        <w:tc>
          <w:tcPr>
            <w:tcW w:w="860" w:type="dxa"/>
            <w:vAlign w:val="bottom"/>
            <w:gridSpan w:val="2"/>
            <w:vMerge w:val="restart"/>
            <w:shd w:val="clear" w:color="auto" w:fill="CCEEFF"/>
          </w:tcPr>
          <w:p>
            <w:pPr>
              <w:jc w:val="center"/>
              <w:ind w:left="26"/>
              <w:spacing w:after="0"/>
              <w:rPr>
                <w:sz w:val="20"/>
                <w:szCs w:val="20"/>
                <w:color w:val="auto"/>
              </w:rPr>
            </w:pPr>
            <w:r>
              <w:rPr>
                <w:rFonts w:ascii="Arial" w:cs="Arial" w:eastAsia="Arial" w:hAnsi="Arial"/>
                <w:sz w:val="11"/>
                <w:szCs w:val="11"/>
                <w:color w:val="auto"/>
                <w:w w:val="88"/>
              </w:rPr>
              <w:t>03/09/09</w:t>
            </w:r>
          </w:p>
        </w:tc>
        <w:tc>
          <w:tcPr>
            <w:tcW w:w="80" w:type="dxa"/>
            <w:vAlign w:val="bottom"/>
            <w:shd w:val="clear" w:color="auto" w:fill="CCEEFF"/>
          </w:tcPr>
          <w:p>
            <w:pPr>
              <w:spacing w:after="0"/>
              <w:rPr>
                <w:sz w:val="9"/>
                <w:szCs w:val="9"/>
                <w:color w:val="auto"/>
              </w:rPr>
            </w:pPr>
          </w:p>
        </w:tc>
        <w:tc>
          <w:tcPr>
            <w:tcW w:w="860" w:type="dxa"/>
            <w:vAlign w:val="bottom"/>
            <w:shd w:val="clear" w:color="auto" w:fill="CCEEFF"/>
          </w:tcPr>
          <w:p>
            <w:pPr>
              <w:jc w:val="center"/>
              <w:spacing w:after="0" w:line="111" w:lineRule="exact"/>
              <w:rPr>
                <w:sz w:val="20"/>
                <w:szCs w:val="20"/>
                <w:color w:val="auto"/>
              </w:rPr>
            </w:pPr>
            <w:r>
              <w:rPr>
                <w:rFonts w:ascii="Arial" w:cs="Arial" w:eastAsia="Arial" w:hAnsi="Arial"/>
                <w:sz w:val="11"/>
                <w:szCs w:val="11"/>
                <w:color w:val="auto"/>
                <w:w w:val="90"/>
              </w:rPr>
              <w:t>132,851</w:t>
            </w:r>
          </w:p>
        </w:tc>
        <w:tc>
          <w:tcPr>
            <w:tcW w:w="920" w:type="dxa"/>
            <w:vAlign w:val="bottom"/>
            <w:gridSpan w:val="2"/>
            <w:shd w:val="clear" w:color="auto" w:fill="CCEEFF"/>
          </w:tcPr>
          <w:p>
            <w:pPr>
              <w:jc w:val="right"/>
              <w:ind w:right="152"/>
              <w:spacing w:after="0" w:line="111" w:lineRule="exact"/>
              <w:rPr>
                <w:sz w:val="20"/>
                <w:szCs w:val="20"/>
                <w:color w:val="auto"/>
              </w:rPr>
            </w:pPr>
            <w:r>
              <w:rPr>
                <w:rFonts w:ascii="Arial" w:cs="Arial" w:eastAsia="Arial" w:hAnsi="Arial"/>
                <w:sz w:val="11"/>
                <w:szCs w:val="11"/>
                <w:color w:val="auto"/>
              </w:rPr>
              <w:t>442,837</w:t>
            </w:r>
          </w:p>
        </w:tc>
        <w:tc>
          <w:tcPr>
            <w:tcW w:w="900" w:type="dxa"/>
            <w:vAlign w:val="bottom"/>
            <w:gridSpan w:val="2"/>
            <w:shd w:val="clear" w:color="auto" w:fill="CCEEFF"/>
          </w:tcPr>
          <w:p>
            <w:pPr>
              <w:jc w:val="right"/>
              <w:ind w:right="152"/>
              <w:spacing w:after="0" w:line="111" w:lineRule="exact"/>
              <w:rPr>
                <w:sz w:val="20"/>
                <w:szCs w:val="20"/>
                <w:color w:val="auto"/>
              </w:rPr>
            </w:pPr>
            <w:r>
              <w:rPr>
                <w:rFonts w:ascii="Arial" w:cs="Arial" w:eastAsia="Arial" w:hAnsi="Arial"/>
                <w:sz w:val="11"/>
                <w:szCs w:val="11"/>
                <w:color w:val="auto"/>
              </w:rPr>
              <w:t>885,674</w:t>
            </w:r>
          </w:p>
        </w:tc>
        <w:tc>
          <w:tcPr>
            <w:tcW w:w="900" w:type="dxa"/>
            <w:vAlign w:val="bottom"/>
            <w:gridSpan w:val="2"/>
            <w:vMerge w:val="restart"/>
            <w:shd w:val="clear" w:color="auto" w:fill="CCEEFF"/>
          </w:tcPr>
          <w:p>
            <w:pPr>
              <w:jc w:val="center"/>
              <w:ind w:left="26"/>
              <w:spacing w:after="0"/>
              <w:rPr>
                <w:sz w:val="20"/>
                <w:szCs w:val="20"/>
                <w:color w:val="auto"/>
              </w:rPr>
            </w:pPr>
            <w:r>
              <w:rPr>
                <w:rFonts w:ascii="Arial" w:cs="Arial" w:eastAsia="Arial" w:hAnsi="Arial"/>
                <w:sz w:val="11"/>
                <w:szCs w:val="11"/>
                <w:color w:val="auto"/>
                <w:w w:val="89"/>
              </w:rPr>
              <w:t>22,401</w:t>
            </w:r>
          </w:p>
        </w:tc>
        <w:tc>
          <w:tcPr>
            <w:tcW w:w="700" w:type="dxa"/>
            <w:vAlign w:val="bottom"/>
            <w:gridSpan w:val="2"/>
            <w:vMerge w:val="restart"/>
            <w:shd w:val="clear" w:color="auto" w:fill="CCEEFF"/>
          </w:tcPr>
          <w:p>
            <w:pPr>
              <w:jc w:val="right"/>
              <w:ind w:right="92"/>
              <w:spacing w:after="0"/>
              <w:rPr>
                <w:sz w:val="20"/>
                <w:szCs w:val="20"/>
                <w:color w:val="auto"/>
              </w:rPr>
            </w:pPr>
            <w:r>
              <w:rPr>
                <w:rFonts w:ascii="Arial" w:cs="Arial" w:eastAsia="Arial" w:hAnsi="Arial"/>
                <w:sz w:val="11"/>
                <w:szCs w:val="11"/>
                <w:color w:val="auto"/>
              </w:rPr>
              <w:t>37,335</w:t>
            </w:r>
          </w:p>
        </w:tc>
        <w:tc>
          <w:tcPr>
            <w:tcW w:w="960" w:type="dxa"/>
            <w:vAlign w:val="bottom"/>
            <w:gridSpan w:val="2"/>
            <w:vMerge w:val="restart"/>
            <w:shd w:val="clear" w:color="auto" w:fill="CCEEFF"/>
          </w:tcPr>
          <w:p>
            <w:pPr>
              <w:jc w:val="right"/>
              <w:ind w:right="212"/>
              <w:spacing w:after="0"/>
              <w:rPr>
                <w:sz w:val="20"/>
                <w:szCs w:val="20"/>
                <w:color w:val="auto"/>
              </w:rPr>
            </w:pPr>
            <w:r>
              <w:rPr>
                <w:rFonts w:ascii="Arial" w:cs="Arial" w:eastAsia="Arial" w:hAnsi="Arial"/>
                <w:sz w:val="11"/>
                <w:szCs w:val="11"/>
                <w:color w:val="auto"/>
              </w:rPr>
              <w:t>74,670</w:t>
            </w:r>
          </w:p>
        </w:tc>
        <w:tc>
          <w:tcPr>
            <w:tcW w:w="1180" w:type="dxa"/>
            <w:vAlign w:val="bottom"/>
            <w:gridSpan w:val="2"/>
            <w:vMerge w:val="restart"/>
            <w:shd w:val="clear" w:color="auto" w:fill="CCEEFF"/>
          </w:tcPr>
          <w:p>
            <w:pPr>
              <w:jc w:val="right"/>
              <w:ind w:right="287"/>
              <w:spacing w:after="0"/>
              <w:rPr>
                <w:sz w:val="20"/>
                <w:szCs w:val="20"/>
                <w:color w:val="auto"/>
              </w:rPr>
            </w:pPr>
            <w:r>
              <w:rPr>
                <w:rFonts w:ascii="Arial" w:cs="Arial" w:eastAsia="Arial" w:hAnsi="Arial"/>
                <w:sz w:val="11"/>
                <w:szCs w:val="11"/>
                <w:color w:val="auto"/>
              </w:rPr>
              <w:t>845,824</w:t>
            </w:r>
          </w:p>
        </w:tc>
        <w:tc>
          <w:tcPr>
            <w:tcW w:w="0" w:type="dxa"/>
            <w:vAlign w:val="bottom"/>
          </w:tcPr>
          <w:p>
            <w:pPr>
              <w:spacing w:after="0"/>
              <w:rPr>
                <w:sz w:val="1"/>
                <w:szCs w:val="1"/>
                <w:color w:val="auto"/>
              </w:rPr>
            </w:pPr>
          </w:p>
        </w:tc>
      </w:tr>
      <w:tr>
        <w:trPr>
          <w:trHeight w:val="111"/>
        </w:trPr>
        <w:tc>
          <w:tcPr>
            <w:tcW w:w="2620" w:type="dxa"/>
            <w:vAlign w:val="bottom"/>
            <w:shd w:val="clear" w:color="auto" w:fill="CCEEFF"/>
          </w:tcPr>
          <w:p>
            <w:pPr>
              <w:spacing w:after="0"/>
              <w:rPr>
                <w:sz w:val="9"/>
                <w:szCs w:val="9"/>
                <w:color w:val="auto"/>
              </w:rPr>
            </w:pPr>
          </w:p>
        </w:tc>
        <w:tc>
          <w:tcPr>
            <w:tcW w:w="860" w:type="dxa"/>
            <w:vAlign w:val="bottom"/>
            <w:gridSpan w:val="2"/>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900" w:type="dxa"/>
            <w:vAlign w:val="bottom"/>
            <w:gridSpan w:val="2"/>
            <w:vMerge w:val="continue"/>
            <w:shd w:val="clear" w:color="auto" w:fill="CCEEFF"/>
          </w:tcPr>
          <w:p>
            <w:pPr>
              <w:spacing w:after="0"/>
              <w:rPr>
                <w:sz w:val="9"/>
                <w:szCs w:val="9"/>
                <w:color w:val="auto"/>
              </w:rPr>
            </w:pPr>
          </w:p>
        </w:tc>
        <w:tc>
          <w:tcPr>
            <w:tcW w:w="700" w:type="dxa"/>
            <w:vAlign w:val="bottom"/>
            <w:gridSpan w:val="2"/>
            <w:vMerge w:val="continue"/>
            <w:shd w:val="clear" w:color="auto" w:fill="CCEEFF"/>
          </w:tcPr>
          <w:p>
            <w:pPr>
              <w:spacing w:after="0"/>
              <w:rPr>
                <w:sz w:val="9"/>
                <w:szCs w:val="9"/>
                <w:color w:val="auto"/>
              </w:rPr>
            </w:pPr>
          </w:p>
        </w:tc>
        <w:tc>
          <w:tcPr>
            <w:tcW w:w="960" w:type="dxa"/>
            <w:vAlign w:val="bottom"/>
            <w:gridSpan w:val="2"/>
            <w:vMerge w:val="continue"/>
            <w:shd w:val="clear" w:color="auto" w:fill="CCEEFF"/>
          </w:tcPr>
          <w:p>
            <w:pPr>
              <w:spacing w:after="0"/>
              <w:rPr>
                <w:sz w:val="9"/>
                <w:szCs w:val="9"/>
                <w:color w:val="auto"/>
              </w:rPr>
            </w:pPr>
          </w:p>
        </w:tc>
        <w:tc>
          <w:tcPr>
            <w:tcW w:w="118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620" w:type="dxa"/>
            <w:vAlign w:val="bottom"/>
          </w:tcPr>
          <w:p>
            <w:pPr>
              <w:spacing w:after="0"/>
              <w:rPr>
                <w:sz w:val="20"/>
                <w:szCs w:val="20"/>
                <w:color w:val="auto"/>
              </w:rPr>
            </w:pPr>
            <w:r>
              <w:rPr>
                <w:rFonts w:ascii="Arial" w:cs="Arial" w:eastAsia="Arial" w:hAnsi="Arial"/>
                <w:sz w:val="11"/>
                <w:szCs w:val="11"/>
                <w:color w:val="auto"/>
              </w:rPr>
              <w:t>James E. Trevathan</w:t>
            </w:r>
          </w:p>
        </w:tc>
        <w:tc>
          <w:tcPr>
            <w:tcW w:w="860" w:type="dxa"/>
            <w:vAlign w:val="bottom"/>
            <w:gridSpan w:val="2"/>
            <w:vMerge w:val="restart"/>
          </w:tcPr>
          <w:p>
            <w:pPr>
              <w:jc w:val="center"/>
              <w:ind w:left="26"/>
              <w:spacing w:after="0"/>
              <w:rPr>
                <w:sz w:val="20"/>
                <w:szCs w:val="20"/>
                <w:color w:val="auto"/>
              </w:rPr>
            </w:pPr>
            <w:r>
              <w:rPr>
                <w:rFonts w:ascii="Arial" w:cs="Arial" w:eastAsia="Arial" w:hAnsi="Arial"/>
                <w:sz w:val="11"/>
                <w:szCs w:val="11"/>
                <w:color w:val="auto"/>
                <w:w w:val="88"/>
              </w:rPr>
              <w:t>03/09/09</w:t>
            </w:r>
          </w:p>
        </w:tc>
        <w:tc>
          <w:tcPr>
            <w:tcW w:w="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0"/>
              </w:rPr>
              <w:t>144,406</w:t>
            </w:r>
          </w:p>
        </w:tc>
        <w:tc>
          <w:tcPr>
            <w:tcW w:w="920" w:type="dxa"/>
            <w:vAlign w:val="bottom"/>
            <w:gridSpan w:val="2"/>
          </w:tcPr>
          <w:p>
            <w:pPr>
              <w:jc w:val="right"/>
              <w:ind w:right="152"/>
              <w:spacing w:after="0"/>
              <w:rPr>
                <w:sz w:val="20"/>
                <w:szCs w:val="20"/>
                <w:color w:val="auto"/>
              </w:rPr>
            </w:pPr>
            <w:r>
              <w:rPr>
                <w:rFonts w:ascii="Arial" w:cs="Arial" w:eastAsia="Arial" w:hAnsi="Arial"/>
                <w:sz w:val="11"/>
                <w:szCs w:val="11"/>
                <w:color w:val="auto"/>
              </w:rPr>
              <w:t>481,353</w:t>
            </w:r>
          </w:p>
        </w:tc>
        <w:tc>
          <w:tcPr>
            <w:tcW w:w="900" w:type="dxa"/>
            <w:vAlign w:val="bottom"/>
            <w:gridSpan w:val="2"/>
          </w:tcPr>
          <w:p>
            <w:pPr>
              <w:jc w:val="right"/>
              <w:ind w:right="152"/>
              <w:spacing w:after="0"/>
              <w:rPr>
                <w:sz w:val="20"/>
                <w:szCs w:val="20"/>
                <w:color w:val="auto"/>
              </w:rPr>
            </w:pPr>
            <w:r>
              <w:rPr>
                <w:rFonts w:ascii="Arial" w:cs="Arial" w:eastAsia="Arial" w:hAnsi="Arial"/>
                <w:sz w:val="11"/>
                <w:szCs w:val="11"/>
                <w:color w:val="auto"/>
              </w:rPr>
              <w:t>962,706</w:t>
            </w:r>
          </w:p>
        </w:tc>
        <w:tc>
          <w:tcPr>
            <w:tcW w:w="900" w:type="dxa"/>
            <w:vAlign w:val="bottom"/>
            <w:gridSpan w:val="2"/>
            <w:vMerge w:val="restart"/>
          </w:tcPr>
          <w:p>
            <w:pPr>
              <w:jc w:val="center"/>
              <w:ind w:left="26"/>
              <w:spacing w:after="0"/>
              <w:rPr>
                <w:sz w:val="20"/>
                <w:szCs w:val="20"/>
                <w:color w:val="auto"/>
              </w:rPr>
            </w:pPr>
            <w:r>
              <w:rPr>
                <w:rFonts w:ascii="Arial" w:cs="Arial" w:eastAsia="Arial" w:hAnsi="Arial"/>
                <w:sz w:val="11"/>
                <w:szCs w:val="11"/>
                <w:color w:val="auto"/>
                <w:w w:val="89"/>
              </w:rPr>
              <w:t>13,241</w:t>
            </w:r>
          </w:p>
        </w:tc>
        <w:tc>
          <w:tcPr>
            <w:tcW w:w="700" w:type="dxa"/>
            <w:vAlign w:val="bottom"/>
            <w:gridSpan w:val="2"/>
            <w:vMerge w:val="restart"/>
          </w:tcPr>
          <w:p>
            <w:pPr>
              <w:jc w:val="right"/>
              <w:ind w:right="92"/>
              <w:spacing w:after="0"/>
              <w:rPr>
                <w:sz w:val="20"/>
                <w:szCs w:val="20"/>
                <w:color w:val="auto"/>
              </w:rPr>
            </w:pPr>
            <w:r>
              <w:rPr>
                <w:rFonts w:ascii="Arial" w:cs="Arial" w:eastAsia="Arial" w:hAnsi="Arial"/>
                <w:sz w:val="11"/>
                <w:szCs w:val="11"/>
                <w:color w:val="auto"/>
              </w:rPr>
              <w:t>22,069</w:t>
            </w:r>
          </w:p>
        </w:tc>
        <w:tc>
          <w:tcPr>
            <w:tcW w:w="960" w:type="dxa"/>
            <w:vAlign w:val="bottom"/>
            <w:gridSpan w:val="2"/>
            <w:vMerge w:val="restart"/>
          </w:tcPr>
          <w:p>
            <w:pPr>
              <w:jc w:val="right"/>
              <w:ind w:right="212"/>
              <w:spacing w:after="0"/>
              <w:rPr>
                <w:sz w:val="20"/>
                <w:szCs w:val="20"/>
                <w:color w:val="auto"/>
              </w:rPr>
            </w:pPr>
            <w:r>
              <w:rPr>
                <w:rFonts w:ascii="Arial" w:cs="Arial" w:eastAsia="Arial" w:hAnsi="Arial"/>
                <w:sz w:val="11"/>
                <w:szCs w:val="11"/>
                <w:color w:val="auto"/>
              </w:rPr>
              <w:t>44,138</w:t>
            </w:r>
          </w:p>
        </w:tc>
        <w:tc>
          <w:tcPr>
            <w:tcW w:w="1180" w:type="dxa"/>
            <w:vAlign w:val="bottom"/>
            <w:gridSpan w:val="2"/>
            <w:vMerge w:val="restart"/>
          </w:tcPr>
          <w:p>
            <w:pPr>
              <w:jc w:val="right"/>
              <w:ind w:right="287"/>
              <w:spacing w:after="0"/>
              <w:rPr>
                <w:sz w:val="20"/>
                <w:szCs w:val="20"/>
                <w:color w:val="auto"/>
              </w:rPr>
            </w:pPr>
            <w:r>
              <w:rPr>
                <w:rFonts w:ascii="Arial" w:cs="Arial" w:eastAsia="Arial" w:hAnsi="Arial"/>
                <w:sz w:val="11"/>
                <w:szCs w:val="11"/>
                <w:color w:val="auto"/>
              </w:rPr>
              <w:t>499,973</w:t>
            </w:r>
          </w:p>
        </w:tc>
        <w:tc>
          <w:tcPr>
            <w:tcW w:w="0" w:type="dxa"/>
            <w:vAlign w:val="bottom"/>
          </w:tcPr>
          <w:p>
            <w:pPr>
              <w:spacing w:after="0"/>
              <w:rPr>
                <w:sz w:val="1"/>
                <w:szCs w:val="1"/>
                <w:color w:val="auto"/>
              </w:rPr>
            </w:pPr>
          </w:p>
        </w:tc>
      </w:tr>
      <w:tr>
        <w:trPr>
          <w:trHeight w:val="86"/>
        </w:trPr>
        <w:tc>
          <w:tcPr>
            <w:tcW w:w="262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262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Duane C. Woods</w:t>
            </w:r>
          </w:p>
        </w:tc>
        <w:tc>
          <w:tcPr>
            <w:tcW w:w="860" w:type="dxa"/>
            <w:vAlign w:val="bottom"/>
            <w:gridSpan w:val="2"/>
            <w:vMerge w:val="restart"/>
            <w:shd w:val="clear" w:color="auto" w:fill="CCEEFF"/>
          </w:tcPr>
          <w:p>
            <w:pPr>
              <w:jc w:val="center"/>
              <w:ind w:left="26"/>
              <w:spacing w:after="0"/>
              <w:rPr>
                <w:sz w:val="20"/>
                <w:szCs w:val="20"/>
                <w:color w:val="auto"/>
              </w:rPr>
            </w:pPr>
            <w:r>
              <w:rPr>
                <w:rFonts w:ascii="Arial" w:cs="Arial" w:eastAsia="Arial" w:hAnsi="Arial"/>
                <w:sz w:val="11"/>
                <w:szCs w:val="11"/>
                <w:color w:val="auto"/>
                <w:w w:val="88"/>
              </w:rPr>
              <w:t>03/09/09</w:t>
            </w:r>
          </w:p>
        </w:tc>
        <w:tc>
          <w:tcPr>
            <w:tcW w:w="80" w:type="dxa"/>
            <w:vAlign w:val="bottom"/>
            <w:shd w:val="clear" w:color="auto" w:fill="CCEEFF"/>
          </w:tcPr>
          <w:p>
            <w:pPr>
              <w:spacing w:after="0"/>
              <w:rPr>
                <w:sz w:val="9"/>
                <w:szCs w:val="9"/>
                <w:color w:val="auto"/>
              </w:rPr>
            </w:pPr>
          </w:p>
        </w:tc>
        <w:tc>
          <w:tcPr>
            <w:tcW w:w="860" w:type="dxa"/>
            <w:vAlign w:val="bottom"/>
            <w:shd w:val="clear" w:color="auto" w:fill="CCEEFF"/>
          </w:tcPr>
          <w:p>
            <w:pPr>
              <w:jc w:val="center"/>
              <w:spacing w:after="0" w:line="111" w:lineRule="exact"/>
              <w:rPr>
                <w:sz w:val="20"/>
                <w:szCs w:val="20"/>
                <w:color w:val="auto"/>
              </w:rPr>
            </w:pPr>
            <w:r>
              <w:rPr>
                <w:rFonts w:ascii="Arial" w:cs="Arial" w:eastAsia="Arial" w:hAnsi="Arial"/>
                <w:sz w:val="11"/>
                <w:szCs w:val="11"/>
                <w:color w:val="auto"/>
                <w:w w:val="90"/>
              </w:rPr>
              <w:t>144,256</w:t>
            </w:r>
          </w:p>
        </w:tc>
        <w:tc>
          <w:tcPr>
            <w:tcW w:w="920" w:type="dxa"/>
            <w:vAlign w:val="bottom"/>
            <w:gridSpan w:val="2"/>
            <w:shd w:val="clear" w:color="auto" w:fill="CCEEFF"/>
          </w:tcPr>
          <w:p>
            <w:pPr>
              <w:jc w:val="right"/>
              <w:ind w:right="152"/>
              <w:spacing w:after="0" w:line="111" w:lineRule="exact"/>
              <w:rPr>
                <w:sz w:val="20"/>
                <w:szCs w:val="20"/>
                <w:color w:val="auto"/>
              </w:rPr>
            </w:pPr>
            <w:r>
              <w:rPr>
                <w:rFonts w:ascii="Arial" w:cs="Arial" w:eastAsia="Arial" w:hAnsi="Arial"/>
                <w:sz w:val="11"/>
                <w:szCs w:val="11"/>
                <w:color w:val="auto"/>
              </w:rPr>
              <w:t>480,854</w:t>
            </w:r>
          </w:p>
        </w:tc>
        <w:tc>
          <w:tcPr>
            <w:tcW w:w="900" w:type="dxa"/>
            <w:vAlign w:val="bottom"/>
            <w:gridSpan w:val="2"/>
            <w:shd w:val="clear" w:color="auto" w:fill="CCEEFF"/>
          </w:tcPr>
          <w:p>
            <w:pPr>
              <w:jc w:val="right"/>
              <w:ind w:right="152"/>
              <w:spacing w:after="0" w:line="111" w:lineRule="exact"/>
              <w:rPr>
                <w:sz w:val="20"/>
                <w:szCs w:val="20"/>
                <w:color w:val="auto"/>
              </w:rPr>
            </w:pPr>
            <w:r>
              <w:rPr>
                <w:rFonts w:ascii="Arial" w:cs="Arial" w:eastAsia="Arial" w:hAnsi="Arial"/>
                <w:sz w:val="11"/>
                <w:szCs w:val="11"/>
                <w:color w:val="auto"/>
              </w:rPr>
              <w:t>961,708</w:t>
            </w:r>
          </w:p>
        </w:tc>
        <w:tc>
          <w:tcPr>
            <w:tcW w:w="900" w:type="dxa"/>
            <w:vAlign w:val="bottom"/>
            <w:gridSpan w:val="2"/>
            <w:vMerge w:val="restart"/>
            <w:shd w:val="clear" w:color="auto" w:fill="CCEEFF"/>
          </w:tcPr>
          <w:p>
            <w:pPr>
              <w:jc w:val="center"/>
              <w:ind w:left="26"/>
              <w:spacing w:after="0"/>
              <w:rPr>
                <w:sz w:val="20"/>
                <w:szCs w:val="20"/>
                <w:color w:val="auto"/>
              </w:rPr>
            </w:pPr>
            <w:r>
              <w:rPr>
                <w:rFonts w:ascii="Arial" w:cs="Arial" w:eastAsia="Arial" w:hAnsi="Arial"/>
                <w:sz w:val="11"/>
                <w:szCs w:val="11"/>
                <w:color w:val="auto"/>
                <w:w w:val="89"/>
              </w:rPr>
              <w:t>13,241</w:t>
            </w:r>
          </w:p>
        </w:tc>
        <w:tc>
          <w:tcPr>
            <w:tcW w:w="700" w:type="dxa"/>
            <w:vAlign w:val="bottom"/>
            <w:gridSpan w:val="2"/>
            <w:vMerge w:val="restart"/>
            <w:shd w:val="clear" w:color="auto" w:fill="CCEEFF"/>
          </w:tcPr>
          <w:p>
            <w:pPr>
              <w:jc w:val="right"/>
              <w:ind w:right="92"/>
              <w:spacing w:after="0"/>
              <w:rPr>
                <w:sz w:val="20"/>
                <w:szCs w:val="20"/>
                <w:color w:val="auto"/>
              </w:rPr>
            </w:pPr>
            <w:r>
              <w:rPr>
                <w:rFonts w:ascii="Arial" w:cs="Arial" w:eastAsia="Arial" w:hAnsi="Arial"/>
                <w:sz w:val="11"/>
                <w:szCs w:val="11"/>
                <w:color w:val="auto"/>
              </w:rPr>
              <w:t>22,069</w:t>
            </w:r>
          </w:p>
        </w:tc>
        <w:tc>
          <w:tcPr>
            <w:tcW w:w="960" w:type="dxa"/>
            <w:vAlign w:val="bottom"/>
            <w:gridSpan w:val="2"/>
            <w:vMerge w:val="restart"/>
            <w:shd w:val="clear" w:color="auto" w:fill="CCEEFF"/>
          </w:tcPr>
          <w:p>
            <w:pPr>
              <w:jc w:val="right"/>
              <w:ind w:right="212"/>
              <w:spacing w:after="0"/>
              <w:rPr>
                <w:sz w:val="20"/>
                <w:szCs w:val="20"/>
                <w:color w:val="auto"/>
              </w:rPr>
            </w:pPr>
            <w:r>
              <w:rPr>
                <w:rFonts w:ascii="Arial" w:cs="Arial" w:eastAsia="Arial" w:hAnsi="Arial"/>
                <w:sz w:val="11"/>
                <w:szCs w:val="11"/>
                <w:color w:val="auto"/>
              </w:rPr>
              <w:t>44,138</w:t>
            </w:r>
          </w:p>
        </w:tc>
        <w:tc>
          <w:tcPr>
            <w:tcW w:w="1180" w:type="dxa"/>
            <w:vAlign w:val="bottom"/>
            <w:gridSpan w:val="2"/>
            <w:vMerge w:val="restart"/>
            <w:shd w:val="clear" w:color="auto" w:fill="CCEEFF"/>
          </w:tcPr>
          <w:p>
            <w:pPr>
              <w:jc w:val="right"/>
              <w:ind w:right="287"/>
              <w:spacing w:after="0"/>
              <w:rPr>
                <w:sz w:val="20"/>
                <w:szCs w:val="20"/>
                <w:color w:val="auto"/>
              </w:rPr>
            </w:pPr>
            <w:r>
              <w:rPr>
                <w:rFonts w:ascii="Arial" w:cs="Arial" w:eastAsia="Arial" w:hAnsi="Arial"/>
                <w:sz w:val="11"/>
                <w:szCs w:val="11"/>
                <w:color w:val="auto"/>
              </w:rPr>
              <w:t>499,973</w:t>
            </w:r>
          </w:p>
        </w:tc>
        <w:tc>
          <w:tcPr>
            <w:tcW w:w="0" w:type="dxa"/>
            <w:vAlign w:val="bottom"/>
          </w:tcPr>
          <w:p>
            <w:pPr>
              <w:spacing w:after="0"/>
              <w:rPr>
                <w:sz w:val="1"/>
                <w:szCs w:val="1"/>
                <w:color w:val="auto"/>
              </w:rPr>
            </w:pPr>
          </w:p>
        </w:tc>
      </w:tr>
      <w:tr>
        <w:trPr>
          <w:trHeight w:val="111"/>
        </w:trPr>
        <w:tc>
          <w:tcPr>
            <w:tcW w:w="2620" w:type="dxa"/>
            <w:vAlign w:val="bottom"/>
            <w:shd w:val="clear" w:color="auto" w:fill="CCEEFF"/>
          </w:tcPr>
          <w:p>
            <w:pPr>
              <w:spacing w:after="0"/>
              <w:rPr>
                <w:sz w:val="9"/>
                <w:szCs w:val="9"/>
                <w:color w:val="auto"/>
              </w:rPr>
            </w:pPr>
          </w:p>
        </w:tc>
        <w:tc>
          <w:tcPr>
            <w:tcW w:w="860" w:type="dxa"/>
            <w:vAlign w:val="bottom"/>
            <w:gridSpan w:val="2"/>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900" w:type="dxa"/>
            <w:vAlign w:val="bottom"/>
            <w:gridSpan w:val="2"/>
            <w:vMerge w:val="continue"/>
            <w:shd w:val="clear" w:color="auto" w:fill="CCEEFF"/>
          </w:tcPr>
          <w:p>
            <w:pPr>
              <w:spacing w:after="0"/>
              <w:rPr>
                <w:sz w:val="9"/>
                <w:szCs w:val="9"/>
                <w:color w:val="auto"/>
              </w:rPr>
            </w:pPr>
          </w:p>
        </w:tc>
        <w:tc>
          <w:tcPr>
            <w:tcW w:w="700" w:type="dxa"/>
            <w:vAlign w:val="bottom"/>
            <w:gridSpan w:val="2"/>
            <w:vMerge w:val="continue"/>
            <w:shd w:val="clear" w:color="auto" w:fill="CCEEFF"/>
          </w:tcPr>
          <w:p>
            <w:pPr>
              <w:spacing w:after="0"/>
              <w:rPr>
                <w:sz w:val="9"/>
                <w:szCs w:val="9"/>
                <w:color w:val="auto"/>
              </w:rPr>
            </w:pPr>
          </w:p>
        </w:tc>
        <w:tc>
          <w:tcPr>
            <w:tcW w:w="960" w:type="dxa"/>
            <w:vAlign w:val="bottom"/>
            <w:gridSpan w:val="2"/>
            <w:vMerge w:val="continue"/>
            <w:shd w:val="clear" w:color="auto" w:fill="CCEEFF"/>
          </w:tcPr>
          <w:p>
            <w:pPr>
              <w:spacing w:after="0"/>
              <w:rPr>
                <w:sz w:val="9"/>
                <w:szCs w:val="9"/>
                <w:color w:val="auto"/>
              </w:rPr>
            </w:pPr>
          </w:p>
        </w:tc>
        <w:tc>
          <w:tcPr>
            <w:tcW w:w="118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-735330</wp:posOffset>
            </wp:positionV>
            <wp:extent cx="19050"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9050" cy="6350"/>
                    </a:xfrm>
                    <a:prstGeom prst="rect">
                      <a:avLst/>
                    </a:prstGeom>
                    <a:noFill/>
                  </pic:spPr>
                </pic:pic>
              </a:graphicData>
            </a:graphic>
          </wp:anchor>
        </w:drawing>
        <w:drawing>
          <wp:anchor simplePos="0" relativeHeight="251657728" behindDoc="1" locked="0" layoutInCell="0" allowOverlap="1">
            <wp:simplePos x="0" y="0"/>
            <wp:positionH relativeFrom="column">
              <wp:posOffset>435610</wp:posOffset>
            </wp:positionH>
            <wp:positionV relativeFrom="paragraph">
              <wp:posOffset>64135</wp:posOffset>
            </wp:positionV>
            <wp:extent cx="825500"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5500" cy="6350"/>
                    </a:xfrm>
                    <a:prstGeom prst="rect">
                      <a:avLst/>
                    </a:prstGeom>
                    <a:noFill/>
                  </pic:spPr>
                </pic:pic>
              </a:graphicData>
            </a:graphic>
          </wp:anchor>
        </w:drawing>
      </w:r>
    </w:p>
    <w:p>
      <w:pPr>
        <w:spacing w:after="0" w:line="130" w:lineRule="exact"/>
        <w:rPr>
          <w:sz w:val="20"/>
          <w:szCs w:val="20"/>
          <w:color w:val="auto"/>
        </w:rPr>
      </w:pPr>
    </w:p>
    <w:p>
      <w:pPr>
        <w:ind w:left="1000" w:right="20" w:hanging="266"/>
        <w:spacing w:after="0" w:line="276" w:lineRule="auto"/>
        <w:tabs>
          <w:tab w:leader="none" w:pos="10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Actual payouts of our 2009 cash bonuses are shown in the Summary Compensation Table under “Non-Equity Incentive Plan Compensation.” The named executives’ target and maximum bonuses are a percentage of base salary, provided for in their employment agreements. The threshold levels represent the bonus amounts that would have been payable if the minimum performance requirements were met for each performance measure.</w:t>
      </w:r>
    </w:p>
    <w:p>
      <w:pPr>
        <w:spacing w:after="0" w:line="8" w:lineRule="exact"/>
        <w:rPr>
          <w:rFonts w:ascii="Arial" w:cs="Arial" w:eastAsia="Arial" w:hAnsi="Arial"/>
          <w:sz w:val="13"/>
          <w:szCs w:val="13"/>
          <w:color w:val="auto"/>
        </w:rPr>
      </w:pPr>
    </w:p>
    <w:p>
      <w:pPr>
        <w:ind w:left="1000" w:right="120" w:hanging="266"/>
        <w:spacing w:after="0" w:line="294" w:lineRule="auto"/>
        <w:tabs>
          <w:tab w:leader="none" w:pos="10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Represents the number of shares of Common Stock potentially issuable based on the achievement of performance criteria under performance share unit awards granted under our 2004 Stock Incentive Plan.</w:t>
      </w:r>
    </w:p>
    <w:p>
      <w:pPr>
        <w:spacing w:after="0" w:line="24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4240"/>
        <w:spacing w:after="0"/>
        <w:rPr>
          <w:sz w:val="20"/>
          <w:szCs w:val="20"/>
          <w:color w:val="auto"/>
        </w:rPr>
      </w:pPr>
      <w:r>
        <w:rPr>
          <w:rFonts w:ascii="Arial" w:cs="Arial" w:eastAsia="Arial" w:hAnsi="Arial"/>
          <w:sz w:val="13"/>
          <w:szCs w:val="13"/>
          <w:b w:val="1"/>
          <w:bCs w:val="1"/>
          <w:color w:val="auto"/>
        </w:rPr>
        <w:t>Outstanding Equity Awards at December 31, 2009</w:t>
      </w:r>
    </w:p>
    <w:p>
      <w:pPr>
        <w:spacing w:after="0" w:line="112" w:lineRule="exact"/>
        <w:rPr>
          <w:sz w:val="20"/>
          <w:szCs w:val="20"/>
          <w:color w:val="auto"/>
        </w:rPr>
      </w:pPr>
    </w:p>
    <w:tbl>
      <w:tblPr>
        <w:tblLayout w:type="fixed"/>
        <w:tblInd w:w="680" w:type="dxa"/>
        <w:tblCellMar>
          <w:top w:w="0" w:type="dxa"/>
          <w:left w:w="0" w:type="dxa"/>
          <w:bottom w:w="0" w:type="dxa"/>
          <w:right w:w="0" w:type="dxa"/>
        </w:tblCellMar>
      </w:tblPr>
      <w:tr>
        <w:trPr>
          <w:trHeight w:val="114"/>
        </w:trPr>
        <w:tc>
          <w:tcPr>
            <w:tcW w:w="1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gridSpan w:val="3"/>
          </w:tcPr>
          <w:p>
            <w:pPr>
              <w:jc w:val="right"/>
              <w:ind w:right="393"/>
              <w:spacing w:after="0"/>
              <w:rPr>
                <w:sz w:val="20"/>
                <w:szCs w:val="20"/>
                <w:color w:val="auto"/>
              </w:rPr>
            </w:pPr>
            <w:r>
              <w:rPr>
                <w:rFonts w:ascii="Arial" w:cs="Arial" w:eastAsia="Arial" w:hAnsi="Arial"/>
                <w:sz w:val="9"/>
                <w:szCs w:val="9"/>
                <w:b w:val="1"/>
                <w:bCs w:val="1"/>
                <w:color w:val="auto"/>
              </w:rPr>
              <w:t>Option Awards</w:t>
            </w:r>
          </w:p>
        </w:tc>
        <w:tc>
          <w:tcPr>
            <w:tcW w:w="8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gridSpan w:val="3"/>
          </w:tcPr>
          <w:p>
            <w:pPr>
              <w:jc w:val="right"/>
              <w:ind w:right="424"/>
              <w:spacing w:after="0"/>
              <w:rPr>
                <w:sz w:val="20"/>
                <w:szCs w:val="20"/>
                <w:color w:val="auto"/>
              </w:rPr>
            </w:pPr>
            <w:r>
              <w:rPr>
                <w:rFonts w:ascii="Arial" w:cs="Arial" w:eastAsia="Arial" w:hAnsi="Arial"/>
                <w:sz w:val="9"/>
                <w:szCs w:val="9"/>
                <w:b w:val="1"/>
                <w:bCs w:val="1"/>
                <w:color w:val="auto"/>
                <w:w w:val="93"/>
              </w:rPr>
              <w:t>Stock Awards(1)</w:t>
            </w:r>
          </w:p>
        </w:tc>
        <w:tc>
          <w:tcPr>
            <w:tcW w:w="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130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jc w:val="center"/>
              <w:ind w:right="224"/>
              <w:spacing w:after="0" w:line="78" w:lineRule="exact"/>
              <w:rPr>
                <w:sz w:val="20"/>
                <w:szCs w:val="20"/>
                <w:color w:val="auto"/>
              </w:rPr>
            </w:pPr>
            <w:r>
              <w:rPr>
                <w:rFonts w:ascii="Arial" w:cs="Arial" w:eastAsia="Arial" w:hAnsi="Arial"/>
                <w:sz w:val="9"/>
                <w:szCs w:val="9"/>
                <w:b w:val="1"/>
                <w:bCs w:val="1"/>
                <w:color w:val="auto"/>
              </w:rPr>
              <w:t>Equity</w:t>
            </w:r>
          </w:p>
        </w:tc>
        <w:tc>
          <w:tcPr>
            <w:tcW w:w="0" w:type="dxa"/>
            <w:vAlign w:val="bottom"/>
          </w:tcPr>
          <w:p>
            <w:pPr>
              <w:spacing w:after="0"/>
              <w:rPr>
                <w:sz w:val="1"/>
                <w:szCs w:val="1"/>
                <w:color w:val="auto"/>
              </w:rPr>
            </w:pPr>
          </w:p>
        </w:tc>
      </w:tr>
      <w:tr>
        <w:trPr>
          <w:trHeight w:val="101"/>
        </w:trPr>
        <w:tc>
          <w:tcPr>
            <w:tcW w:w="1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jc w:val="center"/>
              <w:spacing w:after="0" w:line="101" w:lineRule="exact"/>
              <w:rPr>
                <w:sz w:val="20"/>
                <w:szCs w:val="20"/>
                <w:color w:val="auto"/>
              </w:rPr>
            </w:pPr>
            <w:r>
              <w:rPr>
                <w:rFonts w:ascii="Arial" w:cs="Arial" w:eastAsia="Arial" w:hAnsi="Arial"/>
                <w:sz w:val="9"/>
                <w:szCs w:val="9"/>
                <w:b w:val="1"/>
                <w:bCs w:val="1"/>
                <w:color w:val="auto"/>
              </w:rPr>
              <w:t>Equity</w:t>
            </w: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jc w:val="center"/>
              <w:ind w:right="204"/>
              <w:spacing w:after="0" w:line="101" w:lineRule="exact"/>
              <w:rPr>
                <w:sz w:val="20"/>
                <w:szCs w:val="20"/>
                <w:color w:val="auto"/>
              </w:rPr>
            </w:pPr>
            <w:r>
              <w:rPr>
                <w:rFonts w:ascii="Arial" w:cs="Arial" w:eastAsia="Arial" w:hAnsi="Arial"/>
                <w:sz w:val="9"/>
                <w:szCs w:val="9"/>
                <w:b w:val="1"/>
                <w:bCs w:val="1"/>
                <w:color w:val="auto"/>
                <w:w w:val="97"/>
              </w:rPr>
              <w:t>Incentive</w:t>
            </w:r>
          </w:p>
        </w:tc>
        <w:tc>
          <w:tcPr>
            <w:tcW w:w="0" w:type="dxa"/>
            <w:vAlign w:val="bottom"/>
          </w:tcPr>
          <w:p>
            <w:pPr>
              <w:spacing w:after="0"/>
              <w:rPr>
                <w:sz w:val="1"/>
                <w:szCs w:val="1"/>
                <w:color w:val="auto"/>
              </w:rPr>
            </w:pPr>
          </w:p>
        </w:tc>
      </w:tr>
      <w:tr>
        <w:trPr>
          <w:trHeight w:val="101"/>
        </w:trPr>
        <w:tc>
          <w:tcPr>
            <w:tcW w:w="1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2"/>
              </w:rPr>
              <w:t>Incentive</w:t>
            </w: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jc w:val="center"/>
              <w:ind w:right="204"/>
              <w:spacing w:after="0" w:line="101" w:lineRule="exact"/>
              <w:rPr>
                <w:sz w:val="20"/>
                <w:szCs w:val="20"/>
                <w:color w:val="auto"/>
              </w:rPr>
            </w:pPr>
            <w:r>
              <w:rPr>
                <w:rFonts w:ascii="Arial" w:cs="Arial" w:eastAsia="Arial" w:hAnsi="Arial"/>
                <w:sz w:val="9"/>
                <w:szCs w:val="9"/>
                <w:b w:val="1"/>
                <w:bCs w:val="1"/>
                <w:color w:val="auto"/>
                <w:w w:val="94"/>
              </w:rPr>
              <w:t>Plan</w:t>
            </w:r>
          </w:p>
        </w:tc>
        <w:tc>
          <w:tcPr>
            <w:tcW w:w="0" w:type="dxa"/>
            <w:vAlign w:val="bottom"/>
          </w:tcPr>
          <w:p>
            <w:pPr>
              <w:spacing w:after="0"/>
              <w:rPr>
                <w:sz w:val="1"/>
                <w:szCs w:val="1"/>
                <w:color w:val="auto"/>
              </w:rPr>
            </w:pPr>
          </w:p>
        </w:tc>
      </w:tr>
      <w:tr>
        <w:trPr>
          <w:trHeight w:val="101"/>
        </w:trPr>
        <w:tc>
          <w:tcPr>
            <w:tcW w:w="1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4"/>
              </w:rPr>
              <w:t>Plan</w:t>
            </w: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jc w:val="center"/>
              <w:ind w:right="204"/>
              <w:spacing w:after="0" w:line="101" w:lineRule="exact"/>
              <w:rPr>
                <w:sz w:val="20"/>
                <w:szCs w:val="20"/>
                <w:color w:val="auto"/>
              </w:rPr>
            </w:pPr>
            <w:r>
              <w:rPr>
                <w:rFonts w:ascii="Arial" w:cs="Arial" w:eastAsia="Arial" w:hAnsi="Arial"/>
                <w:sz w:val="9"/>
                <w:szCs w:val="9"/>
                <w:b w:val="1"/>
                <w:bCs w:val="1"/>
                <w:color w:val="auto"/>
                <w:w w:val="95"/>
              </w:rPr>
              <w:t>Awards:</w:t>
            </w:r>
          </w:p>
        </w:tc>
        <w:tc>
          <w:tcPr>
            <w:tcW w:w="0" w:type="dxa"/>
            <w:vAlign w:val="bottom"/>
          </w:tcPr>
          <w:p>
            <w:pPr>
              <w:spacing w:after="0"/>
              <w:rPr>
                <w:sz w:val="1"/>
                <w:szCs w:val="1"/>
                <w:color w:val="auto"/>
              </w:rPr>
            </w:pPr>
          </w:p>
        </w:tc>
      </w:tr>
      <w:tr>
        <w:trPr>
          <w:trHeight w:val="101"/>
        </w:trPr>
        <w:tc>
          <w:tcPr>
            <w:tcW w:w="1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5"/>
              </w:rPr>
              <w:t>Awards:</w:t>
            </w: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jc w:val="center"/>
              <w:ind w:right="204"/>
              <w:spacing w:after="0" w:line="101" w:lineRule="exact"/>
              <w:rPr>
                <w:sz w:val="20"/>
                <w:szCs w:val="20"/>
                <w:color w:val="auto"/>
              </w:rPr>
            </w:pPr>
            <w:r>
              <w:rPr>
                <w:rFonts w:ascii="Arial" w:cs="Arial" w:eastAsia="Arial" w:hAnsi="Arial"/>
                <w:sz w:val="9"/>
                <w:szCs w:val="9"/>
                <w:b w:val="1"/>
                <w:bCs w:val="1"/>
                <w:color w:val="auto"/>
              </w:rPr>
              <w:t>Market or</w:t>
            </w:r>
          </w:p>
        </w:tc>
        <w:tc>
          <w:tcPr>
            <w:tcW w:w="0" w:type="dxa"/>
            <w:vAlign w:val="bottom"/>
          </w:tcPr>
          <w:p>
            <w:pPr>
              <w:spacing w:after="0"/>
              <w:rPr>
                <w:sz w:val="1"/>
                <w:szCs w:val="1"/>
                <w:color w:val="auto"/>
              </w:rPr>
            </w:pPr>
          </w:p>
        </w:tc>
      </w:tr>
      <w:tr>
        <w:trPr>
          <w:trHeight w:val="101"/>
        </w:trPr>
        <w:tc>
          <w:tcPr>
            <w:tcW w:w="1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7"/>
              </w:rPr>
              <w:t>Number of</w:t>
            </w: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jc w:val="center"/>
              <w:ind w:right="224"/>
              <w:spacing w:after="0" w:line="101" w:lineRule="exact"/>
              <w:rPr>
                <w:sz w:val="20"/>
                <w:szCs w:val="20"/>
                <w:color w:val="auto"/>
              </w:rPr>
            </w:pPr>
            <w:r>
              <w:rPr>
                <w:rFonts w:ascii="Arial" w:cs="Arial" w:eastAsia="Arial" w:hAnsi="Arial"/>
                <w:sz w:val="9"/>
                <w:szCs w:val="9"/>
                <w:b w:val="1"/>
                <w:bCs w:val="1"/>
                <w:color w:val="auto"/>
                <w:w w:val="93"/>
              </w:rPr>
              <w:t>Payout</w:t>
            </w:r>
          </w:p>
        </w:tc>
        <w:tc>
          <w:tcPr>
            <w:tcW w:w="0" w:type="dxa"/>
            <w:vAlign w:val="bottom"/>
          </w:tcPr>
          <w:p>
            <w:pPr>
              <w:spacing w:after="0"/>
              <w:rPr>
                <w:sz w:val="1"/>
                <w:szCs w:val="1"/>
                <w:color w:val="auto"/>
              </w:rPr>
            </w:pPr>
          </w:p>
        </w:tc>
      </w:tr>
      <w:tr>
        <w:trPr>
          <w:trHeight w:val="101"/>
        </w:trPr>
        <w:tc>
          <w:tcPr>
            <w:tcW w:w="1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7"/>
              </w:rPr>
              <w:t>Number of</w:t>
            </w: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jc w:val="center"/>
              <w:spacing w:after="0" w:line="101" w:lineRule="exact"/>
              <w:rPr>
                <w:sz w:val="20"/>
                <w:szCs w:val="20"/>
                <w:color w:val="auto"/>
              </w:rPr>
            </w:pPr>
            <w:r>
              <w:rPr>
                <w:rFonts w:ascii="Arial" w:cs="Arial" w:eastAsia="Arial" w:hAnsi="Arial"/>
                <w:sz w:val="9"/>
                <w:szCs w:val="9"/>
                <w:b w:val="1"/>
                <w:bCs w:val="1"/>
                <w:color w:val="auto"/>
              </w:rPr>
              <w:t>Market</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6"/>
              </w:rPr>
              <w:t>Unearned</w:t>
            </w: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jc w:val="center"/>
              <w:ind w:right="224"/>
              <w:spacing w:after="0" w:line="101" w:lineRule="exact"/>
              <w:rPr>
                <w:sz w:val="20"/>
                <w:szCs w:val="20"/>
                <w:color w:val="auto"/>
              </w:rPr>
            </w:pPr>
            <w:r>
              <w:rPr>
                <w:rFonts w:ascii="Arial" w:cs="Arial" w:eastAsia="Arial" w:hAnsi="Arial"/>
                <w:sz w:val="9"/>
                <w:szCs w:val="9"/>
                <w:b w:val="1"/>
                <w:bCs w:val="1"/>
                <w:color w:val="auto"/>
                <w:w w:val="91"/>
              </w:rPr>
              <w:t>Value of</w:t>
            </w:r>
          </w:p>
        </w:tc>
        <w:tc>
          <w:tcPr>
            <w:tcW w:w="0" w:type="dxa"/>
            <w:vAlign w:val="bottom"/>
          </w:tcPr>
          <w:p>
            <w:pPr>
              <w:spacing w:after="0"/>
              <w:rPr>
                <w:sz w:val="1"/>
                <w:szCs w:val="1"/>
                <w:color w:val="auto"/>
              </w:rPr>
            </w:pPr>
          </w:p>
        </w:tc>
      </w:tr>
      <w:tr>
        <w:trPr>
          <w:trHeight w:val="101"/>
        </w:trPr>
        <w:tc>
          <w:tcPr>
            <w:tcW w:w="1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7"/>
              </w:rPr>
              <w:t>Number of</w:t>
            </w:r>
          </w:p>
        </w:tc>
        <w:tc>
          <w:tcPr>
            <w:tcW w:w="80" w:type="dxa"/>
            <w:vAlign w:val="bottom"/>
          </w:tcPr>
          <w:p>
            <w:pPr>
              <w:spacing w:after="0"/>
              <w:rPr>
                <w:sz w:val="8"/>
                <w:szCs w:val="8"/>
                <w:color w:val="auto"/>
              </w:rPr>
            </w:pPr>
          </w:p>
        </w:tc>
        <w:tc>
          <w:tcPr>
            <w:tcW w:w="10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7"/>
              </w:rPr>
              <w:t>Number of</w:t>
            </w: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1"/>
              </w:rPr>
              <w:t>Shares or</w:t>
            </w: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6"/>
              </w:rPr>
              <w:t>Value of</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85"/>
              </w:rPr>
              <w:t>Shares,</w:t>
            </w: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jc w:val="center"/>
              <w:ind w:right="224"/>
              <w:spacing w:after="0" w:line="101" w:lineRule="exact"/>
              <w:rPr>
                <w:sz w:val="20"/>
                <w:szCs w:val="20"/>
                <w:color w:val="auto"/>
              </w:rPr>
            </w:pPr>
            <w:r>
              <w:rPr>
                <w:rFonts w:ascii="Arial" w:cs="Arial" w:eastAsia="Arial" w:hAnsi="Arial"/>
                <w:sz w:val="9"/>
                <w:szCs w:val="9"/>
                <w:b w:val="1"/>
                <w:bCs w:val="1"/>
                <w:color w:val="auto"/>
                <w:w w:val="96"/>
              </w:rPr>
              <w:t>Unearned</w:t>
            </w:r>
          </w:p>
        </w:tc>
        <w:tc>
          <w:tcPr>
            <w:tcW w:w="0" w:type="dxa"/>
            <w:vAlign w:val="bottom"/>
          </w:tcPr>
          <w:p>
            <w:pPr>
              <w:spacing w:after="0"/>
              <w:rPr>
                <w:sz w:val="1"/>
                <w:szCs w:val="1"/>
                <w:color w:val="auto"/>
              </w:rPr>
            </w:pPr>
          </w:p>
        </w:tc>
      </w:tr>
      <w:tr>
        <w:trPr>
          <w:trHeight w:val="101"/>
        </w:trPr>
        <w:tc>
          <w:tcPr>
            <w:tcW w:w="1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2"/>
              </w:rPr>
              <w:t>Securities</w:t>
            </w:r>
          </w:p>
        </w:tc>
        <w:tc>
          <w:tcPr>
            <w:tcW w:w="80" w:type="dxa"/>
            <w:vAlign w:val="bottom"/>
          </w:tcPr>
          <w:p>
            <w:pPr>
              <w:spacing w:after="0"/>
              <w:rPr>
                <w:sz w:val="8"/>
                <w:szCs w:val="8"/>
                <w:color w:val="auto"/>
              </w:rPr>
            </w:pPr>
          </w:p>
        </w:tc>
        <w:tc>
          <w:tcPr>
            <w:tcW w:w="10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2"/>
              </w:rPr>
              <w:t>Securities</w:t>
            </w: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5"/>
              </w:rPr>
              <w:t>Units of</w:t>
            </w: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1"/>
              </w:rPr>
              <w:t>Shares or</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3"/>
              </w:rPr>
              <w:t>Units or</w:t>
            </w: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jc w:val="center"/>
              <w:ind w:right="204"/>
              <w:spacing w:after="0" w:line="101" w:lineRule="exact"/>
              <w:rPr>
                <w:sz w:val="20"/>
                <w:szCs w:val="20"/>
                <w:color w:val="auto"/>
              </w:rPr>
            </w:pPr>
            <w:r>
              <w:rPr>
                <w:rFonts w:ascii="Arial" w:cs="Arial" w:eastAsia="Arial" w:hAnsi="Arial"/>
                <w:sz w:val="9"/>
                <w:szCs w:val="9"/>
                <w:b w:val="1"/>
                <w:bCs w:val="1"/>
                <w:color w:val="auto"/>
                <w:w w:val="92"/>
              </w:rPr>
              <w:t>Shares,</w:t>
            </w:r>
          </w:p>
        </w:tc>
        <w:tc>
          <w:tcPr>
            <w:tcW w:w="0" w:type="dxa"/>
            <w:vAlign w:val="bottom"/>
          </w:tcPr>
          <w:p>
            <w:pPr>
              <w:spacing w:after="0"/>
              <w:rPr>
                <w:sz w:val="1"/>
                <w:szCs w:val="1"/>
                <w:color w:val="auto"/>
              </w:rPr>
            </w:pPr>
          </w:p>
        </w:tc>
      </w:tr>
      <w:tr>
        <w:trPr>
          <w:trHeight w:val="101"/>
        </w:trPr>
        <w:tc>
          <w:tcPr>
            <w:tcW w:w="1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7"/>
              </w:rPr>
              <w:t>Underlying</w:t>
            </w:r>
          </w:p>
        </w:tc>
        <w:tc>
          <w:tcPr>
            <w:tcW w:w="80" w:type="dxa"/>
            <w:vAlign w:val="bottom"/>
          </w:tcPr>
          <w:p>
            <w:pPr>
              <w:spacing w:after="0"/>
              <w:rPr>
                <w:sz w:val="8"/>
                <w:szCs w:val="8"/>
                <w:color w:val="auto"/>
              </w:rPr>
            </w:pPr>
          </w:p>
        </w:tc>
        <w:tc>
          <w:tcPr>
            <w:tcW w:w="10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3"/>
              </w:rPr>
              <w:t>Underlying</w:t>
            </w: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89"/>
              </w:rPr>
              <w:t>Stock</w:t>
            </w: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89"/>
              </w:rPr>
              <w:t>Units of</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9"/>
              </w:rPr>
              <w:t>Other</w:t>
            </w: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jc w:val="center"/>
              <w:ind w:right="224"/>
              <w:spacing w:after="0" w:line="101" w:lineRule="exact"/>
              <w:rPr>
                <w:sz w:val="20"/>
                <w:szCs w:val="20"/>
                <w:color w:val="auto"/>
              </w:rPr>
            </w:pPr>
            <w:r>
              <w:rPr>
                <w:rFonts w:ascii="Arial" w:cs="Arial" w:eastAsia="Arial" w:hAnsi="Arial"/>
                <w:sz w:val="9"/>
                <w:szCs w:val="9"/>
                <w:b w:val="1"/>
                <w:bCs w:val="1"/>
                <w:color w:val="auto"/>
                <w:w w:val="93"/>
              </w:rPr>
              <w:t>Units or</w:t>
            </w:r>
          </w:p>
        </w:tc>
        <w:tc>
          <w:tcPr>
            <w:tcW w:w="0" w:type="dxa"/>
            <w:vAlign w:val="bottom"/>
          </w:tcPr>
          <w:p>
            <w:pPr>
              <w:spacing w:after="0"/>
              <w:rPr>
                <w:sz w:val="1"/>
                <w:szCs w:val="1"/>
                <w:color w:val="auto"/>
              </w:rPr>
            </w:pPr>
          </w:p>
        </w:tc>
      </w:tr>
      <w:tr>
        <w:trPr>
          <w:trHeight w:val="101"/>
        </w:trPr>
        <w:tc>
          <w:tcPr>
            <w:tcW w:w="1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89"/>
              </w:rPr>
              <w:t>Unexercised</w:t>
            </w:r>
          </w:p>
        </w:tc>
        <w:tc>
          <w:tcPr>
            <w:tcW w:w="80" w:type="dxa"/>
            <w:vAlign w:val="bottom"/>
          </w:tcPr>
          <w:p>
            <w:pPr>
              <w:spacing w:after="0"/>
              <w:rPr>
                <w:sz w:val="8"/>
                <w:szCs w:val="8"/>
                <w:color w:val="auto"/>
              </w:rPr>
            </w:pPr>
          </w:p>
        </w:tc>
        <w:tc>
          <w:tcPr>
            <w:tcW w:w="10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89"/>
              </w:rPr>
              <w:t>Unexercised</w:t>
            </w:r>
          </w:p>
        </w:tc>
        <w:tc>
          <w:tcPr>
            <w:tcW w:w="60" w:type="dxa"/>
            <w:vAlign w:val="bottom"/>
          </w:tcPr>
          <w:p>
            <w:pPr>
              <w:spacing w:after="0"/>
              <w:rPr>
                <w:sz w:val="8"/>
                <w:szCs w:val="8"/>
                <w:color w:val="auto"/>
              </w:rPr>
            </w:pPr>
          </w:p>
        </w:tc>
        <w:tc>
          <w:tcPr>
            <w:tcW w:w="6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6"/>
              </w:rPr>
              <w:t>Option</w:t>
            </w: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jc w:val="center"/>
              <w:spacing w:after="0" w:line="101" w:lineRule="exact"/>
              <w:rPr>
                <w:sz w:val="20"/>
                <w:szCs w:val="20"/>
                <w:color w:val="auto"/>
              </w:rPr>
            </w:pPr>
            <w:r>
              <w:rPr>
                <w:rFonts w:ascii="Arial" w:cs="Arial" w:eastAsia="Arial" w:hAnsi="Arial"/>
                <w:sz w:val="9"/>
                <w:szCs w:val="9"/>
                <w:b w:val="1"/>
                <w:bCs w:val="1"/>
                <w:color w:val="auto"/>
              </w:rPr>
              <w:t>That Have</w:t>
            </w: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89"/>
              </w:rPr>
              <w:t>Stock</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6"/>
              </w:rPr>
              <w:t>Rights That</w:t>
            </w: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jc w:val="center"/>
              <w:ind w:right="224"/>
              <w:spacing w:after="0" w:line="101" w:lineRule="exact"/>
              <w:rPr>
                <w:sz w:val="20"/>
                <w:szCs w:val="20"/>
                <w:color w:val="auto"/>
              </w:rPr>
            </w:pPr>
            <w:r>
              <w:rPr>
                <w:rFonts w:ascii="Arial" w:cs="Arial" w:eastAsia="Arial" w:hAnsi="Arial"/>
                <w:sz w:val="9"/>
                <w:szCs w:val="9"/>
                <w:b w:val="1"/>
                <w:bCs w:val="1"/>
                <w:color w:val="auto"/>
                <w:w w:val="99"/>
              </w:rPr>
              <w:t>Other</w:t>
            </w:r>
          </w:p>
        </w:tc>
        <w:tc>
          <w:tcPr>
            <w:tcW w:w="0" w:type="dxa"/>
            <w:vAlign w:val="bottom"/>
          </w:tcPr>
          <w:p>
            <w:pPr>
              <w:spacing w:after="0"/>
              <w:rPr>
                <w:sz w:val="1"/>
                <w:szCs w:val="1"/>
                <w:color w:val="auto"/>
              </w:rPr>
            </w:pPr>
          </w:p>
        </w:tc>
      </w:tr>
      <w:tr>
        <w:trPr>
          <w:trHeight w:val="101"/>
        </w:trPr>
        <w:tc>
          <w:tcPr>
            <w:tcW w:w="1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3"/>
              </w:rPr>
              <w:t>Options</w:t>
            </w:r>
          </w:p>
        </w:tc>
        <w:tc>
          <w:tcPr>
            <w:tcW w:w="80" w:type="dxa"/>
            <w:vAlign w:val="bottom"/>
          </w:tcPr>
          <w:p>
            <w:pPr>
              <w:spacing w:after="0"/>
              <w:rPr>
                <w:sz w:val="8"/>
                <w:szCs w:val="8"/>
                <w:color w:val="auto"/>
              </w:rPr>
            </w:pPr>
          </w:p>
        </w:tc>
        <w:tc>
          <w:tcPr>
            <w:tcW w:w="10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3"/>
              </w:rPr>
              <w:t>Options</w:t>
            </w:r>
          </w:p>
        </w:tc>
        <w:tc>
          <w:tcPr>
            <w:tcW w:w="60" w:type="dxa"/>
            <w:vAlign w:val="bottom"/>
          </w:tcPr>
          <w:p>
            <w:pPr>
              <w:spacing w:after="0"/>
              <w:rPr>
                <w:sz w:val="8"/>
                <w:szCs w:val="8"/>
                <w:color w:val="auto"/>
              </w:rPr>
            </w:pPr>
          </w:p>
        </w:tc>
        <w:tc>
          <w:tcPr>
            <w:tcW w:w="6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1"/>
              </w:rPr>
              <w:t>Exercise</w:t>
            </w:r>
          </w:p>
        </w:tc>
        <w:tc>
          <w:tcPr>
            <w:tcW w:w="80" w:type="dxa"/>
            <w:vAlign w:val="bottom"/>
          </w:tcPr>
          <w:p>
            <w:pPr>
              <w:spacing w:after="0"/>
              <w:rPr>
                <w:sz w:val="8"/>
                <w:szCs w:val="8"/>
                <w:color w:val="auto"/>
              </w:rPr>
            </w:pPr>
          </w:p>
        </w:tc>
        <w:tc>
          <w:tcPr>
            <w:tcW w:w="106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6"/>
              </w:rPr>
              <w:t>Option</w:t>
            </w:r>
          </w:p>
        </w:tc>
        <w:tc>
          <w:tcPr>
            <w:tcW w:w="60" w:type="dxa"/>
            <w:vAlign w:val="bottom"/>
          </w:tcPr>
          <w:p>
            <w:pPr>
              <w:spacing w:after="0"/>
              <w:rPr>
                <w:sz w:val="8"/>
                <w:szCs w:val="8"/>
                <w:color w:val="auto"/>
              </w:rPr>
            </w:pPr>
          </w:p>
        </w:tc>
        <w:tc>
          <w:tcPr>
            <w:tcW w:w="840" w:type="dxa"/>
            <w:vAlign w:val="bottom"/>
          </w:tcPr>
          <w:p>
            <w:pPr>
              <w:jc w:val="center"/>
              <w:spacing w:after="0" w:line="101" w:lineRule="exact"/>
              <w:rPr>
                <w:sz w:val="20"/>
                <w:szCs w:val="20"/>
                <w:color w:val="auto"/>
              </w:rPr>
            </w:pPr>
            <w:r>
              <w:rPr>
                <w:rFonts w:ascii="Arial" w:cs="Arial" w:eastAsia="Arial" w:hAnsi="Arial"/>
                <w:sz w:val="9"/>
                <w:szCs w:val="9"/>
                <w:b w:val="1"/>
                <w:bCs w:val="1"/>
                <w:color w:val="auto"/>
              </w:rPr>
              <w:t>Not</w:t>
            </w: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4"/>
              </w:rPr>
              <w:t>That</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7"/>
              </w:rPr>
              <w:t>Have Not</w:t>
            </w: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jc w:val="center"/>
              <w:ind w:right="224"/>
              <w:spacing w:after="0" w:line="101" w:lineRule="exact"/>
              <w:rPr>
                <w:sz w:val="20"/>
                <w:szCs w:val="20"/>
                <w:color w:val="auto"/>
              </w:rPr>
            </w:pPr>
            <w:r>
              <w:rPr>
                <w:rFonts w:ascii="Arial" w:cs="Arial" w:eastAsia="Arial" w:hAnsi="Arial"/>
                <w:sz w:val="9"/>
                <w:szCs w:val="9"/>
                <w:b w:val="1"/>
                <w:bCs w:val="1"/>
                <w:color w:val="auto"/>
                <w:w w:val="96"/>
              </w:rPr>
              <w:t>Rights That</w:t>
            </w:r>
          </w:p>
        </w:tc>
        <w:tc>
          <w:tcPr>
            <w:tcW w:w="0" w:type="dxa"/>
            <w:vAlign w:val="bottom"/>
          </w:tcPr>
          <w:p>
            <w:pPr>
              <w:spacing w:after="0"/>
              <w:rPr>
                <w:sz w:val="1"/>
                <w:szCs w:val="1"/>
                <w:color w:val="auto"/>
              </w:rPr>
            </w:pPr>
          </w:p>
        </w:tc>
      </w:tr>
      <w:tr>
        <w:trPr>
          <w:trHeight w:val="111"/>
        </w:trPr>
        <w:tc>
          <w:tcPr>
            <w:tcW w:w="2160" w:type="dxa"/>
            <w:vAlign w:val="bottom"/>
            <w:gridSpan w:val="2"/>
            <w:vMerge w:val="restart"/>
          </w:tcPr>
          <w:p>
            <w:pPr>
              <w:spacing w:after="0"/>
              <w:rPr>
                <w:sz w:val="20"/>
                <w:szCs w:val="20"/>
                <w:color w:val="auto"/>
              </w:rPr>
            </w:pPr>
            <w:r>
              <w:rPr>
                <w:rFonts w:ascii="Arial" w:cs="Arial" w:eastAsia="Arial" w:hAnsi="Arial"/>
                <w:sz w:val="9"/>
                <w:szCs w:val="9"/>
                <w:b w:val="1"/>
                <w:bCs w:val="1"/>
                <w:color w:val="auto"/>
              </w:rPr>
              <w:t>Name</w:t>
            </w:r>
          </w:p>
        </w:tc>
        <w:tc>
          <w:tcPr>
            <w:tcW w:w="80" w:type="dxa"/>
            <w:vAlign w:val="bottom"/>
          </w:tcPr>
          <w:p>
            <w:pPr>
              <w:spacing w:after="0"/>
              <w:rPr>
                <w:sz w:val="9"/>
                <w:szCs w:val="9"/>
                <w:color w:val="auto"/>
              </w:rPr>
            </w:pPr>
          </w:p>
        </w:tc>
        <w:tc>
          <w:tcPr>
            <w:tcW w:w="880" w:type="dxa"/>
            <w:vAlign w:val="bottom"/>
          </w:tcPr>
          <w:p>
            <w:pPr>
              <w:jc w:val="center"/>
              <w:spacing w:after="0"/>
              <w:rPr>
                <w:sz w:val="20"/>
                <w:szCs w:val="20"/>
                <w:color w:val="auto"/>
              </w:rPr>
            </w:pPr>
            <w:r>
              <w:rPr>
                <w:rFonts w:ascii="Arial" w:cs="Arial" w:eastAsia="Arial" w:hAnsi="Arial"/>
                <w:sz w:val="9"/>
                <w:szCs w:val="9"/>
                <w:b w:val="1"/>
                <w:bCs w:val="1"/>
                <w:color w:val="auto"/>
                <w:w w:val="91"/>
              </w:rPr>
              <w:t>Exercisable</w:t>
            </w:r>
          </w:p>
        </w:tc>
        <w:tc>
          <w:tcPr>
            <w:tcW w:w="80" w:type="dxa"/>
            <w:vAlign w:val="bottom"/>
          </w:tcPr>
          <w:p>
            <w:pPr>
              <w:spacing w:after="0"/>
              <w:rPr>
                <w:sz w:val="9"/>
                <w:szCs w:val="9"/>
                <w:color w:val="auto"/>
              </w:rPr>
            </w:pPr>
          </w:p>
        </w:tc>
        <w:tc>
          <w:tcPr>
            <w:tcW w:w="1000" w:type="dxa"/>
            <w:vAlign w:val="bottom"/>
          </w:tcPr>
          <w:p>
            <w:pPr>
              <w:jc w:val="center"/>
              <w:spacing w:after="0"/>
              <w:rPr>
                <w:sz w:val="20"/>
                <w:szCs w:val="20"/>
                <w:color w:val="auto"/>
              </w:rPr>
            </w:pPr>
            <w:r>
              <w:rPr>
                <w:rFonts w:ascii="Arial" w:cs="Arial" w:eastAsia="Arial" w:hAnsi="Arial"/>
                <w:sz w:val="9"/>
                <w:szCs w:val="9"/>
                <w:b w:val="1"/>
                <w:bCs w:val="1"/>
                <w:color w:val="auto"/>
                <w:w w:val="91"/>
              </w:rPr>
              <w:t>Unexercisable</w:t>
            </w:r>
          </w:p>
        </w:tc>
        <w:tc>
          <w:tcPr>
            <w:tcW w:w="60" w:type="dxa"/>
            <w:vAlign w:val="bottom"/>
          </w:tcPr>
          <w:p>
            <w:pPr>
              <w:spacing w:after="0"/>
              <w:rPr>
                <w:sz w:val="9"/>
                <w:szCs w:val="9"/>
                <w:color w:val="auto"/>
              </w:rPr>
            </w:pPr>
          </w:p>
        </w:tc>
        <w:tc>
          <w:tcPr>
            <w:tcW w:w="600" w:type="dxa"/>
            <w:vAlign w:val="bottom"/>
          </w:tcPr>
          <w:p>
            <w:pPr>
              <w:jc w:val="center"/>
              <w:spacing w:after="0"/>
              <w:rPr>
                <w:sz w:val="20"/>
                <w:szCs w:val="20"/>
                <w:color w:val="auto"/>
              </w:rPr>
            </w:pPr>
            <w:r>
              <w:rPr>
                <w:rFonts w:ascii="Arial" w:cs="Arial" w:eastAsia="Arial" w:hAnsi="Arial"/>
                <w:sz w:val="9"/>
                <w:szCs w:val="9"/>
                <w:b w:val="1"/>
                <w:bCs w:val="1"/>
                <w:color w:val="auto"/>
                <w:w w:val="99"/>
              </w:rPr>
              <w:t>Price</w:t>
            </w:r>
          </w:p>
        </w:tc>
        <w:tc>
          <w:tcPr>
            <w:tcW w:w="80" w:type="dxa"/>
            <w:vAlign w:val="bottom"/>
          </w:tcPr>
          <w:p>
            <w:pPr>
              <w:spacing w:after="0"/>
              <w:rPr>
                <w:sz w:val="9"/>
                <w:szCs w:val="9"/>
                <w:color w:val="auto"/>
              </w:rPr>
            </w:pPr>
          </w:p>
        </w:tc>
        <w:tc>
          <w:tcPr>
            <w:tcW w:w="1060" w:type="dxa"/>
            <w:vAlign w:val="bottom"/>
          </w:tcPr>
          <w:p>
            <w:pPr>
              <w:jc w:val="center"/>
              <w:spacing w:after="0"/>
              <w:rPr>
                <w:sz w:val="20"/>
                <w:szCs w:val="20"/>
                <w:color w:val="auto"/>
              </w:rPr>
            </w:pPr>
            <w:r>
              <w:rPr>
                <w:rFonts w:ascii="Arial" w:cs="Arial" w:eastAsia="Arial" w:hAnsi="Arial"/>
                <w:sz w:val="9"/>
                <w:szCs w:val="9"/>
                <w:b w:val="1"/>
                <w:bCs w:val="1"/>
                <w:color w:val="auto"/>
                <w:w w:val="99"/>
              </w:rPr>
              <w:t>Expiration</w:t>
            </w:r>
          </w:p>
        </w:tc>
        <w:tc>
          <w:tcPr>
            <w:tcW w:w="60" w:type="dxa"/>
            <w:vAlign w:val="bottom"/>
          </w:tcPr>
          <w:p>
            <w:pPr>
              <w:spacing w:after="0"/>
              <w:rPr>
                <w:sz w:val="9"/>
                <w:szCs w:val="9"/>
                <w:color w:val="auto"/>
              </w:rPr>
            </w:pPr>
          </w:p>
        </w:tc>
        <w:tc>
          <w:tcPr>
            <w:tcW w:w="840" w:type="dxa"/>
            <w:vAlign w:val="bottom"/>
          </w:tcPr>
          <w:p>
            <w:pPr>
              <w:jc w:val="center"/>
              <w:spacing w:after="0"/>
              <w:rPr>
                <w:sz w:val="20"/>
                <w:szCs w:val="20"/>
                <w:color w:val="auto"/>
              </w:rPr>
            </w:pPr>
            <w:r>
              <w:rPr>
                <w:rFonts w:ascii="Arial" w:cs="Arial" w:eastAsia="Arial" w:hAnsi="Arial"/>
                <w:sz w:val="9"/>
                <w:szCs w:val="9"/>
                <w:b w:val="1"/>
                <w:bCs w:val="1"/>
                <w:color w:val="auto"/>
                <w:w w:val="87"/>
              </w:rPr>
              <w:t>Vested</w:t>
            </w: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jc w:val="center"/>
              <w:spacing w:after="0"/>
              <w:rPr>
                <w:sz w:val="20"/>
                <w:szCs w:val="20"/>
                <w:color w:val="auto"/>
              </w:rPr>
            </w:pPr>
            <w:r>
              <w:rPr>
                <w:rFonts w:ascii="Arial" w:cs="Arial" w:eastAsia="Arial" w:hAnsi="Arial"/>
                <w:sz w:val="9"/>
                <w:szCs w:val="9"/>
                <w:b w:val="1"/>
                <w:bCs w:val="1"/>
                <w:color w:val="auto"/>
                <w:w w:val="97"/>
              </w:rPr>
              <w:t>Have Not</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jc w:val="center"/>
              <w:spacing w:after="0"/>
              <w:rPr>
                <w:sz w:val="20"/>
                <w:szCs w:val="20"/>
                <w:color w:val="auto"/>
              </w:rPr>
            </w:pPr>
            <w:r>
              <w:rPr>
                <w:rFonts w:ascii="Arial" w:cs="Arial" w:eastAsia="Arial" w:hAnsi="Arial"/>
                <w:sz w:val="9"/>
                <w:szCs w:val="9"/>
                <w:b w:val="1"/>
                <w:bCs w:val="1"/>
                <w:color w:val="auto"/>
                <w:w w:val="87"/>
              </w:rPr>
              <w:t>Vested</w:t>
            </w: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jc w:val="center"/>
              <w:ind w:right="204"/>
              <w:spacing w:after="0"/>
              <w:rPr>
                <w:sz w:val="20"/>
                <w:szCs w:val="20"/>
                <w:color w:val="auto"/>
              </w:rPr>
            </w:pPr>
            <w:r>
              <w:rPr>
                <w:rFonts w:ascii="Arial" w:cs="Arial" w:eastAsia="Arial" w:hAnsi="Arial"/>
                <w:sz w:val="9"/>
                <w:szCs w:val="9"/>
                <w:b w:val="1"/>
                <w:bCs w:val="1"/>
                <w:color w:val="auto"/>
                <w:w w:val="97"/>
              </w:rPr>
              <w:t>Have Not</w:t>
            </w:r>
          </w:p>
        </w:tc>
        <w:tc>
          <w:tcPr>
            <w:tcW w:w="0" w:type="dxa"/>
            <w:vAlign w:val="bottom"/>
          </w:tcPr>
          <w:p>
            <w:pPr>
              <w:spacing w:after="0"/>
              <w:rPr>
                <w:sz w:val="1"/>
                <w:szCs w:val="1"/>
                <w:color w:val="auto"/>
              </w:rPr>
            </w:pPr>
          </w:p>
        </w:tc>
      </w:tr>
      <w:tr>
        <w:trPr>
          <w:trHeight w:val="114"/>
        </w:trPr>
        <w:tc>
          <w:tcPr>
            <w:tcW w:w="2160" w:type="dxa"/>
            <w:vAlign w:val="bottom"/>
            <w:gridSpan w:val="2"/>
            <w:vMerge w:val="continue"/>
          </w:tcPr>
          <w:p>
            <w:pPr>
              <w:spacing w:after="0"/>
              <w:rPr>
                <w:sz w:val="9"/>
                <w:szCs w:val="9"/>
                <w:color w:val="auto"/>
              </w:rPr>
            </w:pPr>
          </w:p>
        </w:tc>
        <w:tc>
          <w:tcPr>
            <w:tcW w:w="960" w:type="dxa"/>
            <w:vAlign w:val="bottom"/>
            <w:gridSpan w:val="2"/>
          </w:tcPr>
          <w:p>
            <w:pPr>
              <w:jc w:val="center"/>
              <w:ind w:left="21"/>
              <w:spacing w:after="0"/>
              <w:rPr>
                <w:sz w:val="20"/>
                <w:szCs w:val="20"/>
                <w:color w:val="auto"/>
              </w:rPr>
            </w:pPr>
            <w:r>
              <w:rPr>
                <w:rFonts w:ascii="Arial" w:cs="Arial" w:eastAsia="Arial" w:hAnsi="Arial"/>
                <w:sz w:val="9"/>
                <w:szCs w:val="9"/>
                <w:b w:val="1"/>
                <w:bCs w:val="1"/>
                <w:color w:val="auto"/>
              </w:rPr>
              <w:t>(#)</w:t>
            </w:r>
          </w:p>
        </w:tc>
        <w:tc>
          <w:tcPr>
            <w:tcW w:w="1080" w:type="dxa"/>
            <w:vAlign w:val="bottom"/>
            <w:gridSpan w:val="2"/>
          </w:tcPr>
          <w:p>
            <w:pPr>
              <w:jc w:val="center"/>
              <w:ind w:left="44"/>
              <w:spacing w:after="0"/>
              <w:rPr>
                <w:sz w:val="20"/>
                <w:szCs w:val="20"/>
                <w:color w:val="auto"/>
              </w:rPr>
            </w:pPr>
            <w:r>
              <w:rPr>
                <w:rFonts w:ascii="Arial" w:cs="Arial" w:eastAsia="Arial" w:hAnsi="Arial"/>
                <w:sz w:val="9"/>
                <w:szCs w:val="9"/>
                <w:b w:val="1"/>
                <w:bCs w:val="1"/>
                <w:color w:val="auto"/>
                <w:w w:val="99"/>
              </w:rPr>
              <w:t>(#)(2)</w:t>
            </w:r>
          </w:p>
        </w:tc>
        <w:tc>
          <w:tcPr>
            <w:tcW w:w="660" w:type="dxa"/>
            <w:vAlign w:val="bottom"/>
            <w:gridSpan w:val="2"/>
          </w:tcPr>
          <w:p>
            <w:pPr>
              <w:jc w:val="center"/>
              <w:ind w:left="20"/>
              <w:spacing w:after="0"/>
              <w:rPr>
                <w:sz w:val="20"/>
                <w:szCs w:val="20"/>
                <w:color w:val="auto"/>
              </w:rPr>
            </w:pPr>
            <w:r>
              <w:rPr>
                <w:rFonts w:ascii="Arial" w:cs="Arial" w:eastAsia="Arial" w:hAnsi="Arial"/>
                <w:sz w:val="9"/>
                <w:szCs w:val="9"/>
                <w:b w:val="1"/>
                <w:bCs w:val="1"/>
                <w:color w:val="auto"/>
                <w:w w:val="90"/>
              </w:rPr>
              <w:t>($)</w:t>
            </w:r>
          </w:p>
        </w:tc>
        <w:tc>
          <w:tcPr>
            <w:tcW w:w="80" w:type="dxa"/>
            <w:vAlign w:val="bottom"/>
          </w:tcPr>
          <w:p>
            <w:pPr>
              <w:spacing w:after="0"/>
              <w:rPr>
                <w:sz w:val="9"/>
                <w:szCs w:val="9"/>
                <w:color w:val="auto"/>
              </w:rPr>
            </w:pPr>
          </w:p>
        </w:tc>
        <w:tc>
          <w:tcPr>
            <w:tcW w:w="1060" w:type="dxa"/>
            <w:vAlign w:val="bottom"/>
          </w:tcPr>
          <w:p>
            <w:pPr>
              <w:jc w:val="center"/>
              <w:spacing w:after="0"/>
              <w:rPr>
                <w:sz w:val="20"/>
                <w:szCs w:val="20"/>
                <w:color w:val="auto"/>
              </w:rPr>
            </w:pPr>
            <w:r>
              <w:rPr>
                <w:rFonts w:ascii="Arial" w:cs="Arial" w:eastAsia="Arial" w:hAnsi="Arial"/>
                <w:sz w:val="9"/>
                <w:szCs w:val="9"/>
                <w:b w:val="1"/>
                <w:bCs w:val="1"/>
                <w:color w:val="auto"/>
                <w:w w:val="92"/>
              </w:rPr>
              <w:t>Date</w:t>
            </w:r>
          </w:p>
        </w:tc>
        <w:tc>
          <w:tcPr>
            <w:tcW w:w="900" w:type="dxa"/>
            <w:vAlign w:val="bottom"/>
            <w:gridSpan w:val="2"/>
          </w:tcPr>
          <w:p>
            <w:pPr>
              <w:jc w:val="center"/>
              <w:ind w:left="22"/>
              <w:spacing w:after="0"/>
              <w:rPr>
                <w:sz w:val="20"/>
                <w:szCs w:val="20"/>
                <w:color w:val="auto"/>
              </w:rPr>
            </w:pPr>
            <w:r>
              <w:rPr>
                <w:rFonts w:ascii="Arial" w:cs="Arial" w:eastAsia="Arial" w:hAnsi="Arial"/>
                <w:sz w:val="9"/>
                <w:szCs w:val="9"/>
                <w:b w:val="1"/>
                <w:bCs w:val="1"/>
                <w:color w:val="auto"/>
                <w:w w:val="99"/>
              </w:rPr>
              <w:t>(#)(3)</w:t>
            </w: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jc w:val="center"/>
              <w:spacing w:after="0"/>
              <w:rPr>
                <w:sz w:val="20"/>
                <w:szCs w:val="20"/>
                <w:color w:val="auto"/>
              </w:rPr>
            </w:pPr>
            <w:r>
              <w:rPr>
                <w:rFonts w:ascii="Arial" w:cs="Arial" w:eastAsia="Arial" w:hAnsi="Arial"/>
                <w:sz w:val="9"/>
                <w:szCs w:val="9"/>
                <w:b w:val="1"/>
                <w:bCs w:val="1"/>
                <w:color w:val="auto"/>
                <w:w w:val="87"/>
              </w:rPr>
              <w:t>Vested</w:t>
            </w:r>
          </w:p>
        </w:tc>
        <w:tc>
          <w:tcPr>
            <w:tcW w:w="1160" w:type="dxa"/>
            <w:vAlign w:val="bottom"/>
            <w:gridSpan w:val="3"/>
          </w:tcPr>
          <w:p>
            <w:pPr>
              <w:jc w:val="center"/>
              <w:ind w:left="163"/>
              <w:spacing w:after="0"/>
              <w:rPr>
                <w:sz w:val="20"/>
                <w:szCs w:val="20"/>
                <w:color w:val="auto"/>
              </w:rPr>
            </w:pPr>
            <w:r>
              <w:rPr>
                <w:rFonts w:ascii="Arial" w:cs="Arial" w:eastAsia="Arial" w:hAnsi="Arial"/>
                <w:sz w:val="9"/>
                <w:szCs w:val="9"/>
                <w:b w:val="1"/>
                <w:bCs w:val="1"/>
                <w:color w:val="auto"/>
                <w:w w:val="99"/>
              </w:rPr>
              <w:t>(#)(4)</w:t>
            </w: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jc w:val="center"/>
              <w:ind w:right="204"/>
              <w:spacing w:after="0"/>
              <w:rPr>
                <w:sz w:val="20"/>
                <w:szCs w:val="20"/>
                <w:color w:val="auto"/>
              </w:rPr>
            </w:pPr>
            <w:r>
              <w:rPr>
                <w:rFonts w:ascii="Arial" w:cs="Arial" w:eastAsia="Arial" w:hAnsi="Arial"/>
                <w:sz w:val="9"/>
                <w:szCs w:val="9"/>
                <w:b w:val="1"/>
                <w:bCs w:val="1"/>
                <w:color w:val="auto"/>
                <w:w w:val="87"/>
              </w:rPr>
              <w:t>Vested</w:t>
            </w:r>
          </w:p>
        </w:tc>
        <w:tc>
          <w:tcPr>
            <w:tcW w:w="0" w:type="dxa"/>
            <w:vAlign w:val="bottom"/>
          </w:tcPr>
          <w:p>
            <w:pPr>
              <w:spacing w:after="0"/>
              <w:rPr>
                <w:sz w:val="1"/>
                <w:szCs w:val="1"/>
                <w:color w:val="auto"/>
              </w:rPr>
            </w:pPr>
          </w:p>
        </w:tc>
      </w:tr>
      <w:tr>
        <w:trPr>
          <w:trHeight w:val="30"/>
        </w:trPr>
        <w:tc>
          <w:tcPr>
            <w:tcW w:w="1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21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David P. Steiner</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82"/>
              <w:spacing w:after="0"/>
              <w:rPr>
                <w:sz w:val="20"/>
                <w:szCs w:val="20"/>
                <w:color w:val="auto"/>
              </w:rPr>
            </w:pPr>
            <w:r>
              <w:rPr>
                <w:rFonts w:ascii="Arial" w:cs="Arial" w:eastAsia="Arial" w:hAnsi="Arial"/>
                <w:sz w:val="12"/>
                <w:szCs w:val="12"/>
                <w:color w:val="auto"/>
              </w:rPr>
              <w:t>24,922</w:t>
            </w:r>
          </w:p>
        </w:tc>
        <w:tc>
          <w:tcPr>
            <w:tcW w:w="660" w:type="dxa"/>
            <w:vAlign w:val="bottom"/>
            <w:gridSpan w:val="2"/>
            <w:shd w:val="clear" w:color="auto" w:fill="CCEEFF"/>
          </w:tcPr>
          <w:p>
            <w:pPr>
              <w:jc w:val="right"/>
              <w:ind w:right="73"/>
              <w:spacing w:after="0"/>
              <w:rPr>
                <w:sz w:val="20"/>
                <w:szCs w:val="20"/>
                <w:color w:val="auto"/>
              </w:rPr>
            </w:pPr>
            <w:r>
              <w:rPr>
                <w:rFonts w:ascii="Arial" w:cs="Arial" w:eastAsia="Arial" w:hAnsi="Arial"/>
                <w:sz w:val="12"/>
                <w:szCs w:val="12"/>
                <w:color w:val="auto"/>
              </w:rPr>
              <w:t>38.205</w:t>
            </w:r>
          </w:p>
        </w:tc>
        <w:tc>
          <w:tcPr>
            <w:tcW w:w="1140" w:type="dxa"/>
            <w:vAlign w:val="bottom"/>
            <w:gridSpan w:val="2"/>
            <w:shd w:val="clear" w:color="auto" w:fill="CCEEFF"/>
          </w:tcPr>
          <w:p>
            <w:pPr>
              <w:jc w:val="center"/>
              <w:ind w:left="20"/>
              <w:spacing w:after="0"/>
              <w:rPr>
                <w:sz w:val="20"/>
                <w:szCs w:val="20"/>
                <w:color w:val="auto"/>
              </w:rPr>
            </w:pPr>
            <w:r>
              <w:rPr>
                <w:rFonts w:ascii="Arial" w:cs="Arial" w:eastAsia="Arial" w:hAnsi="Arial"/>
                <w:sz w:val="12"/>
                <w:szCs w:val="12"/>
                <w:color w:val="auto"/>
                <w:w w:val="89"/>
              </w:rPr>
              <w:t>03/06/2013</w:t>
            </w:r>
          </w:p>
        </w:tc>
        <w:tc>
          <w:tcPr>
            <w:tcW w:w="900" w:type="dxa"/>
            <w:vAlign w:val="bottom"/>
            <w:gridSpan w:val="2"/>
            <w:shd w:val="clear" w:color="auto" w:fill="CCEEFF"/>
          </w:tcPr>
          <w:p>
            <w:pPr>
              <w:jc w:val="right"/>
              <w:ind w:right="202"/>
              <w:spacing w:after="0"/>
              <w:rPr>
                <w:sz w:val="20"/>
                <w:szCs w:val="20"/>
                <w:color w:val="auto"/>
              </w:rPr>
            </w:pPr>
            <w:r>
              <w:rPr>
                <w:rFonts w:ascii="Arial" w:cs="Arial" w:eastAsia="Arial" w:hAnsi="Arial"/>
                <w:sz w:val="12"/>
                <w:szCs w:val="12"/>
                <w:color w:val="auto"/>
              </w:rPr>
              <w:t>37,207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6"/>
              </w:rPr>
              <w:t>1,257,969</w:t>
            </w:r>
          </w:p>
        </w:tc>
        <w:tc>
          <w:tcPr>
            <w:tcW w:w="1160" w:type="dxa"/>
            <w:vAlign w:val="bottom"/>
            <w:gridSpan w:val="3"/>
            <w:shd w:val="clear" w:color="auto" w:fill="CCEEFF"/>
          </w:tcPr>
          <w:p>
            <w:pPr>
              <w:jc w:val="right"/>
              <w:ind w:right="204"/>
              <w:spacing w:after="0"/>
              <w:rPr>
                <w:sz w:val="20"/>
                <w:szCs w:val="20"/>
                <w:color w:val="auto"/>
              </w:rPr>
            </w:pPr>
            <w:r>
              <w:rPr>
                <w:rFonts w:ascii="Arial" w:cs="Arial" w:eastAsia="Arial" w:hAnsi="Arial"/>
                <w:sz w:val="12"/>
                <w:szCs w:val="12"/>
                <w:color w:val="auto"/>
              </w:rPr>
              <w:t>325,222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204"/>
              <w:spacing w:after="0"/>
              <w:rPr>
                <w:sz w:val="20"/>
                <w:szCs w:val="20"/>
                <w:color w:val="auto"/>
              </w:rPr>
            </w:pPr>
            <w:r>
              <w:rPr>
                <w:rFonts w:ascii="Arial" w:cs="Arial" w:eastAsia="Arial" w:hAnsi="Arial"/>
                <w:sz w:val="12"/>
                <w:szCs w:val="12"/>
                <w:color w:val="auto"/>
                <w:w w:val="86"/>
              </w:rPr>
              <w:t>10,995,756</w:t>
            </w:r>
          </w:p>
        </w:tc>
        <w:tc>
          <w:tcPr>
            <w:tcW w:w="0" w:type="dxa"/>
            <w:vAlign w:val="bottom"/>
          </w:tcPr>
          <w:p>
            <w:pPr>
              <w:spacing w:after="0"/>
              <w:rPr>
                <w:sz w:val="1"/>
                <w:szCs w:val="1"/>
                <w:color w:val="auto"/>
              </w:rPr>
            </w:pPr>
          </w:p>
        </w:tc>
      </w:tr>
      <w:tr>
        <w:trPr>
          <w:trHeight w:val="151"/>
        </w:trPr>
        <w:tc>
          <w:tcPr>
            <w:tcW w:w="1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83"/>
              <w:spacing w:after="0"/>
              <w:rPr>
                <w:sz w:val="20"/>
                <w:szCs w:val="20"/>
                <w:color w:val="auto"/>
              </w:rPr>
            </w:pPr>
            <w:r>
              <w:rPr>
                <w:rFonts w:ascii="Arial" w:cs="Arial" w:eastAsia="Arial" w:hAnsi="Arial"/>
                <w:sz w:val="12"/>
                <w:szCs w:val="12"/>
                <w:color w:val="auto"/>
              </w:rPr>
              <w:t>90,000</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82"/>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73"/>
              <w:spacing w:after="0"/>
              <w:rPr>
                <w:sz w:val="20"/>
                <w:szCs w:val="20"/>
                <w:color w:val="auto"/>
              </w:rPr>
            </w:pPr>
            <w:r>
              <w:rPr>
                <w:rFonts w:ascii="Arial" w:cs="Arial" w:eastAsia="Arial" w:hAnsi="Arial"/>
                <w:sz w:val="12"/>
                <w:szCs w:val="12"/>
                <w:color w:val="auto"/>
              </w:rPr>
              <w:t>29.24</w:t>
            </w:r>
          </w:p>
        </w:tc>
        <w:tc>
          <w:tcPr>
            <w:tcW w:w="1140" w:type="dxa"/>
            <w:vAlign w:val="bottom"/>
            <w:gridSpan w:val="2"/>
            <w:shd w:val="clear" w:color="auto" w:fill="CCEEFF"/>
          </w:tcPr>
          <w:p>
            <w:pPr>
              <w:jc w:val="center"/>
              <w:ind w:left="20"/>
              <w:spacing w:after="0"/>
              <w:rPr>
                <w:sz w:val="20"/>
                <w:szCs w:val="20"/>
                <w:color w:val="auto"/>
              </w:rPr>
            </w:pPr>
            <w:r>
              <w:rPr>
                <w:rFonts w:ascii="Arial" w:cs="Arial" w:eastAsia="Arial" w:hAnsi="Arial"/>
                <w:sz w:val="12"/>
                <w:szCs w:val="12"/>
                <w:color w:val="auto"/>
                <w:w w:val="89"/>
              </w:rPr>
              <w:t>03/04/2014</w:t>
            </w: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204"/>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204"/>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1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83"/>
              <w:spacing w:after="0"/>
              <w:rPr>
                <w:sz w:val="20"/>
                <w:szCs w:val="20"/>
                <w:color w:val="auto"/>
              </w:rPr>
            </w:pPr>
            <w:r>
              <w:rPr>
                <w:rFonts w:ascii="Arial" w:cs="Arial" w:eastAsia="Arial" w:hAnsi="Arial"/>
                <w:sz w:val="12"/>
                <w:szCs w:val="12"/>
                <w:color w:val="auto"/>
              </w:rPr>
              <w:t>335,000</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82"/>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73"/>
              <w:spacing w:after="0"/>
              <w:rPr>
                <w:sz w:val="20"/>
                <w:szCs w:val="20"/>
                <w:color w:val="auto"/>
              </w:rPr>
            </w:pPr>
            <w:r>
              <w:rPr>
                <w:rFonts w:ascii="Arial" w:cs="Arial" w:eastAsia="Arial" w:hAnsi="Arial"/>
                <w:sz w:val="12"/>
                <w:szCs w:val="12"/>
                <w:color w:val="auto"/>
              </w:rPr>
              <w:t>21.08</w:t>
            </w:r>
          </w:p>
        </w:tc>
        <w:tc>
          <w:tcPr>
            <w:tcW w:w="1140" w:type="dxa"/>
            <w:vAlign w:val="bottom"/>
            <w:gridSpan w:val="2"/>
            <w:shd w:val="clear" w:color="auto" w:fill="CCEEFF"/>
          </w:tcPr>
          <w:p>
            <w:pPr>
              <w:jc w:val="center"/>
              <w:ind w:left="20"/>
              <w:spacing w:after="0"/>
              <w:rPr>
                <w:sz w:val="20"/>
                <w:szCs w:val="20"/>
                <w:color w:val="auto"/>
              </w:rPr>
            </w:pPr>
            <w:r>
              <w:rPr>
                <w:rFonts w:ascii="Arial" w:cs="Arial" w:eastAsia="Arial" w:hAnsi="Arial"/>
                <w:sz w:val="12"/>
                <w:szCs w:val="12"/>
                <w:color w:val="auto"/>
                <w:w w:val="89"/>
              </w:rPr>
              <w:t>04/03/2013</w:t>
            </w: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204"/>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204"/>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1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83"/>
              <w:spacing w:after="0"/>
              <w:rPr>
                <w:sz w:val="20"/>
                <w:szCs w:val="20"/>
                <w:color w:val="auto"/>
              </w:rPr>
            </w:pPr>
            <w:r>
              <w:rPr>
                <w:rFonts w:ascii="Arial" w:cs="Arial" w:eastAsia="Arial" w:hAnsi="Arial"/>
                <w:sz w:val="12"/>
                <w:szCs w:val="12"/>
                <w:color w:val="auto"/>
              </w:rPr>
              <w:t>56,593</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82"/>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73"/>
              <w:spacing w:after="0"/>
              <w:rPr>
                <w:sz w:val="20"/>
                <w:szCs w:val="20"/>
                <w:color w:val="auto"/>
              </w:rPr>
            </w:pPr>
            <w:r>
              <w:rPr>
                <w:rFonts w:ascii="Arial" w:cs="Arial" w:eastAsia="Arial" w:hAnsi="Arial"/>
                <w:sz w:val="12"/>
                <w:szCs w:val="12"/>
                <w:color w:val="auto"/>
              </w:rPr>
              <w:t>19.61</w:t>
            </w:r>
          </w:p>
        </w:tc>
        <w:tc>
          <w:tcPr>
            <w:tcW w:w="1140" w:type="dxa"/>
            <w:vAlign w:val="bottom"/>
            <w:gridSpan w:val="2"/>
            <w:shd w:val="clear" w:color="auto" w:fill="CCEEFF"/>
          </w:tcPr>
          <w:p>
            <w:pPr>
              <w:jc w:val="center"/>
              <w:ind w:left="20"/>
              <w:spacing w:after="0"/>
              <w:rPr>
                <w:sz w:val="20"/>
                <w:szCs w:val="20"/>
                <w:color w:val="auto"/>
              </w:rPr>
            </w:pPr>
            <w:r>
              <w:rPr>
                <w:rFonts w:ascii="Arial" w:cs="Arial" w:eastAsia="Arial" w:hAnsi="Arial"/>
                <w:sz w:val="12"/>
                <w:szCs w:val="12"/>
                <w:color w:val="auto"/>
                <w:w w:val="89"/>
              </w:rPr>
              <w:t>03/06/2013</w:t>
            </w: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204"/>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204"/>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1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83"/>
              <w:spacing w:after="0"/>
              <w:rPr>
                <w:sz w:val="20"/>
                <w:szCs w:val="20"/>
                <w:color w:val="auto"/>
              </w:rPr>
            </w:pPr>
            <w:r>
              <w:rPr>
                <w:rFonts w:ascii="Arial" w:cs="Arial" w:eastAsia="Arial" w:hAnsi="Arial"/>
                <w:sz w:val="12"/>
                <w:szCs w:val="12"/>
                <w:color w:val="auto"/>
              </w:rPr>
              <w:t>135,000</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82"/>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73"/>
              <w:spacing w:after="0"/>
              <w:rPr>
                <w:sz w:val="20"/>
                <w:szCs w:val="20"/>
                <w:color w:val="auto"/>
              </w:rPr>
            </w:pPr>
            <w:r>
              <w:rPr>
                <w:rFonts w:ascii="Arial" w:cs="Arial" w:eastAsia="Arial" w:hAnsi="Arial"/>
                <w:sz w:val="12"/>
                <w:szCs w:val="12"/>
                <w:color w:val="auto"/>
              </w:rPr>
              <w:t>27.88</w:t>
            </w:r>
          </w:p>
        </w:tc>
        <w:tc>
          <w:tcPr>
            <w:tcW w:w="1140" w:type="dxa"/>
            <w:vAlign w:val="bottom"/>
            <w:gridSpan w:val="2"/>
            <w:shd w:val="clear" w:color="auto" w:fill="CCEEFF"/>
          </w:tcPr>
          <w:p>
            <w:pPr>
              <w:jc w:val="center"/>
              <w:ind w:left="20"/>
              <w:spacing w:after="0"/>
              <w:rPr>
                <w:sz w:val="20"/>
                <w:szCs w:val="20"/>
                <w:color w:val="auto"/>
              </w:rPr>
            </w:pPr>
            <w:r>
              <w:rPr>
                <w:rFonts w:ascii="Arial" w:cs="Arial" w:eastAsia="Arial" w:hAnsi="Arial"/>
                <w:sz w:val="12"/>
                <w:szCs w:val="12"/>
                <w:color w:val="auto"/>
                <w:w w:val="89"/>
              </w:rPr>
              <w:t>03/07/2012</w:t>
            </w: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204"/>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204"/>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1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83"/>
              <w:spacing w:after="0"/>
              <w:rPr>
                <w:sz w:val="20"/>
                <w:szCs w:val="20"/>
                <w:color w:val="auto"/>
              </w:rPr>
            </w:pPr>
            <w:r>
              <w:rPr>
                <w:rFonts w:ascii="Arial" w:cs="Arial" w:eastAsia="Arial" w:hAnsi="Arial"/>
                <w:sz w:val="12"/>
                <w:szCs w:val="12"/>
                <w:color w:val="auto"/>
              </w:rPr>
              <w:t>70,000</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82"/>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73"/>
              <w:spacing w:after="0"/>
              <w:rPr>
                <w:sz w:val="20"/>
                <w:szCs w:val="20"/>
                <w:color w:val="auto"/>
              </w:rPr>
            </w:pPr>
            <w:r>
              <w:rPr>
                <w:rFonts w:ascii="Arial" w:cs="Arial" w:eastAsia="Arial" w:hAnsi="Arial"/>
                <w:sz w:val="12"/>
                <w:szCs w:val="12"/>
                <w:color w:val="auto"/>
              </w:rPr>
              <w:t>30.30</w:t>
            </w:r>
          </w:p>
        </w:tc>
        <w:tc>
          <w:tcPr>
            <w:tcW w:w="1140" w:type="dxa"/>
            <w:vAlign w:val="bottom"/>
            <w:gridSpan w:val="2"/>
            <w:shd w:val="clear" w:color="auto" w:fill="CCEEFF"/>
          </w:tcPr>
          <w:p>
            <w:pPr>
              <w:jc w:val="center"/>
              <w:ind w:left="20"/>
              <w:spacing w:after="0"/>
              <w:rPr>
                <w:sz w:val="20"/>
                <w:szCs w:val="20"/>
                <w:color w:val="auto"/>
              </w:rPr>
            </w:pPr>
            <w:r>
              <w:rPr>
                <w:rFonts w:ascii="Arial" w:cs="Arial" w:eastAsia="Arial" w:hAnsi="Arial"/>
                <w:sz w:val="12"/>
                <w:szCs w:val="12"/>
                <w:color w:val="auto"/>
                <w:w w:val="89"/>
              </w:rPr>
              <w:t>07/12/2011</w:t>
            </w: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204"/>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204"/>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1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83"/>
              <w:spacing w:after="0"/>
              <w:rPr>
                <w:sz w:val="20"/>
                <w:szCs w:val="20"/>
                <w:color w:val="auto"/>
              </w:rPr>
            </w:pPr>
            <w:r>
              <w:rPr>
                <w:rFonts w:ascii="Arial" w:cs="Arial" w:eastAsia="Arial" w:hAnsi="Arial"/>
                <w:sz w:val="12"/>
                <w:szCs w:val="12"/>
                <w:color w:val="auto"/>
              </w:rPr>
              <w:t>30,000</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82"/>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73"/>
              <w:spacing w:after="0"/>
              <w:rPr>
                <w:sz w:val="20"/>
                <w:szCs w:val="20"/>
                <w:color w:val="auto"/>
              </w:rPr>
            </w:pPr>
            <w:r>
              <w:rPr>
                <w:rFonts w:ascii="Arial" w:cs="Arial" w:eastAsia="Arial" w:hAnsi="Arial"/>
                <w:sz w:val="12"/>
                <w:szCs w:val="12"/>
                <w:color w:val="auto"/>
              </w:rPr>
              <w:t>24.01</w:t>
            </w:r>
          </w:p>
        </w:tc>
        <w:tc>
          <w:tcPr>
            <w:tcW w:w="1140" w:type="dxa"/>
            <w:vAlign w:val="bottom"/>
            <w:gridSpan w:val="2"/>
            <w:shd w:val="clear" w:color="auto" w:fill="CCEEFF"/>
          </w:tcPr>
          <w:p>
            <w:pPr>
              <w:jc w:val="center"/>
              <w:ind w:left="20"/>
              <w:spacing w:after="0"/>
              <w:rPr>
                <w:sz w:val="20"/>
                <w:szCs w:val="20"/>
                <w:color w:val="auto"/>
              </w:rPr>
            </w:pPr>
            <w:r>
              <w:rPr>
                <w:rFonts w:ascii="Arial" w:cs="Arial" w:eastAsia="Arial" w:hAnsi="Arial"/>
                <w:sz w:val="12"/>
                <w:szCs w:val="12"/>
                <w:color w:val="auto"/>
                <w:w w:val="89"/>
              </w:rPr>
              <w:t>03/01/2011</w:t>
            </w: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204"/>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204"/>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1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83"/>
              <w:spacing w:after="0"/>
              <w:rPr>
                <w:sz w:val="20"/>
                <w:szCs w:val="20"/>
                <w:color w:val="auto"/>
              </w:rPr>
            </w:pPr>
            <w:r>
              <w:rPr>
                <w:rFonts w:ascii="Arial" w:cs="Arial" w:eastAsia="Arial" w:hAnsi="Arial"/>
                <w:sz w:val="12"/>
                <w:szCs w:val="12"/>
                <w:color w:val="auto"/>
              </w:rPr>
              <w:t>50,000</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82"/>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73"/>
              <w:spacing w:after="0"/>
              <w:rPr>
                <w:sz w:val="20"/>
                <w:szCs w:val="20"/>
                <w:color w:val="auto"/>
              </w:rPr>
            </w:pPr>
            <w:r>
              <w:rPr>
                <w:rFonts w:ascii="Arial" w:cs="Arial" w:eastAsia="Arial" w:hAnsi="Arial"/>
                <w:sz w:val="12"/>
                <w:szCs w:val="12"/>
                <w:color w:val="auto"/>
              </w:rPr>
              <w:t>23.75</w:t>
            </w:r>
          </w:p>
        </w:tc>
        <w:tc>
          <w:tcPr>
            <w:tcW w:w="1140" w:type="dxa"/>
            <w:vAlign w:val="bottom"/>
            <w:gridSpan w:val="2"/>
            <w:shd w:val="clear" w:color="auto" w:fill="CCEEFF"/>
          </w:tcPr>
          <w:p>
            <w:pPr>
              <w:jc w:val="center"/>
              <w:ind w:left="20"/>
              <w:spacing w:after="0"/>
              <w:rPr>
                <w:sz w:val="20"/>
                <w:szCs w:val="20"/>
                <w:color w:val="auto"/>
              </w:rPr>
            </w:pPr>
            <w:r>
              <w:rPr>
                <w:rFonts w:ascii="Arial" w:cs="Arial" w:eastAsia="Arial" w:hAnsi="Arial"/>
                <w:sz w:val="12"/>
                <w:szCs w:val="12"/>
                <w:color w:val="auto"/>
                <w:w w:val="89"/>
              </w:rPr>
              <w:t>11/13/2010</w:t>
            </w: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204"/>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204"/>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160" w:type="dxa"/>
            <w:vAlign w:val="bottom"/>
            <w:gridSpan w:val="2"/>
          </w:tcPr>
          <w:p>
            <w:pPr>
              <w:spacing w:after="0"/>
              <w:rPr>
                <w:sz w:val="20"/>
                <w:szCs w:val="20"/>
                <w:color w:val="auto"/>
              </w:rPr>
            </w:pPr>
            <w:r>
              <w:rPr>
                <w:rFonts w:ascii="Arial" w:cs="Arial" w:eastAsia="Arial" w:hAnsi="Arial"/>
                <w:sz w:val="12"/>
                <w:szCs w:val="12"/>
                <w:color w:val="auto"/>
              </w:rPr>
              <w:t>Lawrence O’Donnell III</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ind w:right="282"/>
              <w:spacing w:after="0"/>
              <w:rPr>
                <w:sz w:val="20"/>
                <w:szCs w:val="20"/>
                <w:color w:val="auto"/>
              </w:rPr>
            </w:pPr>
            <w:r>
              <w:rPr>
                <w:rFonts w:ascii="Arial" w:cs="Arial" w:eastAsia="Arial" w:hAnsi="Arial"/>
                <w:sz w:val="12"/>
                <w:szCs w:val="12"/>
                <w:color w:val="auto"/>
              </w:rPr>
              <w:t>31,429</w:t>
            </w:r>
          </w:p>
        </w:tc>
        <w:tc>
          <w:tcPr>
            <w:tcW w:w="660" w:type="dxa"/>
            <w:vAlign w:val="bottom"/>
            <w:gridSpan w:val="2"/>
          </w:tcPr>
          <w:p>
            <w:pPr>
              <w:jc w:val="right"/>
              <w:ind w:right="73"/>
              <w:spacing w:after="0"/>
              <w:rPr>
                <w:sz w:val="20"/>
                <w:szCs w:val="20"/>
                <w:color w:val="auto"/>
              </w:rPr>
            </w:pPr>
            <w:r>
              <w:rPr>
                <w:rFonts w:ascii="Arial" w:cs="Arial" w:eastAsia="Arial" w:hAnsi="Arial"/>
                <w:sz w:val="12"/>
                <w:szCs w:val="12"/>
                <w:color w:val="auto"/>
              </w:rPr>
              <w:t>37.985</w:t>
            </w:r>
          </w:p>
        </w:tc>
        <w:tc>
          <w:tcPr>
            <w:tcW w:w="1140" w:type="dxa"/>
            <w:vAlign w:val="bottom"/>
            <w:gridSpan w:val="2"/>
          </w:tcPr>
          <w:p>
            <w:pPr>
              <w:jc w:val="center"/>
              <w:ind w:left="20"/>
              <w:spacing w:after="0"/>
              <w:rPr>
                <w:sz w:val="20"/>
                <w:szCs w:val="20"/>
                <w:color w:val="auto"/>
              </w:rPr>
            </w:pPr>
            <w:r>
              <w:rPr>
                <w:rFonts w:ascii="Arial" w:cs="Arial" w:eastAsia="Arial" w:hAnsi="Arial"/>
                <w:sz w:val="12"/>
                <w:szCs w:val="12"/>
                <w:color w:val="auto"/>
                <w:w w:val="89"/>
              </w:rPr>
              <w:t>03/06/2013</w:t>
            </w:r>
          </w:p>
        </w:tc>
        <w:tc>
          <w:tcPr>
            <w:tcW w:w="900" w:type="dxa"/>
            <w:vAlign w:val="bottom"/>
            <w:gridSpan w:val="2"/>
          </w:tcPr>
          <w:p>
            <w:pPr>
              <w:jc w:val="right"/>
              <w:ind w:right="202"/>
              <w:spacing w:after="0"/>
              <w:rPr>
                <w:sz w:val="20"/>
                <w:szCs w:val="20"/>
                <w:color w:val="auto"/>
              </w:rPr>
            </w:pPr>
            <w:r>
              <w:rPr>
                <w:rFonts w:ascii="Arial" w:cs="Arial" w:eastAsia="Arial" w:hAnsi="Arial"/>
                <w:sz w:val="12"/>
                <w:szCs w:val="12"/>
                <w:color w:val="auto"/>
              </w:rPr>
              <w:t>15,785</w:t>
            </w:r>
          </w:p>
        </w:tc>
        <w:tc>
          <w:tcPr>
            <w:tcW w:w="2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533,691</w:t>
            </w:r>
          </w:p>
        </w:tc>
        <w:tc>
          <w:tcPr>
            <w:tcW w:w="1160" w:type="dxa"/>
            <w:vAlign w:val="bottom"/>
            <w:gridSpan w:val="3"/>
          </w:tcPr>
          <w:p>
            <w:pPr>
              <w:jc w:val="right"/>
              <w:ind w:right="204"/>
              <w:spacing w:after="0"/>
              <w:rPr>
                <w:sz w:val="20"/>
                <w:szCs w:val="20"/>
                <w:color w:val="auto"/>
              </w:rPr>
            </w:pPr>
            <w:r>
              <w:rPr>
                <w:rFonts w:ascii="Arial" w:cs="Arial" w:eastAsia="Arial" w:hAnsi="Arial"/>
                <w:sz w:val="12"/>
                <w:szCs w:val="12"/>
                <w:color w:val="auto"/>
              </w:rPr>
              <w:t>134,053</w:t>
            </w:r>
          </w:p>
        </w:tc>
        <w:tc>
          <w:tcPr>
            <w:tcW w:w="3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204"/>
              <w:spacing w:after="0"/>
              <w:rPr>
                <w:sz w:val="20"/>
                <w:szCs w:val="20"/>
                <w:color w:val="auto"/>
              </w:rPr>
            </w:pPr>
            <w:r>
              <w:rPr>
                <w:rFonts w:ascii="Arial" w:cs="Arial" w:eastAsia="Arial" w:hAnsi="Arial"/>
                <w:sz w:val="12"/>
                <w:szCs w:val="12"/>
                <w:color w:val="auto"/>
                <w:w w:val="97"/>
              </w:rPr>
              <w:t>4,532,332</w:t>
            </w:r>
          </w:p>
        </w:tc>
        <w:tc>
          <w:tcPr>
            <w:tcW w:w="0" w:type="dxa"/>
            <w:vAlign w:val="bottom"/>
          </w:tcPr>
          <w:p>
            <w:pPr>
              <w:spacing w:after="0"/>
              <w:rPr>
                <w:sz w:val="1"/>
                <w:szCs w:val="1"/>
                <w:color w:val="auto"/>
              </w:rPr>
            </w:pPr>
          </w:p>
        </w:tc>
      </w:tr>
      <w:tr>
        <w:trPr>
          <w:trHeight w:val="151"/>
        </w:trPr>
        <w:tc>
          <w:tcPr>
            <w:tcW w:w="1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60" w:type="dxa"/>
            <w:vAlign w:val="bottom"/>
            <w:gridSpan w:val="2"/>
          </w:tcPr>
          <w:p>
            <w:pPr>
              <w:jc w:val="right"/>
              <w:ind w:right="183"/>
              <w:spacing w:after="0"/>
              <w:rPr>
                <w:sz w:val="20"/>
                <w:szCs w:val="20"/>
                <w:color w:val="auto"/>
              </w:rPr>
            </w:pPr>
            <w:r>
              <w:rPr>
                <w:rFonts w:ascii="Arial" w:cs="Arial" w:eastAsia="Arial" w:hAnsi="Arial"/>
                <w:sz w:val="12"/>
                <w:szCs w:val="12"/>
                <w:color w:val="auto"/>
              </w:rPr>
              <w:t>90,000</w:t>
            </w:r>
          </w:p>
        </w:tc>
        <w:tc>
          <w:tcPr>
            <w:tcW w:w="80" w:type="dxa"/>
            <w:vAlign w:val="bottom"/>
          </w:tcPr>
          <w:p>
            <w:pPr>
              <w:spacing w:after="0"/>
              <w:rPr>
                <w:sz w:val="13"/>
                <w:szCs w:val="13"/>
                <w:color w:val="auto"/>
              </w:rPr>
            </w:pPr>
          </w:p>
        </w:tc>
        <w:tc>
          <w:tcPr>
            <w:tcW w:w="1000" w:type="dxa"/>
            <w:vAlign w:val="bottom"/>
          </w:tcPr>
          <w:p>
            <w:pPr>
              <w:jc w:val="right"/>
              <w:ind w:right="282"/>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73"/>
              <w:spacing w:after="0"/>
              <w:rPr>
                <w:sz w:val="20"/>
                <w:szCs w:val="20"/>
                <w:color w:val="auto"/>
              </w:rPr>
            </w:pPr>
            <w:r>
              <w:rPr>
                <w:rFonts w:ascii="Arial" w:cs="Arial" w:eastAsia="Arial" w:hAnsi="Arial"/>
                <w:sz w:val="12"/>
                <w:szCs w:val="12"/>
                <w:color w:val="auto"/>
              </w:rPr>
              <w:t>29.24</w:t>
            </w:r>
          </w:p>
        </w:tc>
        <w:tc>
          <w:tcPr>
            <w:tcW w:w="1140" w:type="dxa"/>
            <w:vAlign w:val="bottom"/>
            <w:gridSpan w:val="2"/>
          </w:tcPr>
          <w:p>
            <w:pPr>
              <w:jc w:val="center"/>
              <w:ind w:left="20"/>
              <w:spacing w:after="0"/>
              <w:rPr>
                <w:sz w:val="20"/>
                <w:szCs w:val="20"/>
                <w:color w:val="auto"/>
              </w:rPr>
            </w:pPr>
            <w:r>
              <w:rPr>
                <w:rFonts w:ascii="Arial" w:cs="Arial" w:eastAsia="Arial" w:hAnsi="Arial"/>
                <w:sz w:val="12"/>
                <w:szCs w:val="12"/>
                <w:color w:val="auto"/>
                <w:w w:val="89"/>
              </w:rPr>
              <w:t>03/04/2014</w:t>
            </w:r>
          </w:p>
        </w:tc>
        <w:tc>
          <w:tcPr>
            <w:tcW w:w="60" w:type="dxa"/>
            <w:vAlign w:val="bottom"/>
          </w:tcPr>
          <w:p>
            <w:pPr>
              <w:spacing w:after="0"/>
              <w:rPr>
                <w:sz w:val="13"/>
                <w:szCs w:val="13"/>
                <w:color w:val="auto"/>
              </w:rPr>
            </w:pPr>
          </w:p>
        </w:tc>
        <w:tc>
          <w:tcPr>
            <w:tcW w:w="840" w:type="dxa"/>
            <w:vAlign w:val="bottom"/>
          </w:tcPr>
          <w:p>
            <w:pPr>
              <w:jc w:val="right"/>
              <w:ind w:right="202"/>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right"/>
              <w:ind w:right="204"/>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jc w:val="right"/>
              <w:ind w:right="204"/>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1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60" w:type="dxa"/>
            <w:vAlign w:val="bottom"/>
            <w:gridSpan w:val="2"/>
          </w:tcPr>
          <w:p>
            <w:pPr>
              <w:jc w:val="right"/>
              <w:ind w:right="183"/>
              <w:spacing w:after="0"/>
              <w:rPr>
                <w:sz w:val="20"/>
                <w:szCs w:val="20"/>
                <w:color w:val="auto"/>
              </w:rPr>
            </w:pPr>
            <w:r>
              <w:rPr>
                <w:rFonts w:ascii="Arial" w:cs="Arial" w:eastAsia="Arial" w:hAnsi="Arial"/>
                <w:sz w:val="12"/>
                <w:szCs w:val="12"/>
                <w:color w:val="auto"/>
              </w:rPr>
              <w:t>79,466</w:t>
            </w:r>
          </w:p>
        </w:tc>
        <w:tc>
          <w:tcPr>
            <w:tcW w:w="80" w:type="dxa"/>
            <w:vAlign w:val="bottom"/>
          </w:tcPr>
          <w:p>
            <w:pPr>
              <w:spacing w:after="0"/>
              <w:rPr>
                <w:sz w:val="13"/>
                <w:szCs w:val="13"/>
                <w:color w:val="auto"/>
              </w:rPr>
            </w:pPr>
          </w:p>
        </w:tc>
        <w:tc>
          <w:tcPr>
            <w:tcW w:w="1000" w:type="dxa"/>
            <w:vAlign w:val="bottom"/>
          </w:tcPr>
          <w:p>
            <w:pPr>
              <w:jc w:val="right"/>
              <w:ind w:right="282"/>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73"/>
              <w:spacing w:after="0"/>
              <w:rPr>
                <w:sz w:val="20"/>
                <w:szCs w:val="20"/>
                <w:color w:val="auto"/>
              </w:rPr>
            </w:pPr>
            <w:r>
              <w:rPr>
                <w:rFonts w:ascii="Arial" w:cs="Arial" w:eastAsia="Arial" w:hAnsi="Arial"/>
                <w:sz w:val="12"/>
                <w:szCs w:val="12"/>
                <w:color w:val="auto"/>
              </w:rPr>
              <w:t>19.61</w:t>
            </w:r>
          </w:p>
        </w:tc>
        <w:tc>
          <w:tcPr>
            <w:tcW w:w="1140" w:type="dxa"/>
            <w:vAlign w:val="bottom"/>
            <w:gridSpan w:val="2"/>
          </w:tcPr>
          <w:p>
            <w:pPr>
              <w:jc w:val="center"/>
              <w:ind w:left="20"/>
              <w:spacing w:after="0"/>
              <w:rPr>
                <w:sz w:val="20"/>
                <w:szCs w:val="20"/>
                <w:color w:val="auto"/>
              </w:rPr>
            </w:pPr>
            <w:r>
              <w:rPr>
                <w:rFonts w:ascii="Arial" w:cs="Arial" w:eastAsia="Arial" w:hAnsi="Arial"/>
                <w:sz w:val="12"/>
                <w:szCs w:val="12"/>
                <w:color w:val="auto"/>
                <w:w w:val="89"/>
              </w:rPr>
              <w:t>03/06/2013</w:t>
            </w:r>
          </w:p>
        </w:tc>
        <w:tc>
          <w:tcPr>
            <w:tcW w:w="60" w:type="dxa"/>
            <w:vAlign w:val="bottom"/>
          </w:tcPr>
          <w:p>
            <w:pPr>
              <w:spacing w:after="0"/>
              <w:rPr>
                <w:sz w:val="13"/>
                <w:szCs w:val="13"/>
                <w:color w:val="auto"/>
              </w:rPr>
            </w:pPr>
          </w:p>
        </w:tc>
        <w:tc>
          <w:tcPr>
            <w:tcW w:w="840" w:type="dxa"/>
            <w:vAlign w:val="bottom"/>
          </w:tcPr>
          <w:p>
            <w:pPr>
              <w:jc w:val="right"/>
              <w:ind w:right="202"/>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right"/>
              <w:ind w:right="204"/>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jc w:val="right"/>
              <w:ind w:right="204"/>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1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60" w:type="dxa"/>
            <w:vAlign w:val="bottom"/>
            <w:gridSpan w:val="2"/>
          </w:tcPr>
          <w:p>
            <w:pPr>
              <w:jc w:val="right"/>
              <w:ind w:right="183"/>
              <w:spacing w:after="0"/>
              <w:rPr>
                <w:sz w:val="20"/>
                <w:szCs w:val="20"/>
                <w:color w:val="auto"/>
              </w:rPr>
            </w:pPr>
            <w:r>
              <w:rPr>
                <w:rFonts w:ascii="Arial" w:cs="Arial" w:eastAsia="Arial" w:hAnsi="Arial"/>
                <w:sz w:val="12"/>
                <w:szCs w:val="12"/>
                <w:color w:val="auto"/>
              </w:rPr>
              <w:t>150,000</w:t>
            </w:r>
          </w:p>
        </w:tc>
        <w:tc>
          <w:tcPr>
            <w:tcW w:w="80" w:type="dxa"/>
            <w:vAlign w:val="bottom"/>
          </w:tcPr>
          <w:p>
            <w:pPr>
              <w:spacing w:after="0"/>
              <w:rPr>
                <w:sz w:val="13"/>
                <w:szCs w:val="13"/>
                <w:color w:val="auto"/>
              </w:rPr>
            </w:pPr>
          </w:p>
        </w:tc>
        <w:tc>
          <w:tcPr>
            <w:tcW w:w="1000" w:type="dxa"/>
            <w:vAlign w:val="bottom"/>
          </w:tcPr>
          <w:p>
            <w:pPr>
              <w:jc w:val="right"/>
              <w:ind w:right="282"/>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73"/>
              <w:spacing w:after="0"/>
              <w:rPr>
                <w:sz w:val="20"/>
                <w:szCs w:val="20"/>
                <w:color w:val="auto"/>
              </w:rPr>
            </w:pPr>
            <w:r>
              <w:rPr>
                <w:rFonts w:ascii="Arial" w:cs="Arial" w:eastAsia="Arial" w:hAnsi="Arial"/>
                <w:sz w:val="12"/>
                <w:szCs w:val="12"/>
                <w:color w:val="auto"/>
              </w:rPr>
              <w:t>27.88</w:t>
            </w:r>
          </w:p>
        </w:tc>
        <w:tc>
          <w:tcPr>
            <w:tcW w:w="1140" w:type="dxa"/>
            <w:vAlign w:val="bottom"/>
            <w:gridSpan w:val="2"/>
          </w:tcPr>
          <w:p>
            <w:pPr>
              <w:jc w:val="center"/>
              <w:ind w:left="20"/>
              <w:spacing w:after="0"/>
              <w:rPr>
                <w:sz w:val="20"/>
                <w:szCs w:val="20"/>
                <w:color w:val="auto"/>
              </w:rPr>
            </w:pPr>
            <w:r>
              <w:rPr>
                <w:rFonts w:ascii="Arial" w:cs="Arial" w:eastAsia="Arial" w:hAnsi="Arial"/>
                <w:sz w:val="12"/>
                <w:szCs w:val="12"/>
                <w:color w:val="auto"/>
                <w:w w:val="89"/>
              </w:rPr>
              <w:t>03/07/2012</w:t>
            </w:r>
          </w:p>
        </w:tc>
        <w:tc>
          <w:tcPr>
            <w:tcW w:w="60" w:type="dxa"/>
            <w:vAlign w:val="bottom"/>
          </w:tcPr>
          <w:p>
            <w:pPr>
              <w:spacing w:after="0"/>
              <w:rPr>
                <w:sz w:val="13"/>
                <w:szCs w:val="13"/>
                <w:color w:val="auto"/>
              </w:rPr>
            </w:pPr>
          </w:p>
        </w:tc>
        <w:tc>
          <w:tcPr>
            <w:tcW w:w="840" w:type="dxa"/>
            <w:vAlign w:val="bottom"/>
          </w:tcPr>
          <w:p>
            <w:pPr>
              <w:jc w:val="right"/>
              <w:ind w:right="202"/>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right"/>
              <w:ind w:right="204"/>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jc w:val="right"/>
              <w:ind w:right="204"/>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60" w:type="dxa"/>
            <w:vAlign w:val="bottom"/>
            <w:gridSpan w:val="2"/>
          </w:tcPr>
          <w:p>
            <w:pPr>
              <w:jc w:val="right"/>
              <w:ind w:right="183"/>
              <w:spacing w:after="0"/>
              <w:rPr>
                <w:sz w:val="20"/>
                <w:szCs w:val="20"/>
                <w:color w:val="auto"/>
              </w:rPr>
            </w:pPr>
            <w:r>
              <w:rPr>
                <w:rFonts w:ascii="Arial" w:cs="Arial" w:eastAsia="Arial" w:hAnsi="Arial"/>
                <w:sz w:val="12"/>
                <w:szCs w:val="12"/>
                <w:color w:val="auto"/>
              </w:rPr>
              <w:t>175,000</w:t>
            </w:r>
          </w:p>
        </w:tc>
        <w:tc>
          <w:tcPr>
            <w:tcW w:w="80" w:type="dxa"/>
            <w:vAlign w:val="bottom"/>
          </w:tcPr>
          <w:p>
            <w:pPr>
              <w:spacing w:after="0"/>
              <w:rPr>
                <w:sz w:val="13"/>
                <w:szCs w:val="13"/>
                <w:color w:val="auto"/>
              </w:rPr>
            </w:pPr>
          </w:p>
        </w:tc>
        <w:tc>
          <w:tcPr>
            <w:tcW w:w="1000" w:type="dxa"/>
            <w:vAlign w:val="bottom"/>
          </w:tcPr>
          <w:p>
            <w:pPr>
              <w:jc w:val="right"/>
              <w:ind w:right="282"/>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73"/>
              <w:spacing w:after="0"/>
              <w:rPr>
                <w:sz w:val="20"/>
                <w:szCs w:val="20"/>
                <w:color w:val="auto"/>
              </w:rPr>
            </w:pPr>
            <w:r>
              <w:rPr>
                <w:rFonts w:ascii="Arial" w:cs="Arial" w:eastAsia="Arial" w:hAnsi="Arial"/>
                <w:sz w:val="12"/>
                <w:szCs w:val="12"/>
                <w:color w:val="auto"/>
              </w:rPr>
              <w:t>24.01</w:t>
            </w:r>
          </w:p>
        </w:tc>
        <w:tc>
          <w:tcPr>
            <w:tcW w:w="1140" w:type="dxa"/>
            <w:vAlign w:val="bottom"/>
            <w:gridSpan w:val="2"/>
          </w:tcPr>
          <w:p>
            <w:pPr>
              <w:jc w:val="center"/>
              <w:ind w:left="20"/>
              <w:spacing w:after="0"/>
              <w:rPr>
                <w:sz w:val="20"/>
                <w:szCs w:val="20"/>
                <w:color w:val="auto"/>
              </w:rPr>
            </w:pPr>
            <w:r>
              <w:rPr>
                <w:rFonts w:ascii="Arial" w:cs="Arial" w:eastAsia="Arial" w:hAnsi="Arial"/>
                <w:sz w:val="12"/>
                <w:szCs w:val="12"/>
                <w:color w:val="auto"/>
                <w:w w:val="89"/>
              </w:rPr>
              <w:t>03/01/2011</w:t>
            </w:r>
          </w:p>
        </w:tc>
        <w:tc>
          <w:tcPr>
            <w:tcW w:w="60" w:type="dxa"/>
            <w:vAlign w:val="bottom"/>
          </w:tcPr>
          <w:p>
            <w:pPr>
              <w:spacing w:after="0"/>
              <w:rPr>
                <w:sz w:val="13"/>
                <w:szCs w:val="13"/>
                <w:color w:val="auto"/>
              </w:rPr>
            </w:pPr>
          </w:p>
        </w:tc>
        <w:tc>
          <w:tcPr>
            <w:tcW w:w="840" w:type="dxa"/>
            <w:vAlign w:val="bottom"/>
          </w:tcPr>
          <w:p>
            <w:pPr>
              <w:jc w:val="right"/>
              <w:ind w:right="202"/>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right"/>
              <w:ind w:right="204"/>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jc w:val="right"/>
              <w:ind w:right="204"/>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21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Robert G. Simpson</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82"/>
              <w:spacing w:after="0"/>
              <w:rPr>
                <w:sz w:val="20"/>
                <w:szCs w:val="20"/>
                <w:color w:val="auto"/>
              </w:rPr>
            </w:pPr>
            <w:r>
              <w:rPr>
                <w:rFonts w:ascii="Arial" w:cs="Arial" w:eastAsia="Arial" w:hAnsi="Arial"/>
                <w:sz w:val="12"/>
                <w:szCs w:val="12"/>
                <w:color w:val="auto"/>
              </w:rPr>
              <w:t>12,892</w:t>
            </w:r>
          </w:p>
        </w:tc>
        <w:tc>
          <w:tcPr>
            <w:tcW w:w="660" w:type="dxa"/>
            <w:vAlign w:val="bottom"/>
            <w:gridSpan w:val="2"/>
            <w:shd w:val="clear" w:color="auto" w:fill="CCEEFF"/>
          </w:tcPr>
          <w:p>
            <w:pPr>
              <w:jc w:val="right"/>
              <w:ind w:right="73"/>
              <w:spacing w:after="0"/>
              <w:rPr>
                <w:sz w:val="20"/>
                <w:szCs w:val="20"/>
                <w:color w:val="auto"/>
              </w:rPr>
            </w:pPr>
            <w:r>
              <w:rPr>
                <w:rFonts w:ascii="Arial" w:cs="Arial" w:eastAsia="Arial" w:hAnsi="Arial"/>
                <w:sz w:val="12"/>
                <w:szCs w:val="12"/>
                <w:color w:val="auto"/>
              </w:rPr>
              <w:t>37.095</w:t>
            </w:r>
          </w:p>
        </w:tc>
        <w:tc>
          <w:tcPr>
            <w:tcW w:w="1140" w:type="dxa"/>
            <w:vAlign w:val="bottom"/>
            <w:gridSpan w:val="2"/>
            <w:shd w:val="clear" w:color="auto" w:fill="CCEEFF"/>
          </w:tcPr>
          <w:p>
            <w:pPr>
              <w:jc w:val="center"/>
              <w:ind w:left="20"/>
              <w:spacing w:after="0"/>
              <w:rPr>
                <w:sz w:val="20"/>
                <w:szCs w:val="20"/>
                <w:color w:val="auto"/>
              </w:rPr>
            </w:pPr>
            <w:r>
              <w:rPr>
                <w:rFonts w:ascii="Arial" w:cs="Arial" w:eastAsia="Arial" w:hAnsi="Arial"/>
                <w:sz w:val="12"/>
                <w:szCs w:val="12"/>
                <w:color w:val="auto"/>
                <w:w w:val="89"/>
              </w:rPr>
              <w:t>03/06/2013</w:t>
            </w:r>
          </w:p>
        </w:tc>
        <w:tc>
          <w:tcPr>
            <w:tcW w:w="900" w:type="dxa"/>
            <w:vAlign w:val="bottom"/>
            <w:gridSpan w:val="2"/>
            <w:shd w:val="clear" w:color="auto" w:fill="CCEEFF"/>
          </w:tcPr>
          <w:p>
            <w:pPr>
              <w:jc w:val="right"/>
              <w:ind w:right="202"/>
              <w:spacing w:after="0"/>
              <w:rPr>
                <w:sz w:val="20"/>
                <w:szCs w:val="20"/>
                <w:color w:val="auto"/>
              </w:rPr>
            </w:pPr>
            <w:r>
              <w:rPr>
                <w:rFonts w:ascii="Arial" w:cs="Arial" w:eastAsia="Arial" w:hAnsi="Arial"/>
                <w:sz w:val="12"/>
                <w:szCs w:val="12"/>
                <w:color w:val="auto"/>
              </w:rPr>
              <w:t>12,403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419,345</w:t>
            </w:r>
          </w:p>
        </w:tc>
        <w:tc>
          <w:tcPr>
            <w:tcW w:w="1160" w:type="dxa"/>
            <w:vAlign w:val="bottom"/>
            <w:gridSpan w:val="3"/>
            <w:shd w:val="clear" w:color="auto" w:fill="CCEEFF"/>
          </w:tcPr>
          <w:p>
            <w:pPr>
              <w:jc w:val="right"/>
              <w:ind w:right="204"/>
              <w:spacing w:after="0"/>
              <w:rPr>
                <w:sz w:val="20"/>
                <w:szCs w:val="20"/>
                <w:color w:val="auto"/>
              </w:rPr>
            </w:pPr>
            <w:r>
              <w:rPr>
                <w:rFonts w:ascii="Arial" w:cs="Arial" w:eastAsia="Arial" w:hAnsi="Arial"/>
                <w:sz w:val="12"/>
                <w:szCs w:val="12"/>
                <w:color w:val="auto"/>
              </w:rPr>
              <w:t>96,963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204"/>
              <w:spacing w:after="0"/>
              <w:rPr>
                <w:sz w:val="20"/>
                <w:szCs w:val="20"/>
                <w:color w:val="auto"/>
              </w:rPr>
            </w:pPr>
            <w:r>
              <w:rPr>
                <w:rFonts w:ascii="Arial" w:cs="Arial" w:eastAsia="Arial" w:hAnsi="Arial"/>
                <w:sz w:val="12"/>
                <w:szCs w:val="12"/>
                <w:color w:val="auto"/>
                <w:w w:val="97"/>
              </w:rPr>
              <w:t>3,278,319</w:t>
            </w:r>
          </w:p>
        </w:tc>
        <w:tc>
          <w:tcPr>
            <w:tcW w:w="0" w:type="dxa"/>
            <w:vAlign w:val="bottom"/>
          </w:tcPr>
          <w:p>
            <w:pPr>
              <w:spacing w:after="0"/>
              <w:rPr>
                <w:sz w:val="1"/>
                <w:szCs w:val="1"/>
                <w:color w:val="auto"/>
              </w:rPr>
            </w:pPr>
          </w:p>
        </w:tc>
      </w:tr>
      <w:tr>
        <w:trPr>
          <w:trHeight w:val="151"/>
        </w:trPr>
        <w:tc>
          <w:tcPr>
            <w:tcW w:w="1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83"/>
              <w:spacing w:after="0"/>
              <w:rPr>
                <w:sz w:val="20"/>
                <w:szCs w:val="20"/>
                <w:color w:val="auto"/>
              </w:rPr>
            </w:pPr>
            <w:r>
              <w:rPr>
                <w:rFonts w:ascii="Arial" w:cs="Arial" w:eastAsia="Arial" w:hAnsi="Arial"/>
                <w:sz w:val="12"/>
                <w:szCs w:val="12"/>
                <w:color w:val="auto"/>
              </w:rPr>
              <w:t>33,000</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82"/>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73"/>
              <w:spacing w:after="0"/>
              <w:rPr>
                <w:sz w:val="20"/>
                <w:szCs w:val="20"/>
                <w:color w:val="auto"/>
              </w:rPr>
            </w:pPr>
            <w:r>
              <w:rPr>
                <w:rFonts w:ascii="Arial" w:cs="Arial" w:eastAsia="Arial" w:hAnsi="Arial"/>
                <w:sz w:val="12"/>
                <w:szCs w:val="12"/>
                <w:color w:val="auto"/>
              </w:rPr>
              <w:t>27.60</w:t>
            </w:r>
          </w:p>
        </w:tc>
        <w:tc>
          <w:tcPr>
            <w:tcW w:w="1140" w:type="dxa"/>
            <w:vAlign w:val="bottom"/>
            <w:gridSpan w:val="2"/>
            <w:shd w:val="clear" w:color="auto" w:fill="CCEEFF"/>
          </w:tcPr>
          <w:p>
            <w:pPr>
              <w:jc w:val="center"/>
              <w:ind w:left="20"/>
              <w:spacing w:after="0"/>
              <w:rPr>
                <w:sz w:val="20"/>
                <w:szCs w:val="20"/>
                <w:color w:val="auto"/>
              </w:rPr>
            </w:pPr>
            <w:r>
              <w:rPr>
                <w:rFonts w:ascii="Arial" w:cs="Arial" w:eastAsia="Arial" w:hAnsi="Arial"/>
                <w:sz w:val="12"/>
                <w:szCs w:val="12"/>
                <w:color w:val="auto"/>
                <w:w w:val="89"/>
              </w:rPr>
              <w:t>05/13/2014</w:t>
            </w: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204"/>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204"/>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1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83"/>
              <w:spacing w:after="0"/>
              <w:rPr>
                <w:sz w:val="20"/>
                <w:szCs w:val="20"/>
                <w:color w:val="auto"/>
              </w:rPr>
            </w:pPr>
            <w:r>
              <w:rPr>
                <w:rFonts w:ascii="Arial" w:cs="Arial" w:eastAsia="Arial" w:hAnsi="Arial"/>
                <w:sz w:val="12"/>
                <w:szCs w:val="12"/>
                <w:color w:val="auto"/>
              </w:rPr>
              <w:t>42,000</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82"/>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73"/>
              <w:spacing w:after="0"/>
              <w:rPr>
                <w:sz w:val="20"/>
                <w:szCs w:val="20"/>
                <w:color w:val="auto"/>
              </w:rPr>
            </w:pPr>
            <w:r>
              <w:rPr>
                <w:rFonts w:ascii="Arial" w:cs="Arial" w:eastAsia="Arial" w:hAnsi="Arial"/>
                <w:sz w:val="12"/>
                <w:szCs w:val="12"/>
                <w:color w:val="auto"/>
              </w:rPr>
              <w:t>29.24</w:t>
            </w:r>
          </w:p>
        </w:tc>
        <w:tc>
          <w:tcPr>
            <w:tcW w:w="1140" w:type="dxa"/>
            <w:vAlign w:val="bottom"/>
            <w:gridSpan w:val="2"/>
            <w:shd w:val="clear" w:color="auto" w:fill="CCEEFF"/>
          </w:tcPr>
          <w:p>
            <w:pPr>
              <w:jc w:val="center"/>
              <w:ind w:left="20"/>
              <w:spacing w:after="0"/>
              <w:rPr>
                <w:sz w:val="20"/>
                <w:szCs w:val="20"/>
                <w:color w:val="auto"/>
              </w:rPr>
            </w:pPr>
            <w:r>
              <w:rPr>
                <w:rFonts w:ascii="Arial" w:cs="Arial" w:eastAsia="Arial" w:hAnsi="Arial"/>
                <w:sz w:val="12"/>
                <w:szCs w:val="12"/>
                <w:color w:val="auto"/>
                <w:w w:val="89"/>
              </w:rPr>
              <w:t>03/04/2014</w:t>
            </w: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204"/>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204"/>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1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83"/>
              <w:spacing w:after="0"/>
              <w:rPr>
                <w:sz w:val="20"/>
                <w:szCs w:val="20"/>
                <w:color w:val="auto"/>
              </w:rPr>
            </w:pPr>
            <w:r>
              <w:rPr>
                <w:rFonts w:ascii="Arial" w:cs="Arial" w:eastAsia="Arial" w:hAnsi="Arial"/>
                <w:sz w:val="12"/>
                <w:szCs w:val="12"/>
                <w:color w:val="auto"/>
              </w:rPr>
              <w:t>65,000</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82"/>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73"/>
              <w:spacing w:after="0"/>
              <w:rPr>
                <w:sz w:val="20"/>
                <w:szCs w:val="20"/>
                <w:color w:val="auto"/>
              </w:rPr>
            </w:pPr>
            <w:r>
              <w:rPr>
                <w:rFonts w:ascii="Arial" w:cs="Arial" w:eastAsia="Arial" w:hAnsi="Arial"/>
                <w:sz w:val="12"/>
                <w:szCs w:val="12"/>
                <w:color w:val="auto"/>
              </w:rPr>
              <w:t>21.08</w:t>
            </w:r>
          </w:p>
        </w:tc>
        <w:tc>
          <w:tcPr>
            <w:tcW w:w="1140" w:type="dxa"/>
            <w:vAlign w:val="bottom"/>
            <w:gridSpan w:val="2"/>
            <w:shd w:val="clear" w:color="auto" w:fill="CCEEFF"/>
          </w:tcPr>
          <w:p>
            <w:pPr>
              <w:jc w:val="center"/>
              <w:ind w:left="20"/>
              <w:spacing w:after="0"/>
              <w:rPr>
                <w:sz w:val="20"/>
                <w:szCs w:val="20"/>
                <w:color w:val="auto"/>
              </w:rPr>
            </w:pPr>
            <w:r>
              <w:rPr>
                <w:rFonts w:ascii="Arial" w:cs="Arial" w:eastAsia="Arial" w:hAnsi="Arial"/>
                <w:sz w:val="12"/>
                <w:szCs w:val="12"/>
                <w:color w:val="auto"/>
                <w:w w:val="89"/>
              </w:rPr>
              <w:t>04/03/2013</w:t>
            </w: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204"/>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204"/>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1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83"/>
              <w:spacing w:after="0"/>
              <w:rPr>
                <w:sz w:val="20"/>
                <w:szCs w:val="20"/>
                <w:color w:val="auto"/>
              </w:rPr>
            </w:pPr>
            <w:r>
              <w:rPr>
                <w:rFonts w:ascii="Arial" w:cs="Arial" w:eastAsia="Arial" w:hAnsi="Arial"/>
                <w:sz w:val="12"/>
                <w:szCs w:val="12"/>
                <w:color w:val="auto"/>
              </w:rPr>
              <w:t>13,768</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82"/>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73"/>
              <w:spacing w:after="0"/>
              <w:rPr>
                <w:sz w:val="20"/>
                <w:szCs w:val="20"/>
                <w:color w:val="auto"/>
              </w:rPr>
            </w:pPr>
            <w:r>
              <w:rPr>
                <w:rFonts w:ascii="Arial" w:cs="Arial" w:eastAsia="Arial" w:hAnsi="Arial"/>
                <w:sz w:val="12"/>
                <w:szCs w:val="12"/>
                <w:color w:val="auto"/>
              </w:rPr>
              <w:t>19.61</w:t>
            </w:r>
          </w:p>
        </w:tc>
        <w:tc>
          <w:tcPr>
            <w:tcW w:w="1140" w:type="dxa"/>
            <w:vAlign w:val="bottom"/>
            <w:gridSpan w:val="2"/>
            <w:shd w:val="clear" w:color="auto" w:fill="CCEEFF"/>
          </w:tcPr>
          <w:p>
            <w:pPr>
              <w:jc w:val="center"/>
              <w:ind w:left="20"/>
              <w:spacing w:after="0"/>
              <w:rPr>
                <w:sz w:val="20"/>
                <w:szCs w:val="20"/>
                <w:color w:val="auto"/>
              </w:rPr>
            </w:pPr>
            <w:r>
              <w:rPr>
                <w:rFonts w:ascii="Arial" w:cs="Arial" w:eastAsia="Arial" w:hAnsi="Arial"/>
                <w:sz w:val="12"/>
                <w:szCs w:val="12"/>
                <w:color w:val="auto"/>
                <w:w w:val="89"/>
              </w:rPr>
              <w:t>03/06/2013</w:t>
            </w: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204"/>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204"/>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1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83"/>
              <w:spacing w:after="0"/>
              <w:rPr>
                <w:sz w:val="20"/>
                <w:szCs w:val="20"/>
                <w:color w:val="auto"/>
              </w:rPr>
            </w:pPr>
            <w:r>
              <w:rPr>
                <w:rFonts w:ascii="Arial" w:cs="Arial" w:eastAsia="Arial" w:hAnsi="Arial"/>
                <w:sz w:val="12"/>
                <w:szCs w:val="12"/>
                <w:color w:val="auto"/>
              </w:rPr>
              <w:t>33,000</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82"/>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73"/>
              <w:spacing w:after="0"/>
              <w:rPr>
                <w:sz w:val="20"/>
                <w:szCs w:val="20"/>
                <w:color w:val="auto"/>
              </w:rPr>
            </w:pPr>
            <w:r>
              <w:rPr>
                <w:rFonts w:ascii="Arial" w:cs="Arial" w:eastAsia="Arial" w:hAnsi="Arial"/>
                <w:sz w:val="12"/>
                <w:szCs w:val="12"/>
                <w:color w:val="auto"/>
              </w:rPr>
              <w:t>27.88</w:t>
            </w:r>
          </w:p>
        </w:tc>
        <w:tc>
          <w:tcPr>
            <w:tcW w:w="1140" w:type="dxa"/>
            <w:vAlign w:val="bottom"/>
            <w:gridSpan w:val="2"/>
            <w:shd w:val="clear" w:color="auto" w:fill="CCEEFF"/>
          </w:tcPr>
          <w:p>
            <w:pPr>
              <w:jc w:val="center"/>
              <w:ind w:left="20"/>
              <w:spacing w:after="0"/>
              <w:rPr>
                <w:sz w:val="20"/>
                <w:szCs w:val="20"/>
                <w:color w:val="auto"/>
              </w:rPr>
            </w:pPr>
            <w:r>
              <w:rPr>
                <w:rFonts w:ascii="Arial" w:cs="Arial" w:eastAsia="Arial" w:hAnsi="Arial"/>
                <w:sz w:val="12"/>
                <w:szCs w:val="12"/>
                <w:color w:val="auto"/>
                <w:w w:val="89"/>
              </w:rPr>
              <w:t>03/07/2012</w:t>
            </w: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204"/>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204"/>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1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83"/>
              <w:spacing w:after="0"/>
              <w:rPr>
                <w:sz w:val="20"/>
                <w:szCs w:val="20"/>
                <w:color w:val="auto"/>
              </w:rPr>
            </w:pPr>
            <w:r>
              <w:rPr>
                <w:rFonts w:ascii="Arial" w:cs="Arial" w:eastAsia="Arial" w:hAnsi="Arial"/>
                <w:sz w:val="12"/>
                <w:szCs w:val="12"/>
                <w:color w:val="auto"/>
              </w:rPr>
              <w:t>35,000</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82"/>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73"/>
              <w:spacing w:after="0"/>
              <w:rPr>
                <w:sz w:val="20"/>
                <w:szCs w:val="20"/>
                <w:color w:val="auto"/>
              </w:rPr>
            </w:pPr>
            <w:r>
              <w:rPr>
                <w:rFonts w:ascii="Arial" w:cs="Arial" w:eastAsia="Arial" w:hAnsi="Arial"/>
                <w:sz w:val="12"/>
                <w:szCs w:val="12"/>
                <w:color w:val="auto"/>
              </w:rPr>
              <w:t>24.01</w:t>
            </w:r>
          </w:p>
        </w:tc>
        <w:tc>
          <w:tcPr>
            <w:tcW w:w="1140" w:type="dxa"/>
            <w:vAlign w:val="bottom"/>
            <w:gridSpan w:val="2"/>
            <w:shd w:val="clear" w:color="auto" w:fill="CCEEFF"/>
          </w:tcPr>
          <w:p>
            <w:pPr>
              <w:jc w:val="center"/>
              <w:ind w:left="20"/>
              <w:spacing w:after="0"/>
              <w:rPr>
                <w:sz w:val="20"/>
                <w:szCs w:val="20"/>
                <w:color w:val="auto"/>
              </w:rPr>
            </w:pPr>
            <w:r>
              <w:rPr>
                <w:rFonts w:ascii="Arial" w:cs="Arial" w:eastAsia="Arial" w:hAnsi="Arial"/>
                <w:sz w:val="12"/>
                <w:szCs w:val="12"/>
                <w:color w:val="auto"/>
                <w:w w:val="89"/>
              </w:rPr>
              <w:t>03/01/2011</w:t>
            </w: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204"/>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204"/>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160" w:type="dxa"/>
            <w:vAlign w:val="bottom"/>
            <w:gridSpan w:val="2"/>
          </w:tcPr>
          <w:p>
            <w:pPr>
              <w:spacing w:after="0"/>
              <w:rPr>
                <w:sz w:val="20"/>
                <w:szCs w:val="20"/>
                <w:color w:val="auto"/>
              </w:rPr>
            </w:pPr>
            <w:r>
              <w:rPr>
                <w:rFonts w:ascii="Arial" w:cs="Arial" w:eastAsia="Arial" w:hAnsi="Arial"/>
                <w:sz w:val="12"/>
                <w:szCs w:val="12"/>
                <w:color w:val="auto"/>
              </w:rPr>
              <w:t>James E. Trevathan</w:t>
            </w:r>
          </w:p>
        </w:tc>
        <w:tc>
          <w:tcPr>
            <w:tcW w:w="80" w:type="dxa"/>
            <w:vAlign w:val="bottom"/>
          </w:tcPr>
          <w:p>
            <w:pPr>
              <w:spacing w:after="0"/>
              <w:rPr>
                <w:sz w:val="12"/>
                <w:szCs w:val="12"/>
                <w:color w:val="auto"/>
              </w:rPr>
            </w:pPr>
          </w:p>
        </w:tc>
        <w:tc>
          <w:tcPr>
            <w:tcW w:w="880" w:type="dxa"/>
            <w:vAlign w:val="bottom"/>
          </w:tcPr>
          <w:p>
            <w:pPr>
              <w:jc w:val="right"/>
              <w:ind w:right="183"/>
              <w:spacing w:after="0"/>
              <w:rPr>
                <w:sz w:val="20"/>
                <w:szCs w:val="20"/>
                <w:color w:val="auto"/>
              </w:rPr>
            </w:pPr>
            <w:r>
              <w:rPr>
                <w:rFonts w:ascii="Arial" w:cs="Arial" w:eastAsia="Arial" w:hAnsi="Arial"/>
                <w:sz w:val="12"/>
                <w:szCs w:val="12"/>
                <w:color w:val="auto"/>
              </w:rPr>
              <w:t>20,000</w:t>
            </w:r>
          </w:p>
        </w:tc>
        <w:tc>
          <w:tcPr>
            <w:tcW w:w="80" w:type="dxa"/>
            <w:vAlign w:val="bottom"/>
          </w:tcPr>
          <w:p>
            <w:pPr>
              <w:spacing w:after="0"/>
              <w:rPr>
                <w:sz w:val="12"/>
                <w:szCs w:val="12"/>
                <w:color w:val="auto"/>
              </w:rPr>
            </w:pPr>
          </w:p>
        </w:tc>
        <w:tc>
          <w:tcPr>
            <w:tcW w:w="1000" w:type="dxa"/>
            <w:vAlign w:val="bottom"/>
          </w:tcPr>
          <w:p>
            <w:pPr>
              <w:jc w:val="right"/>
              <w:ind w:right="282"/>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73"/>
              <w:spacing w:after="0"/>
              <w:rPr>
                <w:sz w:val="20"/>
                <w:szCs w:val="20"/>
                <w:color w:val="auto"/>
              </w:rPr>
            </w:pPr>
            <w:r>
              <w:rPr>
                <w:rFonts w:ascii="Arial" w:cs="Arial" w:eastAsia="Arial" w:hAnsi="Arial"/>
                <w:sz w:val="12"/>
                <w:szCs w:val="12"/>
                <w:color w:val="auto"/>
              </w:rPr>
              <w:t>29.23</w:t>
            </w:r>
          </w:p>
        </w:tc>
        <w:tc>
          <w:tcPr>
            <w:tcW w:w="1140" w:type="dxa"/>
            <w:vAlign w:val="bottom"/>
            <w:gridSpan w:val="2"/>
          </w:tcPr>
          <w:p>
            <w:pPr>
              <w:jc w:val="center"/>
              <w:ind w:left="20"/>
              <w:spacing w:after="0"/>
              <w:rPr>
                <w:sz w:val="20"/>
                <w:szCs w:val="20"/>
                <w:color w:val="auto"/>
              </w:rPr>
            </w:pPr>
            <w:r>
              <w:rPr>
                <w:rFonts w:ascii="Arial" w:cs="Arial" w:eastAsia="Arial" w:hAnsi="Arial"/>
                <w:sz w:val="12"/>
                <w:szCs w:val="12"/>
                <w:color w:val="auto"/>
                <w:w w:val="89"/>
              </w:rPr>
              <w:t>07/19/2014</w:t>
            </w:r>
          </w:p>
        </w:tc>
        <w:tc>
          <w:tcPr>
            <w:tcW w:w="900" w:type="dxa"/>
            <w:vAlign w:val="bottom"/>
            <w:gridSpan w:val="2"/>
          </w:tcPr>
          <w:p>
            <w:pPr>
              <w:jc w:val="right"/>
              <w:ind w:right="202"/>
              <w:spacing w:after="0"/>
              <w:rPr>
                <w:sz w:val="20"/>
                <w:szCs w:val="20"/>
                <w:color w:val="auto"/>
              </w:rPr>
            </w:pPr>
            <w:r>
              <w:rPr>
                <w:rFonts w:ascii="Arial" w:cs="Arial" w:eastAsia="Arial" w:hAnsi="Arial"/>
                <w:sz w:val="12"/>
                <w:szCs w:val="12"/>
                <w:color w:val="auto"/>
              </w:rPr>
              <w:t>7,330</w:t>
            </w:r>
          </w:p>
        </w:tc>
        <w:tc>
          <w:tcPr>
            <w:tcW w:w="2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247,827</w:t>
            </w:r>
          </w:p>
        </w:tc>
        <w:tc>
          <w:tcPr>
            <w:tcW w:w="1160" w:type="dxa"/>
            <w:vAlign w:val="bottom"/>
            <w:gridSpan w:val="3"/>
          </w:tcPr>
          <w:p>
            <w:pPr>
              <w:jc w:val="right"/>
              <w:ind w:right="204"/>
              <w:spacing w:after="0"/>
              <w:rPr>
                <w:sz w:val="20"/>
                <w:szCs w:val="20"/>
                <w:color w:val="auto"/>
              </w:rPr>
            </w:pPr>
            <w:r>
              <w:rPr>
                <w:rFonts w:ascii="Arial" w:cs="Arial" w:eastAsia="Arial" w:hAnsi="Arial"/>
                <w:sz w:val="12"/>
                <w:szCs w:val="12"/>
                <w:color w:val="auto"/>
              </w:rPr>
              <w:t>57,316</w:t>
            </w:r>
          </w:p>
        </w:tc>
        <w:tc>
          <w:tcPr>
            <w:tcW w:w="3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204"/>
              <w:spacing w:after="0"/>
              <w:rPr>
                <w:sz w:val="20"/>
                <w:szCs w:val="20"/>
                <w:color w:val="auto"/>
              </w:rPr>
            </w:pPr>
            <w:r>
              <w:rPr>
                <w:rFonts w:ascii="Arial" w:cs="Arial" w:eastAsia="Arial" w:hAnsi="Arial"/>
                <w:sz w:val="12"/>
                <w:szCs w:val="12"/>
                <w:color w:val="auto"/>
                <w:w w:val="97"/>
              </w:rPr>
              <w:t>1,937,854</w:t>
            </w:r>
          </w:p>
        </w:tc>
        <w:tc>
          <w:tcPr>
            <w:tcW w:w="0" w:type="dxa"/>
            <w:vAlign w:val="bottom"/>
          </w:tcPr>
          <w:p>
            <w:pPr>
              <w:spacing w:after="0"/>
              <w:rPr>
                <w:sz w:val="1"/>
                <w:szCs w:val="1"/>
                <w:color w:val="auto"/>
              </w:rPr>
            </w:pPr>
          </w:p>
        </w:tc>
      </w:tr>
      <w:tr>
        <w:trPr>
          <w:trHeight w:val="151"/>
        </w:trPr>
        <w:tc>
          <w:tcPr>
            <w:tcW w:w="1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60" w:type="dxa"/>
            <w:vAlign w:val="bottom"/>
            <w:gridSpan w:val="2"/>
          </w:tcPr>
          <w:p>
            <w:pPr>
              <w:jc w:val="right"/>
              <w:ind w:right="183"/>
              <w:spacing w:after="0"/>
              <w:rPr>
                <w:sz w:val="20"/>
                <w:szCs w:val="20"/>
                <w:color w:val="auto"/>
              </w:rPr>
            </w:pPr>
            <w:r>
              <w:rPr>
                <w:rFonts w:ascii="Arial" w:cs="Arial" w:eastAsia="Arial" w:hAnsi="Arial"/>
                <w:sz w:val="12"/>
                <w:szCs w:val="12"/>
                <w:color w:val="auto"/>
              </w:rPr>
              <w:t>50,000</w:t>
            </w:r>
          </w:p>
        </w:tc>
        <w:tc>
          <w:tcPr>
            <w:tcW w:w="80" w:type="dxa"/>
            <w:vAlign w:val="bottom"/>
          </w:tcPr>
          <w:p>
            <w:pPr>
              <w:spacing w:after="0"/>
              <w:rPr>
                <w:sz w:val="13"/>
                <w:szCs w:val="13"/>
                <w:color w:val="auto"/>
              </w:rPr>
            </w:pPr>
          </w:p>
        </w:tc>
        <w:tc>
          <w:tcPr>
            <w:tcW w:w="1000" w:type="dxa"/>
            <w:vAlign w:val="bottom"/>
          </w:tcPr>
          <w:p>
            <w:pPr>
              <w:jc w:val="right"/>
              <w:ind w:right="282"/>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73"/>
              <w:spacing w:after="0"/>
              <w:rPr>
                <w:sz w:val="20"/>
                <w:szCs w:val="20"/>
                <w:color w:val="auto"/>
              </w:rPr>
            </w:pPr>
            <w:r>
              <w:rPr>
                <w:rFonts w:ascii="Arial" w:cs="Arial" w:eastAsia="Arial" w:hAnsi="Arial"/>
                <w:sz w:val="12"/>
                <w:szCs w:val="12"/>
                <w:color w:val="auto"/>
              </w:rPr>
              <w:t>29.24</w:t>
            </w:r>
          </w:p>
        </w:tc>
        <w:tc>
          <w:tcPr>
            <w:tcW w:w="1140" w:type="dxa"/>
            <w:vAlign w:val="bottom"/>
            <w:gridSpan w:val="2"/>
          </w:tcPr>
          <w:p>
            <w:pPr>
              <w:jc w:val="center"/>
              <w:ind w:left="20"/>
              <w:spacing w:after="0"/>
              <w:rPr>
                <w:sz w:val="20"/>
                <w:szCs w:val="20"/>
                <w:color w:val="auto"/>
              </w:rPr>
            </w:pPr>
            <w:r>
              <w:rPr>
                <w:rFonts w:ascii="Arial" w:cs="Arial" w:eastAsia="Arial" w:hAnsi="Arial"/>
                <w:sz w:val="12"/>
                <w:szCs w:val="12"/>
                <w:color w:val="auto"/>
                <w:w w:val="89"/>
              </w:rPr>
              <w:t>03/04/2014</w:t>
            </w:r>
          </w:p>
        </w:tc>
        <w:tc>
          <w:tcPr>
            <w:tcW w:w="60" w:type="dxa"/>
            <w:vAlign w:val="bottom"/>
          </w:tcPr>
          <w:p>
            <w:pPr>
              <w:spacing w:after="0"/>
              <w:rPr>
                <w:sz w:val="13"/>
                <w:szCs w:val="13"/>
                <w:color w:val="auto"/>
              </w:rPr>
            </w:pPr>
          </w:p>
        </w:tc>
        <w:tc>
          <w:tcPr>
            <w:tcW w:w="840" w:type="dxa"/>
            <w:vAlign w:val="bottom"/>
          </w:tcPr>
          <w:p>
            <w:pPr>
              <w:jc w:val="right"/>
              <w:ind w:right="202"/>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right"/>
              <w:ind w:right="204"/>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jc w:val="right"/>
              <w:ind w:right="204"/>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1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60" w:type="dxa"/>
            <w:vAlign w:val="bottom"/>
            <w:gridSpan w:val="2"/>
          </w:tcPr>
          <w:p>
            <w:pPr>
              <w:jc w:val="right"/>
              <w:ind w:right="183"/>
              <w:spacing w:after="0"/>
              <w:rPr>
                <w:sz w:val="20"/>
                <w:szCs w:val="20"/>
                <w:color w:val="auto"/>
              </w:rPr>
            </w:pPr>
            <w:r>
              <w:rPr>
                <w:rFonts w:ascii="Arial" w:cs="Arial" w:eastAsia="Arial" w:hAnsi="Arial"/>
                <w:sz w:val="12"/>
                <w:szCs w:val="12"/>
                <w:color w:val="auto"/>
              </w:rPr>
              <w:t>120,000</w:t>
            </w:r>
          </w:p>
        </w:tc>
        <w:tc>
          <w:tcPr>
            <w:tcW w:w="80" w:type="dxa"/>
            <w:vAlign w:val="bottom"/>
          </w:tcPr>
          <w:p>
            <w:pPr>
              <w:spacing w:after="0"/>
              <w:rPr>
                <w:sz w:val="13"/>
                <w:szCs w:val="13"/>
                <w:color w:val="auto"/>
              </w:rPr>
            </w:pPr>
          </w:p>
        </w:tc>
        <w:tc>
          <w:tcPr>
            <w:tcW w:w="1000" w:type="dxa"/>
            <w:vAlign w:val="bottom"/>
          </w:tcPr>
          <w:p>
            <w:pPr>
              <w:jc w:val="right"/>
              <w:ind w:right="282"/>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73"/>
              <w:spacing w:after="0"/>
              <w:rPr>
                <w:sz w:val="20"/>
                <w:szCs w:val="20"/>
                <w:color w:val="auto"/>
              </w:rPr>
            </w:pPr>
            <w:r>
              <w:rPr>
                <w:rFonts w:ascii="Arial" w:cs="Arial" w:eastAsia="Arial" w:hAnsi="Arial"/>
                <w:sz w:val="12"/>
                <w:szCs w:val="12"/>
                <w:color w:val="auto"/>
              </w:rPr>
              <w:t>19.61</w:t>
            </w:r>
          </w:p>
        </w:tc>
        <w:tc>
          <w:tcPr>
            <w:tcW w:w="1140" w:type="dxa"/>
            <w:vAlign w:val="bottom"/>
            <w:gridSpan w:val="2"/>
          </w:tcPr>
          <w:p>
            <w:pPr>
              <w:jc w:val="center"/>
              <w:ind w:left="20"/>
              <w:spacing w:after="0"/>
              <w:rPr>
                <w:sz w:val="20"/>
                <w:szCs w:val="20"/>
                <w:color w:val="auto"/>
              </w:rPr>
            </w:pPr>
            <w:r>
              <w:rPr>
                <w:rFonts w:ascii="Arial" w:cs="Arial" w:eastAsia="Arial" w:hAnsi="Arial"/>
                <w:sz w:val="12"/>
                <w:szCs w:val="12"/>
                <w:color w:val="auto"/>
                <w:w w:val="89"/>
              </w:rPr>
              <w:t>03/06/2013</w:t>
            </w:r>
          </w:p>
        </w:tc>
        <w:tc>
          <w:tcPr>
            <w:tcW w:w="60" w:type="dxa"/>
            <w:vAlign w:val="bottom"/>
          </w:tcPr>
          <w:p>
            <w:pPr>
              <w:spacing w:after="0"/>
              <w:rPr>
                <w:sz w:val="13"/>
                <w:szCs w:val="13"/>
                <w:color w:val="auto"/>
              </w:rPr>
            </w:pPr>
          </w:p>
        </w:tc>
        <w:tc>
          <w:tcPr>
            <w:tcW w:w="840" w:type="dxa"/>
            <w:vAlign w:val="bottom"/>
          </w:tcPr>
          <w:p>
            <w:pPr>
              <w:jc w:val="right"/>
              <w:ind w:right="202"/>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right"/>
              <w:ind w:right="204"/>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jc w:val="right"/>
              <w:ind w:right="204"/>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1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60" w:type="dxa"/>
            <w:vAlign w:val="bottom"/>
            <w:gridSpan w:val="2"/>
          </w:tcPr>
          <w:p>
            <w:pPr>
              <w:jc w:val="right"/>
              <w:ind w:right="183"/>
              <w:spacing w:after="0"/>
              <w:rPr>
                <w:sz w:val="20"/>
                <w:szCs w:val="20"/>
                <w:color w:val="auto"/>
              </w:rPr>
            </w:pPr>
            <w:r>
              <w:rPr>
                <w:rFonts w:ascii="Arial" w:cs="Arial" w:eastAsia="Arial" w:hAnsi="Arial"/>
                <w:sz w:val="12"/>
                <w:szCs w:val="12"/>
                <w:color w:val="auto"/>
              </w:rPr>
              <w:t>65,000</w:t>
            </w:r>
          </w:p>
        </w:tc>
        <w:tc>
          <w:tcPr>
            <w:tcW w:w="80" w:type="dxa"/>
            <w:vAlign w:val="bottom"/>
          </w:tcPr>
          <w:p>
            <w:pPr>
              <w:spacing w:after="0"/>
              <w:rPr>
                <w:sz w:val="13"/>
                <w:szCs w:val="13"/>
                <w:color w:val="auto"/>
              </w:rPr>
            </w:pPr>
          </w:p>
        </w:tc>
        <w:tc>
          <w:tcPr>
            <w:tcW w:w="1000" w:type="dxa"/>
            <w:vAlign w:val="bottom"/>
          </w:tcPr>
          <w:p>
            <w:pPr>
              <w:jc w:val="right"/>
              <w:ind w:right="282"/>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73"/>
              <w:spacing w:after="0"/>
              <w:rPr>
                <w:sz w:val="20"/>
                <w:szCs w:val="20"/>
                <w:color w:val="auto"/>
              </w:rPr>
            </w:pPr>
            <w:r>
              <w:rPr>
                <w:rFonts w:ascii="Arial" w:cs="Arial" w:eastAsia="Arial" w:hAnsi="Arial"/>
                <w:sz w:val="12"/>
                <w:szCs w:val="12"/>
                <w:color w:val="auto"/>
              </w:rPr>
              <w:t>27.88</w:t>
            </w:r>
          </w:p>
        </w:tc>
        <w:tc>
          <w:tcPr>
            <w:tcW w:w="1140" w:type="dxa"/>
            <w:vAlign w:val="bottom"/>
            <w:gridSpan w:val="2"/>
          </w:tcPr>
          <w:p>
            <w:pPr>
              <w:jc w:val="center"/>
              <w:ind w:left="20"/>
              <w:spacing w:after="0"/>
              <w:rPr>
                <w:sz w:val="20"/>
                <w:szCs w:val="20"/>
                <w:color w:val="auto"/>
              </w:rPr>
            </w:pPr>
            <w:r>
              <w:rPr>
                <w:rFonts w:ascii="Arial" w:cs="Arial" w:eastAsia="Arial" w:hAnsi="Arial"/>
                <w:sz w:val="12"/>
                <w:szCs w:val="12"/>
                <w:color w:val="auto"/>
                <w:w w:val="89"/>
              </w:rPr>
              <w:t>03/07/2012</w:t>
            </w:r>
          </w:p>
        </w:tc>
        <w:tc>
          <w:tcPr>
            <w:tcW w:w="60" w:type="dxa"/>
            <w:vAlign w:val="bottom"/>
          </w:tcPr>
          <w:p>
            <w:pPr>
              <w:spacing w:after="0"/>
              <w:rPr>
                <w:sz w:val="13"/>
                <w:szCs w:val="13"/>
                <w:color w:val="auto"/>
              </w:rPr>
            </w:pPr>
          </w:p>
        </w:tc>
        <w:tc>
          <w:tcPr>
            <w:tcW w:w="840" w:type="dxa"/>
            <w:vAlign w:val="bottom"/>
          </w:tcPr>
          <w:p>
            <w:pPr>
              <w:jc w:val="right"/>
              <w:ind w:right="202"/>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right"/>
              <w:ind w:right="204"/>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jc w:val="right"/>
              <w:ind w:right="204"/>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60" w:type="dxa"/>
            <w:vAlign w:val="bottom"/>
            <w:gridSpan w:val="2"/>
          </w:tcPr>
          <w:p>
            <w:pPr>
              <w:jc w:val="right"/>
              <w:ind w:right="183"/>
              <w:spacing w:after="0"/>
              <w:rPr>
                <w:sz w:val="20"/>
                <w:szCs w:val="20"/>
                <w:color w:val="auto"/>
              </w:rPr>
            </w:pPr>
            <w:r>
              <w:rPr>
                <w:rFonts w:ascii="Arial" w:cs="Arial" w:eastAsia="Arial" w:hAnsi="Arial"/>
                <w:sz w:val="12"/>
                <w:szCs w:val="12"/>
                <w:color w:val="auto"/>
              </w:rPr>
              <w:t>100,000</w:t>
            </w:r>
          </w:p>
        </w:tc>
        <w:tc>
          <w:tcPr>
            <w:tcW w:w="80" w:type="dxa"/>
            <w:vAlign w:val="bottom"/>
          </w:tcPr>
          <w:p>
            <w:pPr>
              <w:spacing w:after="0"/>
              <w:rPr>
                <w:sz w:val="13"/>
                <w:szCs w:val="13"/>
                <w:color w:val="auto"/>
              </w:rPr>
            </w:pPr>
          </w:p>
        </w:tc>
        <w:tc>
          <w:tcPr>
            <w:tcW w:w="1000" w:type="dxa"/>
            <w:vAlign w:val="bottom"/>
          </w:tcPr>
          <w:p>
            <w:pPr>
              <w:jc w:val="right"/>
              <w:ind w:right="282"/>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73"/>
              <w:spacing w:after="0"/>
              <w:rPr>
                <w:sz w:val="20"/>
                <w:szCs w:val="20"/>
                <w:color w:val="auto"/>
              </w:rPr>
            </w:pPr>
            <w:r>
              <w:rPr>
                <w:rFonts w:ascii="Arial" w:cs="Arial" w:eastAsia="Arial" w:hAnsi="Arial"/>
                <w:sz w:val="12"/>
                <w:szCs w:val="12"/>
                <w:color w:val="auto"/>
              </w:rPr>
              <w:t>24.01</w:t>
            </w:r>
          </w:p>
        </w:tc>
        <w:tc>
          <w:tcPr>
            <w:tcW w:w="1140" w:type="dxa"/>
            <w:vAlign w:val="bottom"/>
            <w:gridSpan w:val="2"/>
          </w:tcPr>
          <w:p>
            <w:pPr>
              <w:jc w:val="center"/>
              <w:ind w:left="20"/>
              <w:spacing w:after="0"/>
              <w:rPr>
                <w:sz w:val="20"/>
                <w:szCs w:val="20"/>
                <w:color w:val="auto"/>
              </w:rPr>
            </w:pPr>
            <w:r>
              <w:rPr>
                <w:rFonts w:ascii="Arial" w:cs="Arial" w:eastAsia="Arial" w:hAnsi="Arial"/>
                <w:sz w:val="12"/>
                <w:szCs w:val="12"/>
                <w:color w:val="auto"/>
                <w:w w:val="89"/>
              </w:rPr>
              <w:t>03/01/2011</w:t>
            </w:r>
          </w:p>
        </w:tc>
        <w:tc>
          <w:tcPr>
            <w:tcW w:w="60" w:type="dxa"/>
            <w:vAlign w:val="bottom"/>
          </w:tcPr>
          <w:p>
            <w:pPr>
              <w:spacing w:after="0"/>
              <w:rPr>
                <w:sz w:val="13"/>
                <w:szCs w:val="13"/>
                <w:color w:val="auto"/>
              </w:rPr>
            </w:pPr>
          </w:p>
        </w:tc>
        <w:tc>
          <w:tcPr>
            <w:tcW w:w="840" w:type="dxa"/>
            <w:vAlign w:val="bottom"/>
          </w:tcPr>
          <w:p>
            <w:pPr>
              <w:jc w:val="right"/>
              <w:ind w:right="202"/>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right"/>
              <w:ind w:right="204"/>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jc w:val="right"/>
              <w:ind w:right="204"/>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21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Duane C. Woods</w:t>
            </w:r>
          </w:p>
        </w:tc>
        <w:tc>
          <w:tcPr>
            <w:tcW w:w="960" w:type="dxa"/>
            <w:vAlign w:val="bottom"/>
            <w:gridSpan w:val="2"/>
            <w:shd w:val="clear" w:color="auto" w:fill="CCEEFF"/>
          </w:tcPr>
          <w:p>
            <w:pPr>
              <w:jc w:val="right"/>
              <w:ind w:right="183"/>
              <w:spacing w:after="0"/>
              <w:rPr>
                <w:sz w:val="20"/>
                <w:szCs w:val="20"/>
                <w:color w:val="auto"/>
              </w:rPr>
            </w:pPr>
            <w:r>
              <w:rPr>
                <w:rFonts w:ascii="Arial" w:cs="Arial" w:eastAsia="Arial" w:hAnsi="Arial"/>
                <w:sz w:val="12"/>
                <w:szCs w:val="12"/>
                <w:color w:val="auto"/>
              </w:rPr>
              <w:t>50,000</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82"/>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73"/>
              <w:spacing w:after="0"/>
              <w:rPr>
                <w:sz w:val="20"/>
                <w:szCs w:val="20"/>
                <w:color w:val="auto"/>
              </w:rPr>
            </w:pPr>
            <w:r>
              <w:rPr>
                <w:rFonts w:ascii="Arial" w:cs="Arial" w:eastAsia="Arial" w:hAnsi="Arial"/>
                <w:sz w:val="12"/>
                <w:szCs w:val="12"/>
                <w:color w:val="auto"/>
              </w:rPr>
              <w:t>28.45</w:t>
            </w:r>
          </w:p>
        </w:tc>
        <w:tc>
          <w:tcPr>
            <w:tcW w:w="1140" w:type="dxa"/>
            <w:vAlign w:val="bottom"/>
            <w:gridSpan w:val="2"/>
            <w:shd w:val="clear" w:color="auto" w:fill="CCEEFF"/>
          </w:tcPr>
          <w:p>
            <w:pPr>
              <w:jc w:val="center"/>
              <w:ind w:left="20"/>
              <w:spacing w:after="0"/>
              <w:rPr>
                <w:sz w:val="20"/>
                <w:szCs w:val="20"/>
                <w:color w:val="auto"/>
              </w:rPr>
            </w:pPr>
            <w:r>
              <w:rPr>
                <w:rFonts w:ascii="Arial" w:cs="Arial" w:eastAsia="Arial" w:hAnsi="Arial"/>
                <w:sz w:val="12"/>
                <w:szCs w:val="12"/>
                <w:color w:val="auto"/>
                <w:w w:val="89"/>
              </w:rPr>
              <w:t>06/03/2014</w:t>
            </w:r>
          </w:p>
        </w:tc>
        <w:tc>
          <w:tcPr>
            <w:tcW w:w="900" w:type="dxa"/>
            <w:vAlign w:val="bottom"/>
            <w:gridSpan w:val="2"/>
            <w:shd w:val="clear" w:color="auto" w:fill="CCEEFF"/>
          </w:tcPr>
          <w:p>
            <w:pPr>
              <w:jc w:val="right"/>
              <w:ind w:right="202"/>
              <w:spacing w:after="0"/>
              <w:rPr>
                <w:sz w:val="20"/>
                <w:szCs w:val="20"/>
                <w:color w:val="auto"/>
              </w:rPr>
            </w:pPr>
            <w:r>
              <w:rPr>
                <w:rFonts w:ascii="Arial" w:cs="Arial" w:eastAsia="Arial" w:hAnsi="Arial"/>
                <w:sz w:val="12"/>
                <w:szCs w:val="12"/>
                <w:color w:val="auto"/>
              </w:rPr>
              <w:t>7,330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247,827</w:t>
            </w:r>
          </w:p>
        </w:tc>
        <w:tc>
          <w:tcPr>
            <w:tcW w:w="1160" w:type="dxa"/>
            <w:vAlign w:val="bottom"/>
            <w:gridSpan w:val="3"/>
            <w:shd w:val="clear" w:color="auto" w:fill="CCEEFF"/>
          </w:tcPr>
          <w:p>
            <w:pPr>
              <w:jc w:val="right"/>
              <w:ind w:right="204"/>
              <w:spacing w:after="0"/>
              <w:rPr>
                <w:sz w:val="20"/>
                <w:szCs w:val="20"/>
                <w:color w:val="auto"/>
              </w:rPr>
            </w:pPr>
            <w:r>
              <w:rPr>
                <w:rFonts w:ascii="Arial" w:cs="Arial" w:eastAsia="Arial" w:hAnsi="Arial"/>
                <w:sz w:val="12"/>
                <w:szCs w:val="12"/>
                <w:color w:val="auto"/>
              </w:rPr>
              <w:t>57,316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204"/>
              <w:spacing w:after="0"/>
              <w:rPr>
                <w:sz w:val="20"/>
                <w:szCs w:val="20"/>
                <w:color w:val="auto"/>
              </w:rPr>
            </w:pPr>
            <w:r>
              <w:rPr>
                <w:rFonts w:ascii="Arial" w:cs="Arial" w:eastAsia="Arial" w:hAnsi="Arial"/>
                <w:sz w:val="12"/>
                <w:szCs w:val="12"/>
                <w:color w:val="auto"/>
                <w:w w:val="97"/>
              </w:rPr>
              <w:t>1,937,854</w:t>
            </w:r>
          </w:p>
        </w:tc>
        <w:tc>
          <w:tcPr>
            <w:tcW w:w="0" w:type="dxa"/>
            <w:vAlign w:val="bottom"/>
          </w:tcPr>
          <w:p>
            <w:pPr>
              <w:spacing w:after="0"/>
              <w:rPr>
                <w:sz w:val="1"/>
                <w:szCs w:val="1"/>
                <w:color w:val="auto"/>
              </w:rPr>
            </w:pPr>
          </w:p>
        </w:tc>
      </w:tr>
      <w:tr>
        <w:trPr>
          <w:trHeight w:val="151"/>
        </w:trPr>
        <w:tc>
          <w:tcPr>
            <w:tcW w:w="1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83"/>
              <w:spacing w:after="0"/>
              <w:rPr>
                <w:sz w:val="20"/>
                <w:szCs w:val="20"/>
                <w:color w:val="auto"/>
              </w:rPr>
            </w:pPr>
            <w:r>
              <w:rPr>
                <w:rFonts w:ascii="Arial" w:cs="Arial" w:eastAsia="Arial" w:hAnsi="Arial"/>
                <w:sz w:val="12"/>
                <w:szCs w:val="12"/>
                <w:color w:val="auto"/>
              </w:rPr>
              <w:t>20,000</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82"/>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73"/>
              <w:spacing w:after="0"/>
              <w:rPr>
                <w:sz w:val="20"/>
                <w:szCs w:val="20"/>
                <w:color w:val="auto"/>
              </w:rPr>
            </w:pPr>
            <w:r>
              <w:rPr>
                <w:rFonts w:ascii="Arial" w:cs="Arial" w:eastAsia="Arial" w:hAnsi="Arial"/>
                <w:sz w:val="12"/>
                <w:szCs w:val="12"/>
                <w:color w:val="auto"/>
              </w:rPr>
              <w:t>29.24</w:t>
            </w:r>
          </w:p>
        </w:tc>
        <w:tc>
          <w:tcPr>
            <w:tcW w:w="1140" w:type="dxa"/>
            <w:vAlign w:val="bottom"/>
            <w:gridSpan w:val="2"/>
            <w:shd w:val="clear" w:color="auto" w:fill="CCEEFF"/>
          </w:tcPr>
          <w:p>
            <w:pPr>
              <w:jc w:val="center"/>
              <w:ind w:left="20"/>
              <w:spacing w:after="0"/>
              <w:rPr>
                <w:sz w:val="20"/>
                <w:szCs w:val="20"/>
                <w:color w:val="auto"/>
              </w:rPr>
            </w:pPr>
            <w:r>
              <w:rPr>
                <w:rFonts w:ascii="Arial" w:cs="Arial" w:eastAsia="Arial" w:hAnsi="Arial"/>
                <w:sz w:val="12"/>
                <w:szCs w:val="12"/>
                <w:color w:val="auto"/>
                <w:w w:val="89"/>
              </w:rPr>
              <w:t>03/04/2014</w:t>
            </w: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204"/>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204"/>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1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83"/>
              <w:spacing w:after="0"/>
              <w:rPr>
                <w:sz w:val="20"/>
                <w:szCs w:val="20"/>
                <w:color w:val="auto"/>
              </w:rPr>
            </w:pPr>
            <w:r>
              <w:rPr>
                <w:rFonts w:ascii="Arial" w:cs="Arial" w:eastAsia="Arial" w:hAnsi="Arial"/>
                <w:sz w:val="12"/>
                <w:szCs w:val="12"/>
                <w:color w:val="auto"/>
              </w:rPr>
              <w:t>18,000</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82"/>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73"/>
              <w:spacing w:after="0"/>
              <w:rPr>
                <w:sz w:val="20"/>
                <w:szCs w:val="20"/>
                <w:color w:val="auto"/>
              </w:rPr>
            </w:pPr>
            <w:r>
              <w:rPr>
                <w:rFonts w:ascii="Arial" w:cs="Arial" w:eastAsia="Arial" w:hAnsi="Arial"/>
                <w:sz w:val="12"/>
                <w:szCs w:val="12"/>
                <w:color w:val="auto"/>
              </w:rPr>
              <w:t>19.61</w:t>
            </w:r>
          </w:p>
        </w:tc>
        <w:tc>
          <w:tcPr>
            <w:tcW w:w="1140" w:type="dxa"/>
            <w:vAlign w:val="bottom"/>
            <w:gridSpan w:val="2"/>
            <w:shd w:val="clear" w:color="auto" w:fill="CCEEFF"/>
          </w:tcPr>
          <w:p>
            <w:pPr>
              <w:jc w:val="center"/>
              <w:ind w:left="20"/>
              <w:spacing w:after="0"/>
              <w:rPr>
                <w:sz w:val="20"/>
                <w:szCs w:val="20"/>
                <w:color w:val="auto"/>
              </w:rPr>
            </w:pPr>
            <w:r>
              <w:rPr>
                <w:rFonts w:ascii="Arial" w:cs="Arial" w:eastAsia="Arial" w:hAnsi="Arial"/>
                <w:sz w:val="12"/>
                <w:szCs w:val="12"/>
                <w:color w:val="auto"/>
                <w:w w:val="89"/>
              </w:rPr>
              <w:t>03/06/2013</w:t>
            </w: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204"/>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204"/>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1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83"/>
              <w:spacing w:after="0"/>
              <w:rPr>
                <w:sz w:val="20"/>
                <w:szCs w:val="20"/>
                <w:color w:val="auto"/>
              </w:rPr>
            </w:pPr>
            <w:r>
              <w:rPr>
                <w:rFonts w:ascii="Arial" w:cs="Arial" w:eastAsia="Arial" w:hAnsi="Arial"/>
                <w:sz w:val="12"/>
                <w:szCs w:val="12"/>
                <w:color w:val="auto"/>
              </w:rPr>
              <w:t>10,000</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82"/>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73"/>
              <w:spacing w:after="0"/>
              <w:rPr>
                <w:sz w:val="20"/>
                <w:szCs w:val="20"/>
                <w:color w:val="auto"/>
              </w:rPr>
            </w:pPr>
            <w:r>
              <w:rPr>
                <w:rFonts w:ascii="Arial" w:cs="Arial" w:eastAsia="Arial" w:hAnsi="Arial"/>
                <w:sz w:val="12"/>
                <w:szCs w:val="12"/>
                <w:color w:val="auto"/>
              </w:rPr>
              <w:t>26.77</w:t>
            </w:r>
          </w:p>
        </w:tc>
        <w:tc>
          <w:tcPr>
            <w:tcW w:w="1140" w:type="dxa"/>
            <w:vAlign w:val="bottom"/>
            <w:gridSpan w:val="2"/>
            <w:shd w:val="clear" w:color="auto" w:fill="CCEEFF"/>
          </w:tcPr>
          <w:p>
            <w:pPr>
              <w:jc w:val="center"/>
              <w:ind w:left="20"/>
              <w:spacing w:after="0"/>
              <w:rPr>
                <w:sz w:val="20"/>
                <w:szCs w:val="20"/>
                <w:color w:val="auto"/>
              </w:rPr>
            </w:pPr>
            <w:r>
              <w:rPr>
                <w:rFonts w:ascii="Arial" w:cs="Arial" w:eastAsia="Arial" w:hAnsi="Arial"/>
                <w:sz w:val="12"/>
                <w:szCs w:val="12"/>
                <w:color w:val="auto"/>
                <w:w w:val="89"/>
              </w:rPr>
              <w:t>05/16/2012</w:t>
            </w: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204"/>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204"/>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1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83"/>
              <w:spacing w:after="0"/>
              <w:rPr>
                <w:sz w:val="20"/>
                <w:szCs w:val="20"/>
                <w:color w:val="auto"/>
              </w:rPr>
            </w:pPr>
            <w:r>
              <w:rPr>
                <w:rFonts w:ascii="Arial" w:cs="Arial" w:eastAsia="Arial" w:hAnsi="Arial"/>
                <w:sz w:val="12"/>
                <w:szCs w:val="12"/>
                <w:color w:val="auto"/>
              </w:rPr>
              <w:t>15,000</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82"/>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73"/>
              <w:spacing w:after="0"/>
              <w:rPr>
                <w:sz w:val="20"/>
                <w:szCs w:val="20"/>
                <w:color w:val="auto"/>
              </w:rPr>
            </w:pPr>
            <w:r>
              <w:rPr>
                <w:rFonts w:ascii="Arial" w:cs="Arial" w:eastAsia="Arial" w:hAnsi="Arial"/>
                <w:sz w:val="12"/>
                <w:szCs w:val="12"/>
                <w:color w:val="auto"/>
              </w:rPr>
              <w:t>27.88</w:t>
            </w:r>
          </w:p>
        </w:tc>
        <w:tc>
          <w:tcPr>
            <w:tcW w:w="1140" w:type="dxa"/>
            <w:vAlign w:val="bottom"/>
            <w:gridSpan w:val="2"/>
            <w:shd w:val="clear" w:color="auto" w:fill="CCEEFF"/>
          </w:tcPr>
          <w:p>
            <w:pPr>
              <w:jc w:val="center"/>
              <w:ind w:left="20"/>
              <w:spacing w:after="0"/>
              <w:rPr>
                <w:sz w:val="20"/>
                <w:szCs w:val="20"/>
                <w:color w:val="auto"/>
              </w:rPr>
            </w:pPr>
            <w:r>
              <w:rPr>
                <w:rFonts w:ascii="Arial" w:cs="Arial" w:eastAsia="Arial" w:hAnsi="Arial"/>
                <w:sz w:val="12"/>
                <w:szCs w:val="12"/>
                <w:color w:val="auto"/>
                <w:w w:val="89"/>
              </w:rPr>
              <w:t>03/07/2012</w:t>
            </w: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204"/>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204"/>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1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83"/>
              <w:spacing w:after="0"/>
              <w:rPr>
                <w:sz w:val="20"/>
                <w:szCs w:val="20"/>
                <w:color w:val="auto"/>
              </w:rPr>
            </w:pPr>
            <w:r>
              <w:rPr>
                <w:rFonts w:ascii="Arial" w:cs="Arial" w:eastAsia="Arial" w:hAnsi="Arial"/>
                <w:sz w:val="12"/>
                <w:szCs w:val="12"/>
                <w:color w:val="auto"/>
              </w:rPr>
              <w:t>10,000</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82"/>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73"/>
              <w:spacing w:after="0"/>
              <w:rPr>
                <w:sz w:val="20"/>
                <w:szCs w:val="20"/>
                <w:color w:val="auto"/>
              </w:rPr>
            </w:pPr>
            <w:r>
              <w:rPr>
                <w:rFonts w:ascii="Arial" w:cs="Arial" w:eastAsia="Arial" w:hAnsi="Arial"/>
                <w:sz w:val="12"/>
                <w:szCs w:val="12"/>
                <w:color w:val="auto"/>
              </w:rPr>
              <w:t>24.01</w:t>
            </w:r>
          </w:p>
        </w:tc>
        <w:tc>
          <w:tcPr>
            <w:tcW w:w="1140" w:type="dxa"/>
            <w:vAlign w:val="bottom"/>
            <w:gridSpan w:val="2"/>
            <w:shd w:val="clear" w:color="auto" w:fill="CCEEFF"/>
          </w:tcPr>
          <w:p>
            <w:pPr>
              <w:jc w:val="center"/>
              <w:ind w:left="20"/>
              <w:spacing w:after="0"/>
              <w:rPr>
                <w:sz w:val="20"/>
                <w:szCs w:val="20"/>
                <w:color w:val="auto"/>
              </w:rPr>
            </w:pPr>
            <w:r>
              <w:rPr>
                <w:rFonts w:ascii="Arial" w:cs="Arial" w:eastAsia="Arial" w:hAnsi="Arial"/>
                <w:sz w:val="12"/>
                <w:szCs w:val="12"/>
                <w:color w:val="auto"/>
                <w:w w:val="89"/>
              </w:rPr>
              <w:t>03/01/2011</w:t>
            </w: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204"/>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204"/>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01"/>
        </w:trPr>
        <w:tc>
          <w:tcPr>
            <w:tcW w:w="130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-3077210</wp:posOffset>
            </wp:positionV>
            <wp:extent cx="12700"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20" w:lineRule="exact"/>
        <w:rPr>
          <w:sz w:val="20"/>
          <w:szCs w:val="20"/>
          <w:color w:val="auto"/>
        </w:rPr>
      </w:pPr>
    </w:p>
    <w:p>
      <w:pPr>
        <w:ind w:left="1000" w:hanging="266"/>
        <w:spacing w:after="0"/>
        <w:tabs>
          <w:tab w:leader="none" w:pos="10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All amounts are as of December 31, 2009, and dollar values are based on the closing price of the Company’s Common Stock on that date of $33.81.</w:t>
      </w:r>
    </w:p>
    <w:p>
      <w:pPr>
        <w:spacing w:after="0" w:line="52" w:lineRule="exact"/>
        <w:rPr>
          <w:rFonts w:ascii="Arial" w:cs="Arial" w:eastAsia="Arial" w:hAnsi="Arial"/>
          <w:sz w:val="13"/>
          <w:szCs w:val="13"/>
          <w:color w:val="auto"/>
        </w:rPr>
      </w:pPr>
    </w:p>
    <w:p>
      <w:pPr>
        <w:ind w:left="1000" w:hanging="266"/>
        <w:spacing w:after="0"/>
        <w:tabs>
          <w:tab w:leader="none" w:pos="1000" w:val="left"/>
        </w:tabs>
        <w:numPr>
          <w:ilvl w:val="0"/>
          <w:numId w:val="29"/>
        </w:numPr>
        <w:rPr>
          <w:rFonts w:ascii="Arial" w:cs="Arial" w:eastAsia="Arial" w:hAnsi="Arial"/>
          <w:sz w:val="12"/>
          <w:szCs w:val="12"/>
          <w:color w:val="auto"/>
        </w:rPr>
      </w:pPr>
      <w:r>
        <w:rPr>
          <w:rFonts w:ascii="Arial" w:cs="Arial" w:eastAsia="Arial" w:hAnsi="Arial"/>
          <w:sz w:val="12"/>
          <w:szCs w:val="12"/>
          <w:color w:val="auto"/>
        </w:rPr>
        <w:t>Represents reload stock options. All reload stock options become exercisable once the market value of our Common Stock has increased by 25% over the option’s exercise price.</w:t>
      </w:r>
    </w:p>
    <w:p>
      <w:pPr>
        <w:spacing w:after="0" w:line="63" w:lineRule="exact"/>
        <w:rPr>
          <w:rFonts w:ascii="Arial" w:cs="Arial" w:eastAsia="Arial" w:hAnsi="Arial"/>
          <w:sz w:val="12"/>
          <w:szCs w:val="12"/>
          <w:color w:val="auto"/>
        </w:rPr>
      </w:pPr>
    </w:p>
    <w:p>
      <w:pPr>
        <w:ind w:left="1000" w:right="80" w:hanging="266"/>
        <w:spacing w:after="0" w:line="270" w:lineRule="auto"/>
        <w:tabs>
          <w:tab w:leader="none" w:pos="10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Includes the final vesting of the 2006 restricted stock unit awards, which vested in equal annual installments over a four year period, and the entire 2007 restricted stock unit awards, which vested in full after three years. The 2006 awards, which vested in full on January 27, 2010, included the following: Mr. Steiner — 13,750; Mr. O’Donnell — 5,833; Mr. Simpson — 4,583; Mr. Trevathan — 2,708; and Mr. Woods — 2,708. The 2007 awards, which vested in full on January 26, 2010, included the following: Mr. Steiner — 23,457; Mr. O’Donnell — 9,952; Mr. Simpson — 7,820; Mr. Trevathan — 4,622; and Mr. Woods — 4,622.</w:t>
      </w:r>
    </w:p>
    <w:p>
      <w:pPr>
        <w:spacing w:after="0" w:line="12" w:lineRule="exact"/>
        <w:rPr>
          <w:rFonts w:ascii="Arial" w:cs="Arial" w:eastAsia="Arial" w:hAnsi="Arial"/>
          <w:sz w:val="13"/>
          <w:szCs w:val="13"/>
          <w:color w:val="auto"/>
        </w:rPr>
      </w:pPr>
    </w:p>
    <w:p>
      <w:pPr>
        <w:ind w:left="1000" w:right="160" w:hanging="266"/>
        <w:spacing w:after="0" w:line="338" w:lineRule="auto"/>
        <w:tabs>
          <w:tab w:leader="none" w:pos="1000" w:val="left"/>
        </w:tabs>
        <w:numPr>
          <w:ilvl w:val="0"/>
          <w:numId w:val="29"/>
        </w:numPr>
        <w:rPr>
          <w:rFonts w:ascii="Arial" w:cs="Arial" w:eastAsia="Arial" w:hAnsi="Arial"/>
          <w:sz w:val="12"/>
          <w:szCs w:val="12"/>
          <w:color w:val="auto"/>
        </w:rPr>
      </w:pPr>
      <w:r>
        <w:rPr>
          <w:rFonts w:ascii="Arial" w:cs="Arial" w:eastAsia="Arial" w:hAnsi="Arial"/>
          <w:sz w:val="12"/>
          <w:szCs w:val="12"/>
          <w:color w:val="auto"/>
        </w:rPr>
        <w:t>Includes performance share units with three-year performance periods ending as follows. Performance share units are paid after the Company’s financial results of operations for the entire performance period are reported, typically in mid to late February of the succeeding year. The performance period ended on December 31, 2009</w:t>
      </w:r>
    </w:p>
    <w:p>
      <w:pPr>
        <w:spacing w:after="0" w:line="22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1000"/>
        <w:spacing w:after="0"/>
        <w:rPr>
          <w:sz w:val="20"/>
          <w:szCs w:val="20"/>
          <w:color w:val="auto"/>
        </w:rPr>
      </w:pPr>
      <w:r>
        <w:rPr>
          <w:rFonts w:ascii="Arial" w:cs="Arial" w:eastAsia="Arial" w:hAnsi="Arial"/>
          <w:sz w:val="12"/>
          <w:szCs w:val="12"/>
          <w:color w:val="auto"/>
        </w:rPr>
        <w:t>includes the following performance share units: Mr. Steiner — 70,373; Mr. O’Donnell — 29,858; Mr. Simpson — 23,460; Mr. Trevathan — 13,868; and Mr. Woods — 13,868.</w:t>
      </w:r>
    </w:p>
    <w:p>
      <w:pPr>
        <w:spacing w:after="0" w:line="34" w:lineRule="exact"/>
        <w:rPr>
          <w:sz w:val="20"/>
          <w:szCs w:val="20"/>
          <w:color w:val="auto"/>
        </w:rPr>
      </w:pPr>
    </w:p>
    <w:p>
      <w:pPr>
        <w:ind w:left="1000"/>
        <w:spacing w:after="0"/>
        <w:rPr>
          <w:sz w:val="20"/>
          <w:szCs w:val="20"/>
          <w:color w:val="auto"/>
        </w:rPr>
      </w:pPr>
      <w:r>
        <w:rPr>
          <w:rFonts w:ascii="Arial" w:cs="Arial" w:eastAsia="Arial" w:hAnsi="Arial"/>
          <w:sz w:val="12"/>
          <w:szCs w:val="12"/>
          <w:color w:val="auto"/>
        </w:rPr>
        <w:t>The performance period ending on December 31, 2010 includes the following performance share units: Mr. Steiner — 119,340; Mr. O’Donnell — 48,792; Mr. Simpson — 36,168;</w:t>
      </w:r>
    </w:p>
    <w:p>
      <w:pPr>
        <w:spacing w:after="0" w:line="23" w:lineRule="exact"/>
        <w:rPr>
          <w:sz w:val="20"/>
          <w:szCs w:val="20"/>
          <w:color w:val="auto"/>
        </w:rPr>
      </w:pPr>
    </w:p>
    <w:p>
      <w:pPr>
        <w:ind w:left="1000" w:right="460"/>
        <w:spacing w:after="0" w:line="277" w:lineRule="auto"/>
        <w:rPr>
          <w:sz w:val="20"/>
          <w:szCs w:val="20"/>
          <w:color w:val="auto"/>
        </w:rPr>
      </w:pPr>
      <w:r>
        <w:rPr>
          <w:rFonts w:ascii="Arial" w:cs="Arial" w:eastAsia="Arial" w:hAnsi="Arial"/>
          <w:sz w:val="13"/>
          <w:szCs w:val="13"/>
          <w:color w:val="auto"/>
        </w:rPr>
        <w:t>Mr. Trevathan — 21,379; and Mr. Woods — 21,379. The performance period ending on December 31, 2011 includes the following performance share units: Mr. Steiner — 135,509; Mr. O’Donnell — 55,403; Mr. Simpson — 37,335; Mr. Trevathan — 22,069; and Mr. Woods — 22,069.</w:t>
      </w:r>
    </w:p>
    <w:p>
      <w:pPr>
        <w:spacing w:after="0" w:line="217" w:lineRule="exact"/>
        <w:rPr>
          <w:sz w:val="20"/>
          <w:szCs w:val="20"/>
          <w:color w:val="auto"/>
        </w:rPr>
      </w:pPr>
    </w:p>
    <w:p>
      <w:pPr>
        <w:ind w:left="4460"/>
        <w:spacing w:after="0"/>
        <w:rPr>
          <w:sz w:val="20"/>
          <w:szCs w:val="20"/>
          <w:color w:val="auto"/>
        </w:rPr>
      </w:pPr>
      <w:r>
        <w:rPr>
          <w:rFonts w:ascii="Arial" w:cs="Arial" w:eastAsia="Arial" w:hAnsi="Arial"/>
          <w:sz w:val="13"/>
          <w:szCs w:val="13"/>
          <w:b w:val="1"/>
          <w:bCs w:val="1"/>
          <w:color w:val="auto"/>
        </w:rPr>
        <w:t>Option Exercises and Stock Vested in 2009</w:t>
      </w:r>
    </w:p>
    <w:p>
      <w:pPr>
        <w:spacing w:after="0" w:line="108"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13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9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1"/>
                <w:szCs w:val="11"/>
                <w:b w:val="1"/>
                <w:bCs w:val="1"/>
                <w:color w:val="auto"/>
              </w:rPr>
              <w:t>Option Awards</w:t>
            </w:r>
          </w:p>
        </w:tc>
        <w:tc>
          <w:tcPr>
            <w:tcW w:w="9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840" w:type="dxa"/>
            <w:vAlign w:val="bottom"/>
            <w:tcBorders>
              <w:bottom w:val="single" w:sz="8" w:color="auto"/>
            </w:tcBorders>
            <w:gridSpan w:val="2"/>
          </w:tcPr>
          <w:p>
            <w:pPr>
              <w:ind w:left="1040"/>
              <w:spacing w:after="0"/>
              <w:rPr>
                <w:sz w:val="20"/>
                <w:szCs w:val="20"/>
                <w:color w:val="auto"/>
              </w:rPr>
            </w:pPr>
            <w:r>
              <w:rPr>
                <w:rFonts w:ascii="Arial" w:cs="Arial" w:eastAsia="Arial" w:hAnsi="Arial"/>
                <w:sz w:val="11"/>
                <w:szCs w:val="11"/>
                <w:b w:val="1"/>
                <w:bCs w:val="1"/>
                <w:color w:val="auto"/>
                <w:w w:val="90"/>
              </w:rPr>
              <w:t>Stock Awards(1)</w:t>
            </w:r>
          </w:p>
        </w:tc>
        <w:tc>
          <w:tcPr>
            <w:tcW w:w="10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1300" w:type="dxa"/>
            <w:vAlign w:val="bottom"/>
          </w:tcPr>
          <w:p>
            <w:pPr>
              <w:spacing w:after="0"/>
              <w:rPr>
                <w:sz w:val="7"/>
                <w:szCs w:val="7"/>
                <w:color w:val="auto"/>
              </w:rPr>
            </w:pPr>
          </w:p>
        </w:tc>
        <w:tc>
          <w:tcPr>
            <w:tcW w:w="2460" w:type="dxa"/>
            <w:vAlign w:val="bottom"/>
          </w:tcPr>
          <w:p>
            <w:pPr>
              <w:spacing w:after="0"/>
              <w:rPr>
                <w:sz w:val="7"/>
                <w:szCs w:val="7"/>
                <w:color w:val="auto"/>
              </w:rPr>
            </w:pPr>
          </w:p>
        </w:tc>
        <w:tc>
          <w:tcPr>
            <w:tcW w:w="1940" w:type="dxa"/>
            <w:vAlign w:val="bottom"/>
            <w:gridSpan w:val="2"/>
          </w:tcPr>
          <w:p>
            <w:pPr>
              <w:jc w:val="center"/>
              <w:ind w:right="440"/>
              <w:spacing w:after="0" w:line="84" w:lineRule="exact"/>
              <w:rPr>
                <w:sz w:val="20"/>
                <w:szCs w:val="20"/>
                <w:color w:val="auto"/>
              </w:rPr>
            </w:pPr>
            <w:r>
              <w:rPr>
                <w:rFonts w:ascii="Arial" w:cs="Arial" w:eastAsia="Arial" w:hAnsi="Arial"/>
                <w:sz w:val="9"/>
                <w:szCs w:val="9"/>
                <w:b w:val="1"/>
                <w:bCs w:val="1"/>
                <w:color w:val="auto"/>
              </w:rPr>
              <w:t>Number of Shares</w:t>
            </w:r>
          </w:p>
        </w:tc>
        <w:tc>
          <w:tcPr>
            <w:tcW w:w="980" w:type="dxa"/>
            <w:vAlign w:val="bottom"/>
          </w:tcPr>
          <w:p>
            <w:pPr>
              <w:jc w:val="center"/>
              <w:spacing w:after="0" w:line="84" w:lineRule="exact"/>
              <w:rPr>
                <w:sz w:val="20"/>
                <w:szCs w:val="20"/>
                <w:color w:val="auto"/>
              </w:rPr>
            </w:pPr>
            <w:r>
              <w:rPr>
                <w:rFonts w:ascii="Arial" w:cs="Arial" w:eastAsia="Arial" w:hAnsi="Arial"/>
                <w:sz w:val="9"/>
                <w:szCs w:val="9"/>
                <w:b w:val="1"/>
                <w:bCs w:val="1"/>
                <w:color w:val="auto"/>
              </w:rPr>
              <w:t>Value Realized</w:t>
            </w:r>
          </w:p>
        </w:tc>
        <w:tc>
          <w:tcPr>
            <w:tcW w:w="380" w:type="dxa"/>
            <w:vAlign w:val="bottom"/>
          </w:tcPr>
          <w:p>
            <w:pPr>
              <w:spacing w:after="0"/>
              <w:rPr>
                <w:sz w:val="7"/>
                <w:szCs w:val="7"/>
                <w:color w:val="auto"/>
              </w:rPr>
            </w:pPr>
          </w:p>
        </w:tc>
        <w:tc>
          <w:tcPr>
            <w:tcW w:w="1840" w:type="dxa"/>
            <w:vAlign w:val="bottom"/>
            <w:gridSpan w:val="2"/>
          </w:tcPr>
          <w:p>
            <w:pPr>
              <w:jc w:val="center"/>
              <w:ind w:right="440"/>
              <w:spacing w:after="0" w:line="84" w:lineRule="exact"/>
              <w:rPr>
                <w:sz w:val="20"/>
                <w:szCs w:val="20"/>
                <w:color w:val="auto"/>
              </w:rPr>
            </w:pPr>
            <w:r>
              <w:rPr>
                <w:rFonts w:ascii="Arial" w:cs="Arial" w:eastAsia="Arial" w:hAnsi="Arial"/>
                <w:sz w:val="9"/>
                <w:szCs w:val="9"/>
                <w:b w:val="1"/>
                <w:bCs w:val="1"/>
                <w:color w:val="auto"/>
              </w:rPr>
              <w:t>Number of Shares</w:t>
            </w:r>
          </w:p>
        </w:tc>
        <w:tc>
          <w:tcPr>
            <w:tcW w:w="1000" w:type="dxa"/>
            <w:vAlign w:val="bottom"/>
          </w:tcPr>
          <w:p>
            <w:pPr>
              <w:jc w:val="center"/>
              <w:spacing w:after="0" w:line="84" w:lineRule="exact"/>
              <w:rPr>
                <w:sz w:val="20"/>
                <w:szCs w:val="20"/>
                <w:color w:val="auto"/>
              </w:rPr>
            </w:pPr>
            <w:r>
              <w:rPr>
                <w:rFonts w:ascii="Arial" w:cs="Arial" w:eastAsia="Arial" w:hAnsi="Arial"/>
                <w:sz w:val="9"/>
                <w:szCs w:val="9"/>
                <w:b w:val="1"/>
                <w:bCs w:val="1"/>
                <w:color w:val="auto"/>
              </w:rPr>
              <w:t>Value Realized</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37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Name</w:t>
            </w:r>
          </w:p>
        </w:tc>
        <w:tc>
          <w:tcPr>
            <w:tcW w:w="1940" w:type="dxa"/>
            <w:vAlign w:val="bottom"/>
            <w:gridSpan w:val="2"/>
          </w:tcPr>
          <w:p>
            <w:pPr>
              <w:jc w:val="center"/>
              <w:ind w:right="440"/>
              <w:spacing w:after="0" w:line="121" w:lineRule="exact"/>
              <w:rPr>
                <w:sz w:val="20"/>
                <w:szCs w:val="20"/>
                <w:color w:val="auto"/>
              </w:rPr>
            </w:pPr>
            <w:r>
              <w:rPr>
                <w:rFonts w:ascii="Arial" w:cs="Arial" w:eastAsia="Arial" w:hAnsi="Arial"/>
                <w:sz w:val="11"/>
                <w:szCs w:val="11"/>
                <w:b w:val="1"/>
                <w:bCs w:val="1"/>
                <w:color w:val="auto"/>
                <w:w w:val="87"/>
              </w:rPr>
              <w:t>Acquired on Exercise</w:t>
            </w:r>
          </w:p>
        </w:tc>
        <w:tc>
          <w:tcPr>
            <w:tcW w:w="1360" w:type="dxa"/>
            <w:vAlign w:val="bottom"/>
            <w:gridSpan w:val="2"/>
          </w:tcPr>
          <w:p>
            <w:pPr>
              <w:jc w:val="center"/>
              <w:ind w:right="360"/>
              <w:spacing w:after="0" w:line="121" w:lineRule="exact"/>
              <w:rPr>
                <w:sz w:val="20"/>
                <w:szCs w:val="20"/>
                <w:color w:val="auto"/>
              </w:rPr>
            </w:pPr>
            <w:r>
              <w:rPr>
                <w:rFonts w:ascii="Arial" w:cs="Arial" w:eastAsia="Arial" w:hAnsi="Arial"/>
                <w:sz w:val="11"/>
                <w:szCs w:val="11"/>
                <w:b w:val="1"/>
                <w:bCs w:val="1"/>
                <w:color w:val="auto"/>
                <w:w w:val="84"/>
              </w:rPr>
              <w:t>on Exercise</w:t>
            </w:r>
          </w:p>
        </w:tc>
        <w:tc>
          <w:tcPr>
            <w:tcW w:w="1840" w:type="dxa"/>
            <w:vAlign w:val="bottom"/>
            <w:gridSpan w:val="2"/>
          </w:tcPr>
          <w:p>
            <w:pPr>
              <w:jc w:val="center"/>
              <w:ind w:right="440"/>
              <w:spacing w:after="0" w:line="121" w:lineRule="exact"/>
              <w:rPr>
                <w:sz w:val="20"/>
                <w:szCs w:val="20"/>
                <w:color w:val="auto"/>
              </w:rPr>
            </w:pPr>
            <w:r>
              <w:rPr>
                <w:rFonts w:ascii="Arial" w:cs="Arial" w:eastAsia="Arial" w:hAnsi="Arial"/>
                <w:sz w:val="11"/>
                <w:szCs w:val="11"/>
                <w:b w:val="1"/>
                <w:bCs w:val="1"/>
                <w:color w:val="auto"/>
                <w:w w:val="85"/>
              </w:rPr>
              <w:t>Acquired on Vesting</w:t>
            </w:r>
          </w:p>
        </w:tc>
        <w:tc>
          <w:tcPr>
            <w:tcW w:w="1080" w:type="dxa"/>
            <w:vAlign w:val="bottom"/>
            <w:gridSpan w:val="2"/>
          </w:tcPr>
          <w:p>
            <w:pPr>
              <w:jc w:val="center"/>
              <w:ind w:right="80"/>
              <w:spacing w:after="0" w:line="121" w:lineRule="exact"/>
              <w:rPr>
                <w:sz w:val="20"/>
                <w:szCs w:val="20"/>
                <w:color w:val="auto"/>
              </w:rPr>
            </w:pPr>
            <w:r>
              <w:rPr>
                <w:rFonts w:ascii="Arial" w:cs="Arial" w:eastAsia="Arial" w:hAnsi="Arial"/>
                <w:sz w:val="11"/>
                <w:szCs w:val="11"/>
                <w:b w:val="1"/>
                <w:bCs w:val="1"/>
                <w:color w:val="auto"/>
                <w:w w:val="85"/>
              </w:rPr>
              <w:t>on Vesting</w:t>
            </w:r>
          </w:p>
        </w:tc>
        <w:tc>
          <w:tcPr>
            <w:tcW w:w="0" w:type="dxa"/>
            <w:vAlign w:val="bottom"/>
          </w:tcPr>
          <w:p>
            <w:pPr>
              <w:spacing w:after="0"/>
              <w:rPr>
                <w:sz w:val="1"/>
                <w:szCs w:val="1"/>
                <w:color w:val="auto"/>
              </w:rPr>
            </w:pPr>
          </w:p>
        </w:tc>
      </w:tr>
      <w:tr>
        <w:trPr>
          <w:trHeight w:val="128"/>
        </w:trPr>
        <w:tc>
          <w:tcPr>
            <w:tcW w:w="3760" w:type="dxa"/>
            <w:vAlign w:val="bottom"/>
            <w:gridSpan w:val="2"/>
            <w:vMerge w:val="continue"/>
          </w:tcPr>
          <w:p>
            <w:pPr>
              <w:spacing w:after="0"/>
              <w:rPr>
                <w:sz w:val="11"/>
                <w:szCs w:val="11"/>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w:t>
            </w:r>
          </w:p>
        </w:tc>
        <w:tc>
          <w:tcPr>
            <w:tcW w:w="460" w:type="dxa"/>
            <w:vAlign w:val="bottom"/>
          </w:tcPr>
          <w:p>
            <w:pPr>
              <w:spacing w:after="0"/>
              <w:rPr>
                <w:sz w:val="11"/>
                <w:szCs w:val="11"/>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w:t>
            </w:r>
          </w:p>
        </w:tc>
        <w:tc>
          <w:tcPr>
            <w:tcW w:w="380" w:type="dxa"/>
            <w:vAlign w:val="bottom"/>
          </w:tcPr>
          <w:p>
            <w:pPr>
              <w:spacing w:after="0"/>
              <w:rPr>
                <w:sz w:val="11"/>
                <w:szCs w:val="11"/>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w:t>
            </w:r>
          </w:p>
        </w:tc>
        <w:tc>
          <w:tcPr>
            <w:tcW w:w="460" w:type="dxa"/>
            <w:vAlign w:val="bottom"/>
          </w:tcPr>
          <w:p>
            <w:pPr>
              <w:spacing w:after="0"/>
              <w:rPr>
                <w:sz w:val="11"/>
                <w:szCs w:val="11"/>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13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37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David P. Steiner</w:t>
            </w:r>
          </w:p>
        </w:tc>
        <w:tc>
          <w:tcPr>
            <w:tcW w:w="194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0</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w:t>
            </w:r>
          </w:p>
        </w:tc>
        <w:tc>
          <w:tcPr>
            <w:tcW w:w="1840" w:type="dxa"/>
            <w:vAlign w:val="bottom"/>
            <w:gridSpan w:val="2"/>
            <w:shd w:val="clear" w:color="auto" w:fill="CCEEFF"/>
          </w:tcPr>
          <w:p>
            <w:pPr>
              <w:ind w:left="1020"/>
              <w:spacing w:after="0"/>
              <w:rPr>
                <w:sz w:val="20"/>
                <w:szCs w:val="20"/>
                <w:color w:val="auto"/>
              </w:rPr>
            </w:pPr>
            <w:r>
              <w:rPr>
                <w:rFonts w:ascii="Arial" w:cs="Arial" w:eastAsia="Arial" w:hAnsi="Arial"/>
                <w:sz w:val="13"/>
                <w:szCs w:val="13"/>
                <w:color w:val="auto"/>
              </w:rPr>
              <w:t>78,980</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2,366,585</w:t>
            </w:r>
          </w:p>
        </w:tc>
        <w:tc>
          <w:tcPr>
            <w:tcW w:w="0" w:type="dxa"/>
            <w:vAlign w:val="bottom"/>
          </w:tcPr>
          <w:p>
            <w:pPr>
              <w:spacing w:after="0"/>
              <w:rPr>
                <w:sz w:val="1"/>
                <w:szCs w:val="1"/>
                <w:color w:val="auto"/>
              </w:rPr>
            </w:pPr>
          </w:p>
        </w:tc>
      </w:tr>
      <w:tr>
        <w:trPr>
          <w:trHeight w:val="161"/>
        </w:trPr>
        <w:tc>
          <w:tcPr>
            <w:tcW w:w="3760" w:type="dxa"/>
            <w:vAlign w:val="bottom"/>
            <w:gridSpan w:val="2"/>
          </w:tcPr>
          <w:p>
            <w:pPr>
              <w:spacing w:after="0"/>
              <w:rPr>
                <w:sz w:val="20"/>
                <w:szCs w:val="20"/>
                <w:color w:val="auto"/>
              </w:rPr>
            </w:pPr>
            <w:r>
              <w:rPr>
                <w:rFonts w:ascii="Arial" w:cs="Arial" w:eastAsia="Arial" w:hAnsi="Arial"/>
                <w:sz w:val="13"/>
                <w:szCs w:val="13"/>
                <w:color w:val="auto"/>
              </w:rPr>
              <w:t>Lawrence O’Donnell, III</w:t>
            </w:r>
          </w:p>
        </w:tc>
        <w:tc>
          <w:tcPr>
            <w:tcW w:w="1940" w:type="dxa"/>
            <w:vAlign w:val="bottom"/>
            <w:gridSpan w:val="2"/>
          </w:tcPr>
          <w:p>
            <w:pPr>
              <w:jc w:val="right"/>
              <w:ind w:right="300"/>
              <w:spacing w:after="0"/>
              <w:rPr>
                <w:sz w:val="20"/>
                <w:szCs w:val="20"/>
                <w:color w:val="auto"/>
              </w:rPr>
            </w:pPr>
            <w:r>
              <w:rPr>
                <w:rFonts w:ascii="Arial" w:cs="Arial" w:eastAsia="Arial" w:hAnsi="Arial"/>
                <w:sz w:val="13"/>
                <w:szCs w:val="13"/>
                <w:color w:val="auto"/>
              </w:rPr>
              <w:t>325,852(2)</w:t>
            </w:r>
          </w:p>
        </w:tc>
        <w:tc>
          <w:tcPr>
            <w:tcW w:w="1360" w:type="dxa"/>
            <w:vAlign w:val="bottom"/>
            <w:gridSpan w:val="2"/>
          </w:tcPr>
          <w:p>
            <w:pPr>
              <w:jc w:val="right"/>
              <w:ind w:right="380"/>
              <w:spacing w:after="0"/>
              <w:rPr>
                <w:sz w:val="20"/>
                <w:szCs w:val="20"/>
                <w:color w:val="auto"/>
              </w:rPr>
            </w:pPr>
            <w:r>
              <w:rPr>
                <w:rFonts w:ascii="Arial" w:cs="Arial" w:eastAsia="Arial" w:hAnsi="Arial"/>
                <w:sz w:val="13"/>
                <w:szCs w:val="13"/>
                <w:color w:val="auto"/>
              </w:rPr>
              <w:t>4,290,656</w:t>
            </w:r>
          </w:p>
        </w:tc>
        <w:tc>
          <w:tcPr>
            <w:tcW w:w="1840" w:type="dxa"/>
            <w:vAlign w:val="bottom"/>
            <w:gridSpan w:val="2"/>
          </w:tcPr>
          <w:p>
            <w:pPr>
              <w:ind w:left="1020"/>
              <w:spacing w:after="0"/>
              <w:rPr>
                <w:sz w:val="20"/>
                <w:szCs w:val="20"/>
                <w:color w:val="auto"/>
              </w:rPr>
            </w:pPr>
            <w:r>
              <w:rPr>
                <w:rFonts w:ascii="Arial" w:cs="Arial" w:eastAsia="Arial" w:hAnsi="Arial"/>
                <w:sz w:val="13"/>
                <w:szCs w:val="13"/>
                <w:color w:val="auto"/>
              </w:rPr>
              <w:t>33,509</w:t>
            </w:r>
          </w:p>
        </w:tc>
        <w:tc>
          <w:tcPr>
            <w:tcW w:w="1080" w:type="dxa"/>
            <w:vAlign w:val="bottom"/>
            <w:gridSpan w:val="2"/>
          </w:tcPr>
          <w:p>
            <w:pPr>
              <w:jc w:val="right"/>
              <w:ind w:right="80"/>
              <w:spacing w:after="0"/>
              <w:rPr>
                <w:sz w:val="20"/>
                <w:szCs w:val="20"/>
                <w:color w:val="auto"/>
              </w:rPr>
            </w:pPr>
            <w:r>
              <w:rPr>
                <w:rFonts w:ascii="Arial" w:cs="Arial" w:eastAsia="Arial" w:hAnsi="Arial"/>
                <w:sz w:val="13"/>
                <w:szCs w:val="13"/>
                <w:color w:val="auto"/>
              </w:rPr>
              <w:t>1,004,074</w:t>
            </w:r>
          </w:p>
        </w:tc>
        <w:tc>
          <w:tcPr>
            <w:tcW w:w="0" w:type="dxa"/>
            <w:vAlign w:val="bottom"/>
          </w:tcPr>
          <w:p>
            <w:pPr>
              <w:spacing w:after="0"/>
              <w:rPr>
                <w:sz w:val="1"/>
                <w:szCs w:val="1"/>
                <w:color w:val="auto"/>
              </w:rPr>
            </w:pPr>
          </w:p>
        </w:tc>
      </w:tr>
      <w:tr>
        <w:trPr>
          <w:trHeight w:val="161"/>
        </w:trPr>
        <w:tc>
          <w:tcPr>
            <w:tcW w:w="37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Robert G. Simpson</w:t>
            </w:r>
          </w:p>
        </w:tc>
        <w:tc>
          <w:tcPr>
            <w:tcW w:w="194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0</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w:t>
            </w:r>
          </w:p>
        </w:tc>
        <w:tc>
          <w:tcPr>
            <w:tcW w:w="1840" w:type="dxa"/>
            <w:vAlign w:val="bottom"/>
            <w:gridSpan w:val="2"/>
            <w:shd w:val="clear" w:color="auto" w:fill="CCEEFF"/>
          </w:tcPr>
          <w:p>
            <w:pPr>
              <w:ind w:left="1020"/>
              <w:spacing w:after="0"/>
              <w:rPr>
                <w:sz w:val="20"/>
                <w:szCs w:val="20"/>
                <w:color w:val="auto"/>
              </w:rPr>
            </w:pPr>
            <w:r>
              <w:rPr>
                <w:rFonts w:ascii="Arial" w:cs="Arial" w:eastAsia="Arial" w:hAnsi="Arial"/>
                <w:sz w:val="13"/>
                <w:szCs w:val="13"/>
                <w:color w:val="auto"/>
              </w:rPr>
              <w:t>26,329</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788,930</w:t>
            </w:r>
          </w:p>
        </w:tc>
        <w:tc>
          <w:tcPr>
            <w:tcW w:w="0" w:type="dxa"/>
            <w:vAlign w:val="bottom"/>
          </w:tcPr>
          <w:p>
            <w:pPr>
              <w:spacing w:after="0"/>
              <w:rPr>
                <w:sz w:val="1"/>
                <w:szCs w:val="1"/>
                <w:color w:val="auto"/>
              </w:rPr>
            </w:pPr>
          </w:p>
        </w:tc>
      </w:tr>
      <w:tr>
        <w:trPr>
          <w:trHeight w:val="161"/>
        </w:trPr>
        <w:tc>
          <w:tcPr>
            <w:tcW w:w="3760" w:type="dxa"/>
            <w:vAlign w:val="bottom"/>
            <w:gridSpan w:val="2"/>
          </w:tcPr>
          <w:p>
            <w:pPr>
              <w:spacing w:after="0"/>
              <w:rPr>
                <w:sz w:val="20"/>
                <w:szCs w:val="20"/>
                <w:color w:val="auto"/>
              </w:rPr>
            </w:pPr>
            <w:r>
              <w:rPr>
                <w:rFonts w:ascii="Arial" w:cs="Arial" w:eastAsia="Arial" w:hAnsi="Arial"/>
                <w:sz w:val="13"/>
                <w:szCs w:val="13"/>
                <w:color w:val="auto"/>
              </w:rPr>
              <w:t>James E. Trevathan</w:t>
            </w:r>
          </w:p>
        </w:tc>
        <w:tc>
          <w:tcPr>
            <w:tcW w:w="1940" w:type="dxa"/>
            <w:vAlign w:val="bottom"/>
            <w:gridSpan w:val="2"/>
          </w:tcPr>
          <w:p>
            <w:pPr>
              <w:jc w:val="right"/>
              <w:ind w:right="460"/>
              <w:spacing w:after="0"/>
              <w:rPr>
                <w:sz w:val="20"/>
                <w:szCs w:val="20"/>
                <w:color w:val="auto"/>
              </w:rPr>
            </w:pPr>
            <w:r>
              <w:rPr>
                <w:rFonts w:ascii="Arial" w:cs="Arial" w:eastAsia="Arial" w:hAnsi="Arial"/>
                <w:sz w:val="13"/>
                <w:szCs w:val="13"/>
                <w:color w:val="auto"/>
              </w:rPr>
              <w:t>12,500</w:t>
            </w:r>
          </w:p>
        </w:tc>
        <w:tc>
          <w:tcPr>
            <w:tcW w:w="1360" w:type="dxa"/>
            <w:vAlign w:val="bottom"/>
            <w:gridSpan w:val="2"/>
          </w:tcPr>
          <w:p>
            <w:pPr>
              <w:jc w:val="right"/>
              <w:ind w:right="380"/>
              <w:spacing w:after="0"/>
              <w:rPr>
                <w:sz w:val="20"/>
                <w:szCs w:val="20"/>
                <w:color w:val="auto"/>
              </w:rPr>
            </w:pPr>
            <w:r>
              <w:rPr>
                <w:rFonts w:ascii="Arial" w:cs="Arial" w:eastAsia="Arial" w:hAnsi="Arial"/>
                <w:sz w:val="13"/>
                <w:szCs w:val="13"/>
                <w:color w:val="auto"/>
              </w:rPr>
              <w:t>99,395</w:t>
            </w:r>
          </w:p>
        </w:tc>
        <w:tc>
          <w:tcPr>
            <w:tcW w:w="1840" w:type="dxa"/>
            <w:vAlign w:val="bottom"/>
            <w:gridSpan w:val="2"/>
          </w:tcPr>
          <w:p>
            <w:pPr>
              <w:ind w:left="1020"/>
              <w:spacing w:after="0"/>
              <w:rPr>
                <w:sz w:val="20"/>
                <w:szCs w:val="20"/>
                <w:color w:val="auto"/>
              </w:rPr>
            </w:pPr>
            <w:r>
              <w:rPr>
                <w:rFonts w:ascii="Arial" w:cs="Arial" w:eastAsia="Arial" w:hAnsi="Arial"/>
                <w:sz w:val="13"/>
                <w:szCs w:val="13"/>
                <w:color w:val="auto"/>
              </w:rPr>
              <w:t>15,559</w:t>
            </w:r>
          </w:p>
        </w:tc>
        <w:tc>
          <w:tcPr>
            <w:tcW w:w="1080" w:type="dxa"/>
            <w:vAlign w:val="bottom"/>
            <w:gridSpan w:val="2"/>
          </w:tcPr>
          <w:p>
            <w:pPr>
              <w:jc w:val="right"/>
              <w:ind w:right="80"/>
              <w:spacing w:after="0"/>
              <w:rPr>
                <w:sz w:val="20"/>
                <w:szCs w:val="20"/>
                <w:color w:val="auto"/>
              </w:rPr>
            </w:pPr>
            <w:r>
              <w:rPr>
                <w:rFonts w:ascii="Arial" w:cs="Arial" w:eastAsia="Arial" w:hAnsi="Arial"/>
                <w:sz w:val="13"/>
                <w:szCs w:val="13"/>
                <w:color w:val="auto"/>
              </w:rPr>
              <w:t>466,213</w:t>
            </w:r>
          </w:p>
        </w:tc>
        <w:tc>
          <w:tcPr>
            <w:tcW w:w="0" w:type="dxa"/>
            <w:vAlign w:val="bottom"/>
          </w:tcPr>
          <w:p>
            <w:pPr>
              <w:spacing w:after="0"/>
              <w:rPr>
                <w:sz w:val="1"/>
                <w:szCs w:val="1"/>
                <w:color w:val="auto"/>
              </w:rPr>
            </w:pPr>
          </w:p>
        </w:tc>
      </w:tr>
      <w:tr>
        <w:trPr>
          <w:trHeight w:val="161"/>
        </w:trPr>
        <w:tc>
          <w:tcPr>
            <w:tcW w:w="37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Duane C. Woods</w:t>
            </w:r>
          </w:p>
        </w:tc>
        <w:tc>
          <w:tcPr>
            <w:tcW w:w="194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4,000</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37,296</w:t>
            </w:r>
          </w:p>
        </w:tc>
        <w:tc>
          <w:tcPr>
            <w:tcW w:w="1840" w:type="dxa"/>
            <w:vAlign w:val="bottom"/>
            <w:gridSpan w:val="2"/>
            <w:shd w:val="clear" w:color="auto" w:fill="CCEEFF"/>
          </w:tcPr>
          <w:p>
            <w:pPr>
              <w:ind w:left="1020"/>
              <w:spacing w:after="0"/>
              <w:rPr>
                <w:sz w:val="20"/>
                <w:szCs w:val="20"/>
                <w:color w:val="auto"/>
              </w:rPr>
            </w:pPr>
            <w:r>
              <w:rPr>
                <w:rFonts w:ascii="Arial" w:cs="Arial" w:eastAsia="Arial" w:hAnsi="Arial"/>
                <w:sz w:val="13"/>
                <w:szCs w:val="13"/>
                <w:color w:val="auto"/>
              </w:rPr>
              <w:t>15,559(3)</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466,213</w:t>
            </w:r>
          </w:p>
        </w:tc>
        <w:tc>
          <w:tcPr>
            <w:tcW w:w="0" w:type="dxa"/>
            <w:vAlign w:val="bottom"/>
          </w:tcPr>
          <w:p>
            <w:pPr>
              <w:spacing w:after="0"/>
              <w:rPr>
                <w:sz w:val="1"/>
                <w:szCs w:val="1"/>
                <w:color w:val="auto"/>
              </w:rPr>
            </w:pPr>
          </w:p>
        </w:tc>
      </w:tr>
      <w:tr>
        <w:trPr>
          <w:trHeight w:val="101"/>
        </w:trPr>
        <w:tc>
          <w:tcPr>
            <w:tcW w:w="1300" w:type="dxa"/>
            <w:vAlign w:val="bottom"/>
            <w:tcBorders>
              <w:bottom w:val="single" w:sz="8" w:color="auto"/>
            </w:tcBorders>
          </w:tcPr>
          <w:p>
            <w:pPr>
              <w:spacing w:after="0"/>
              <w:rPr>
                <w:sz w:val="8"/>
                <w:szCs w:val="8"/>
                <w:color w:val="auto"/>
              </w:rPr>
            </w:pPr>
          </w:p>
        </w:tc>
        <w:tc>
          <w:tcPr>
            <w:tcW w:w="24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9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-613410</wp:posOffset>
            </wp:positionV>
            <wp:extent cx="25400" cy="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5400" cy="6350"/>
                    </a:xfrm>
                    <a:prstGeom prst="rect">
                      <a:avLst/>
                    </a:prstGeom>
                    <a:noFill/>
                  </pic:spPr>
                </pic:pic>
              </a:graphicData>
            </a:graphic>
          </wp:anchor>
        </w:drawing>
      </w:r>
    </w:p>
    <w:p>
      <w:pPr>
        <w:spacing w:after="0" w:line="20" w:lineRule="exact"/>
        <w:rPr>
          <w:sz w:val="20"/>
          <w:szCs w:val="20"/>
          <w:color w:val="auto"/>
        </w:rPr>
      </w:pPr>
    </w:p>
    <w:p>
      <w:pPr>
        <w:ind w:left="1000" w:right="180" w:hanging="266"/>
        <w:spacing w:after="0" w:line="291" w:lineRule="auto"/>
        <w:tabs>
          <w:tab w:leader="none" w:pos="10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Includes restricted stock units granted in 2005 and 2006 that vested in equal installments over four years and performance share units granted in 2006 with a performance period ended December 31, 2008 that were paid out in February 2009.</w:t>
      </w:r>
    </w:p>
    <w:p>
      <w:pPr>
        <w:ind w:left="1000" w:hanging="266"/>
        <w:spacing w:after="0" w:line="291" w:lineRule="auto"/>
        <w:tabs>
          <w:tab w:leader="none" w:pos="10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We withheld shares in payment of the exercise price and minimum statutory tax withholding from Mr. O’Donnell’s exercise of non-qualified stock options. Mr. O’Donnell received 91,716 net shares in this transaction.</w:t>
      </w:r>
    </w:p>
    <w:p>
      <w:pPr>
        <w:ind w:left="1000" w:right="220" w:hanging="266"/>
        <w:spacing w:after="0" w:line="276" w:lineRule="auto"/>
        <w:tabs>
          <w:tab w:leader="none" w:pos="10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Mr. Woods deferred receipt of 10,142 shares, valued at $288,996 based on the market value of our Common Stock on the date of payment, payable under his 2006 performance share unit award. Mr. Woods elected to defer the receipt of the shares until he leaves the Company. Information about deferrals of performance share units can be found in the CD&amp;A.</w:t>
      </w:r>
    </w:p>
    <w:p>
      <w:pPr>
        <w:spacing w:after="0" w:line="218" w:lineRule="exact"/>
        <w:rPr>
          <w:sz w:val="20"/>
          <w:szCs w:val="20"/>
          <w:color w:val="auto"/>
        </w:rPr>
      </w:pPr>
    </w:p>
    <w:p>
      <w:pPr>
        <w:ind w:left="4380"/>
        <w:spacing w:after="0"/>
        <w:rPr>
          <w:sz w:val="20"/>
          <w:szCs w:val="20"/>
          <w:color w:val="auto"/>
        </w:rPr>
      </w:pPr>
      <w:r>
        <w:rPr>
          <w:rFonts w:ascii="Arial" w:cs="Arial" w:eastAsia="Arial" w:hAnsi="Arial"/>
          <w:sz w:val="13"/>
          <w:szCs w:val="13"/>
          <w:b w:val="1"/>
          <w:bCs w:val="1"/>
          <w:color w:val="auto"/>
        </w:rPr>
        <w:t>Nonqualified Deferred Compensation in 2009</w:t>
      </w:r>
    </w:p>
    <w:p>
      <w:pPr>
        <w:spacing w:after="0" w:line="93"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130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85"/>
              </w:rPr>
              <w:t>Executive</w:t>
            </w:r>
          </w:p>
        </w:tc>
        <w:tc>
          <w:tcPr>
            <w:tcW w:w="130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88"/>
              </w:rPr>
              <w:t>Registrant</w:t>
            </w:r>
          </w:p>
        </w:tc>
        <w:tc>
          <w:tcPr>
            <w:tcW w:w="112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88"/>
              </w:rPr>
              <w:t>Aggregate</w:t>
            </w:r>
          </w:p>
        </w:tc>
        <w:tc>
          <w:tcPr>
            <w:tcW w:w="1260" w:type="dxa"/>
            <w:vAlign w:val="bottom"/>
            <w:gridSpan w:val="2"/>
            <w:vMerge w:val="restart"/>
          </w:tcPr>
          <w:p>
            <w:pPr>
              <w:jc w:val="center"/>
              <w:ind w:right="380"/>
              <w:spacing w:after="0"/>
              <w:rPr>
                <w:sz w:val="20"/>
                <w:szCs w:val="20"/>
                <w:color w:val="auto"/>
              </w:rPr>
            </w:pPr>
            <w:r>
              <w:rPr>
                <w:rFonts w:ascii="Arial" w:cs="Arial" w:eastAsia="Arial" w:hAnsi="Arial"/>
                <w:sz w:val="11"/>
                <w:szCs w:val="11"/>
                <w:b w:val="1"/>
                <w:bCs w:val="1"/>
                <w:color w:val="auto"/>
                <w:w w:val="88"/>
              </w:rPr>
              <w:t>Aggregate</w:t>
            </w:r>
          </w:p>
        </w:tc>
        <w:tc>
          <w:tcPr>
            <w:tcW w:w="7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4"/>
              </w:rPr>
              <w:t>Aggregate</w:t>
            </w: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2900" w:type="dxa"/>
            <w:vAlign w:val="bottom"/>
          </w:tcPr>
          <w:p>
            <w:pPr>
              <w:spacing w:after="0"/>
              <w:rPr>
                <w:sz w:val="9"/>
                <w:szCs w:val="9"/>
                <w:color w:val="auto"/>
              </w:rPr>
            </w:pPr>
          </w:p>
        </w:tc>
        <w:tc>
          <w:tcPr>
            <w:tcW w:w="1320" w:type="dxa"/>
            <w:vAlign w:val="bottom"/>
            <w:gridSpan w:val="2"/>
          </w:tcPr>
          <w:p>
            <w:pPr>
              <w:jc w:val="center"/>
              <w:ind w:right="400"/>
              <w:spacing w:after="0" w:line="111" w:lineRule="exact"/>
              <w:rPr>
                <w:sz w:val="20"/>
                <w:szCs w:val="20"/>
                <w:color w:val="auto"/>
              </w:rPr>
            </w:pPr>
            <w:r>
              <w:rPr>
                <w:rFonts w:ascii="Arial" w:cs="Arial" w:eastAsia="Arial" w:hAnsi="Arial"/>
                <w:sz w:val="11"/>
                <w:szCs w:val="11"/>
                <w:b w:val="1"/>
                <w:bCs w:val="1"/>
                <w:color w:val="auto"/>
                <w:w w:val="88"/>
              </w:rPr>
              <w:t>Contributions</w:t>
            </w:r>
          </w:p>
        </w:tc>
        <w:tc>
          <w:tcPr>
            <w:tcW w:w="1300" w:type="dxa"/>
            <w:vAlign w:val="bottom"/>
            <w:gridSpan w:val="2"/>
          </w:tcPr>
          <w:p>
            <w:pPr>
              <w:jc w:val="center"/>
              <w:ind w:right="380"/>
              <w:spacing w:after="0" w:line="111" w:lineRule="exact"/>
              <w:rPr>
                <w:sz w:val="20"/>
                <w:szCs w:val="20"/>
                <w:color w:val="auto"/>
              </w:rPr>
            </w:pPr>
            <w:r>
              <w:rPr>
                <w:rFonts w:ascii="Arial" w:cs="Arial" w:eastAsia="Arial" w:hAnsi="Arial"/>
                <w:sz w:val="11"/>
                <w:szCs w:val="11"/>
                <w:b w:val="1"/>
                <w:bCs w:val="1"/>
                <w:color w:val="auto"/>
                <w:w w:val="88"/>
              </w:rPr>
              <w:t>Contributions</w:t>
            </w:r>
          </w:p>
        </w:tc>
        <w:tc>
          <w:tcPr>
            <w:tcW w:w="1120" w:type="dxa"/>
            <w:vAlign w:val="bottom"/>
            <w:gridSpan w:val="2"/>
          </w:tcPr>
          <w:p>
            <w:pPr>
              <w:jc w:val="center"/>
              <w:ind w:right="380"/>
              <w:spacing w:after="0" w:line="111" w:lineRule="exact"/>
              <w:rPr>
                <w:sz w:val="20"/>
                <w:szCs w:val="20"/>
                <w:color w:val="auto"/>
              </w:rPr>
            </w:pPr>
            <w:r>
              <w:rPr>
                <w:rFonts w:ascii="Arial" w:cs="Arial" w:eastAsia="Arial" w:hAnsi="Arial"/>
                <w:sz w:val="11"/>
                <w:szCs w:val="11"/>
                <w:b w:val="1"/>
                <w:bCs w:val="1"/>
                <w:color w:val="auto"/>
                <w:w w:val="89"/>
              </w:rPr>
              <w:t>Earnings</w:t>
            </w:r>
          </w:p>
        </w:tc>
        <w:tc>
          <w:tcPr>
            <w:tcW w:w="1260" w:type="dxa"/>
            <w:vAlign w:val="bottom"/>
            <w:gridSpan w:val="2"/>
            <w:vMerge w:val="continue"/>
          </w:tcPr>
          <w:p>
            <w:pPr>
              <w:spacing w:after="0"/>
              <w:rPr>
                <w:sz w:val="9"/>
                <w:szCs w:val="9"/>
                <w:color w:val="auto"/>
              </w:rPr>
            </w:pPr>
          </w:p>
        </w:tc>
        <w:tc>
          <w:tcPr>
            <w:tcW w:w="780" w:type="dxa"/>
            <w:vAlign w:val="bottom"/>
            <w:gridSpan w:val="2"/>
          </w:tcPr>
          <w:p>
            <w:pPr>
              <w:jc w:val="center"/>
              <w:ind w:right="60"/>
              <w:spacing w:after="0" w:line="111" w:lineRule="exact"/>
              <w:rPr>
                <w:sz w:val="20"/>
                <w:szCs w:val="20"/>
                <w:color w:val="auto"/>
              </w:rPr>
            </w:pPr>
            <w:r>
              <w:rPr>
                <w:rFonts w:ascii="Arial" w:cs="Arial" w:eastAsia="Arial" w:hAnsi="Arial"/>
                <w:sz w:val="11"/>
                <w:szCs w:val="11"/>
                <w:b w:val="1"/>
                <w:bCs w:val="1"/>
                <w:color w:val="auto"/>
                <w:w w:val="87"/>
              </w:rPr>
              <w:t>Balance at</w:t>
            </w: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2900" w:type="dxa"/>
            <w:vAlign w:val="bottom"/>
          </w:tcPr>
          <w:p>
            <w:pPr>
              <w:spacing w:after="0"/>
              <w:rPr>
                <w:sz w:val="9"/>
                <w:szCs w:val="9"/>
                <w:color w:val="auto"/>
              </w:rPr>
            </w:pPr>
          </w:p>
        </w:tc>
        <w:tc>
          <w:tcPr>
            <w:tcW w:w="1320" w:type="dxa"/>
            <w:vAlign w:val="bottom"/>
            <w:gridSpan w:val="2"/>
          </w:tcPr>
          <w:p>
            <w:pPr>
              <w:jc w:val="center"/>
              <w:ind w:right="400"/>
              <w:spacing w:after="0" w:line="111" w:lineRule="exact"/>
              <w:rPr>
                <w:sz w:val="20"/>
                <w:szCs w:val="20"/>
                <w:color w:val="auto"/>
              </w:rPr>
            </w:pPr>
            <w:r>
              <w:rPr>
                <w:rFonts w:ascii="Arial" w:cs="Arial" w:eastAsia="Arial" w:hAnsi="Arial"/>
                <w:sz w:val="11"/>
                <w:szCs w:val="11"/>
                <w:b w:val="1"/>
                <w:bCs w:val="1"/>
                <w:color w:val="auto"/>
                <w:w w:val="90"/>
              </w:rPr>
              <w:t>in Last</w:t>
            </w:r>
          </w:p>
        </w:tc>
        <w:tc>
          <w:tcPr>
            <w:tcW w:w="1300" w:type="dxa"/>
            <w:vAlign w:val="bottom"/>
            <w:gridSpan w:val="2"/>
          </w:tcPr>
          <w:p>
            <w:pPr>
              <w:jc w:val="center"/>
              <w:ind w:right="380"/>
              <w:spacing w:after="0" w:line="111" w:lineRule="exact"/>
              <w:rPr>
                <w:sz w:val="20"/>
                <w:szCs w:val="20"/>
                <w:color w:val="auto"/>
              </w:rPr>
            </w:pPr>
            <w:r>
              <w:rPr>
                <w:rFonts w:ascii="Arial" w:cs="Arial" w:eastAsia="Arial" w:hAnsi="Arial"/>
                <w:sz w:val="11"/>
                <w:szCs w:val="11"/>
                <w:b w:val="1"/>
                <w:bCs w:val="1"/>
                <w:color w:val="auto"/>
                <w:w w:val="90"/>
              </w:rPr>
              <w:t>in Last</w:t>
            </w:r>
          </w:p>
        </w:tc>
        <w:tc>
          <w:tcPr>
            <w:tcW w:w="1120" w:type="dxa"/>
            <w:vAlign w:val="bottom"/>
            <w:gridSpan w:val="2"/>
          </w:tcPr>
          <w:p>
            <w:pPr>
              <w:jc w:val="center"/>
              <w:ind w:right="400"/>
              <w:spacing w:after="0" w:line="111" w:lineRule="exact"/>
              <w:rPr>
                <w:sz w:val="20"/>
                <w:szCs w:val="20"/>
                <w:color w:val="auto"/>
              </w:rPr>
            </w:pPr>
            <w:r>
              <w:rPr>
                <w:rFonts w:ascii="Arial" w:cs="Arial" w:eastAsia="Arial" w:hAnsi="Arial"/>
                <w:sz w:val="11"/>
                <w:szCs w:val="11"/>
                <w:b w:val="1"/>
                <w:bCs w:val="1"/>
                <w:color w:val="auto"/>
                <w:w w:val="90"/>
              </w:rPr>
              <w:t>in Last</w:t>
            </w:r>
          </w:p>
        </w:tc>
        <w:tc>
          <w:tcPr>
            <w:tcW w:w="1260" w:type="dxa"/>
            <w:vAlign w:val="bottom"/>
            <w:gridSpan w:val="2"/>
          </w:tcPr>
          <w:p>
            <w:pPr>
              <w:jc w:val="center"/>
              <w:ind w:right="380"/>
              <w:spacing w:after="0" w:line="111" w:lineRule="exact"/>
              <w:rPr>
                <w:sz w:val="20"/>
                <w:szCs w:val="20"/>
                <w:color w:val="auto"/>
              </w:rPr>
            </w:pPr>
            <w:r>
              <w:rPr>
                <w:rFonts w:ascii="Arial" w:cs="Arial" w:eastAsia="Arial" w:hAnsi="Arial"/>
                <w:sz w:val="11"/>
                <w:szCs w:val="11"/>
                <w:b w:val="1"/>
                <w:bCs w:val="1"/>
                <w:color w:val="auto"/>
                <w:w w:val="94"/>
              </w:rPr>
              <w:t>Withdrawals/</w:t>
            </w:r>
          </w:p>
        </w:tc>
        <w:tc>
          <w:tcPr>
            <w:tcW w:w="780" w:type="dxa"/>
            <w:vAlign w:val="bottom"/>
            <w:gridSpan w:val="2"/>
          </w:tcPr>
          <w:p>
            <w:pPr>
              <w:jc w:val="center"/>
              <w:ind w:right="80"/>
              <w:spacing w:after="0" w:line="111" w:lineRule="exact"/>
              <w:rPr>
                <w:sz w:val="20"/>
                <w:szCs w:val="20"/>
                <w:color w:val="auto"/>
              </w:rPr>
            </w:pPr>
            <w:r>
              <w:rPr>
                <w:rFonts w:ascii="Arial" w:cs="Arial" w:eastAsia="Arial" w:hAnsi="Arial"/>
                <w:sz w:val="11"/>
                <w:szCs w:val="11"/>
                <w:b w:val="1"/>
                <w:bCs w:val="1"/>
                <w:color w:val="auto"/>
                <w:w w:val="87"/>
              </w:rPr>
              <w:t>Last Fiscal</w:t>
            </w:r>
          </w:p>
        </w:tc>
        <w:tc>
          <w:tcPr>
            <w:tcW w:w="0" w:type="dxa"/>
            <w:vAlign w:val="bottom"/>
          </w:tcPr>
          <w:p>
            <w:pPr>
              <w:spacing w:after="0"/>
              <w:rPr>
                <w:sz w:val="1"/>
                <w:szCs w:val="1"/>
                <w:color w:val="auto"/>
              </w:rPr>
            </w:pPr>
          </w:p>
        </w:tc>
      </w:tr>
      <w:tr>
        <w:trPr>
          <w:trHeight w:val="121"/>
        </w:trPr>
        <w:tc>
          <w:tcPr>
            <w:tcW w:w="42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Name</w:t>
            </w:r>
          </w:p>
        </w:tc>
        <w:tc>
          <w:tcPr>
            <w:tcW w:w="1320" w:type="dxa"/>
            <w:vAlign w:val="bottom"/>
            <w:gridSpan w:val="2"/>
          </w:tcPr>
          <w:p>
            <w:pPr>
              <w:jc w:val="center"/>
              <w:ind w:right="400"/>
              <w:spacing w:after="0" w:line="121" w:lineRule="exact"/>
              <w:rPr>
                <w:sz w:val="20"/>
                <w:szCs w:val="20"/>
                <w:color w:val="auto"/>
              </w:rPr>
            </w:pPr>
            <w:r>
              <w:rPr>
                <w:rFonts w:ascii="Arial" w:cs="Arial" w:eastAsia="Arial" w:hAnsi="Arial"/>
                <w:sz w:val="11"/>
                <w:szCs w:val="11"/>
                <w:b w:val="1"/>
                <w:bCs w:val="1"/>
                <w:color w:val="auto"/>
                <w:w w:val="89"/>
              </w:rPr>
              <w:t>Fiscal Year</w:t>
            </w:r>
          </w:p>
        </w:tc>
        <w:tc>
          <w:tcPr>
            <w:tcW w:w="1300" w:type="dxa"/>
            <w:vAlign w:val="bottom"/>
            <w:gridSpan w:val="2"/>
          </w:tcPr>
          <w:p>
            <w:pPr>
              <w:jc w:val="center"/>
              <w:ind w:right="400"/>
              <w:spacing w:after="0" w:line="121" w:lineRule="exact"/>
              <w:rPr>
                <w:sz w:val="20"/>
                <w:szCs w:val="20"/>
                <w:color w:val="auto"/>
              </w:rPr>
            </w:pPr>
            <w:r>
              <w:rPr>
                <w:rFonts w:ascii="Arial" w:cs="Arial" w:eastAsia="Arial" w:hAnsi="Arial"/>
                <w:sz w:val="11"/>
                <w:szCs w:val="11"/>
                <w:b w:val="1"/>
                <w:bCs w:val="1"/>
                <w:color w:val="auto"/>
                <w:w w:val="85"/>
              </w:rPr>
              <w:t>Fiscal Year</w:t>
            </w:r>
          </w:p>
        </w:tc>
        <w:tc>
          <w:tcPr>
            <w:tcW w:w="1120" w:type="dxa"/>
            <w:vAlign w:val="bottom"/>
            <w:gridSpan w:val="2"/>
          </w:tcPr>
          <w:p>
            <w:pPr>
              <w:jc w:val="center"/>
              <w:ind w:right="400"/>
              <w:spacing w:after="0" w:line="121" w:lineRule="exact"/>
              <w:rPr>
                <w:sz w:val="20"/>
                <w:szCs w:val="20"/>
                <w:color w:val="auto"/>
              </w:rPr>
            </w:pPr>
            <w:r>
              <w:rPr>
                <w:rFonts w:ascii="Arial" w:cs="Arial" w:eastAsia="Arial" w:hAnsi="Arial"/>
                <w:sz w:val="11"/>
                <w:szCs w:val="11"/>
                <w:b w:val="1"/>
                <w:bCs w:val="1"/>
                <w:color w:val="auto"/>
                <w:w w:val="89"/>
              </w:rPr>
              <w:t>Fiscal Year</w:t>
            </w:r>
          </w:p>
        </w:tc>
        <w:tc>
          <w:tcPr>
            <w:tcW w:w="1260" w:type="dxa"/>
            <w:vAlign w:val="bottom"/>
            <w:gridSpan w:val="2"/>
          </w:tcPr>
          <w:p>
            <w:pPr>
              <w:jc w:val="center"/>
              <w:ind w:right="380"/>
              <w:spacing w:after="0" w:line="121" w:lineRule="exact"/>
              <w:rPr>
                <w:sz w:val="20"/>
                <w:szCs w:val="20"/>
                <w:color w:val="auto"/>
              </w:rPr>
            </w:pPr>
            <w:r>
              <w:rPr>
                <w:rFonts w:ascii="Arial" w:cs="Arial" w:eastAsia="Arial" w:hAnsi="Arial"/>
                <w:sz w:val="11"/>
                <w:szCs w:val="11"/>
                <w:b w:val="1"/>
                <w:bCs w:val="1"/>
                <w:color w:val="auto"/>
                <w:w w:val="88"/>
              </w:rPr>
              <w:t>Distributions</w:t>
            </w:r>
          </w:p>
        </w:tc>
        <w:tc>
          <w:tcPr>
            <w:tcW w:w="780" w:type="dxa"/>
            <w:vAlign w:val="bottom"/>
            <w:gridSpan w:val="2"/>
          </w:tcPr>
          <w:p>
            <w:pPr>
              <w:jc w:val="center"/>
              <w:ind w:right="80"/>
              <w:spacing w:after="0" w:line="121" w:lineRule="exact"/>
              <w:rPr>
                <w:sz w:val="20"/>
                <w:szCs w:val="20"/>
                <w:color w:val="auto"/>
              </w:rPr>
            </w:pPr>
            <w:r>
              <w:rPr>
                <w:rFonts w:ascii="Arial" w:cs="Arial" w:eastAsia="Arial" w:hAnsi="Arial"/>
                <w:sz w:val="11"/>
                <w:szCs w:val="11"/>
                <w:b w:val="1"/>
                <w:bCs w:val="1"/>
                <w:color w:val="auto"/>
                <w:w w:val="87"/>
              </w:rPr>
              <w:t>Year End</w:t>
            </w:r>
          </w:p>
        </w:tc>
        <w:tc>
          <w:tcPr>
            <w:tcW w:w="0" w:type="dxa"/>
            <w:vAlign w:val="bottom"/>
          </w:tcPr>
          <w:p>
            <w:pPr>
              <w:spacing w:after="0"/>
              <w:rPr>
                <w:sz w:val="1"/>
                <w:szCs w:val="1"/>
                <w:color w:val="auto"/>
              </w:rPr>
            </w:pPr>
          </w:p>
        </w:tc>
      </w:tr>
      <w:tr>
        <w:trPr>
          <w:trHeight w:val="128"/>
        </w:trPr>
        <w:tc>
          <w:tcPr>
            <w:tcW w:w="4200" w:type="dxa"/>
            <w:vAlign w:val="bottom"/>
            <w:gridSpan w:val="2"/>
            <w:vMerge w:val="continue"/>
          </w:tcPr>
          <w:p>
            <w:pPr>
              <w:spacing w:after="0"/>
              <w:rPr>
                <w:sz w:val="11"/>
                <w:szCs w:val="11"/>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($)(1)</w:t>
            </w:r>
          </w:p>
        </w:tc>
        <w:tc>
          <w:tcPr>
            <w:tcW w:w="400" w:type="dxa"/>
            <w:vAlign w:val="bottom"/>
          </w:tcPr>
          <w:p>
            <w:pPr>
              <w:spacing w:after="0"/>
              <w:rPr>
                <w:sz w:val="11"/>
                <w:szCs w:val="1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($)(2)</w:t>
            </w:r>
          </w:p>
        </w:tc>
        <w:tc>
          <w:tcPr>
            <w:tcW w:w="400" w:type="dxa"/>
            <w:vAlign w:val="bottom"/>
          </w:tcPr>
          <w:p>
            <w:pPr>
              <w:spacing w:after="0"/>
              <w:rPr>
                <w:sz w:val="11"/>
                <w:szCs w:val="11"/>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($)(3)</w:t>
            </w:r>
          </w:p>
        </w:tc>
        <w:tc>
          <w:tcPr>
            <w:tcW w:w="400" w:type="dxa"/>
            <w:vAlign w:val="bottom"/>
          </w:tcPr>
          <w:p>
            <w:pPr>
              <w:spacing w:after="0"/>
              <w:rPr>
                <w:sz w:val="11"/>
                <w:szCs w:val="11"/>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($)(4)</w:t>
            </w:r>
          </w:p>
        </w:tc>
        <w:tc>
          <w:tcPr>
            <w:tcW w:w="380" w:type="dxa"/>
            <w:vAlign w:val="bottom"/>
          </w:tcPr>
          <w:p>
            <w:pPr>
              <w:spacing w:after="0"/>
              <w:rPr>
                <w:sz w:val="11"/>
                <w:szCs w:val="11"/>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13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4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David P. Steiner</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223,269</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47,868</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198,762</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1,676,080</w:t>
            </w:r>
          </w:p>
        </w:tc>
        <w:tc>
          <w:tcPr>
            <w:tcW w:w="0" w:type="dxa"/>
            <w:vAlign w:val="bottom"/>
          </w:tcPr>
          <w:p>
            <w:pPr>
              <w:spacing w:after="0"/>
              <w:rPr>
                <w:sz w:val="1"/>
                <w:szCs w:val="1"/>
                <w:color w:val="auto"/>
              </w:rPr>
            </w:pPr>
          </w:p>
        </w:tc>
      </w:tr>
      <w:tr>
        <w:trPr>
          <w:trHeight w:val="161"/>
        </w:trPr>
        <w:tc>
          <w:tcPr>
            <w:tcW w:w="4200" w:type="dxa"/>
            <w:vAlign w:val="bottom"/>
            <w:gridSpan w:val="2"/>
          </w:tcPr>
          <w:p>
            <w:pPr>
              <w:spacing w:after="0"/>
              <w:rPr>
                <w:sz w:val="20"/>
                <w:szCs w:val="20"/>
                <w:color w:val="auto"/>
              </w:rPr>
            </w:pPr>
            <w:r>
              <w:rPr>
                <w:rFonts w:ascii="Arial" w:cs="Arial" w:eastAsia="Arial" w:hAnsi="Arial"/>
                <w:sz w:val="13"/>
                <w:szCs w:val="13"/>
                <w:color w:val="auto"/>
              </w:rPr>
              <w:t>Lawrence O’Donnell, III</w:t>
            </w:r>
          </w:p>
        </w:tc>
        <w:tc>
          <w:tcPr>
            <w:tcW w:w="1320" w:type="dxa"/>
            <w:vAlign w:val="bottom"/>
            <w:gridSpan w:val="2"/>
          </w:tcPr>
          <w:p>
            <w:pPr>
              <w:jc w:val="right"/>
              <w:ind w:right="400"/>
              <w:spacing w:after="0"/>
              <w:rPr>
                <w:sz w:val="20"/>
                <w:szCs w:val="20"/>
                <w:color w:val="auto"/>
              </w:rPr>
            </w:pPr>
            <w:r>
              <w:rPr>
                <w:rFonts w:ascii="Arial" w:cs="Arial" w:eastAsia="Arial" w:hAnsi="Arial"/>
                <w:sz w:val="13"/>
                <w:szCs w:val="13"/>
                <w:color w:val="auto"/>
              </w:rPr>
              <w:t>87,853</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53,514</w:t>
            </w: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159,593</w:t>
            </w:r>
          </w:p>
        </w:tc>
        <w:tc>
          <w:tcPr>
            <w:tcW w:w="1260" w:type="dxa"/>
            <w:vAlign w:val="bottom"/>
            <w:gridSpan w:val="2"/>
          </w:tcPr>
          <w:p>
            <w:pPr>
              <w:jc w:val="right"/>
              <w:ind w:right="380"/>
              <w:spacing w:after="0"/>
              <w:rPr>
                <w:sz w:val="20"/>
                <w:szCs w:val="20"/>
                <w:color w:val="auto"/>
              </w:rPr>
            </w:pPr>
            <w:r>
              <w:rPr>
                <w:rFonts w:ascii="Arial" w:cs="Arial" w:eastAsia="Arial" w:hAnsi="Arial"/>
                <w:sz w:val="13"/>
                <w:szCs w:val="13"/>
                <w:color w:val="auto"/>
              </w:rPr>
              <w:t>0</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2,680,423</w:t>
            </w:r>
          </w:p>
        </w:tc>
        <w:tc>
          <w:tcPr>
            <w:tcW w:w="0" w:type="dxa"/>
            <w:vAlign w:val="bottom"/>
          </w:tcPr>
          <w:p>
            <w:pPr>
              <w:spacing w:after="0"/>
              <w:rPr>
                <w:sz w:val="1"/>
                <w:szCs w:val="1"/>
                <w:color w:val="auto"/>
              </w:rPr>
            </w:pPr>
          </w:p>
        </w:tc>
      </w:tr>
      <w:tr>
        <w:trPr>
          <w:trHeight w:val="161"/>
        </w:trPr>
        <w:tc>
          <w:tcPr>
            <w:tcW w:w="4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Robert G. Simpson</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32,461</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18,936</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(81,329)</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402,331</w:t>
            </w:r>
          </w:p>
        </w:tc>
        <w:tc>
          <w:tcPr>
            <w:tcW w:w="0" w:type="dxa"/>
            <w:vAlign w:val="bottom"/>
          </w:tcPr>
          <w:p>
            <w:pPr>
              <w:spacing w:after="0"/>
              <w:rPr>
                <w:sz w:val="1"/>
                <w:szCs w:val="1"/>
                <w:color w:val="auto"/>
              </w:rPr>
            </w:pPr>
          </w:p>
        </w:tc>
      </w:tr>
      <w:tr>
        <w:trPr>
          <w:trHeight w:val="161"/>
        </w:trPr>
        <w:tc>
          <w:tcPr>
            <w:tcW w:w="4200" w:type="dxa"/>
            <w:vAlign w:val="bottom"/>
            <w:gridSpan w:val="2"/>
          </w:tcPr>
          <w:p>
            <w:pPr>
              <w:spacing w:after="0"/>
              <w:rPr>
                <w:sz w:val="20"/>
                <w:szCs w:val="20"/>
                <w:color w:val="auto"/>
              </w:rPr>
            </w:pPr>
            <w:r>
              <w:rPr>
                <w:rFonts w:ascii="Arial" w:cs="Arial" w:eastAsia="Arial" w:hAnsi="Arial"/>
                <w:sz w:val="13"/>
                <w:szCs w:val="13"/>
                <w:color w:val="auto"/>
              </w:rPr>
              <w:t>James E. Trevathan</w:t>
            </w:r>
          </w:p>
        </w:tc>
        <w:tc>
          <w:tcPr>
            <w:tcW w:w="1320" w:type="dxa"/>
            <w:vAlign w:val="bottom"/>
            <w:gridSpan w:val="2"/>
          </w:tcPr>
          <w:p>
            <w:pPr>
              <w:jc w:val="right"/>
              <w:ind w:right="400"/>
              <w:spacing w:after="0"/>
              <w:rPr>
                <w:sz w:val="20"/>
                <w:szCs w:val="20"/>
                <w:color w:val="auto"/>
              </w:rPr>
            </w:pPr>
            <w:r>
              <w:rPr>
                <w:rFonts w:ascii="Arial" w:cs="Arial" w:eastAsia="Arial" w:hAnsi="Arial"/>
                <w:sz w:val="13"/>
                <w:szCs w:val="13"/>
                <w:color w:val="auto"/>
              </w:rPr>
              <w:t>0</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83,757</w:t>
            </w:r>
          </w:p>
        </w:tc>
        <w:tc>
          <w:tcPr>
            <w:tcW w:w="1260" w:type="dxa"/>
            <w:vAlign w:val="bottom"/>
            <w:gridSpan w:val="2"/>
          </w:tcPr>
          <w:p>
            <w:pPr>
              <w:jc w:val="right"/>
              <w:ind w:right="380"/>
              <w:spacing w:after="0"/>
              <w:rPr>
                <w:sz w:val="20"/>
                <w:szCs w:val="20"/>
                <w:color w:val="auto"/>
              </w:rPr>
            </w:pPr>
            <w:r>
              <w:rPr>
                <w:rFonts w:ascii="Arial" w:cs="Arial" w:eastAsia="Arial" w:hAnsi="Arial"/>
                <w:sz w:val="13"/>
                <w:szCs w:val="13"/>
                <w:color w:val="auto"/>
              </w:rPr>
              <w:t>0</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2,552,186</w:t>
            </w:r>
          </w:p>
        </w:tc>
        <w:tc>
          <w:tcPr>
            <w:tcW w:w="0" w:type="dxa"/>
            <w:vAlign w:val="bottom"/>
          </w:tcPr>
          <w:p>
            <w:pPr>
              <w:spacing w:after="0"/>
              <w:rPr>
                <w:sz w:val="1"/>
                <w:szCs w:val="1"/>
                <w:color w:val="auto"/>
              </w:rPr>
            </w:pPr>
          </w:p>
        </w:tc>
      </w:tr>
      <w:tr>
        <w:trPr>
          <w:trHeight w:val="161"/>
        </w:trPr>
        <w:tc>
          <w:tcPr>
            <w:tcW w:w="4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Duane C. Woods</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201,973</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1,492,192</w:t>
            </w:r>
          </w:p>
        </w:tc>
        <w:tc>
          <w:tcPr>
            <w:tcW w:w="0" w:type="dxa"/>
            <w:vAlign w:val="bottom"/>
          </w:tcPr>
          <w:p>
            <w:pPr>
              <w:spacing w:after="0"/>
              <w:rPr>
                <w:sz w:val="1"/>
                <w:szCs w:val="1"/>
                <w:color w:val="auto"/>
              </w:rPr>
            </w:pPr>
          </w:p>
        </w:tc>
      </w:tr>
      <w:tr>
        <w:trPr>
          <w:trHeight w:val="91"/>
        </w:trPr>
        <w:tc>
          <w:tcPr>
            <w:tcW w:w="1300" w:type="dxa"/>
            <w:vAlign w:val="bottom"/>
            <w:tcBorders>
              <w:bottom w:val="single" w:sz="8" w:color="auto"/>
            </w:tcBorders>
          </w:tcPr>
          <w:p>
            <w:pPr>
              <w:spacing w:after="0"/>
              <w:rPr>
                <w:sz w:val="7"/>
                <w:szCs w:val="7"/>
                <w:color w:val="auto"/>
              </w:rPr>
            </w:pPr>
          </w:p>
        </w:tc>
        <w:tc>
          <w:tcPr>
            <w:tcW w:w="290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0" w:type="dxa"/>
            <w:vAlign w:val="bottom"/>
          </w:tcPr>
          <w:p>
            <w:pPr>
              <w:spacing w:after="0"/>
              <w:rPr>
                <w:sz w:val="7"/>
                <w:szCs w:val="7"/>
                <w:color w:val="auto"/>
              </w:rPr>
            </w:pPr>
          </w:p>
        </w:tc>
        <w:tc>
          <w:tcPr>
            <w:tcW w:w="900" w:type="dxa"/>
            <w:vAlign w:val="bottom"/>
          </w:tcPr>
          <w:p>
            <w:pPr>
              <w:spacing w:after="0"/>
              <w:rPr>
                <w:sz w:val="7"/>
                <w:szCs w:val="7"/>
                <w:color w:val="auto"/>
              </w:rPr>
            </w:pPr>
          </w:p>
        </w:tc>
        <w:tc>
          <w:tcPr>
            <w:tcW w:w="4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80" w:type="dxa"/>
            <w:vAlign w:val="bottom"/>
          </w:tcPr>
          <w:p>
            <w:pPr>
              <w:spacing w:after="0"/>
              <w:rPr>
                <w:sz w:val="7"/>
                <w:szCs w:val="7"/>
                <w:color w:val="auto"/>
              </w:rPr>
            </w:pPr>
          </w:p>
        </w:tc>
        <w:tc>
          <w:tcPr>
            <w:tcW w:w="3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-607060</wp:posOffset>
            </wp:positionV>
            <wp:extent cx="25400" cy="6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5400" cy="6350"/>
                    </a:xfrm>
                    <a:prstGeom prst="rect">
                      <a:avLst/>
                    </a:prstGeom>
                    <a:noFill/>
                  </pic:spPr>
                </pic:pic>
              </a:graphicData>
            </a:graphic>
          </wp:anchor>
        </w:drawing>
      </w:r>
    </w:p>
    <w:p>
      <w:pPr>
        <w:spacing w:after="0" w:line="20" w:lineRule="exact"/>
        <w:rPr>
          <w:sz w:val="20"/>
          <w:szCs w:val="20"/>
          <w:color w:val="auto"/>
        </w:rPr>
      </w:pPr>
    </w:p>
    <w:p>
      <w:pPr>
        <w:ind w:left="1000" w:right="80" w:hanging="266"/>
        <w:spacing w:after="0" w:line="270" w:lineRule="auto"/>
        <w:tabs>
          <w:tab w:leader="none" w:pos="10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Contributions are under the Company’s Deferral Plan as described in CD&amp;A. In this Proxy Statement as well as in previous years, we include executive contributions to the Deferral Plan in Base Salary in the Summary Compensation Table. Aggregate Balance at Last Fiscal Year End includes the following aggregate amounts of the named executives’ base salaries that were included in Base Salary in the Summary Compensation Table in 2007-2009: Mr. Steiner — $585,845; Mr. O’Donnell — $1,123,288; Mr. Simpson — $127,233; Mr. Trevathan — $1,009,121; and Mr. Woods — $498,721.</w:t>
      </w:r>
    </w:p>
    <w:p>
      <w:pPr>
        <w:spacing w:after="0" w:line="12" w:lineRule="exact"/>
        <w:rPr>
          <w:rFonts w:ascii="Arial" w:cs="Arial" w:eastAsia="Arial" w:hAnsi="Arial"/>
          <w:sz w:val="13"/>
          <w:szCs w:val="13"/>
          <w:color w:val="auto"/>
        </w:rPr>
      </w:pPr>
    </w:p>
    <w:p>
      <w:pPr>
        <w:ind w:left="1000" w:hanging="266"/>
        <w:spacing w:after="0"/>
        <w:tabs>
          <w:tab w:leader="none" w:pos="10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Company contributions to the executives’ Deferral Plan accounts are included in All Other Compensation, but not Base Salary, in the Summary Compensation Table.</w:t>
      </w:r>
    </w:p>
    <w:p>
      <w:pPr>
        <w:spacing w:after="0" w:line="30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ind w:left="1000" w:right="220" w:hanging="266"/>
        <w:spacing w:after="0" w:line="291" w:lineRule="auto"/>
        <w:tabs>
          <w:tab w:leader="none" w:pos="10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Earnings on these accounts are not included in any other amounts in the tables included in this Proxy Statement, as the amounts of the named executives’ earnings represent the general market gains (or losses) on investments, rather than amounts or rates set by the Company for the benefit of the named executives.</w:t>
      </w:r>
    </w:p>
    <w:p>
      <w:pPr>
        <w:ind w:left="1000" w:right="100" w:hanging="266"/>
        <w:spacing w:after="0" w:line="267" w:lineRule="auto"/>
        <w:tabs>
          <w:tab w:leader="none" w:pos="10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Accounts are distributed as either a lump sum payment or in annual installments (i) when the employee has reached at least 65 years of age or (ii) at a future date that occurs after termination of employment. Special circumstances may allow for a modified distribution in the event of the employee’s death, an unforeseen emergency, or upon a change-in-control of the Company. In the event of death, distribution will be made to the designated beneficiary in the form previously elected by the executive. In the event of an unforeseen emergency, the plan administrator may allow an early payment in the amount required to satisfy the emergency. All participants are immediately 100% vested in all of their contributions, Company matching contributions, and gains and/or losses related to their investment choices.</w:t>
      </w:r>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Potential Payments Upon Termination or Change-in-Control</w:t>
      </w:r>
    </w:p>
    <w:p>
      <w:pPr>
        <w:spacing w:after="0" w:line="104" w:lineRule="exact"/>
        <w:rPr>
          <w:sz w:val="20"/>
          <w:szCs w:val="20"/>
          <w:color w:val="auto"/>
        </w:rPr>
      </w:pPr>
    </w:p>
    <w:p>
      <w:pPr>
        <w:ind w:left="680" w:right="240" w:firstLine="399"/>
        <w:spacing w:after="0" w:line="270" w:lineRule="auto"/>
        <w:rPr>
          <w:sz w:val="20"/>
          <w:szCs w:val="20"/>
          <w:color w:val="auto"/>
        </w:rPr>
      </w:pPr>
      <w:r>
        <w:rPr>
          <w:rFonts w:ascii="Arial" w:cs="Arial" w:eastAsia="Arial" w:hAnsi="Arial"/>
          <w:sz w:val="13"/>
          <w:szCs w:val="13"/>
          <w:color w:val="auto"/>
        </w:rPr>
        <w:t>The Company has entered into employment agreements with each of the named executive officers. The agreements contain provisions regarding consideration payable by the Company upon termination of employment as described below. In some cases, the form of award agreements for equity awards may also contain provisions regarding termination or change-in-control. Each of the agreements also contains post-termination restrictive covenants, including a covenant not to compete, non-solicitation covenants, and a non-disparagement covenant, each of which lasts for two years after termination.</w:t>
      </w:r>
    </w:p>
    <w:p>
      <w:pPr>
        <w:spacing w:after="0" w:line="63"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color w:val="auto"/>
        </w:rPr>
        <w:t>We entered into employment agreements with our named executive officers based on competitive market practices and because they provide a form of protection for the Company through restrictive covenant provisions. They also provide the named executives a sense of security and trust that they will be treated fairly in the event of a termination not for cause or under a change-in-control situation. We believe change-in-control protections ensure impartiality and objectivity for our named executives and enhance the interest of our stockholders.</w:t>
      </w:r>
    </w:p>
    <w:p>
      <w:pPr>
        <w:spacing w:after="0" w:line="63" w:lineRule="exact"/>
        <w:rPr>
          <w:sz w:val="20"/>
          <w:szCs w:val="20"/>
          <w:color w:val="auto"/>
        </w:rPr>
      </w:pPr>
    </w:p>
    <w:p>
      <w:pPr>
        <w:ind w:left="680" w:right="140" w:firstLine="399"/>
        <w:spacing w:after="0" w:line="290" w:lineRule="auto"/>
        <w:rPr>
          <w:sz w:val="20"/>
          <w:szCs w:val="20"/>
          <w:color w:val="auto"/>
        </w:rPr>
      </w:pPr>
      <w:r>
        <w:rPr>
          <w:rFonts w:ascii="Arial" w:cs="Arial" w:eastAsia="Arial" w:hAnsi="Arial"/>
          <w:sz w:val="12"/>
          <w:szCs w:val="12"/>
          <w:color w:val="auto"/>
        </w:rPr>
        <w:t>Employment agreements entered into with named executive officers after February 2004 include a clawback feature that allows for the suspension and refund of termination benefits for subsequently discovered cause. These provisions are applicable to Mr. Simpson and Mr. Woods, whose agreements were entered into in October 2004. The agreements generally allow the Company to cancel any remaining payments due and obligate the named executive to refund to the Company any severance payments already made if, within one year of termination of employment of the named executive by the Company for any reason other than for cause, the Company determines that the named executive could have been terminated for cause. Additionally, in August 2007, the Compensation Committee adopted an Executive Compensation Clawback Policy. The purpose of the policy is to set forth guidelines as to when the Company should seek reimbursement of payments that are predicated on the achievement of financial results. Generally, the policy allows the Compensation Committee to require reimbursement when there has been intentional or reckless conduct that caused financial results to materially increase an award or payment.</w:t>
      </w:r>
    </w:p>
    <w:p>
      <w:pPr>
        <w:spacing w:after="0" w:line="52" w:lineRule="exact"/>
        <w:rPr>
          <w:sz w:val="20"/>
          <w:szCs w:val="20"/>
          <w:color w:val="auto"/>
        </w:rPr>
      </w:pPr>
    </w:p>
    <w:p>
      <w:pPr>
        <w:ind w:left="680" w:right="40" w:firstLine="399"/>
        <w:spacing w:after="0" w:line="294" w:lineRule="auto"/>
        <w:rPr>
          <w:sz w:val="20"/>
          <w:szCs w:val="20"/>
          <w:color w:val="auto"/>
        </w:rPr>
      </w:pPr>
      <w:r>
        <w:rPr>
          <w:rFonts w:ascii="Arial" w:cs="Arial" w:eastAsia="Arial" w:hAnsi="Arial"/>
          <w:sz w:val="13"/>
          <w:szCs w:val="13"/>
          <w:color w:val="auto"/>
        </w:rPr>
        <w:t>The terms “Cause,” “Good Reason,” and “Change-in-Control” as used in the table below are defined in the executives’ employment agreements and have the meanings generally described below. You should refer to the individual agreements for the actual definitions.</w:t>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“Cause” generally means the named executive has:</w:t>
      </w:r>
    </w:p>
    <w:p>
      <w:pPr>
        <w:spacing w:after="0" w:line="102" w:lineRule="exact"/>
        <w:rPr>
          <w:sz w:val="20"/>
          <w:szCs w:val="20"/>
          <w:color w:val="auto"/>
        </w:rPr>
      </w:pPr>
    </w:p>
    <w:p>
      <w:pPr>
        <w:ind w:left="1300" w:hanging="208"/>
        <w:spacing w:after="0"/>
        <w:tabs>
          <w:tab w:leader="none" w:pos="13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deliberately refused to perform his duties;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breached his duty of loyalty to the Company;</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been convicted of a felony;</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intentionally and materially harmed the Company; or</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breached the covenants contained in his agreement.</w:t>
      </w:r>
    </w:p>
    <w:p>
      <w:pPr>
        <w:spacing w:after="0" w:line="31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“Good Reason” generally means that, without the named executive’s consent:</w:t>
      </w:r>
    </w:p>
    <w:p>
      <w:pPr>
        <w:spacing w:after="0" w:line="102" w:lineRule="exact"/>
        <w:rPr>
          <w:sz w:val="20"/>
          <w:szCs w:val="20"/>
          <w:color w:val="auto"/>
        </w:rPr>
      </w:pPr>
    </w:p>
    <w:p>
      <w:pPr>
        <w:ind w:left="1300" w:hanging="208"/>
        <w:spacing w:after="0"/>
        <w:tabs>
          <w:tab w:leader="none" w:pos="13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his duties or responsibilities have been substantially changed;</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he has been removed from his position;</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Company has breached his employment agreement;</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any successor to the Company has not assumed the obligations under his employment agreement; or</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he has been reassigned to a location more than 50 miles away.</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“Change-in-Control” generally means that:</w:t>
      </w:r>
    </w:p>
    <w:p>
      <w:pPr>
        <w:spacing w:after="0" w:line="102" w:lineRule="exact"/>
        <w:rPr>
          <w:sz w:val="20"/>
          <w:szCs w:val="20"/>
          <w:color w:val="auto"/>
        </w:rPr>
      </w:pPr>
    </w:p>
    <w:p>
      <w:pPr>
        <w:ind w:left="1300" w:hanging="208"/>
        <w:spacing w:after="0"/>
        <w:tabs>
          <w:tab w:leader="none" w:pos="13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at least 25% of the Company’s Common Stock has been acquired by one person or persons acting as a group;</w:t>
      </w:r>
    </w:p>
    <w:p>
      <w:pPr>
        <w:spacing w:after="0" w:line="92" w:lineRule="exact"/>
        <w:rPr>
          <w:rFonts w:ascii="Arial" w:cs="Arial" w:eastAsia="Arial" w:hAnsi="Arial"/>
          <w:sz w:val="13"/>
          <w:szCs w:val="13"/>
          <w:color w:val="auto"/>
        </w:rPr>
      </w:pPr>
    </w:p>
    <w:p>
      <w:pPr>
        <w:ind w:left="1300" w:right="100" w:hanging="208"/>
        <w:spacing w:after="0" w:line="294" w:lineRule="auto"/>
        <w:tabs>
          <w:tab w:leader="none" w:pos="13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majority of the Board of Directors consists of individuals other than those serving as of the date of the named executive’s employment agreement or those that were not elected by at least two-thirds of those directors;</w:t>
      </w:r>
    </w:p>
    <w:p>
      <w:pPr>
        <w:spacing w:after="0" w:line="36" w:lineRule="exact"/>
        <w:rPr>
          <w:rFonts w:ascii="Arial" w:cs="Arial" w:eastAsia="Arial" w:hAnsi="Arial"/>
          <w:sz w:val="13"/>
          <w:szCs w:val="13"/>
          <w:color w:val="auto"/>
        </w:rPr>
      </w:pPr>
    </w:p>
    <w:p>
      <w:pPr>
        <w:ind w:left="1300" w:right="260" w:hanging="208"/>
        <w:spacing w:after="0" w:line="276" w:lineRule="auto"/>
        <w:tabs>
          <w:tab w:leader="none" w:pos="13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there has been a merger of the Company in which at least 50% of the combined post-merger voting power of the surviving entity does not consist of the Company’s pre-merger voting power, or a merger to effect a recapitalization that resulted in a person or persons acting as a group acquired 25% or more of the Company’s voting securities; or</w:t>
      </w:r>
    </w:p>
    <w:p>
      <w:pPr>
        <w:spacing w:after="0" w:line="48" w:lineRule="exact"/>
        <w:rPr>
          <w:rFonts w:ascii="Arial" w:cs="Arial" w:eastAsia="Arial" w:hAnsi="Arial"/>
          <w:sz w:val="13"/>
          <w:szCs w:val="13"/>
          <w:color w:val="auto"/>
        </w:rPr>
      </w:pPr>
    </w:p>
    <w:p>
      <w:pPr>
        <w:ind w:left="1300" w:hanging="208"/>
        <w:spacing w:after="0"/>
        <w:tabs>
          <w:tab w:leader="none" w:pos="13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Company is liquidating or selling all or substantially all of its assets.</w:t>
      </w:r>
    </w:p>
    <w:p>
      <w:pPr>
        <w:spacing w:after="0" w:line="102" w:lineRule="exact"/>
        <w:rPr>
          <w:sz w:val="20"/>
          <w:szCs w:val="20"/>
          <w:color w:val="auto"/>
        </w:rPr>
      </w:pPr>
    </w:p>
    <w:p>
      <w:pPr>
        <w:ind w:left="680" w:right="520" w:firstLine="399"/>
        <w:spacing w:after="0" w:line="294" w:lineRule="auto"/>
        <w:rPr>
          <w:sz w:val="20"/>
          <w:szCs w:val="20"/>
          <w:color w:val="auto"/>
        </w:rPr>
      </w:pPr>
      <w:r>
        <w:rPr>
          <w:rFonts w:ascii="Arial" w:cs="Arial" w:eastAsia="Arial" w:hAnsi="Arial"/>
          <w:sz w:val="13"/>
          <w:szCs w:val="13"/>
          <w:color w:val="auto"/>
        </w:rPr>
        <w:t>The following tables represent potential payouts to our named executives upon termination of employment in the circumstances indicated pursuant to the terms of their employment agreements. In the event a named executive is terminated for cause, he is entitled to any accrued but unpaid salary only.</w:t>
      </w:r>
    </w:p>
    <w:p>
      <w:pPr>
        <w:spacing w:after="0" w:line="47" w:lineRule="exact"/>
        <w:rPr>
          <w:sz w:val="20"/>
          <w:szCs w:val="20"/>
          <w:color w:val="auto"/>
        </w:rPr>
      </w:pPr>
    </w:p>
    <w:p>
      <w:pPr>
        <w:ind w:left="680" w:firstLine="399"/>
        <w:spacing w:after="0" w:line="299" w:lineRule="auto"/>
        <w:rPr>
          <w:sz w:val="20"/>
          <w:szCs w:val="20"/>
          <w:color w:val="auto"/>
        </w:rPr>
      </w:pPr>
      <w:r>
        <w:rPr>
          <w:rFonts w:ascii="Arial" w:cs="Arial" w:eastAsia="Arial" w:hAnsi="Arial"/>
          <w:sz w:val="12"/>
          <w:szCs w:val="12"/>
          <w:color w:val="auto"/>
        </w:rPr>
        <w:t>The payouts assume the triggering event indicated occurred on December 31, 2009, at which time the closing price of our Common Stock was $33.81 per share. These payouts are determined for SEC disclosure purposes and are not necessarily indicative of the actual amounts the named executive would receive. Any actual performance share unit payouts will be based on future performance of the Company. We have based the payout of performance share units included in the amounts below on target awards outstanding at December 31, 2009. The payout for continuation of benefits and perquisites is an estimate of the cost the Company would incur to continue those benefits.</w:t>
      </w:r>
    </w:p>
    <w:p>
      <w:pPr>
        <w:spacing w:after="0" w:line="26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00"/>
          </w:cols>
          <w:pgMar w:left="220" w:top="349" w:right="107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Potential Consideration upon Termination of Employment:</w:t>
      </w:r>
    </w:p>
    <w:p>
      <w:pPr>
        <w:spacing w:after="0" w:line="10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David P. Steiner</w:t>
      </w:r>
    </w:p>
    <w:p>
      <w:pPr>
        <w:spacing w:after="0" w:line="106" w:lineRule="exact"/>
        <w:rPr>
          <w:sz w:val="20"/>
          <w:szCs w:val="20"/>
          <w:color w:val="auto"/>
        </w:rPr>
      </w:pPr>
    </w:p>
    <w:tbl>
      <w:tblPr>
        <w:tblLayout w:type="fixed"/>
        <w:tblInd w:w="680" w:type="dxa"/>
        <w:tblCellMar>
          <w:top w:w="0" w:type="dxa"/>
          <w:left w:w="0" w:type="dxa"/>
          <w:bottom w:w="0" w:type="dxa"/>
          <w:right w:w="0" w:type="dxa"/>
        </w:tblCellMar>
      </w:tblPr>
      <w:tr>
        <w:trPr>
          <w:trHeight w:val="138"/>
        </w:trPr>
        <w:tc>
          <w:tcPr>
            <w:tcW w:w="4180" w:type="dxa"/>
            <w:vAlign w:val="bottom"/>
          </w:tcPr>
          <w:p>
            <w:pPr>
              <w:spacing w:after="0"/>
              <w:rPr>
                <w:sz w:val="20"/>
                <w:szCs w:val="20"/>
                <w:color w:val="auto"/>
              </w:rPr>
            </w:pPr>
            <w:r>
              <w:rPr>
                <w:rFonts w:ascii="Arial" w:cs="Arial" w:eastAsia="Arial" w:hAnsi="Arial"/>
                <w:sz w:val="11"/>
                <w:szCs w:val="11"/>
                <w:b w:val="1"/>
                <w:bCs w:val="1"/>
                <w:u w:val="single" w:color="auto"/>
                <w:color w:val="auto"/>
              </w:rPr>
              <w:t>T</w:t>
            </w:r>
            <w:r>
              <w:rPr>
                <w:rFonts w:ascii="Arial" w:cs="Arial" w:eastAsia="Arial" w:hAnsi="Arial"/>
                <w:sz w:val="11"/>
                <w:szCs w:val="11"/>
                <w:b w:val="1"/>
                <w:bCs w:val="1"/>
                <w:color w:val="auto"/>
              </w:rPr>
              <w:t>riggering Event</w:t>
            </w:r>
          </w:p>
        </w:tc>
        <w:tc>
          <w:tcPr>
            <w:tcW w:w="180" w:type="dxa"/>
            <w:vAlign w:val="bottom"/>
          </w:tcPr>
          <w:p>
            <w:pPr>
              <w:spacing w:after="0"/>
              <w:rPr>
                <w:sz w:val="11"/>
                <w:szCs w:val="11"/>
                <w:color w:val="auto"/>
              </w:rPr>
            </w:pPr>
          </w:p>
        </w:tc>
        <w:tc>
          <w:tcPr>
            <w:tcW w:w="4020" w:type="dxa"/>
            <w:vAlign w:val="bottom"/>
          </w:tcPr>
          <w:p>
            <w:pPr>
              <w:ind w:left="20"/>
              <w:spacing w:after="0"/>
              <w:rPr>
                <w:sz w:val="20"/>
                <w:szCs w:val="20"/>
                <w:color w:val="auto"/>
              </w:rPr>
            </w:pPr>
            <w:r>
              <w:rPr>
                <w:rFonts w:ascii="Arial" w:cs="Arial" w:eastAsia="Arial" w:hAnsi="Arial"/>
                <w:sz w:val="11"/>
                <w:szCs w:val="11"/>
                <w:b w:val="1"/>
                <w:bCs w:val="1"/>
                <w:color w:val="auto"/>
              </w:rPr>
              <w:t>Compensation Component</w:t>
            </w:r>
          </w:p>
        </w:tc>
        <w:tc>
          <w:tcPr>
            <w:tcW w:w="30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b w:val="1"/>
                <w:bCs w:val="1"/>
                <w:color w:val="auto"/>
              </w:rPr>
              <w:t>Payout ($)</w:t>
            </w:r>
          </w:p>
        </w:tc>
        <w:tc>
          <w:tcPr>
            <w:tcW w:w="0" w:type="dxa"/>
            <w:vAlign w:val="bottom"/>
          </w:tcPr>
          <w:p>
            <w:pPr>
              <w:spacing w:after="0"/>
              <w:rPr>
                <w:sz w:val="1"/>
                <w:szCs w:val="1"/>
                <w:color w:val="auto"/>
              </w:rPr>
            </w:pPr>
          </w:p>
        </w:tc>
      </w:tr>
      <w:tr>
        <w:trPr>
          <w:trHeight w:val="30"/>
        </w:trPr>
        <w:tc>
          <w:tcPr>
            <w:tcW w:w="4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4180" w:type="dxa"/>
            <w:vAlign w:val="bottom"/>
            <w:shd w:val="clear" w:color="auto" w:fill="CCEEFF"/>
          </w:tcPr>
          <w:p>
            <w:pPr>
              <w:spacing w:after="0"/>
              <w:rPr>
                <w:sz w:val="20"/>
                <w:szCs w:val="20"/>
                <w:color w:val="auto"/>
              </w:rPr>
            </w:pPr>
            <w:r>
              <w:rPr>
                <w:rFonts w:ascii="Arial" w:cs="Arial" w:eastAsia="Arial" w:hAnsi="Arial"/>
                <w:sz w:val="12"/>
                <w:szCs w:val="12"/>
                <w:i w:val="1"/>
                <w:iCs w:val="1"/>
                <w:color w:val="auto"/>
              </w:rPr>
              <w:t>Death or Disability</w:t>
            </w:r>
          </w:p>
        </w:tc>
        <w:tc>
          <w:tcPr>
            <w:tcW w:w="180" w:type="dxa"/>
            <w:vAlign w:val="bottom"/>
            <w:shd w:val="clear" w:color="auto" w:fill="CCEEFF"/>
          </w:tcPr>
          <w:p>
            <w:pPr>
              <w:spacing w:after="0"/>
              <w:rPr>
                <w:sz w:val="13"/>
                <w:szCs w:val="13"/>
                <w:color w:val="auto"/>
              </w:rPr>
            </w:pPr>
          </w:p>
        </w:tc>
        <w:tc>
          <w:tcPr>
            <w:tcW w:w="4020" w:type="dxa"/>
            <w:vAlign w:val="bottom"/>
            <w:shd w:val="clear" w:color="auto" w:fill="CCEEFF"/>
          </w:tcPr>
          <w:p>
            <w:pPr>
              <w:ind w:left="20"/>
              <w:spacing w:after="0"/>
              <w:rPr>
                <w:sz w:val="20"/>
                <w:szCs w:val="20"/>
                <w:color w:val="auto"/>
              </w:rPr>
            </w:pPr>
            <w:r>
              <w:rPr>
                <w:rFonts w:ascii="Arial" w:cs="Arial" w:eastAsia="Arial" w:hAnsi="Arial"/>
                <w:sz w:val="12"/>
                <w:szCs w:val="12"/>
                <w:b w:val="1"/>
                <w:bCs w:val="1"/>
                <w:i w:val="1"/>
                <w:iCs w:val="1"/>
                <w:color w:val="auto"/>
              </w:rPr>
              <w:t>Severance Benefits</w:t>
            </w:r>
          </w:p>
        </w:tc>
        <w:tc>
          <w:tcPr>
            <w:tcW w:w="3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 Accelerated vesting of restricted stock units</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1,257,969</w:t>
            </w:r>
          </w:p>
        </w:tc>
        <w:tc>
          <w:tcPr>
            <w:tcW w:w="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20" w:type="dxa"/>
            <w:vAlign w:val="bottom"/>
            <w:shd w:val="clear" w:color="auto" w:fill="CCEEFF"/>
          </w:tcPr>
          <w:p>
            <w:pPr>
              <w:ind w:left="20"/>
              <w:spacing w:after="0"/>
              <w:rPr>
                <w:sz w:val="20"/>
                <w:szCs w:val="20"/>
                <w:color w:val="auto"/>
              </w:rPr>
            </w:pPr>
            <w:r>
              <w:rPr>
                <w:rFonts w:ascii="Arial" w:cs="Arial" w:eastAsia="Arial" w:hAnsi="Arial"/>
                <w:sz w:val="12"/>
                <w:szCs w:val="12"/>
                <w:color w:val="auto"/>
                <w:w w:val="96"/>
              </w:rPr>
              <w:t>•  Payment of performance share units based on actual performance at end of</w:t>
            </w: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20" w:type="dxa"/>
            <w:vAlign w:val="bottom"/>
            <w:shd w:val="clear" w:color="auto" w:fill="CCEEFF"/>
          </w:tcPr>
          <w:p>
            <w:pPr>
              <w:ind w:left="60"/>
              <w:spacing w:after="0"/>
              <w:rPr>
                <w:sz w:val="20"/>
                <w:szCs w:val="20"/>
                <w:color w:val="auto"/>
              </w:rPr>
            </w:pPr>
            <w:r>
              <w:rPr>
                <w:rFonts w:ascii="Arial" w:cs="Arial" w:eastAsia="Arial" w:hAnsi="Arial"/>
                <w:sz w:val="12"/>
                <w:szCs w:val="12"/>
                <w:color w:val="auto"/>
              </w:rPr>
              <w:t>performance period</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10,995,756</w:t>
            </w:r>
          </w:p>
        </w:tc>
        <w:tc>
          <w:tcPr>
            <w:tcW w:w="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  Two times base salary as of date of termination (payable in bi-weekly</w:t>
            </w: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20" w:type="dxa"/>
            <w:vAlign w:val="bottom"/>
            <w:shd w:val="clear" w:color="auto" w:fill="CCEEFF"/>
          </w:tcPr>
          <w:p>
            <w:pPr>
              <w:ind w:left="60"/>
              <w:spacing w:after="0"/>
              <w:rPr>
                <w:sz w:val="20"/>
                <w:szCs w:val="20"/>
                <w:color w:val="auto"/>
              </w:rPr>
            </w:pPr>
            <w:r>
              <w:rPr>
                <w:rFonts w:ascii="Arial" w:cs="Arial" w:eastAsia="Arial" w:hAnsi="Arial"/>
                <w:sz w:val="12"/>
                <w:szCs w:val="12"/>
                <w:color w:val="auto"/>
              </w:rPr>
              <w:t>installments over a two-year period)(1)</w:t>
            </w:r>
          </w:p>
        </w:tc>
        <w:tc>
          <w:tcPr>
            <w:tcW w:w="3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2,150,000</w:t>
            </w:r>
          </w:p>
        </w:tc>
        <w:tc>
          <w:tcPr>
            <w:tcW w:w="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  Life insurance benefit (in the case of Death)</w:t>
            </w:r>
          </w:p>
        </w:tc>
        <w:tc>
          <w:tcPr>
            <w:tcW w:w="3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7"/>
              </w:rPr>
              <w:t>1,075,000</w:t>
            </w:r>
          </w:p>
        </w:tc>
        <w:tc>
          <w:tcPr>
            <w:tcW w:w="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Total</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2"/>
                <w:szCs w:val="12"/>
                <w:b w:val="1"/>
                <w:bCs w:val="1"/>
                <w:color w:val="auto"/>
              </w:rPr>
              <w:t>15,478,725</w:t>
            </w:r>
          </w:p>
        </w:tc>
        <w:tc>
          <w:tcPr>
            <w:tcW w:w="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Arial" w:cs="Arial" w:eastAsia="Arial" w:hAnsi="Arial"/>
                <w:sz w:val="12"/>
                <w:szCs w:val="12"/>
                <w:i w:val="1"/>
                <w:iCs w:val="1"/>
                <w:color w:val="auto"/>
                <w:w w:val="94"/>
              </w:rPr>
              <w:t>Termination Without Cause by the Company or For Good Reason by the Employee</w:t>
            </w:r>
          </w:p>
        </w:tc>
        <w:tc>
          <w:tcPr>
            <w:tcW w:w="180" w:type="dxa"/>
            <w:vAlign w:val="bottom"/>
          </w:tcPr>
          <w:p>
            <w:pPr>
              <w:spacing w:after="0" w:line="20" w:lineRule="exact"/>
              <w:rPr>
                <w:sz w:val="1"/>
                <w:szCs w:val="1"/>
                <w:color w:val="auto"/>
              </w:rPr>
            </w:pPr>
          </w:p>
        </w:tc>
        <w:tc>
          <w:tcPr>
            <w:tcW w:w="4020" w:type="dxa"/>
            <w:vAlign w:val="bottom"/>
            <w:vMerge w:val="restart"/>
          </w:tcPr>
          <w:p>
            <w:pPr>
              <w:ind w:left="20"/>
              <w:spacing w:after="0"/>
              <w:rPr>
                <w:sz w:val="20"/>
                <w:szCs w:val="20"/>
                <w:color w:val="auto"/>
              </w:rPr>
            </w:pPr>
            <w:r>
              <w:rPr>
                <w:rFonts w:ascii="Arial" w:cs="Arial" w:eastAsia="Arial" w:hAnsi="Arial"/>
                <w:sz w:val="12"/>
                <w:szCs w:val="12"/>
                <w:b w:val="1"/>
                <w:bCs w:val="1"/>
                <w:i w:val="1"/>
                <w:iCs w:val="1"/>
                <w:color w:val="auto"/>
              </w:rPr>
              <w:t>Severance Benefits</w:t>
            </w: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41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40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4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20" w:type="dxa"/>
            <w:vAlign w:val="bottom"/>
          </w:tcPr>
          <w:p>
            <w:pPr>
              <w:ind w:left="20"/>
              <w:spacing w:after="0"/>
              <w:rPr>
                <w:sz w:val="20"/>
                <w:szCs w:val="20"/>
                <w:color w:val="auto"/>
              </w:rPr>
            </w:pPr>
            <w:r>
              <w:rPr>
                <w:rFonts w:ascii="Arial" w:cs="Arial" w:eastAsia="Arial" w:hAnsi="Arial"/>
                <w:sz w:val="12"/>
                <w:szCs w:val="12"/>
                <w:color w:val="auto"/>
                <w:w w:val="92"/>
              </w:rPr>
              <w:t>•  Two times base salary plus target annual bonus (one-half payable in lump sum;</w:t>
            </w: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20" w:type="dxa"/>
            <w:vAlign w:val="bottom"/>
          </w:tcPr>
          <w:p>
            <w:pPr>
              <w:ind w:left="20"/>
              <w:spacing w:after="0"/>
              <w:rPr>
                <w:sz w:val="20"/>
                <w:szCs w:val="20"/>
                <w:color w:val="auto"/>
              </w:rPr>
            </w:pPr>
            <w:r>
              <w:rPr>
                <w:rFonts w:ascii="Arial" w:cs="Arial" w:eastAsia="Arial" w:hAnsi="Arial"/>
                <w:sz w:val="12"/>
                <w:szCs w:val="12"/>
                <w:color w:val="auto"/>
              </w:rPr>
              <w:t>one-half payable in bi-weekly installments over a two-year period)</w:t>
            </w:r>
          </w:p>
        </w:tc>
        <w:tc>
          <w:tcPr>
            <w:tcW w:w="1220" w:type="dxa"/>
            <w:vAlign w:val="bottom"/>
            <w:gridSpan w:val="3"/>
          </w:tcPr>
          <w:p>
            <w:pPr>
              <w:jc w:val="right"/>
              <w:spacing w:after="0"/>
              <w:rPr>
                <w:sz w:val="20"/>
                <w:szCs w:val="20"/>
                <w:color w:val="auto"/>
              </w:rPr>
            </w:pPr>
            <w:r>
              <w:rPr>
                <w:rFonts w:ascii="Arial" w:cs="Arial" w:eastAsia="Arial" w:hAnsi="Arial"/>
                <w:sz w:val="12"/>
                <w:szCs w:val="12"/>
                <w:color w:val="auto"/>
              </w:rPr>
              <w:t>4,622,500</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20" w:type="dxa"/>
            <w:vAlign w:val="bottom"/>
          </w:tcPr>
          <w:p>
            <w:pPr>
              <w:ind w:left="20"/>
              <w:spacing w:after="0"/>
              <w:rPr>
                <w:sz w:val="20"/>
                <w:szCs w:val="20"/>
                <w:color w:val="auto"/>
              </w:rPr>
            </w:pPr>
            <w:r>
              <w:rPr>
                <w:rFonts w:ascii="Arial" w:cs="Arial" w:eastAsia="Arial" w:hAnsi="Arial"/>
                <w:sz w:val="12"/>
                <w:szCs w:val="12"/>
                <w:color w:val="auto"/>
              </w:rPr>
              <w:t>•  Continued coverage under health and welfare benefit plans for two years</w:t>
            </w:r>
          </w:p>
        </w:tc>
        <w:tc>
          <w:tcPr>
            <w:tcW w:w="1220" w:type="dxa"/>
            <w:vAlign w:val="bottom"/>
            <w:gridSpan w:val="3"/>
          </w:tcPr>
          <w:p>
            <w:pPr>
              <w:jc w:val="right"/>
              <w:spacing w:after="0"/>
              <w:rPr>
                <w:sz w:val="20"/>
                <w:szCs w:val="20"/>
                <w:color w:val="auto"/>
              </w:rPr>
            </w:pPr>
            <w:r>
              <w:rPr>
                <w:rFonts w:ascii="Arial" w:cs="Arial" w:eastAsia="Arial" w:hAnsi="Arial"/>
                <w:sz w:val="12"/>
                <w:szCs w:val="12"/>
                <w:color w:val="auto"/>
              </w:rPr>
              <w:t>20,544</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20" w:type="dxa"/>
            <w:vAlign w:val="bottom"/>
          </w:tcPr>
          <w:p>
            <w:pPr>
              <w:ind w:left="20"/>
              <w:spacing w:after="0"/>
              <w:rPr>
                <w:sz w:val="20"/>
                <w:szCs w:val="20"/>
                <w:color w:val="auto"/>
              </w:rPr>
            </w:pPr>
            <w:r>
              <w:rPr>
                <w:rFonts w:ascii="Arial" w:cs="Arial" w:eastAsia="Arial" w:hAnsi="Arial"/>
                <w:sz w:val="12"/>
                <w:szCs w:val="12"/>
                <w:color w:val="auto"/>
              </w:rPr>
              <w:t>•  Prorated vesting of restricted stock units</w:t>
            </w:r>
          </w:p>
        </w:tc>
        <w:tc>
          <w:tcPr>
            <w:tcW w:w="1220" w:type="dxa"/>
            <w:vAlign w:val="bottom"/>
            <w:gridSpan w:val="3"/>
          </w:tcPr>
          <w:p>
            <w:pPr>
              <w:jc w:val="right"/>
              <w:spacing w:after="0"/>
              <w:rPr>
                <w:sz w:val="20"/>
                <w:szCs w:val="20"/>
                <w:color w:val="auto"/>
              </w:rPr>
            </w:pPr>
            <w:r>
              <w:rPr>
                <w:rFonts w:ascii="Arial" w:cs="Arial" w:eastAsia="Arial" w:hAnsi="Arial"/>
                <w:sz w:val="12"/>
                <w:szCs w:val="12"/>
                <w:color w:val="auto"/>
              </w:rPr>
              <w:t>1,204,819</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20" w:type="dxa"/>
            <w:vAlign w:val="bottom"/>
          </w:tcPr>
          <w:p>
            <w:pPr>
              <w:ind w:left="20"/>
              <w:spacing w:after="0"/>
              <w:rPr>
                <w:sz w:val="20"/>
                <w:szCs w:val="20"/>
                <w:color w:val="auto"/>
              </w:rPr>
            </w:pPr>
            <w:r>
              <w:rPr>
                <w:rFonts w:ascii="Arial" w:cs="Arial" w:eastAsia="Arial" w:hAnsi="Arial"/>
                <w:sz w:val="12"/>
                <w:szCs w:val="12"/>
                <w:color w:val="auto"/>
              </w:rPr>
              <w:t>•  Prorated payment of performance share units</w:t>
            </w:r>
          </w:p>
        </w:tc>
        <w:tc>
          <w:tcPr>
            <w:tcW w:w="1220" w:type="dxa"/>
            <w:vAlign w:val="bottom"/>
            <w:gridSpan w:val="3"/>
          </w:tcPr>
          <w:p>
            <w:pPr>
              <w:jc w:val="right"/>
              <w:spacing w:after="0"/>
              <w:rPr>
                <w:sz w:val="20"/>
                <w:szCs w:val="20"/>
                <w:color w:val="auto"/>
              </w:rPr>
            </w:pPr>
            <w:r>
              <w:rPr>
                <w:rFonts w:ascii="Arial" w:cs="Arial" w:eastAsia="Arial" w:hAnsi="Arial"/>
                <w:sz w:val="12"/>
                <w:szCs w:val="12"/>
                <w:color w:val="auto"/>
              </w:rPr>
              <w:t>6,589,772</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20" w:type="dxa"/>
            <w:vAlign w:val="bottom"/>
          </w:tcPr>
          <w:p>
            <w:pPr>
              <w:ind w:left="20"/>
              <w:spacing w:after="0"/>
              <w:rPr>
                <w:sz w:val="20"/>
                <w:szCs w:val="20"/>
                <w:color w:val="auto"/>
              </w:rPr>
            </w:pPr>
            <w:r>
              <w:rPr>
                <w:rFonts w:ascii="Arial" w:cs="Arial" w:eastAsia="Arial" w:hAnsi="Arial"/>
                <w:sz w:val="12"/>
                <w:szCs w:val="12"/>
                <w:b w:val="1"/>
                <w:bCs w:val="1"/>
                <w:color w:val="auto"/>
              </w:rPr>
              <w:t>Total</w:t>
            </w:r>
          </w:p>
        </w:tc>
        <w:tc>
          <w:tcPr>
            <w:tcW w:w="680" w:type="dxa"/>
            <w:vAlign w:val="bottom"/>
            <w:gridSpan w:val="2"/>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w w:val="86"/>
              </w:rPr>
              <w:t>12,437,635</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4180" w:type="dxa"/>
            <w:vAlign w:val="bottom"/>
            <w:shd w:val="clear" w:color="auto" w:fill="CCEEFF"/>
          </w:tcPr>
          <w:p>
            <w:pPr>
              <w:spacing w:after="0" w:line="126" w:lineRule="exact"/>
              <w:rPr>
                <w:sz w:val="20"/>
                <w:szCs w:val="20"/>
                <w:color w:val="auto"/>
              </w:rPr>
            </w:pPr>
            <w:r>
              <w:rPr>
                <w:rFonts w:ascii="Arial" w:cs="Arial" w:eastAsia="Arial" w:hAnsi="Arial"/>
                <w:sz w:val="12"/>
                <w:szCs w:val="12"/>
                <w:i w:val="1"/>
                <w:iCs w:val="1"/>
                <w:color w:val="auto"/>
                <w:w w:val="94"/>
              </w:rPr>
              <w:t>Termination Without Cause by the Company or For Good Reason by the Employee</w:t>
            </w:r>
          </w:p>
        </w:tc>
        <w:tc>
          <w:tcPr>
            <w:tcW w:w="180" w:type="dxa"/>
            <w:vAlign w:val="bottom"/>
            <w:shd w:val="clear" w:color="auto" w:fill="CCEEFF"/>
          </w:tcPr>
          <w:p>
            <w:pPr>
              <w:spacing w:after="0"/>
              <w:rPr>
                <w:sz w:val="10"/>
                <w:szCs w:val="10"/>
                <w:color w:val="auto"/>
              </w:rPr>
            </w:pPr>
          </w:p>
        </w:tc>
        <w:tc>
          <w:tcPr>
            <w:tcW w:w="4020" w:type="dxa"/>
            <w:vAlign w:val="bottom"/>
            <w:shd w:val="clear" w:color="auto" w:fill="CCEEFF"/>
          </w:tcPr>
          <w:p>
            <w:pPr>
              <w:ind w:left="20"/>
              <w:spacing w:after="0" w:line="126" w:lineRule="exact"/>
              <w:rPr>
                <w:sz w:val="20"/>
                <w:szCs w:val="20"/>
                <w:color w:val="auto"/>
              </w:rPr>
            </w:pPr>
            <w:r>
              <w:rPr>
                <w:rFonts w:ascii="Arial" w:cs="Arial" w:eastAsia="Arial" w:hAnsi="Arial"/>
                <w:sz w:val="12"/>
                <w:szCs w:val="12"/>
                <w:b w:val="1"/>
                <w:bCs w:val="1"/>
                <w:i w:val="1"/>
                <w:iCs w:val="1"/>
                <w:color w:val="auto"/>
              </w:rPr>
              <w:t>Severance Benefits</w:t>
            </w:r>
          </w:p>
        </w:tc>
        <w:tc>
          <w:tcPr>
            <w:tcW w:w="3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4180" w:type="dxa"/>
            <w:vAlign w:val="bottom"/>
            <w:shd w:val="clear" w:color="auto" w:fill="CCEEFF"/>
          </w:tcPr>
          <w:p>
            <w:pPr>
              <w:spacing w:after="0"/>
              <w:rPr>
                <w:sz w:val="20"/>
                <w:szCs w:val="20"/>
                <w:color w:val="auto"/>
              </w:rPr>
            </w:pPr>
            <w:r>
              <w:rPr>
                <w:rFonts w:ascii="Arial" w:cs="Arial" w:eastAsia="Arial" w:hAnsi="Arial"/>
                <w:sz w:val="12"/>
                <w:szCs w:val="12"/>
                <w:i w:val="1"/>
                <w:iCs w:val="1"/>
                <w:color w:val="auto"/>
              </w:rPr>
              <w:t>Six Months Prior to or Two Years Following a Change-in-Control</w:t>
            </w:r>
          </w:p>
        </w:tc>
        <w:tc>
          <w:tcPr>
            <w:tcW w:w="180" w:type="dxa"/>
            <w:vAlign w:val="bottom"/>
            <w:shd w:val="clear" w:color="auto" w:fill="CCEEFF"/>
          </w:tcPr>
          <w:p>
            <w:pPr>
              <w:spacing w:after="0"/>
              <w:rPr>
                <w:sz w:val="13"/>
                <w:szCs w:val="13"/>
                <w:color w:val="auto"/>
              </w:rPr>
            </w:pPr>
          </w:p>
        </w:tc>
        <w:tc>
          <w:tcPr>
            <w:tcW w:w="4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 Three times base salary plus target bonus, paid in lump sum</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6,933,750</w:t>
            </w:r>
          </w:p>
        </w:tc>
        <w:tc>
          <w:tcPr>
            <w:tcW w:w="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180" w:type="dxa"/>
            <w:vAlign w:val="bottom"/>
            <w:shd w:val="clear" w:color="auto" w:fill="CCEEFF"/>
          </w:tcPr>
          <w:p>
            <w:pPr>
              <w:spacing w:after="0"/>
              <w:rPr>
                <w:sz w:val="20"/>
                <w:szCs w:val="20"/>
                <w:color w:val="auto"/>
              </w:rPr>
            </w:pPr>
            <w:r>
              <w:rPr>
                <w:rFonts w:ascii="Arial" w:cs="Arial" w:eastAsia="Arial" w:hAnsi="Arial"/>
                <w:sz w:val="12"/>
                <w:szCs w:val="12"/>
                <w:i w:val="1"/>
                <w:iCs w:val="1"/>
                <w:color w:val="auto"/>
              </w:rPr>
              <w:t>(Double Trigger)*</w:t>
            </w:r>
          </w:p>
        </w:tc>
        <w:tc>
          <w:tcPr>
            <w:tcW w:w="180" w:type="dxa"/>
            <w:vAlign w:val="bottom"/>
            <w:shd w:val="clear" w:color="auto" w:fill="CCEEFF"/>
          </w:tcPr>
          <w:p>
            <w:pPr>
              <w:spacing w:after="0"/>
              <w:rPr>
                <w:sz w:val="13"/>
                <w:szCs w:val="13"/>
                <w:color w:val="auto"/>
              </w:rPr>
            </w:pPr>
          </w:p>
        </w:tc>
        <w:tc>
          <w:tcPr>
            <w:tcW w:w="4020" w:type="dxa"/>
            <w:vAlign w:val="bottom"/>
            <w:shd w:val="clear" w:color="auto" w:fill="CCEEFF"/>
          </w:tcPr>
          <w:p>
            <w:pPr>
              <w:ind w:left="20"/>
              <w:spacing w:after="0"/>
              <w:rPr>
                <w:sz w:val="20"/>
                <w:szCs w:val="20"/>
                <w:color w:val="auto"/>
              </w:rPr>
            </w:pPr>
            <w:r>
              <w:rPr>
                <w:rFonts w:ascii="Arial" w:cs="Arial" w:eastAsia="Arial" w:hAnsi="Arial"/>
                <w:sz w:val="12"/>
                <w:szCs w:val="12"/>
                <w:color w:val="auto"/>
                <w:w w:val="98"/>
              </w:rPr>
              <w:t>•  Continued coverage under health and welfare benefit plans for three years</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30,816</w:t>
            </w:r>
          </w:p>
        </w:tc>
        <w:tc>
          <w:tcPr>
            <w:tcW w:w="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  Accelerated vesting of restricted stock units(2)</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1,257,969</w:t>
            </w:r>
          </w:p>
        </w:tc>
        <w:tc>
          <w:tcPr>
            <w:tcW w:w="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  Accelerated payment of performance share units(3)</w:t>
            </w:r>
          </w:p>
        </w:tc>
        <w:tc>
          <w:tcPr>
            <w:tcW w:w="3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10,995,756</w:t>
            </w:r>
          </w:p>
        </w:tc>
        <w:tc>
          <w:tcPr>
            <w:tcW w:w="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  Full maximum bonus, prorated to date of termination</w:t>
            </w:r>
          </w:p>
        </w:tc>
        <w:tc>
          <w:tcPr>
            <w:tcW w:w="3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2,472,500</w:t>
            </w:r>
          </w:p>
        </w:tc>
        <w:tc>
          <w:tcPr>
            <w:tcW w:w="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  Gross-up payment for any excise taxes</w:t>
            </w:r>
          </w:p>
        </w:tc>
        <w:tc>
          <w:tcPr>
            <w:tcW w:w="3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7"/>
              </w:rPr>
              <w:t>5,266,093</w:t>
            </w:r>
          </w:p>
        </w:tc>
        <w:tc>
          <w:tcPr>
            <w:tcW w:w="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Total</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2"/>
                <w:szCs w:val="12"/>
                <w:b w:val="1"/>
                <w:bCs w:val="1"/>
                <w:color w:val="auto"/>
              </w:rPr>
              <w:t>26,956,884</w:t>
            </w:r>
          </w:p>
        </w:tc>
        <w:tc>
          <w:tcPr>
            <w:tcW w:w="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3206115</wp:posOffset>
            </wp:positionH>
            <wp:positionV relativeFrom="paragraph">
              <wp:posOffset>-2347595</wp:posOffset>
            </wp:positionV>
            <wp:extent cx="25400"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5400" cy="6350"/>
                    </a:xfrm>
                    <a:prstGeom prst="rect">
                      <a:avLst/>
                    </a:prstGeom>
                    <a:noFill/>
                  </pic:spPr>
                </pic:pic>
              </a:graphicData>
            </a:graphic>
          </wp:anchor>
        </w:drawing>
      </w:r>
    </w:p>
    <w:p>
      <w:pPr>
        <w:spacing w:after="0" w:line="282"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Lawrence O’Donnell, III</w:t>
      </w:r>
    </w:p>
    <w:p>
      <w:pPr>
        <w:spacing w:after="0" w:line="106" w:lineRule="exact"/>
        <w:rPr>
          <w:sz w:val="20"/>
          <w:szCs w:val="20"/>
          <w:color w:val="auto"/>
        </w:rPr>
      </w:pPr>
    </w:p>
    <w:tbl>
      <w:tblPr>
        <w:tblLayout w:type="fixed"/>
        <w:tblInd w:w="680" w:type="dxa"/>
        <w:tblCellMar>
          <w:top w:w="0" w:type="dxa"/>
          <w:left w:w="0" w:type="dxa"/>
          <w:bottom w:w="0" w:type="dxa"/>
          <w:right w:w="0" w:type="dxa"/>
        </w:tblCellMar>
      </w:tblPr>
      <w:tr>
        <w:trPr>
          <w:trHeight w:val="138"/>
        </w:trPr>
        <w:tc>
          <w:tcPr>
            <w:tcW w:w="4500" w:type="dxa"/>
            <w:vAlign w:val="bottom"/>
          </w:tcPr>
          <w:p>
            <w:pPr>
              <w:spacing w:after="0"/>
              <w:rPr>
                <w:sz w:val="20"/>
                <w:szCs w:val="20"/>
                <w:color w:val="auto"/>
              </w:rPr>
            </w:pPr>
            <w:r>
              <w:rPr>
                <w:rFonts w:ascii="Arial" w:cs="Arial" w:eastAsia="Arial" w:hAnsi="Arial"/>
                <w:sz w:val="11"/>
                <w:szCs w:val="11"/>
                <w:b w:val="1"/>
                <w:bCs w:val="1"/>
                <w:u w:val="single" w:color="auto"/>
                <w:color w:val="auto"/>
              </w:rPr>
              <w:t>T</w:t>
            </w:r>
            <w:r>
              <w:rPr>
                <w:rFonts w:ascii="Arial" w:cs="Arial" w:eastAsia="Arial" w:hAnsi="Arial"/>
                <w:sz w:val="11"/>
                <w:szCs w:val="11"/>
                <w:b w:val="1"/>
                <w:bCs w:val="1"/>
                <w:color w:val="auto"/>
              </w:rPr>
              <w:t>riggering Event</w:t>
            </w:r>
          </w:p>
        </w:tc>
        <w:tc>
          <w:tcPr>
            <w:tcW w:w="100" w:type="dxa"/>
            <w:vAlign w:val="bottom"/>
          </w:tcPr>
          <w:p>
            <w:pPr>
              <w:spacing w:after="0"/>
              <w:rPr>
                <w:sz w:val="11"/>
                <w:szCs w:val="11"/>
                <w:color w:val="auto"/>
              </w:rPr>
            </w:pPr>
          </w:p>
        </w:tc>
        <w:tc>
          <w:tcPr>
            <w:tcW w:w="4400" w:type="dxa"/>
            <w:vAlign w:val="bottom"/>
            <w:gridSpan w:val="2"/>
          </w:tcPr>
          <w:p>
            <w:pPr>
              <w:spacing w:after="0"/>
              <w:rPr>
                <w:sz w:val="20"/>
                <w:szCs w:val="20"/>
                <w:color w:val="auto"/>
              </w:rPr>
            </w:pPr>
            <w:r>
              <w:rPr>
                <w:rFonts w:ascii="Arial" w:cs="Arial" w:eastAsia="Arial" w:hAnsi="Arial"/>
                <w:sz w:val="11"/>
                <w:szCs w:val="11"/>
                <w:b w:val="1"/>
                <w:bCs w:val="1"/>
                <w:u w:val="single" w:color="auto"/>
                <w:color w:val="auto"/>
              </w:rPr>
              <w:t>C</w:t>
            </w:r>
            <w:r>
              <w:rPr>
                <w:rFonts w:ascii="Arial" w:cs="Arial" w:eastAsia="Arial" w:hAnsi="Arial"/>
                <w:sz w:val="11"/>
                <w:szCs w:val="11"/>
                <w:b w:val="1"/>
                <w:bCs w:val="1"/>
                <w:color w:val="auto"/>
              </w:rPr>
              <w:t>ompensation Component</w:t>
            </w:r>
          </w:p>
        </w:tc>
        <w:tc>
          <w:tcPr>
            <w:tcW w:w="100" w:type="dxa"/>
            <w:vAlign w:val="bottom"/>
          </w:tcPr>
          <w:p>
            <w:pPr>
              <w:spacing w:after="0"/>
              <w:rPr>
                <w:sz w:val="11"/>
                <w:szCs w:val="11"/>
                <w:color w:val="auto"/>
              </w:rPr>
            </w:pPr>
          </w:p>
        </w:tc>
        <w:tc>
          <w:tcPr>
            <w:tcW w:w="880" w:type="dxa"/>
            <w:vAlign w:val="bottom"/>
            <w:gridSpan w:val="2"/>
          </w:tcPr>
          <w:p>
            <w:pPr>
              <w:ind w:left="160"/>
              <w:spacing w:after="0"/>
              <w:rPr>
                <w:sz w:val="20"/>
                <w:szCs w:val="20"/>
                <w:color w:val="auto"/>
              </w:rPr>
            </w:pPr>
            <w:r>
              <w:rPr>
                <w:rFonts w:ascii="Arial" w:cs="Arial" w:eastAsia="Arial" w:hAnsi="Arial"/>
                <w:sz w:val="11"/>
                <w:szCs w:val="11"/>
                <w:b w:val="1"/>
                <w:bCs w:val="1"/>
                <w:color w:val="auto"/>
              </w:rPr>
              <w:t>Payout ($)</w:t>
            </w:r>
          </w:p>
        </w:tc>
        <w:tc>
          <w:tcPr>
            <w:tcW w:w="0" w:type="dxa"/>
            <w:vAlign w:val="bottom"/>
          </w:tcPr>
          <w:p>
            <w:pPr>
              <w:spacing w:after="0"/>
              <w:rPr>
                <w:sz w:val="1"/>
                <w:szCs w:val="1"/>
                <w:color w:val="auto"/>
              </w:rPr>
            </w:pPr>
          </w:p>
        </w:tc>
      </w:tr>
      <w:tr>
        <w:trPr>
          <w:trHeight w:val="30"/>
        </w:trPr>
        <w:tc>
          <w:tcPr>
            <w:tcW w:w="4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4500" w:type="dxa"/>
            <w:vAlign w:val="bottom"/>
            <w:shd w:val="clear" w:color="auto" w:fill="CCEEFF"/>
          </w:tcPr>
          <w:p>
            <w:pPr>
              <w:spacing w:after="0"/>
              <w:rPr>
                <w:sz w:val="20"/>
                <w:szCs w:val="20"/>
                <w:color w:val="auto"/>
              </w:rPr>
            </w:pPr>
            <w:r>
              <w:rPr>
                <w:rFonts w:ascii="Arial" w:cs="Arial" w:eastAsia="Arial" w:hAnsi="Arial"/>
                <w:sz w:val="12"/>
                <w:szCs w:val="12"/>
                <w:i w:val="1"/>
                <w:iCs w:val="1"/>
                <w:color w:val="auto"/>
              </w:rPr>
              <w:t>Death or Disability</w:t>
            </w:r>
          </w:p>
        </w:tc>
        <w:tc>
          <w:tcPr>
            <w:tcW w:w="100" w:type="dxa"/>
            <w:vAlign w:val="bottom"/>
            <w:shd w:val="clear" w:color="auto" w:fill="CCEEFF"/>
          </w:tcPr>
          <w:p>
            <w:pPr>
              <w:spacing w:after="0"/>
              <w:rPr>
                <w:sz w:val="13"/>
                <w:szCs w:val="13"/>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i w:val="1"/>
                <w:iCs w:val="1"/>
                <w:color w:val="auto"/>
              </w:rPr>
              <w:t>Severance Benefits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  Accelerated vesting of restricted stock units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533,691</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2"/>
                <w:szCs w:val="12"/>
                <w:color w:val="auto"/>
                <w:w w:val="90"/>
              </w:rPr>
              <w:t>•  Payment of performance share units based on actual performance at end of performance</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period</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4,532,332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2"/>
                <w:szCs w:val="12"/>
                <w:color w:val="auto"/>
                <w:w w:val="92"/>
              </w:rPr>
              <w:t>•  Two times base salary as of date of termination (payable in bi-weekly installments over</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a two-year period)(1)</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1,550,576</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  Life insurance benefit (in the case of Death)</w:t>
            </w:r>
          </w:p>
        </w:tc>
        <w:tc>
          <w:tcPr>
            <w:tcW w:w="100" w:type="dxa"/>
            <w:vAlign w:val="bottom"/>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776,000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Total</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7,392,599</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2"/>
                <w:szCs w:val="12"/>
                <w:i w:val="1"/>
                <w:iCs w:val="1"/>
                <w:color w:val="auto"/>
              </w:rPr>
              <w:t>Termination Without Cause by the</w:t>
            </w:r>
          </w:p>
        </w:tc>
        <w:tc>
          <w:tcPr>
            <w:tcW w:w="100" w:type="dxa"/>
            <w:vAlign w:val="bottom"/>
          </w:tcPr>
          <w:p>
            <w:pPr>
              <w:spacing w:after="0" w:line="20" w:lineRule="exact"/>
              <w:rPr>
                <w:sz w:val="1"/>
                <w:szCs w:val="1"/>
                <w:color w:val="auto"/>
              </w:rPr>
            </w:pPr>
          </w:p>
        </w:tc>
        <w:tc>
          <w:tcPr>
            <w:tcW w:w="4400" w:type="dxa"/>
            <w:vAlign w:val="bottom"/>
            <w:gridSpan w:val="2"/>
            <w:vMerge w:val="restart"/>
          </w:tcPr>
          <w:p>
            <w:pPr>
              <w:spacing w:after="0"/>
              <w:rPr>
                <w:sz w:val="20"/>
                <w:szCs w:val="20"/>
                <w:color w:val="auto"/>
              </w:rPr>
            </w:pPr>
            <w:r>
              <w:rPr>
                <w:rFonts w:ascii="Arial" w:cs="Arial" w:eastAsia="Arial" w:hAnsi="Arial"/>
                <w:sz w:val="12"/>
                <w:szCs w:val="12"/>
                <w:b w:val="1"/>
                <w:bCs w:val="1"/>
                <w:i w:val="1"/>
                <w:iCs w:val="1"/>
                <w:color w:val="auto"/>
              </w:rPr>
              <w:t>Severance Benefits</w:t>
            </w: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4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44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4500" w:type="dxa"/>
            <w:vAlign w:val="bottom"/>
          </w:tcPr>
          <w:p>
            <w:pPr>
              <w:spacing w:after="0"/>
              <w:rPr>
                <w:sz w:val="20"/>
                <w:szCs w:val="20"/>
                <w:color w:val="auto"/>
              </w:rPr>
            </w:pPr>
            <w:r>
              <w:rPr>
                <w:rFonts w:ascii="Arial" w:cs="Arial" w:eastAsia="Arial" w:hAnsi="Arial"/>
                <w:sz w:val="12"/>
                <w:szCs w:val="12"/>
                <w:i w:val="1"/>
                <w:iCs w:val="1"/>
                <w:color w:val="auto"/>
              </w:rPr>
              <w:t>Company or For Good Reason by the Employee</w:t>
            </w:r>
          </w:p>
        </w:tc>
        <w:tc>
          <w:tcPr>
            <w:tcW w:w="100" w:type="dxa"/>
            <w:vAlign w:val="bottom"/>
          </w:tcPr>
          <w:p>
            <w:pPr>
              <w:spacing w:after="0"/>
              <w:rPr>
                <w:sz w:val="13"/>
                <w:szCs w:val="13"/>
                <w:color w:val="auto"/>
              </w:rPr>
            </w:pPr>
          </w:p>
        </w:tc>
        <w:tc>
          <w:tcPr>
            <w:tcW w:w="4400" w:type="dxa"/>
            <w:vAlign w:val="bottom"/>
            <w:gridSpan w:val="2"/>
          </w:tcPr>
          <w:p>
            <w:pPr>
              <w:spacing w:after="0"/>
              <w:rPr>
                <w:sz w:val="20"/>
                <w:szCs w:val="20"/>
                <w:color w:val="auto"/>
              </w:rPr>
            </w:pPr>
            <w:r>
              <w:rPr>
                <w:rFonts w:ascii="Arial" w:cs="Arial" w:eastAsia="Arial" w:hAnsi="Arial"/>
                <w:sz w:val="12"/>
                <w:szCs w:val="12"/>
                <w:color w:val="auto"/>
                <w:w w:val="91"/>
              </w:rPr>
              <w:t>•  Two times base salary plus target annual bonus (one-half payable in lump sum; one-half</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0" w:type="dxa"/>
            <w:vAlign w:val="bottom"/>
            <w:gridSpan w:val="2"/>
          </w:tcPr>
          <w:p>
            <w:pPr>
              <w:ind w:left="60"/>
              <w:spacing w:after="0"/>
              <w:rPr>
                <w:sz w:val="20"/>
                <w:szCs w:val="20"/>
                <w:color w:val="auto"/>
              </w:rPr>
            </w:pPr>
            <w:r>
              <w:rPr>
                <w:rFonts w:ascii="Arial" w:cs="Arial" w:eastAsia="Arial" w:hAnsi="Arial"/>
                <w:sz w:val="12"/>
                <w:szCs w:val="12"/>
                <w:color w:val="auto"/>
              </w:rPr>
              <w:t>payable in bi-weekly installments over a two-year period)</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3,101,152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0" w:type="dxa"/>
            <w:vAlign w:val="bottom"/>
            <w:gridSpan w:val="2"/>
          </w:tcPr>
          <w:p>
            <w:pPr>
              <w:spacing w:after="0"/>
              <w:rPr>
                <w:sz w:val="20"/>
                <w:szCs w:val="20"/>
                <w:color w:val="auto"/>
              </w:rPr>
            </w:pPr>
            <w:r>
              <w:rPr>
                <w:rFonts w:ascii="Arial" w:cs="Arial" w:eastAsia="Arial" w:hAnsi="Arial"/>
                <w:sz w:val="12"/>
                <w:szCs w:val="12"/>
                <w:color w:val="auto"/>
              </w:rPr>
              <w:t>•  Continued coverage under benefit plans for two years</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0" w:type="dxa"/>
            <w:vAlign w:val="bottom"/>
            <w:gridSpan w:val="2"/>
          </w:tcPr>
          <w:p>
            <w:pPr>
              <w:ind w:left="60"/>
              <w:spacing w:after="0"/>
              <w:rPr>
                <w:sz w:val="20"/>
                <w:szCs w:val="20"/>
                <w:color w:val="auto"/>
              </w:rPr>
            </w:pPr>
            <w:r>
              <w:rPr>
                <w:rFonts w:ascii="Arial" w:cs="Arial" w:eastAsia="Arial" w:hAnsi="Arial"/>
                <w:sz w:val="12"/>
                <w:szCs w:val="12"/>
                <w:color w:val="auto"/>
              </w:rPr>
              <w:t>•  Health and Welfare Benefit Plans</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20,544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ind w:left="60"/>
              <w:spacing w:after="0"/>
              <w:rPr>
                <w:sz w:val="20"/>
                <w:szCs w:val="20"/>
                <w:color w:val="auto"/>
              </w:rPr>
            </w:pPr>
            <w:r>
              <w:rPr>
                <w:rFonts w:ascii="Arial" w:cs="Arial" w:eastAsia="Arial" w:hAnsi="Arial"/>
                <w:sz w:val="12"/>
                <w:szCs w:val="12"/>
                <w:color w:val="auto"/>
              </w:rPr>
              <w:t>•</w:t>
            </w:r>
          </w:p>
        </w:tc>
        <w:tc>
          <w:tcPr>
            <w:tcW w:w="4240" w:type="dxa"/>
            <w:vAlign w:val="bottom"/>
          </w:tcPr>
          <w:p>
            <w:pPr>
              <w:ind w:left="40"/>
              <w:spacing w:after="0"/>
              <w:rPr>
                <w:sz w:val="20"/>
                <w:szCs w:val="20"/>
                <w:color w:val="auto"/>
              </w:rPr>
            </w:pPr>
            <w:r>
              <w:rPr>
                <w:rFonts w:ascii="Arial" w:cs="Arial" w:eastAsia="Arial" w:hAnsi="Arial"/>
                <w:sz w:val="12"/>
                <w:szCs w:val="12"/>
                <w:color w:val="auto"/>
              </w:rPr>
              <w:t>Deferred Savings Plan</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107,029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0" w:type="dxa"/>
            <w:vAlign w:val="bottom"/>
            <w:gridSpan w:val="2"/>
          </w:tcPr>
          <w:p>
            <w:pPr>
              <w:ind w:left="60"/>
              <w:spacing w:after="0"/>
              <w:rPr>
                <w:sz w:val="20"/>
                <w:szCs w:val="20"/>
                <w:color w:val="auto"/>
              </w:rPr>
            </w:pPr>
            <w:r>
              <w:rPr>
                <w:rFonts w:ascii="Arial" w:cs="Arial" w:eastAsia="Arial" w:hAnsi="Arial"/>
                <w:sz w:val="12"/>
                <w:szCs w:val="12"/>
                <w:color w:val="auto"/>
              </w:rPr>
              <w:t>• 401(k)</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22,050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0" w:type="dxa"/>
            <w:vAlign w:val="bottom"/>
            <w:gridSpan w:val="2"/>
          </w:tcPr>
          <w:p>
            <w:pPr>
              <w:spacing w:after="0"/>
              <w:rPr>
                <w:sz w:val="20"/>
                <w:szCs w:val="20"/>
                <w:color w:val="auto"/>
              </w:rPr>
            </w:pPr>
            <w:r>
              <w:rPr>
                <w:rFonts w:ascii="Arial" w:cs="Arial" w:eastAsia="Arial" w:hAnsi="Arial"/>
                <w:sz w:val="12"/>
                <w:szCs w:val="12"/>
                <w:color w:val="auto"/>
              </w:rPr>
              <w:t>•  Prorated vesting of restricted stock units</w:t>
            </w:r>
          </w:p>
        </w:tc>
        <w:tc>
          <w:tcPr>
            <w:tcW w:w="980" w:type="dxa"/>
            <w:vAlign w:val="bottom"/>
            <w:gridSpan w:val="3"/>
          </w:tcPr>
          <w:p>
            <w:pPr>
              <w:jc w:val="right"/>
              <w:ind w:right="80"/>
              <w:spacing w:after="0"/>
              <w:rPr>
                <w:sz w:val="20"/>
                <w:szCs w:val="20"/>
                <w:color w:val="auto"/>
              </w:rPr>
            </w:pPr>
            <w:r>
              <w:rPr>
                <w:rFonts w:ascii="Arial" w:cs="Arial" w:eastAsia="Arial" w:hAnsi="Arial"/>
                <w:sz w:val="12"/>
                <w:szCs w:val="12"/>
                <w:color w:val="auto"/>
              </w:rPr>
              <w:t>511,106</w:t>
            </w:r>
          </w:p>
        </w:tc>
        <w:tc>
          <w:tcPr>
            <w:tcW w:w="0" w:type="dxa"/>
            <w:vAlign w:val="bottom"/>
          </w:tcPr>
          <w:p>
            <w:pPr>
              <w:spacing w:after="0"/>
              <w:rPr>
                <w:sz w:val="1"/>
                <w:szCs w:val="1"/>
                <w:color w:val="auto"/>
              </w:rPr>
            </w:pPr>
          </w:p>
        </w:tc>
      </w:tr>
      <w:tr>
        <w:trPr>
          <w:trHeight w:val="154"/>
        </w:trPr>
        <w:tc>
          <w:tcPr>
            <w:tcW w:w="4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0" w:type="dxa"/>
            <w:vAlign w:val="bottom"/>
            <w:gridSpan w:val="2"/>
          </w:tcPr>
          <w:p>
            <w:pPr>
              <w:spacing w:after="0"/>
              <w:rPr>
                <w:sz w:val="20"/>
                <w:szCs w:val="20"/>
                <w:color w:val="auto"/>
              </w:rPr>
            </w:pPr>
            <w:r>
              <w:rPr>
                <w:rFonts w:ascii="Arial" w:cs="Arial" w:eastAsia="Arial" w:hAnsi="Arial"/>
                <w:sz w:val="12"/>
                <w:szCs w:val="12"/>
                <w:color w:val="auto"/>
              </w:rPr>
              <w:t>•  Prorated payment of performance share units</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2,730,935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0" w:type="dxa"/>
            <w:vAlign w:val="bottom"/>
            <w:gridSpan w:val="2"/>
          </w:tcPr>
          <w:p>
            <w:pPr>
              <w:spacing w:after="0"/>
              <w:rPr>
                <w:sz w:val="20"/>
                <w:szCs w:val="20"/>
                <w:color w:val="auto"/>
              </w:rPr>
            </w:pPr>
            <w:r>
              <w:rPr>
                <w:rFonts w:ascii="Arial" w:cs="Arial" w:eastAsia="Arial" w:hAnsi="Arial"/>
                <w:sz w:val="12"/>
                <w:szCs w:val="12"/>
                <w:b w:val="1"/>
                <w:bCs w:val="1"/>
                <w:color w:val="auto"/>
              </w:rPr>
              <w:t>Total</w:t>
            </w:r>
          </w:p>
        </w:tc>
        <w:tc>
          <w:tcPr>
            <w:tcW w:w="10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6,492,816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4500" w:type="dxa"/>
            <w:vAlign w:val="bottom"/>
            <w:shd w:val="clear" w:color="auto" w:fill="CCEEFF"/>
          </w:tcPr>
          <w:p>
            <w:pPr>
              <w:spacing w:after="0" w:line="126" w:lineRule="exact"/>
              <w:rPr>
                <w:sz w:val="20"/>
                <w:szCs w:val="20"/>
                <w:color w:val="auto"/>
              </w:rPr>
            </w:pPr>
            <w:r>
              <w:rPr>
                <w:rFonts w:ascii="Arial" w:cs="Arial" w:eastAsia="Arial" w:hAnsi="Arial"/>
                <w:sz w:val="12"/>
                <w:szCs w:val="12"/>
                <w:i w:val="1"/>
                <w:iCs w:val="1"/>
                <w:color w:val="auto"/>
                <w:w w:val="97"/>
              </w:rPr>
              <w:t>Termination Without Cause by the Company or For Good Reason by the Employee Six</w:t>
            </w:r>
          </w:p>
        </w:tc>
        <w:tc>
          <w:tcPr>
            <w:tcW w:w="100" w:type="dxa"/>
            <w:vAlign w:val="bottom"/>
            <w:shd w:val="clear" w:color="auto" w:fill="CCEEFF"/>
          </w:tcPr>
          <w:p>
            <w:pPr>
              <w:spacing w:after="0"/>
              <w:rPr>
                <w:sz w:val="10"/>
                <w:szCs w:val="10"/>
                <w:color w:val="auto"/>
              </w:rPr>
            </w:pPr>
          </w:p>
        </w:tc>
        <w:tc>
          <w:tcPr>
            <w:tcW w:w="4400" w:type="dxa"/>
            <w:vAlign w:val="bottom"/>
            <w:gridSpan w:val="2"/>
            <w:shd w:val="clear" w:color="auto" w:fill="CCEEFF"/>
          </w:tcPr>
          <w:p>
            <w:pPr>
              <w:spacing w:after="0" w:line="126" w:lineRule="exact"/>
              <w:rPr>
                <w:sz w:val="20"/>
                <w:szCs w:val="20"/>
                <w:color w:val="auto"/>
              </w:rPr>
            </w:pPr>
            <w:r>
              <w:rPr>
                <w:rFonts w:ascii="Arial" w:cs="Arial" w:eastAsia="Arial" w:hAnsi="Arial"/>
                <w:sz w:val="12"/>
                <w:szCs w:val="12"/>
                <w:b w:val="1"/>
                <w:bCs w:val="1"/>
                <w:i w:val="1"/>
                <w:iCs w:val="1"/>
                <w:color w:val="auto"/>
              </w:rPr>
              <w:t>Severance Benefits</w:t>
            </w: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4500" w:type="dxa"/>
            <w:vAlign w:val="bottom"/>
            <w:shd w:val="clear" w:color="auto" w:fill="CCEEFF"/>
          </w:tcPr>
          <w:p>
            <w:pPr>
              <w:spacing w:after="0"/>
              <w:rPr>
                <w:sz w:val="20"/>
                <w:szCs w:val="20"/>
                <w:color w:val="auto"/>
              </w:rPr>
            </w:pPr>
            <w:r>
              <w:rPr>
                <w:rFonts w:ascii="Arial" w:cs="Arial" w:eastAsia="Arial" w:hAnsi="Arial"/>
                <w:sz w:val="12"/>
                <w:szCs w:val="12"/>
                <w:i w:val="1"/>
                <w:iCs w:val="1"/>
                <w:color w:val="auto"/>
              </w:rPr>
              <w:t>Months Prior to or Two Years Following a</w:t>
            </w:r>
          </w:p>
        </w:tc>
        <w:tc>
          <w:tcPr>
            <w:tcW w:w="100" w:type="dxa"/>
            <w:vAlign w:val="bottom"/>
            <w:shd w:val="clear" w:color="auto" w:fill="CCEEFF"/>
          </w:tcPr>
          <w:p>
            <w:pPr>
              <w:spacing w:after="0"/>
              <w:rPr>
                <w:sz w:val="13"/>
                <w:szCs w:val="13"/>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  Three times base salary plus target bonus, paid in lump sum</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4,651,728</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500" w:type="dxa"/>
            <w:vAlign w:val="bottom"/>
            <w:shd w:val="clear" w:color="auto" w:fill="CCEEFF"/>
          </w:tcPr>
          <w:p>
            <w:pPr>
              <w:spacing w:after="0"/>
              <w:rPr>
                <w:sz w:val="20"/>
                <w:szCs w:val="20"/>
                <w:color w:val="auto"/>
              </w:rPr>
            </w:pPr>
            <w:r>
              <w:rPr>
                <w:rFonts w:ascii="Arial" w:cs="Arial" w:eastAsia="Arial" w:hAnsi="Arial"/>
                <w:sz w:val="12"/>
                <w:szCs w:val="12"/>
                <w:i w:val="1"/>
                <w:iCs w:val="1"/>
                <w:color w:val="auto"/>
              </w:rPr>
              <w:t>Change-in-Control (Double Trigger)*</w:t>
            </w:r>
          </w:p>
        </w:tc>
        <w:tc>
          <w:tcPr>
            <w:tcW w:w="100" w:type="dxa"/>
            <w:vAlign w:val="bottom"/>
            <w:shd w:val="clear" w:color="auto" w:fill="CCEEFF"/>
          </w:tcPr>
          <w:p>
            <w:pPr>
              <w:spacing w:after="0"/>
              <w:rPr>
                <w:sz w:val="13"/>
                <w:szCs w:val="13"/>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  Continued coverage under benefit plans for three years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  Health and Welfare Benefit Plans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30,816</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ind w:left="60"/>
              <w:spacing w:after="0"/>
              <w:rPr>
                <w:sz w:val="20"/>
                <w:szCs w:val="20"/>
                <w:color w:val="auto"/>
              </w:rPr>
            </w:pPr>
            <w:r>
              <w:rPr>
                <w:rFonts w:ascii="Arial" w:cs="Arial" w:eastAsia="Arial" w:hAnsi="Arial"/>
                <w:sz w:val="12"/>
                <w:szCs w:val="12"/>
                <w:color w:val="auto"/>
              </w:rPr>
              <w:t>•</w:t>
            </w:r>
          </w:p>
        </w:tc>
        <w:tc>
          <w:tcPr>
            <w:tcW w:w="4240" w:type="dxa"/>
            <w:vAlign w:val="bottom"/>
            <w:shd w:val="clear" w:color="auto" w:fill="CCEEFF"/>
          </w:tcPr>
          <w:p>
            <w:pPr>
              <w:ind w:left="40"/>
              <w:spacing w:after="0"/>
              <w:rPr>
                <w:sz w:val="20"/>
                <w:szCs w:val="20"/>
                <w:color w:val="auto"/>
              </w:rPr>
            </w:pPr>
            <w:r>
              <w:rPr>
                <w:rFonts w:ascii="Arial" w:cs="Arial" w:eastAsia="Arial" w:hAnsi="Arial"/>
                <w:sz w:val="12"/>
                <w:szCs w:val="12"/>
                <w:color w:val="auto"/>
              </w:rPr>
              <w:t>Deferred Savings Plan</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160,544</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 401(k)</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33,075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  Accelerated vesting of restricted stock units(2)</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533,691</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  Accelerated payment of performance share units(3)</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4,532,332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4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  Full maximum bonus, prorated to date of termination</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1,550,576</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  Gross-up payment for any excise taxes</w:t>
            </w:r>
          </w:p>
        </w:tc>
        <w:tc>
          <w:tcPr>
            <w:tcW w:w="100" w:type="dxa"/>
            <w:vAlign w:val="bottom"/>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2,814,666</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Total</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14,307,428</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Robert G. Simpson</w:t>
      </w:r>
    </w:p>
    <w:p>
      <w:pPr>
        <w:spacing w:after="0" w:line="106" w:lineRule="exact"/>
        <w:rPr>
          <w:sz w:val="20"/>
          <w:szCs w:val="20"/>
          <w:color w:val="auto"/>
        </w:rPr>
      </w:pPr>
    </w:p>
    <w:tbl>
      <w:tblPr>
        <w:tblLayout w:type="fixed"/>
        <w:tblInd w:w="680" w:type="dxa"/>
        <w:tblCellMar>
          <w:top w:w="0" w:type="dxa"/>
          <w:left w:w="0" w:type="dxa"/>
          <w:bottom w:w="0" w:type="dxa"/>
          <w:right w:w="0" w:type="dxa"/>
        </w:tblCellMar>
      </w:tblPr>
      <w:tr>
        <w:trPr>
          <w:trHeight w:val="138"/>
        </w:trPr>
        <w:tc>
          <w:tcPr>
            <w:tcW w:w="4500" w:type="dxa"/>
            <w:vAlign w:val="bottom"/>
          </w:tcPr>
          <w:p>
            <w:pPr>
              <w:spacing w:after="0"/>
              <w:rPr>
                <w:sz w:val="20"/>
                <w:szCs w:val="20"/>
                <w:color w:val="auto"/>
              </w:rPr>
            </w:pPr>
            <w:r>
              <w:rPr>
                <w:rFonts w:ascii="Arial" w:cs="Arial" w:eastAsia="Arial" w:hAnsi="Arial"/>
                <w:sz w:val="11"/>
                <w:szCs w:val="11"/>
                <w:b w:val="1"/>
                <w:bCs w:val="1"/>
                <w:u w:val="single" w:color="auto"/>
                <w:color w:val="auto"/>
              </w:rPr>
              <w:t>T</w:t>
            </w:r>
            <w:r>
              <w:rPr>
                <w:rFonts w:ascii="Arial" w:cs="Arial" w:eastAsia="Arial" w:hAnsi="Arial"/>
                <w:sz w:val="11"/>
                <w:szCs w:val="11"/>
                <w:b w:val="1"/>
                <w:bCs w:val="1"/>
                <w:color w:val="auto"/>
              </w:rPr>
              <w:t>riggering Event</w:t>
            </w:r>
          </w:p>
        </w:tc>
        <w:tc>
          <w:tcPr>
            <w:tcW w:w="100" w:type="dxa"/>
            <w:vAlign w:val="bottom"/>
          </w:tcPr>
          <w:p>
            <w:pPr>
              <w:spacing w:after="0"/>
              <w:rPr>
                <w:sz w:val="11"/>
                <w:szCs w:val="11"/>
                <w:color w:val="auto"/>
              </w:rPr>
            </w:pPr>
          </w:p>
        </w:tc>
        <w:tc>
          <w:tcPr>
            <w:tcW w:w="4300" w:type="dxa"/>
            <w:vAlign w:val="bottom"/>
          </w:tcPr>
          <w:p>
            <w:pPr>
              <w:spacing w:after="0"/>
              <w:rPr>
                <w:sz w:val="20"/>
                <w:szCs w:val="20"/>
                <w:color w:val="auto"/>
              </w:rPr>
            </w:pPr>
            <w:r>
              <w:rPr>
                <w:rFonts w:ascii="Arial" w:cs="Arial" w:eastAsia="Arial" w:hAnsi="Arial"/>
                <w:sz w:val="11"/>
                <w:szCs w:val="11"/>
                <w:b w:val="1"/>
                <w:bCs w:val="1"/>
                <w:u w:val="single" w:color="auto"/>
                <w:color w:val="auto"/>
              </w:rPr>
              <w:t>C</w:t>
            </w:r>
            <w:r>
              <w:rPr>
                <w:rFonts w:ascii="Arial" w:cs="Arial" w:eastAsia="Arial" w:hAnsi="Arial"/>
                <w:sz w:val="11"/>
                <w:szCs w:val="11"/>
                <w:b w:val="1"/>
                <w:bCs w:val="1"/>
                <w:color w:val="auto"/>
              </w:rPr>
              <w:t>ompensation Component</w:t>
            </w:r>
          </w:p>
        </w:tc>
        <w:tc>
          <w:tcPr>
            <w:tcW w:w="300" w:type="dxa"/>
            <w:vAlign w:val="bottom"/>
          </w:tcPr>
          <w:p>
            <w:pPr>
              <w:spacing w:after="0"/>
              <w:rPr>
                <w:sz w:val="11"/>
                <w:szCs w:val="11"/>
                <w:color w:val="auto"/>
              </w:rPr>
            </w:pP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Payout ($)</w:t>
            </w:r>
          </w:p>
        </w:tc>
        <w:tc>
          <w:tcPr>
            <w:tcW w:w="0" w:type="dxa"/>
            <w:vAlign w:val="bottom"/>
          </w:tcPr>
          <w:p>
            <w:pPr>
              <w:spacing w:after="0"/>
              <w:rPr>
                <w:sz w:val="1"/>
                <w:szCs w:val="1"/>
                <w:color w:val="auto"/>
              </w:rPr>
            </w:pPr>
          </w:p>
        </w:tc>
      </w:tr>
      <w:tr>
        <w:trPr>
          <w:trHeight w:val="30"/>
        </w:trPr>
        <w:tc>
          <w:tcPr>
            <w:tcW w:w="4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4500" w:type="dxa"/>
            <w:vAlign w:val="bottom"/>
            <w:shd w:val="clear" w:color="auto" w:fill="CCEEFF"/>
          </w:tcPr>
          <w:p>
            <w:pPr>
              <w:spacing w:after="0"/>
              <w:rPr>
                <w:sz w:val="20"/>
                <w:szCs w:val="20"/>
                <w:color w:val="auto"/>
              </w:rPr>
            </w:pPr>
            <w:r>
              <w:rPr>
                <w:rFonts w:ascii="Arial" w:cs="Arial" w:eastAsia="Arial" w:hAnsi="Arial"/>
                <w:sz w:val="12"/>
                <w:szCs w:val="12"/>
                <w:i w:val="1"/>
                <w:iCs w:val="1"/>
                <w:color w:val="auto"/>
              </w:rPr>
              <w:t>Death or Disability</w:t>
            </w:r>
          </w:p>
        </w:tc>
        <w:tc>
          <w:tcPr>
            <w:tcW w:w="100" w:type="dxa"/>
            <w:vAlign w:val="bottom"/>
            <w:shd w:val="clear" w:color="auto" w:fill="CCEEFF"/>
          </w:tcPr>
          <w:p>
            <w:pPr>
              <w:spacing w:after="0"/>
              <w:rPr>
                <w:sz w:val="13"/>
                <w:szCs w:val="13"/>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2"/>
                <w:szCs w:val="12"/>
                <w:b w:val="1"/>
                <w:bCs w:val="1"/>
                <w:i w:val="1"/>
                <w:iCs w:val="1"/>
                <w:color w:val="auto"/>
              </w:rPr>
              <w:t>Severance Benefits</w:t>
            </w: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2"/>
                <w:szCs w:val="12"/>
                <w:color w:val="auto"/>
              </w:rPr>
              <w:t>•  Accelerated vesting of restricted stock units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419,345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2"/>
                <w:szCs w:val="12"/>
                <w:color w:val="auto"/>
              </w:rPr>
              <w:t>•  Payment of performance share units based on actual performance at end of</w:t>
            </w: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300" w:type="dxa"/>
            <w:vAlign w:val="bottom"/>
            <w:shd w:val="clear" w:color="auto" w:fill="CCEEFF"/>
          </w:tcPr>
          <w:p>
            <w:pPr>
              <w:ind w:left="60"/>
              <w:spacing w:after="0"/>
              <w:rPr>
                <w:sz w:val="20"/>
                <w:szCs w:val="20"/>
                <w:color w:val="auto"/>
              </w:rPr>
            </w:pPr>
            <w:r>
              <w:rPr>
                <w:rFonts w:ascii="Arial" w:cs="Arial" w:eastAsia="Arial" w:hAnsi="Arial"/>
                <w:sz w:val="12"/>
                <w:szCs w:val="12"/>
                <w:color w:val="auto"/>
              </w:rPr>
              <w:t>performance period</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3,278,319</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2"/>
                <w:szCs w:val="12"/>
                <w:color w:val="auto"/>
              </w:rPr>
              <w:t>•  Life insurance benefit (in the case of Death)</w:t>
            </w:r>
          </w:p>
        </w:tc>
        <w:tc>
          <w:tcPr>
            <w:tcW w:w="300" w:type="dxa"/>
            <w:vAlign w:val="bottom"/>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521,000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4,218,664</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2"/>
                <w:szCs w:val="12"/>
                <w:i w:val="1"/>
                <w:iCs w:val="1"/>
                <w:color w:val="auto"/>
              </w:rPr>
              <w:t>Termination Without Cause by the Company or For</w:t>
            </w:r>
          </w:p>
        </w:tc>
        <w:tc>
          <w:tcPr>
            <w:tcW w:w="100" w:type="dxa"/>
            <w:vAlign w:val="bottom"/>
          </w:tcPr>
          <w:p>
            <w:pPr>
              <w:spacing w:after="0" w:line="20" w:lineRule="exact"/>
              <w:rPr>
                <w:sz w:val="1"/>
                <w:szCs w:val="1"/>
                <w:color w:val="auto"/>
              </w:rPr>
            </w:pPr>
          </w:p>
        </w:tc>
        <w:tc>
          <w:tcPr>
            <w:tcW w:w="4300" w:type="dxa"/>
            <w:vAlign w:val="bottom"/>
            <w:vMerge w:val="restart"/>
          </w:tcPr>
          <w:p>
            <w:pPr>
              <w:spacing w:after="0"/>
              <w:rPr>
                <w:sz w:val="20"/>
                <w:szCs w:val="20"/>
                <w:color w:val="auto"/>
              </w:rPr>
            </w:pPr>
            <w:r>
              <w:rPr>
                <w:rFonts w:ascii="Arial" w:cs="Arial" w:eastAsia="Arial" w:hAnsi="Arial"/>
                <w:sz w:val="12"/>
                <w:szCs w:val="12"/>
                <w:b w:val="1"/>
                <w:bCs w:val="1"/>
                <w:i w:val="1"/>
                <w:iCs w:val="1"/>
                <w:color w:val="auto"/>
              </w:rPr>
              <w:t>Severance Benefits</w:t>
            </w: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4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43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4500" w:type="dxa"/>
            <w:vAlign w:val="bottom"/>
          </w:tcPr>
          <w:p>
            <w:pPr>
              <w:spacing w:after="0"/>
              <w:rPr>
                <w:sz w:val="20"/>
                <w:szCs w:val="20"/>
                <w:color w:val="auto"/>
              </w:rPr>
            </w:pPr>
            <w:r>
              <w:rPr>
                <w:rFonts w:ascii="Arial" w:cs="Arial" w:eastAsia="Arial" w:hAnsi="Arial"/>
                <w:sz w:val="12"/>
                <w:szCs w:val="12"/>
                <w:i w:val="1"/>
                <w:iCs w:val="1"/>
                <w:color w:val="auto"/>
              </w:rPr>
              <w:t>Good Reason by the Employee</w:t>
            </w:r>
          </w:p>
        </w:tc>
        <w:tc>
          <w:tcPr>
            <w:tcW w:w="100" w:type="dxa"/>
            <w:vAlign w:val="bottom"/>
          </w:tcPr>
          <w:p>
            <w:pPr>
              <w:spacing w:after="0"/>
              <w:rPr>
                <w:sz w:val="13"/>
                <w:szCs w:val="13"/>
                <w:color w:val="auto"/>
              </w:rPr>
            </w:pPr>
          </w:p>
        </w:tc>
        <w:tc>
          <w:tcPr>
            <w:tcW w:w="4300" w:type="dxa"/>
            <w:vAlign w:val="bottom"/>
          </w:tcPr>
          <w:p>
            <w:pPr>
              <w:spacing w:after="0"/>
              <w:rPr>
                <w:sz w:val="20"/>
                <w:szCs w:val="20"/>
                <w:color w:val="auto"/>
              </w:rPr>
            </w:pPr>
            <w:r>
              <w:rPr>
                <w:rFonts w:ascii="Arial" w:cs="Arial" w:eastAsia="Arial" w:hAnsi="Arial"/>
                <w:sz w:val="12"/>
                <w:szCs w:val="12"/>
                <w:color w:val="auto"/>
                <w:w w:val="93"/>
              </w:rPr>
              <w:t>•  Two times base salary plus target annual bonus (one-half payable in lump sum; one-</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00" w:type="dxa"/>
            <w:vAlign w:val="bottom"/>
          </w:tcPr>
          <w:p>
            <w:pPr>
              <w:spacing w:after="0"/>
              <w:rPr>
                <w:sz w:val="20"/>
                <w:szCs w:val="20"/>
                <w:color w:val="auto"/>
              </w:rPr>
            </w:pPr>
            <w:r>
              <w:rPr>
                <w:rFonts w:ascii="Arial" w:cs="Arial" w:eastAsia="Arial" w:hAnsi="Arial"/>
                <w:sz w:val="12"/>
                <w:szCs w:val="12"/>
                <w:color w:val="auto"/>
              </w:rPr>
              <w:t>half payable in bi-weekly installments over a two-year period)</w:t>
            </w: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1,927,644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00" w:type="dxa"/>
            <w:vAlign w:val="bottom"/>
          </w:tcPr>
          <w:p>
            <w:pPr>
              <w:spacing w:after="0"/>
              <w:rPr>
                <w:sz w:val="20"/>
                <w:szCs w:val="20"/>
                <w:color w:val="auto"/>
              </w:rPr>
            </w:pPr>
            <w:r>
              <w:rPr>
                <w:rFonts w:ascii="Arial" w:cs="Arial" w:eastAsia="Arial" w:hAnsi="Arial"/>
                <w:sz w:val="12"/>
                <w:szCs w:val="12"/>
                <w:color w:val="auto"/>
              </w:rPr>
              <w:t>•  Continued coverage under health and welfare benefit plans for two years</w:t>
            </w: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20,544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00" w:type="dxa"/>
            <w:vAlign w:val="bottom"/>
          </w:tcPr>
          <w:p>
            <w:pPr>
              <w:spacing w:after="0"/>
              <w:rPr>
                <w:sz w:val="20"/>
                <w:szCs w:val="20"/>
                <w:color w:val="auto"/>
              </w:rPr>
            </w:pPr>
            <w:r>
              <w:rPr>
                <w:rFonts w:ascii="Arial" w:cs="Arial" w:eastAsia="Arial" w:hAnsi="Arial"/>
                <w:sz w:val="12"/>
                <w:szCs w:val="12"/>
                <w:color w:val="auto"/>
              </w:rPr>
              <w:t>•  Prorated vesting of restricted stock units</w:t>
            </w: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401,595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00" w:type="dxa"/>
            <w:vAlign w:val="bottom"/>
          </w:tcPr>
          <w:p>
            <w:pPr>
              <w:spacing w:after="0"/>
              <w:rPr>
                <w:sz w:val="20"/>
                <w:szCs w:val="20"/>
                <w:color w:val="auto"/>
              </w:rPr>
            </w:pPr>
            <w:r>
              <w:rPr>
                <w:rFonts w:ascii="Arial" w:cs="Arial" w:eastAsia="Arial" w:hAnsi="Arial"/>
                <w:sz w:val="12"/>
                <w:szCs w:val="12"/>
                <w:color w:val="auto"/>
              </w:rPr>
              <w:t>•  Prorated payment of performance share units</w:t>
            </w: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2,027,281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00" w:type="dxa"/>
            <w:vAlign w:val="bottom"/>
          </w:tcPr>
          <w:p>
            <w:pPr>
              <w:spacing w:after="0"/>
              <w:rPr>
                <w:sz w:val="20"/>
                <w:szCs w:val="20"/>
                <w:color w:val="auto"/>
              </w:rPr>
            </w:pPr>
            <w:r>
              <w:rPr>
                <w:rFonts w:ascii="Arial" w:cs="Arial" w:eastAsia="Arial" w:hAnsi="Arial"/>
                <w:sz w:val="12"/>
                <w:szCs w:val="12"/>
                <w:b w:val="1"/>
                <w:bCs w:val="1"/>
                <w:color w:val="auto"/>
              </w:rPr>
              <w:t>Total</w:t>
            </w:r>
          </w:p>
        </w:tc>
        <w:tc>
          <w:tcPr>
            <w:tcW w:w="30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4,377,064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4500" w:type="dxa"/>
            <w:vAlign w:val="bottom"/>
            <w:shd w:val="clear" w:color="auto" w:fill="CCEEFF"/>
          </w:tcPr>
          <w:p>
            <w:pPr>
              <w:spacing w:after="0" w:line="126" w:lineRule="exact"/>
              <w:rPr>
                <w:sz w:val="20"/>
                <w:szCs w:val="20"/>
                <w:color w:val="auto"/>
              </w:rPr>
            </w:pPr>
            <w:r>
              <w:rPr>
                <w:rFonts w:ascii="Arial" w:cs="Arial" w:eastAsia="Arial" w:hAnsi="Arial"/>
                <w:sz w:val="12"/>
                <w:szCs w:val="12"/>
                <w:i w:val="1"/>
                <w:iCs w:val="1"/>
                <w:color w:val="auto"/>
                <w:w w:val="97"/>
              </w:rPr>
              <w:t>Termination Without Cause by the Company or For Good Reason by the Employee Six</w:t>
            </w:r>
          </w:p>
        </w:tc>
        <w:tc>
          <w:tcPr>
            <w:tcW w:w="100" w:type="dxa"/>
            <w:vAlign w:val="bottom"/>
            <w:shd w:val="clear" w:color="auto" w:fill="CCEEFF"/>
          </w:tcPr>
          <w:p>
            <w:pPr>
              <w:spacing w:after="0"/>
              <w:rPr>
                <w:sz w:val="10"/>
                <w:szCs w:val="10"/>
                <w:color w:val="auto"/>
              </w:rPr>
            </w:pPr>
          </w:p>
        </w:tc>
        <w:tc>
          <w:tcPr>
            <w:tcW w:w="4300" w:type="dxa"/>
            <w:vAlign w:val="bottom"/>
            <w:shd w:val="clear" w:color="auto" w:fill="CCEEFF"/>
          </w:tcPr>
          <w:p>
            <w:pPr>
              <w:spacing w:after="0" w:line="126" w:lineRule="exact"/>
              <w:rPr>
                <w:sz w:val="20"/>
                <w:szCs w:val="20"/>
                <w:color w:val="auto"/>
              </w:rPr>
            </w:pPr>
            <w:r>
              <w:rPr>
                <w:rFonts w:ascii="Arial" w:cs="Arial" w:eastAsia="Arial" w:hAnsi="Arial"/>
                <w:sz w:val="12"/>
                <w:szCs w:val="12"/>
                <w:b w:val="1"/>
                <w:bCs w:val="1"/>
                <w:i w:val="1"/>
                <w:iCs w:val="1"/>
                <w:color w:val="auto"/>
              </w:rPr>
              <w:t>Severance Benefits</w:t>
            </w:r>
          </w:p>
        </w:tc>
        <w:tc>
          <w:tcPr>
            <w:tcW w:w="3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4500" w:type="dxa"/>
            <w:vAlign w:val="bottom"/>
            <w:shd w:val="clear" w:color="auto" w:fill="CCEEFF"/>
          </w:tcPr>
          <w:p>
            <w:pPr>
              <w:spacing w:after="0"/>
              <w:rPr>
                <w:sz w:val="20"/>
                <w:szCs w:val="20"/>
                <w:color w:val="auto"/>
              </w:rPr>
            </w:pPr>
            <w:r>
              <w:rPr>
                <w:rFonts w:ascii="Arial" w:cs="Arial" w:eastAsia="Arial" w:hAnsi="Arial"/>
                <w:sz w:val="12"/>
                <w:szCs w:val="12"/>
                <w:i w:val="1"/>
                <w:iCs w:val="1"/>
                <w:color w:val="auto"/>
              </w:rPr>
              <w:t>Months Prior to or Two Years Following a Change-in-Control</w:t>
            </w:r>
          </w:p>
        </w:tc>
        <w:tc>
          <w:tcPr>
            <w:tcW w:w="100" w:type="dxa"/>
            <w:vAlign w:val="bottom"/>
            <w:shd w:val="clear" w:color="auto" w:fill="CCEEFF"/>
          </w:tcPr>
          <w:p>
            <w:pPr>
              <w:spacing w:after="0"/>
              <w:rPr>
                <w:sz w:val="13"/>
                <w:szCs w:val="13"/>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2"/>
                <w:szCs w:val="12"/>
                <w:color w:val="auto"/>
              </w:rPr>
              <w:t>•  Three times base salary plus target bonus, paid in lump sum</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2,891,466</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500" w:type="dxa"/>
            <w:vAlign w:val="bottom"/>
            <w:shd w:val="clear" w:color="auto" w:fill="CCEEFF"/>
          </w:tcPr>
          <w:p>
            <w:pPr>
              <w:spacing w:after="0"/>
              <w:rPr>
                <w:sz w:val="20"/>
                <w:szCs w:val="20"/>
                <w:color w:val="auto"/>
              </w:rPr>
            </w:pPr>
            <w:r>
              <w:rPr>
                <w:rFonts w:ascii="Arial" w:cs="Arial" w:eastAsia="Arial" w:hAnsi="Arial"/>
                <w:sz w:val="12"/>
                <w:szCs w:val="12"/>
                <w:i w:val="1"/>
                <w:iCs w:val="1"/>
                <w:color w:val="auto"/>
              </w:rPr>
              <w:t>(Double Trigger)*</w:t>
            </w:r>
          </w:p>
        </w:tc>
        <w:tc>
          <w:tcPr>
            <w:tcW w:w="100" w:type="dxa"/>
            <w:vAlign w:val="bottom"/>
            <w:shd w:val="clear" w:color="auto" w:fill="CCEEFF"/>
          </w:tcPr>
          <w:p>
            <w:pPr>
              <w:spacing w:after="0"/>
              <w:rPr>
                <w:sz w:val="13"/>
                <w:szCs w:val="13"/>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2"/>
                <w:szCs w:val="12"/>
                <w:color w:val="auto"/>
              </w:rPr>
              <w:t>•  Continued coverage under health and welfare benefit plans for three years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30,816</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2"/>
                <w:szCs w:val="12"/>
                <w:color w:val="auto"/>
              </w:rPr>
              <w:t>•  Accelerated vesting of restricted stock units(2)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419,345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2"/>
                <w:szCs w:val="12"/>
                <w:color w:val="auto"/>
              </w:rPr>
              <w:t>•  Accelerated payment of performance share units(3)</w:t>
            </w: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3,278,319</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2"/>
                <w:szCs w:val="12"/>
                <w:color w:val="auto"/>
              </w:rPr>
              <w:t>•  Full maximum bonus, prorated to date of termination</w:t>
            </w: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885,674</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2"/>
                <w:szCs w:val="12"/>
                <w:color w:val="auto"/>
              </w:rPr>
              <w:t>•  Gross-up payment for any excise taxes</w:t>
            </w:r>
          </w:p>
        </w:tc>
        <w:tc>
          <w:tcPr>
            <w:tcW w:w="300" w:type="dxa"/>
            <w:vAlign w:val="bottom"/>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1,809,757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9,315,377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James E. Trevathan</w:t>
      </w:r>
    </w:p>
    <w:p>
      <w:pPr>
        <w:spacing w:after="0" w:line="110" w:lineRule="exact"/>
        <w:rPr>
          <w:sz w:val="20"/>
          <w:szCs w:val="20"/>
          <w:color w:val="auto"/>
        </w:rPr>
      </w:pPr>
    </w:p>
    <w:tbl>
      <w:tblPr>
        <w:tblLayout w:type="fixed"/>
        <w:tblInd w:w="680" w:type="dxa"/>
        <w:tblCellMar>
          <w:top w:w="0" w:type="dxa"/>
          <w:left w:w="0" w:type="dxa"/>
          <w:bottom w:w="0" w:type="dxa"/>
          <w:right w:w="0" w:type="dxa"/>
        </w:tblCellMar>
      </w:tblPr>
      <w:tr>
        <w:trPr>
          <w:trHeight w:val="124"/>
        </w:trPr>
        <w:tc>
          <w:tcPr>
            <w:tcW w:w="4400" w:type="dxa"/>
            <w:vAlign w:val="bottom"/>
          </w:tcPr>
          <w:p>
            <w:pPr>
              <w:spacing w:after="0"/>
              <w:rPr>
                <w:sz w:val="20"/>
                <w:szCs w:val="20"/>
                <w:color w:val="auto"/>
              </w:rPr>
            </w:pPr>
            <w:r>
              <w:rPr>
                <w:rFonts w:ascii="Arial" w:cs="Arial" w:eastAsia="Arial" w:hAnsi="Arial"/>
                <w:sz w:val="9"/>
                <w:szCs w:val="9"/>
                <w:b w:val="1"/>
                <w:bCs w:val="1"/>
                <w:u w:val="single" w:color="auto"/>
                <w:color w:val="auto"/>
              </w:rPr>
              <w:t>T</w:t>
            </w:r>
            <w:r>
              <w:rPr>
                <w:rFonts w:ascii="Arial" w:cs="Arial" w:eastAsia="Arial" w:hAnsi="Arial"/>
                <w:sz w:val="9"/>
                <w:szCs w:val="9"/>
                <w:b w:val="1"/>
                <w:bCs w:val="1"/>
                <w:color w:val="auto"/>
              </w:rPr>
              <w:t>riggering Event</w:t>
            </w:r>
          </w:p>
        </w:tc>
        <w:tc>
          <w:tcPr>
            <w:tcW w:w="200" w:type="dxa"/>
            <w:vAlign w:val="bottom"/>
          </w:tcPr>
          <w:p>
            <w:pPr>
              <w:spacing w:after="0"/>
              <w:rPr>
                <w:sz w:val="10"/>
                <w:szCs w:val="10"/>
                <w:color w:val="auto"/>
              </w:rPr>
            </w:pPr>
          </w:p>
        </w:tc>
        <w:tc>
          <w:tcPr>
            <w:tcW w:w="4300" w:type="dxa"/>
            <w:vAlign w:val="bottom"/>
            <w:gridSpan w:val="2"/>
          </w:tcPr>
          <w:p>
            <w:pPr>
              <w:spacing w:after="0"/>
              <w:rPr>
                <w:sz w:val="20"/>
                <w:szCs w:val="20"/>
                <w:color w:val="auto"/>
              </w:rPr>
            </w:pPr>
            <w:r>
              <w:rPr>
                <w:rFonts w:ascii="Arial" w:cs="Arial" w:eastAsia="Arial" w:hAnsi="Arial"/>
                <w:sz w:val="9"/>
                <w:szCs w:val="9"/>
                <w:b w:val="1"/>
                <w:bCs w:val="1"/>
                <w:u w:val="single" w:color="auto"/>
                <w:color w:val="auto"/>
              </w:rPr>
              <w:t>C</w:t>
            </w:r>
            <w:r>
              <w:rPr>
                <w:rFonts w:ascii="Arial" w:cs="Arial" w:eastAsia="Arial" w:hAnsi="Arial"/>
                <w:sz w:val="9"/>
                <w:szCs w:val="9"/>
                <w:b w:val="1"/>
                <w:bCs w:val="1"/>
                <w:color w:val="auto"/>
              </w:rPr>
              <w:t>ompensation Component</w:t>
            </w:r>
          </w:p>
        </w:tc>
        <w:tc>
          <w:tcPr>
            <w:tcW w:w="300" w:type="dxa"/>
            <w:vAlign w:val="bottom"/>
          </w:tcPr>
          <w:p>
            <w:pPr>
              <w:spacing w:after="0"/>
              <w:rPr>
                <w:sz w:val="10"/>
                <w:szCs w:val="10"/>
                <w:color w:val="auto"/>
              </w:rPr>
            </w:pPr>
          </w:p>
        </w:tc>
        <w:tc>
          <w:tcPr>
            <w:tcW w:w="780" w:type="dxa"/>
            <w:vAlign w:val="bottom"/>
            <w:gridSpan w:val="2"/>
          </w:tcPr>
          <w:p>
            <w:pPr>
              <w:ind w:left="140"/>
              <w:spacing w:after="0"/>
              <w:rPr>
                <w:sz w:val="20"/>
                <w:szCs w:val="20"/>
                <w:color w:val="auto"/>
              </w:rPr>
            </w:pPr>
            <w:r>
              <w:rPr>
                <w:rFonts w:ascii="Arial" w:cs="Arial" w:eastAsia="Arial" w:hAnsi="Arial"/>
                <w:sz w:val="9"/>
                <w:szCs w:val="9"/>
                <w:b w:val="1"/>
                <w:bCs w:val="1"/>
                <w:color w:val="auto"/>
              </w:rPr>
              <w:t>Payout ($)</w:t>
            </w:r>
          </w:p>
        </w:tc>
        <w:tc>
          <w:tcPr>
            <w:tcW w:w="0" w:type="dxa"/>
            <w:vAlign w:val="bottom"/>
          </w:tcPr>
          <w:p>
            <w:pPr>
              <w:spacing w:after="0"/>
              <w:rPr>
                <w:sz w:val="1"/>
                <w:szCs w:val="1"/>
                <w:color w:val="auto"/>
              </w:rPr>
            </w:pPr>
          </w:p>
        </w:tc>
      </w:tr>
      <w:tr>
        <w:trPr>
          <w:trHeight w:val="30"/>
        </w:trPr>
        <w:tc>
          <w:tcPr>
            <w:tcW w:w="4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4400" w:type="dxa"/>
            <w:vAlign w:val="bottom"/>
            <w:shd w:val="clear" w:color="auto" w:fill="CCEEFF"/>
          </w:tcPr>
          <w:p>
            <w:pPr>
              <w:spacing w:after="0"/>
              <w:rPr>
                <w:sz w:val="20"/>
                <w:szCs w:val="20"/>
                <w:color w:val="auto"/>
              </w:rPr>
            </w:pPr>
            <w:r>
              <w:rPr>
                <w:rFonts w:ascii="Arial" w:cs="Arial" w:eastAsia="Arial" w:hAnsi="Arial"/>
                <w:sz w:val="12"/>
                <w:szCs w:val="12"/>
                <w:i w:val="1"/>
                <w:iCs w:val="1"/>
                <w:color w:val="auto"/>
              </w:rPr>
              <w:t>Death or Disability</w:t>
            </w:r>
          </w:p>
        </w:tc>
        <w:tc>
          <w:tcPr>
            <w:tcW w:w="200" w:type="dxa"/>
            <w:vAlign w:val="bottom"/>
            <w:shd w:val="clear" w:color="auto" w:fill="CCEEFF"/>
          </w:tcPr>
          <w:p>
            <w:pPr>
              <w:spacing w:after="0"/>
              <w:rPr>
                <w:sz w:val="13"/>
                <w:szCs w:val="13"/>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i w:val="1"/>
                <w:iCs w:val="1"/>
                <w:color w:val="auto"/>
              </w:rPr>
              <w:t>Severance Benefits</w:t>
            </w: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  Accelerated vesting of restricted stock units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247,827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  Payment of performance share units based on actual performance at end of</w:t>
            </w: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30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performance period</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1,937,854</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2"/>
                <w:szCs w:val="12"/>
                <w:color w:val="auto"/>
                <w:w w:val="96"/>
              </w:rPr>
              <w:t>•  Two times base salary as of date of termination (payable in bi-weekly installments</w:t>
            </w: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30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over a two-year period)(1)</w:t>
            </w: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1,132,596</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  Life insurance benefit (in the case of Death)</w:t>
            </w:r>
          </w:p>
        </w:tc>
        <w:tc>
          <w:tcPr>
            <w:tcW w:w="300" w:type="dxa"/>
            <w:vAlign w:val="bottom"/>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567,000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Total</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3,885,277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2"/>
                <w:szCs w:val="12"/>
                <w:i w:val="1"/>
                <w:iCs w:val="1"/>
                <w:color w:val="auto"/>
                <w:w w:val="99"/>
              </w:rPr>
              <w:t>Termination Without Cause by the Company or For Good Reason by the Employee</w:t>
            </w:r>
          </w:p>
        </w:tc>
        <w:tc>
          <w:tcPr>
            <w:tcW w:w="200" w:type="dxa"/>
            <w:vAlign w:val="bottom"/>
          </w:tcPr>
          <w:p>
            <w:pPr>
              <w:spacing w:after="0" w:line="20" w:lineRule="exact"/>
              <w:rPr>
                <w:sz w:val="1"/>
                <w:szCs w:val="1"/>
                <w:color w:val="auto"/>
              </w:rPr>
            </w:pPr>
          </w:p>
        </w:tc>
        <w:tc>
          <w:tcPr>
            <w:tcW w:w="4300" w:type="dxa"/>
            <w:vAlign w:val="bottom"/>
            <w:gridSpan w:val="2"/>
            <w:vMerge w:val="restart"/>
          </w:tcPr>
          <w:p>
            <w:pPr>
              <w:spacing w:after="0"/>
              <w:rPr>
                <w:sz w:val="20"/>
                <w:szCs w:val="20"/>
                <w:color w:val="auto"/>
              </w:rPr>
            </w:pPr>
            <w:r>
              <w:rPr>
                <w:rFonts w:ascii="Arial" w:cs="Arial" w:eastAsia="Arial" w:hAnsi="Arial"/>
                <w:sz w:val="12"/>
                <w:szCs w:val="12"/>
                <w:b w:val="1"/>
                <w:bCs w:val="1"/>
                <w:i w:val="1"/>
                <w:iCs w:val="1"/>
                <w:color w:val="auto"/>
              </w:rPr>
              <w:t>Severance Benefits</w:t>
            </w: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44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430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4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300" w:type="dxa"/>
            <w:vAlign w:val="bottom"/>
            <w:gridSpan w:val="2"/>
          </w:tcPr>
          <w:p>
            <w:pPr>
              <w:spacing w:after="0"/>
              <w:rPr>
                <w:sz w:val="20"/>
                <w:szCs w:val="20"/>
                <w:color w:val="auto"/>
              </w:rPr>
            </w:pPr>
            <w:r>
              <w:rPr>
                <w:rFonts w:ascii="Arial" w:cs="Arial" w:eastAsia="Arial" w:hAnsi="Arial"/>
                <w:sz w:val="12"/>
                <w:szCs w:val="12"/>
                <w:color w:val="auto"/>
                <w:w w:val="93"/>
              </w:rPr>
              <w:t>•  Two times base salary plus target annual bonus (one-half payable in lump sum; one-</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300" w:type="dxa"/>
            <w:vAlign w:val="bottom"/>
            <w:gridSpan w:val="2"/>
          </w:tcPr>
          <w:p>
            <w:pPr>
              <w:spacing w:after="0"/>
              <w:rPr>
                <w:sz w:val="20"/>
                <w:szCs w:val="20"/>
                <w:color w:val="auto"/>
              </w:rPr>
            </w:pPr>
            <w:r>
              <w:rPr>
                <w:rFonts w:ascii="Arial" w:cs="Arial" w:eastAsia="Arial" w:hAnsi="Arial"/>
                <w:sz w:val="12"/>
                <w:szCs w:val="12"/>
                <w:color w:val="auto"/>
              </w:rPr>
              <w:t>half payable in bi-weekly installments over a two-year period)</w:t>
            </w: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2,095,302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300" w:type="dxa"/>
            <w:vAlign w:val="bottom"/>
            <w:gridSpan w:val="2"/>
          </w:tcPr>
          <w:p>
            <w:pPr>
              <w:spacing w:after="0"/>
              <w:rPr>
                <w:sz w:val="20"/>
                <w:szCs w:val="20"/>
                <w:color w:val="auto"/>
              </w:rPr>
            </w:pPr>
            <w:r>
              <w:rPr>
                <w:rFonts w:ascii="Arial" w:cs="Arial" w:eastAsia="Arial" w:hAnsi="Arial"/>
                <w:sz w:val="12"/>
                <w:szCs w:val="12"/>
                <w:color w:val="auto"/>
              </w:rPr>
              <w:t>•  Continued coverage under benefit plans for two years</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300" w:type="dxa"/>
            <w:vAlign w:val="bottom"/>
            <w:gridSpan w:val="2"/>
          </w:tcPr>
          <w:p>
            <w:pPr>
              <w:ind w:left="60"/>
              <w:spacing w:after="0"/>
              <w:rPr>
                <w:sz w:val="20"/>
                <w:szCs w:val="20"/>
                <w:color w:val="auto"/>
              </w:rPr>
            </w:pPr>
            <w:r>
              <w:rPr>
                <w:rFonts w:ascii="Arial" w:cs="Arial" w:eastAsia="Arial" w:hAnsi="Arial"/>
                <w:sz w:val="12"/>
                <w:szCs w:val="12"/>
                <w:color w:val="auto"/>
              </w:rPr>
              <w:t>•  Health and Welfare Benefit Plans</w:t>
            </w: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20,544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ind w:left="60"/>
              <w:spacing w:after="0"/>
              <w:rPr>
                <w:sz w:val="20"/>
                <w:szCs w:val="20"/>
                <w:color w:val="auto"/>
              </w:rPr>
            </w:pPr>
            <w:r>
              <w:rPr>
                <w:rFonts w:ascii="Arial" w:cs="Arial" w:eastAsia="Arial" w:hAnsi="Arial"/>
                <w:sz w:val="12"/>
                <w:szCs w:val="12"/>
                <w:color w:val="auto"/>
              </w:rPr>
              <w:t>•</w:t>
            </w:r>
          </w:p>
        </w:tc>
        <w:tc>
          <w:tcPr>
            <w:tcW w:w="4140" w:type="dxa"/>
            <w:vAlign w:val="bottom"/>
          </w:tcPr>
          <w:p>
            <w:pPr>
              <w:ind w:left="40"/>
              <w:spacing w:after="0"/>
              <w:rPr>
                <w:sz w:val="20"/>
                <w:szCs w:val="20"/>
                <w:color w:val="auto"/>
              </w:rPr>
            </w:pPr>
            <w:r>
              <w:rPr>
                <w:rFonts w:ascii="Arial" w:cs="Arial" w:eastAsia="Arial" w:hAnsi="Arial"/>
                <w:sz w:val="12"/>
                <w:szCs w:val="12"/>
                <w:color w:val="auto"/>
              </w:rPr>
              <w:t>Deferred Savings Plan</w:t>
            </w: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300" w:type="dxa"/>
            <w:vAlign w:val="bottom"/>
            <w:gridSpan w:val="2"/>
          </w:tcPr>
          <w:p>
            <w:pPr>
              <w:ind w:left="60"/>
              <w:spacing w:after="0"/>
              <w:rPr>
                <w:sz w:val="20"/>
                <w:szCs w:val="20"/>
                <w:color w:val="auto"/>
              </w:rPr>
            </w:pPr>
            <w:r>
              <w:rPr>
                <w:rFonts w:ascii="Arial" w:cs="Arial" w:eastAsia="Arial" w:hAnsi="Arial"/>
                <w:sz w:val="12"/>
                <w:szCs w:val="12"/>
                <w:color w:val="auto"/>
              </w:rPr>
              <w:t>• 401(k)</w:t>
            </w: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22,050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300" w:type="dxa"/>
            <w:vAlign w:val="bottom"/>
            <w:gridSpan w:val="2"/>
          </w:tcPr>
          <w:p>
            <w:pPr>
              <w:spacing w:after="0"/>
              <w:rPr>
                <w:sz w:val="20"/>
                <w:szCs w:val="20"/>
                <w:color w:val="auto"/>
              </w:rPr>
            </w:pPr>
            <w:r>
              <w:rPr>
                <w:rFonts w:ascii="Arial" w:cs="Arial" w:eastAsia="Arial" w:hAnsi="Arial"/>
                <w:sz w:val="12"/>
                <w:szCs w:val="12"/>
                <w:color w:val="auto"/>
              </w:rPr>
              <w:t>•  Prorated vesting of restricted stock units</w:t>
            </w: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237,346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300" w:type="dxa"/>
            <w:vAlign w:val="bottom"/>
            <w:gridSpan w:val="2"/>
          </w:tcPr>
          <w:p>
            <w:pPr>
              <w:spacing w:after="0"/>
              <w:rPr>
                <w:sz w:val="20"/>
                <w:szCs w:val="20"/>
                <w:color w:val="auto"/>
              </w:rPr>
            </w:pPr>
            <w:r>
              <w:rPr>
                <w:rFonts w:ascii="Arial" w:cs="Arial" w:eastAsia="Arial" w:hAnsi="Arial"/>
                <w:sz w:val="12"/>
                <w:szCs w:val="12"/>
                <w:color w:val="auto"/>
              </w:rPr>
              <w:t>•  Prorated payment of performance share units</w:t>
            </w: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1,198,362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300" w:type="dxa"/>
            <w:vAlign w:val="bottom"/>
            <w:gridSpan w:val="2"/>
          </w:tcPr>
          <w:p>
            <w:pPr>
              <w:spacing w:after="0"/>
              <w:rPr>
                <w:sz w:val="20"/>
                <w:szCs w:val="20"/>
                <w:color w:val="auto"/>
              </w:rPr>
            </w:pPr>
            <w:r>
              <w:rPr>
                <w:rFonts w:ascii="Arial" w:cs="Arial" w:eastAsia="Arial" w:hAnsi="Arial"/>
                <w:sz w:val="12"/>
                <w:szCs w:val="12"/>
                <w:b w:val="1"/>
                <w:bCs w:val="1"/>
                <w:color w:val="auto"/>
              </w:rPr>
              <w:t>Total</w:t>
            </w:r>
          </w:p>
        </w:tc>
        <w:tc>
          <w:tcPr>
            <w:tcW w:w="30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3,573,604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4400" w:type="dxa"/>
            <w:vAlign w:val="bottom"/>
            <w:shd w:val="clear" w:color="auto" w:fill="CCEEFF"/>
          </w:tcPr>
          <w:p>
            <w:pPr>
              <w:spacing w:after="0" w:line="126" w:lineRule="exact"/>
              <w:rPr>
                <w:sz w:val="20"/>
                <w:szCs w:val="20"/>
                <w:color w:val="auto"/>
              </w:rPr>
            </w:pPr>
            <w:r>
              <w:rPr>
                <w:rFonts w:ascii="Arial" w:cs="Arial" w:eastAsia="Arial" w:hAnsi="Arial"/>
                <w:sz w:val="12"/>
                <w:szCs w:val="12"/>
                <w:i w:val="1"/>
                <w:iCs w:val="1"/>
                <w:color w:val="auto"/>
                <w:w w:val="94"/>
              </w:rPr>
              <w:t>Termination Without Cause by the Company or For Good Reason by the Employee Six</w:t>
            </w:r>
          </w:p>
        </w:tc>
        <w:tc>
          <w:tcPr>
            <w:tcW w:w="200" w:type="dxa"/>
            <w:vAlign w:val="bottom"/>
            <w:shd w:val="clear" w:color="auto" w:fill="CCEEFF"/>
          </w:tcPr>
          <w:p>
            <w:pPr>
              <w:spacing w:after="0"/>
              <w:rPr>
                <w:sz w:val="10"/>
                <w:szCs w:val="10"/>
                <w:color w:val="auto"/>
              </w:rPr>
            </w:pPr>
          </w:p>
        </w:tc>
        <w:tc>
          <w:tcPr>
            <w:tcW w:w="4300" w:type="dxa"/>
            <w:vAlign w:val="bottom"/>
            <w:gridSpan w:val="2"/>
            <w:shd w:val="clear" w:color="auto" w:fill="CCEEFF"/>
          </w:tcPr>
          <w:p>
            <w:pPr>
              <w:spacing w:after="0" w:line="126" w:lineRule="exact"/>
              <w:rPr>
                <w:sz w:val="20"/>
                <w:szCs w:val="20"/>
                <w:color w:val="auto"/>
              </w:rPr>
            </w:pPr>
            <w:r>
              <w:rPr>
                <w:rFonts w:ascii="Arial" w:cs="Arial" w:eastAsia="Arial" w:hAnsi="Arial"/>
                <w:sz w:val="12"/>
                <w:szCs w:val="12"/>
                <w:b w:val="1"/>
                <w:bCs w:val="1"/>
                <w:i w:val="1"/>
                <w:iCs w:val="1"/>
                <w:color w:val="auto"/>
              </w:rPr>
              <w:t>Severance Benefits</w:t>
            </w:r>
          </w:p>
        </w:tc>
        <w:tc>
          <w:tcPr>
            <w:tcW w:w="3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4400" w:type="dxa"/>
            <w:vAlign w:val="bottom"/>
            <w:shd w:val="clear" w:color="auto" w:fill="CCEEFF"/>
          </w:tcPr>
          <w:p>
            <w:pPr>
              <w:spacing w:after="0"/>
              <w:rPr>
                <w:sz w:val="20"/>
                <w:szCs w:val="20"/>
                <w:color w:val="auto"/>
              </w:rPr>
            </w:pPr>
            <w:r>
              <w:rPr>
                <w:rFonts w:ascii="Arial" w:cs="Arial" w:eastAsia="Arial" w:hAnsi="Arial"/>
                <w:sz w:val="12"/>
                <w:szCs w:val="12"/>
                <w:i w:val="1"/>
                <w:iCs w:val="1"/>
                <w:color w:val="auto"/>
              </w:rPr>
              <w:t xml:space="preserve">Months Prior to or </w:t>
            </w:r>
            <w:r>
              <w:rPr>
                <w:rFonts w:ascii="Arial" w:cs="Arial" w:eastAsia="Arial" w:hAnsi="Arial"/>
                <w:sz w:val="12"/>
                <w:szCs w:val="12"/>
                <w:color w:val="auto"/>
              </w:rPr>
              <w:t>Two Years Following a</w:t>
            </w:r>
          </w:p>
        </w:tc>
        <w:tc>
          <w:tcPr>
            <w:tcW w:w="200" w:type="dxa"/>
            <w:vAlign w:val="bottom"/>
            <w:shd w:val="clear" w:color="auto" w:fill="CCEEFF"/>
          </w:tcPr>
          <w:p>
            <w:pPr>
              <w:spacing w:after="0"/>
              <w:rPr>
                <w:sz w:val="13"/>
                <w:szCs w:val="13"/>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  Two times base salary plus target bonus, paid in lump sum</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2,095,302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400" w:type="dxa"/>
            <w:vAlign w:val="bottom"/>
            <w:shd w:val="clear" w:color="auto" w:fill="CCEEFF"/>
          </w:tcPr>
          <w:p>
            <w:pPr>
              <w:spacing w:after="0"/>
              <w:rPr>
                <w:sz w:val="20"/>
                <w:szCs w:val="20"/>
                <w:color w:val="auto"/>
              </w:rPr>
            </w:pPr>
            <w:r>
              <w:rPr>
                <w:rFonts w:ascii="Arial" w:cs="Arial" w:eastAsia="Arial" w:hAnsi="Arial"/>
                <w:sz w:val="12"/>
                <w:szCs w:val="12"/>
                <w:i w:val="1"/>
                <w:iCs w:val="1"/>
                <w:color w:val="auto"/>
              </w:rPr>
              <w:t>Change-in-Control (Double Trigger)*</w:t>
            </w:r>
          </w:p>
        </w:tc>
        <w:tc>
          <w:tcPr>
            <w:tcW w:w="200" w:type="dxa"/>
            <w:vAlign w:val="bottom"/>
            <w:shd w:val="clear" w:color="auto" w:fill="CCEEFF"/>
          </w:tcPr>
          <w:p>
            <w:pPr>
              <w:spacing w:after="0"/>
              <w:rPr>
                <w:sz w:val="13"/>
                <w:szCs w:val="13"/>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  Continued coverage under benefit plans for two years</w:t>
            </w: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30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  Health and Welfare Benefit Plans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20,544</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ind w:left="60"/>
              <w:spacing w:after="0"/>
              <w:rPr>
                <w:sz w:val="20"/>
                <w:szCs w:val="20"/>
                <w:color w:val="auto"/>
              </w:rPr>
            </w:pPr>
            <w:r>
              <w:rPr>
                <w:rFonts w:ascii="Arial" w:cs="Arial" w:eastAsia="Arial" w:hAnsi="Arial"/>
                <w:sz w:val="12"/>
                <w:szCs w:val="12"/>
                <w:color w:val="auto"/>
              </w:rPr>
              <w:t>•</w:t>
            </w:r>
          </w:p>
        </w:tc>
        <w:tc>
          <w:tcPr>
            <w:tcW w:w="4140" w:type="dxa"/>
            <w:vAlign w:val="bottom"/>
            <w:shd w:val="clear" w:color="auto" w:fill="CCEEFF"/>
          </w:tcPr>
          <w:p>
            <w:pPr>
              <w:ind w:left="40"/>
              <w:spacing w:after="0"/>
              <w:rPr>
                <w:sz w:val="20"/>
                <w:szCs w:val="20"/>
                <w:color w:val="auto"/>
              </w:rPr>
            </w:pPr>
            <w:r>
              <w:rPr>
                <w:rFonts w:ascii="Arial" w:cs="Arial" w:eastAsia="Arial" w:hAnsi="Arial"/>
                <w:sz w:val="12"/>
                <w:szCs w:val="12"/>
                <w:color w:val="auto"/>
              </w:rPr>
              <w:t>Deferred Savings Plan</w:t>
            </w: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30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 401(k)</w:t>
            </w: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22,050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  Accelerated vesting of restricted stock units(2)</w:t>
            </w: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247,827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  Accelerated payment of performance share units(3)</w:t>
            </w: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1,937,854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4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  Full maximum bonus, prorated to date of termination</w:t>
            </w: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962,706</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  Gross-up payment for any excise taxes</w:t>
            </w:r>
          </w:p>
        </w:tc>
        <w:tc>
          <w:tcPr>
            <w:tcW w:w="300" w:type="dxa"/>
            <w:vAlign w:val="bottom"/>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1,238,177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Total</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6,524,460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Duane C. Woods</w:t>
      </w:r>
    </w:p>
    <w:p>
      <w:pPr>
        <w:spacing w:after="0" w:line="106" w:lineRule="exact"/>
        <w:rPr>
          <w:sz w:val="20"/>
          <w:szCs w:val="20"/>
          <w:color w:val="auto"/>
        </w:rPr>
      </w:pPr>
    </w:p>
    <w:tbl>
      <w:tblPr>
        <w:tblLayout w:type="fixed"/>
        <w:tblInd w:w="680" w:type="dxa"/>
        <w:tblCellMar>
          <w:top w:w="0" w:type="dxa"/>
          <w:left w:w="0" w:type="dxa"/>
          <w:bottom w:w="0" w:type="dxa"/>
          <w:right w:w="0" w:type="dxa"/>
        </w:tblCellMar>
      </w:tblPr>
      <w:tr>
        <w:trPr>
          <w:trHeight w:val="138"/>
        </w:trPr>
        <w:tc>
          <w:tcPr>
            <w:tcW w:w="4400" w:type="dxa"/>
            <w:vAlign w:val="bottom"/>
            <w:gridSpan w:val="2"/>
          </w:tcPr>
          <w:p>
            <w:pPr>
              <w:spacing w:after="0"/>
              <w:rPr>
                <w:sz w:val="20"/>
                <w:szCs w:val="20"/>
                <w:color w:val="auto"/>
              </w:rPr>
            </w:pPr>
            <w:r>
              <w:rPr>
                <w:rFonts w:ascii="Arial" w:cs="Arial" w:eastAsia="Arial" w:hAnsi="Arial"/>
                <w:sz w:val="11"/>
                <w:szCs w:val="11"/>
                <w:b w:val="1"/>
                <w:bCs w:val="1"/>
                <w:u w:val="single" w:color="auto"/>
                <w:color w:val="auto"/>
              </w:rPr>
              <w:t>T</w:t>
            </w:r>
            <w:r>
              <w:rPr>
                <w:rFonts w:ascii="Arial" w:cs="Arial" w:eastAsia="Arial" w:hAnsi="Arial"/>
                <w:sz w:val="11"/>
                <w:szCs w:val="11"/>
                <w:b w:val="1"/>
                <w:bCs w:val="1"/>
                <w:color w:val="auto"/>
              </w:rPr>
              <w:t>riggering Event</w:t>
            </w:r>
          </w:p>
        </w:tc>
        <w:tc>
          <w:tcPr>
            <w:tcW w:w="200" w:type="dxa"/>
            <w:vAlign w:val="bottom"/>
          </w:tcPr>
          <w:p>
            <w:pPr>
              <w:spacing w:after="0"/>
              <w:rPr>
                <w:sz w:val="11"/>
                <w:szCs w:val="11"/>
                <w:color w:val="auto"/>
              </w:rPr>
            </w:pPr>
          </w:p>
        </w:tc>
        <w:tc>
          <w:tcPr>
            <w:tcW w:w="4300" w:type="dxa"/>
            <w:vAlign w:val="bottom"/>
          </w:tcPr>
          <w:p>
            <w:pPr>
              <w:spacing w:after="0"/>
              <w:rPr>
                <w:sz w:val="20"/>
                <w:szCs w:val="20"/>
                <w:color w:val="auto"/>
              </w:rPr>
            </w:pPr>
            <w:r>
              <w:rPr>
                <w:rFonts w:ascii="Arial" w:cs="Arial" w:eastAsia="Arial" w:hAnsi="Arial"/>
                <w:sz w:val="11"/>
                <w:szCs w:val="11"/>
                <w:b w:val="1"/>
                <w:bCs w:val="1"/>
                <w:u w:val="single" w:color="auto"/>
                <w:color w:val="auto"/>
              </w:rPr>
              <w:t>C</w:t>
            </w:r>
            <w:r>
              <w:rPr>
                <w:rFonts w:ascii="Arial" w:cs="Arial" w:eastAsia="Arial" w:hAnsi="Arial"/>
                <w:sz w:val="11"/>
                <w:szCs w:val="11"/>
                <w:b w:val="1"/>
                <w:bCs w:val="1"/>
                <w:color w:val="auto"/>
              </w:rPr>
              <w:t>ompensation Component</w:t>
            </w:r>
          </w:p>
        </w:tc>
        <w:tc>
          <w:tcPr>
            <w:tcW w:w="300" w:type="dxa"/>
            <w:vAlign w:val="bottom"/>
          </w:tcPr>
          <w:p>
            <w:pPr>
              <w:spacing w:after="0"/>
              <w:rPr>
                <w:sz w:val="11"/>
                <w:szCs w:val="11"/>
                <w:color w:val="auto"/>
              </w:rPr>
            </w:pP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Payout ($)</w:t>
            </w:r>
          </w:p>
        </w:tc>
        <w:tc>
          <w:tcPr>
            <w:tcW w:w="0" w:type="dxa"/>
            <w:vAlign w:val="bottom"/>
          </w:tcPr>
          <w:p>
            <w:pPr>
              <w:spacing w:after="0"/>
              <w:rPr>
                <w:sz w:val="1"/>
                <w:szCs w:val="1"/>
                <w:color w:val="auto"/>
              </w:rPr>
            </w:pPr>
          </w:p>
        </w:tc>
      </w:tr>
      <w:tr>
        <w:trPr>
          <w:trHeight w:val="30"/>
        </w:trPr>
        <w:tc>
          <w:tcPr>
            <w:tcW w:w="13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4400" w:type="dxa"/>
            <w:vAlign w:val="bottom"/>
            <w:gridSpan w:val="2"/>
            <w:shd w:val="clear" w:color="auto" w:fill="CCEEFF"/>
          </w:tcPr>
          <w:p>
            <w:pPr>
              <w:spacing w:after="0"/>
              <w:rPr>
                <w:sz w:val="20"/>
                <w:szCs w:val="20"/>
                <w:color w:val="auto"/>
              </w:rPr>
            </w:pPr>
            <w:r>
              <w:rPr>
                <w:rFonts w:ascii="Arial" w:cs="Arial" w:eastAsia="Arial" w:hAnsi="Arial"/>
                <w:sz w:val="12"/>
                <w:szCs w:val="12"/>
                <w:i w:val="1"/>
                <w:iCs w:val="1"/>
                <w:color w:val="auto"/>
              </w:rPr>
              <w:t>Death or Disability</w:t>
            </w:r>
          </w:p>
        </w:tc>
        <w:tc>
          <w:tcPr>
            <w:tcW w:w="200" w:type="dxa"/>
            <w:vAlign w:val="bottom"/>
            <w:shd w:val="clear" w:color="auto" w:fill="CCEEFF"/>
          </w:tcPr>
          <w:p>
            <w:pPr>
              <w:spacing w:after="0"/>
              <w:rPr>
                <w:sz w:val="13"/>
                <w:szCs w:val="13"/>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2"/>
                <w:szCs w:val="12"/>
                <w:b w:val="1"/>
                <w:bCs w:val="1"/>
                <w:i w:val="1"/>
                <w:iCs w:val="1"/>
                <w:color w:val="auto"/>
              </w:rPr>
              <w:t>Severance Benefits</w:t>
            </w: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300" w:type="dxa"/>
            <w:vAlign w:val="bottom"/>
            <w:shd w:val="clear" w:color="auto" w:fill="CCEEFF"/>
          </w:tcPr>
          <w:p>
            <w:pPr>
              <w:spacing w:after="0"/>
              <w:rPr>
                <w:sz w:val="13"/>
                <w:szCs w:val="13"/>
                <w:color w:val="auto"/>
              </w:rPr>
            </w:pPr>
          </w:p>
        </w:tc>
        <w:tc>
          <w:tcPr>
            <w:tcW w:w="3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2"/>
                <w:szCs w:val="12"/>
                <w:color w:val="auto"/>
              </w:rPr>
              <w:t>•  Accelerated vesting of restricted stock units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247,827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300" w:type="dxa"/>
            <w:vAlign w:val="bottom"/>
            <w:shd w:val="clear" w:color="auto" w:fill="CCEEFF"/>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2"/>
                <w:szCs w:val="12"/>
                <w:color w:val="auto"/>
              </w:rPr>
              <w:t>•  Payment of performance share units based on actual performance at end of</w:t>
            </w: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300" w:type="dxa"/>
            <w:vAlign w:val="bottom"/>
            <w:shd w:val="clear" w:color="auto" w:fill="CCEEFF"/>
          </w:tcPr>
          <w:p>
            <w:pPr>
              <w:spacing w:after="0"/>
              <w:rPr>
                <w:sz w:val="13"/>
                <w:szCs w:val="13"/>
                <w:color w:val="auto"/>
              </w:rPr>
            </w:pPr>
          </w:p>
        </w:tc>
        <w:tc>
          <w:tcPr>
            <w:tcW w:w="3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300" w:type="dxa"/>
            <w:vAlign w:val="bottom"/>
            <w:shd w:val="clear" w:color="auto" w:fill="CCEEFF"/>
          </w:tcPr>
          <w:p>
            <w:pPr>
              <w:ind w:left="60"/>
              <w:spacing w:after="0"/>
              <w:rPr>
                <w:sz w:val="20"/>
                <w:szCs w:val="20"/>
                <w:color w:val="auto"/>
              </w:rPr>
            </w:pPr>
            <w:r>
              <w:rPr>
                <w:rFonts w:ascii="Arial" w:cs="Arial" w:eastAsia="Arial" w:hAnsi="Arial"/>
                <w:sz w:val="12"/>
                <w:szCs w:val="12"/>
                <w:color w:val="auto"/>
              </w:rPr>
              <w:t>performance period</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1,937,854</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00" w:type="dxa"/>
            <w:vAlign w:val="bottom"/>
            <w:shd w:val="clear" w:color="auto" w:fill="CCEEFF"/>
          </w:tcPr>
          <w:p>
            <w:pPr>
              <w:spacing w:after="0"/>
              <w:rPr>
                <w:sz w:val="13"/>
                <w:szCs w:val="13"/>
                <w:color w:val="auto"/>
              </w:rPr>
            </w:pPr>
          </w:p>
        </w:tc>
        <w:tc>
          <w:tcPr>
            <w:tcW w:w="3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2"/>
                <w:szCs w:val="12"/>
                <w:color w:val="auto"/>
              </w:rPr>
              <w:t>•  Life insurance benefit (in the case of Death)</w:t>
            </w:r>
          </w:p>
        </w:tc>
        <w:tc>
          <w:tcPr>
            <w:tcW w:w="300" w:type="dxa"/>
            <w:vAlign w:val="bottom"/>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566,000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300" w:type="dxa"/>
            <w:vAlign w:val="bottom"/>
            <w:shd w:val="clear" w:color="auto" w:fill="CCEEFF"/>
          </w:tcPr>
          <w:p>
            <w:pPr>
              <w:spacing w:after="0"/>
              <w:rPr>
                <w:sz w:val="13"/>
                <w:szCs w:val="13"/>
                <w:color w:val="auto"/>
              </w:rPr>
            </w:pPr>
          </w:p>
        </w:tc>
        <w:tc>
          <w:tcPr>
            <w:tcW w:w="3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2,751,681</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0" w:type="dxa"/>
            <w:vAlign w:val="bottom"/>
            <w:gridSpan w:val="2"/>
            <w:vMerge w:val="restart"/>
          </w:tcPr>
          <w:p>
            <w:pPr>
              <w:spacing w:after="0"/>
              <w:rPr>
                <w:sz w:val="20"/>
                <w:szCs w:val="20"/>
                <w:color w:val="auto"/>
              </w:rPr>
            </w:pPr>
            <w:r>
              <w:rPr>
                <w:rFonts w:ascii="Arial" w:cs="Arial" w:eastAsia="Arial" w:hAnsi="Arial"/>
                <w:sz w:val="12"/>
                <w:szCs w:val="12"/>
                <w:i w:val="1"/>
                <w:iCs w:val="1"/>
                <w:color w:val="auto"/>
                <w:w w:val="99"/>
              </w:rPr>
              <w:t>Termination Without Cause by the Company or For Good Reason by the Employee</w:t>
            </w:r>
          </w:p>
        </w:tc>
        <w:tc>
          <w:tcPr>
            <w:tcW w:w="200" w:type="dxa"/>
            <w:vAlign w:val="bottom"/>
          </w:tcPr>
          <w:p>
            <w:pPr>
              <w:spacing w:after="0" w:line="20" w:lineRule="exact"/>
              <w:rPr>
                <w:sz w:val="1"/>
                <w:szCs w:val="1"/>
                <w:color w:val="auto"/>
              </w:rPr>
            </w:pPr>
          </w:p>
        </w:tc>
        <w:tc>
          <w:tcPr>
            <w:tcW w:w="4300" w:type="dxa"/>
            <w:vAlign w:val="bottom"/>
            <w:vMerge w:val="restart"/>
          </w:tcPr>
          <w:p>
            <w:pPr>
              <w:spacing w:after="0"/>
              <w:rPr>
                <w:sz w:val="20"/>
                <w:szCs w:val="20"/>
                <w:color w:val="auto"/>
              </w:rPr>
            </w:pPr>
            <w:r>
              <w:rPr>
                <w:rFonts w:ascii="Arial" w:cs="Arial" w:eastAsia="Arial" w:hAnsi="Arial"/>
                <w:sz w:val="12"/>
                <w:szCs w:val="12"/>
                <w:b w:val="1"/>
                <w:bCs w:val="1"/>
                <w:i w:val="1"/>
                <w:iCs w:val="1"/>
                <w:color w:val="auto"/>
              </w:rPr>
              <w:t>Severance Benefits</w:t>
            </w: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440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43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130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300" w:type="dxa"/>
            <w:vAlign w:val="bottom"/>
          </w:tcPr>
          <w:p>
            <w:pPr>
              <w:spacing w:after="0"/>
              <w:rPr>
                <w:sz w:val="20"/>
                <w:szCs w:val="20"/>
                <w:color w:val="auto"/>
              </w:rPr>
            </w:pPr>
            <w:r>
              <w:rPr>
                <w:rFonts w:ascii="Arial" w:cs="Arial" w:eastAsia="Arial" w:hAnsi="Arial"/>
                <w:sz w:val="12"/>
                <w:szCs w:val="12"/>
                <w:color w:val="auto"/>
                <w:w w:val="93"/>
              </w:rPr>
              <w:t>•  Two times base salary plus target annual bonus (one-half payable in lump sum; one-</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30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300" w:type="dxa"/>
            <w:vAlign w:val="bottom"/>
          </w:tcPr>
          <w:p>
            <w:pPr>
              <w:spacing w:after="0"/>
              <w:rPr>
                <w:sz w:val="20"/>
                <w:szCs w:val="20"/>
                <w:color w:val="auto"/>
              </w:rPr>
            </w:pPr>
            <w:r>
              <w:rPr>
                <w:rFonts w:ascii="Arial" w:cs="Arial" w:eastAsia="Arial" w:hAnsi="Arial"/>
                <w:sz w:val="12"/>
                <w:szCs w:val="12"/>
                <w:color w:val="auto"/>
              </w:rPr>
              <w:t>half payable in bi-weekly installments over a two-year period)</w:t>
            </w: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2,093,128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30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300" w:type="dxa"/>
            <w:vAlign w:val="bottom"/>
          </w:tcPr>
          <w:p>
            <w:pPr>
              <w:spacing w:after="0"/>
              <w:rPr>
                <w:sz w:val="20"/>
                <w:szCs w:val="20"/>
                <w:color w:val="auto"/>
              </w:rPr>
            </w:pPr>
            <w:r>
              <w:rPr>
                <w:rFonts w:ascii="Arial" w:cs="Arial" w:eastAsia="Arial" w:hAnsi="Arial"/>
                <w:sz w:val="12"/>
                <w:szCs w:val="12"/>
                <w:color w:val="auto"/>
              </w:rPr>
              <w:t>•  Continued coverage under health and welfare benefit plans for two years</w:t>
            </w: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20,544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30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300" w:type="dxa"/>
            <w:vAlign w:val="bottom"/>
          </w:tcPr>
          <w:p>
            <w:pPr>
              <w:spacing w:after="0"/>
              <w:rPr>
                <w:sz w:val="20"/>
                <w:szCs w:val="20"/>
                <w:color w:val="auto"/>
              </w:rPr>
            </w:pPr>
            <w:r>
              <w:rPr>
                <w:rFonts w:ascii="Arial" w:cs="Arial" w:eastAsia="Arial" w:hAnsi="Arial"/>
                <w:sz w:val="12"/>
                <w:szCs w:val="12"/>
                <w:color w:val="auto"/>
              </w:rPr>
              <w:t>•  Prorated vesting of restricted stock units</w:t>
            </w: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237,346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30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300" w:type="dxa"/>
            <w:vAlign w:val="bottom"/>
          </w:tcPr>
          <w:p>
            <w:pPr>
              <w:spacing w:after="0"/>
              <w:rPr>
                <w:sz w:val="20"/>
                <w:szCs w:val="20"/>
                <w:color w:val="auto"/>
              </w:rPr>
            </w:pPr>
            <w:r>
              <w:rPr>
                <w:rFonts w:ascii="Arial" w:cs="Arial" w:eastAsia="Arial" w:hAnsi="Arial"/>
                <w:sz w:val="12"/>
                <w:szCs w:val="12"/>
                <w:color w:val="auto"/>
              </w:rPr>
              <w:t>•  Prorated payment of performance share units</w:t>
            </w: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1,198,362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30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300" w:type="dxa"/>
            <w:vAlign w:val="bottom"/>
          </w:tcPr>
          <w:p>
            <w:pPr>
              <w:spacing w:after="0"/>
              <w:rPr>
                <w:sz w:val="20"/>
                <w:szCs w:val="20"/>
                <w:color w:val="auto"/>
              </w:rPr>
            </w:pPr>
            <w:r>
              <w:rPr>
                <w:rFonts w:ascii="Arial" w:cs="Arial" w:eastAsia="Arial" w:hAnsi="Arial"/>
                <w:sz w:val="12"/>
                <w:szCs w:val="12"/>
                <w:b w:val="1"/>
                <w:bCs w:val="1"/>
                <w:color w:val="auto"/>
              </w:rPr>
              <w:t>Total</w:t>
            </w:r>
          </w:p>
        </w:tc>
        <w:tc>
          <w:tcPr>
            <w:tcW w:w="30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3,549,380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4400" w:type="dxa"/>
            <w:vAlign w:val="bottom"/>
            <w:gridSpan w:val="2"/>
            <w:shd w:val="clear" w:color="auto" w:fill="CCEEFF"/>
          </w:tcPr>
          <w:p>
            <w:pPr>
              <w:spacing w:after="0" w:line="126" w:lineRule="exact"/>
              <w:rPr>
                <w:sz w:val="20"/>
                <w:szCs w:val="20"/>
                <w:color w:val="auto"/>
              </w:rPr>
            </w:pPr>
            <w:r>
              <w:rPr>
                <w:rFonts w:ascii="Arial" w:cs="Arial" w:eastAsia="Arial" w:hAnsi="Arial"/>
                <w:sz w:val="12"/>
                <w:szCs w:val="12"/>
                <w:i w:val="1"/>
                <w:iCs w:val="1"/>
                <w:color w:val="auto"/>
                <w:w w:val="94"/>
              </w:rPr>
              <w:t>Termination Without Cause by the Company or For Good Reason by the Employee Six</w:t>
            </w:r>
          </w:p>
        </w:tc>
        <w:tc>
          <w:tcPr>
            <w:tcW w:w="200" w:type="dxa"/>
            <w:vAlign w:val="bottom"/>
            <w:shd w:val="clear" w:color="auto" w:fill="CCEEFF"/>
          </w:tcPr>
          <w:p>
            <w:pPr>
              <w:spacing w:after="0"/>
              <w:rPr>
                <w:sz w:val="10"/>
                <w:szCs w:val="10"/>
                <w:color w:val="auto"/>
              </w:rPr>
            </w:pPr>
          </w:p>
        </w:tc>
        <w:tc>
          <w:tcPr>
            <w:tcW w:w="4300" w:type="dxa"/>
            <w:vAlign w:val="bottom"/>
            <w:shd w:val="clear" w:color="auto" w:fill="CCEEFF"/>
          </w:tcPr>
          <w:p>
            <w:pPr>
              <w:spacing w:after="0" w:line="126" w:lineRule="exact"/>
              <w:rPr>
                <w:sz w:val="20"/>
                <w:szCs w:val="20"/>
                <w:color w:val="auto"/>
              </w:rPr>
            </w:pPr>
            <w:r>
              <w:rPr>
                <w:rFonts w:ascii="Arial" w:cs="Arial" w:eastAsia="Arial" w:hAnsi="Arial"/>
                <w:sz w:val="12"/>
                <w:szCs w:val="12"/>
                <w:b w:val="1"/>
                <w:bCs w:val="1"/>
                <w:i w:val="1"/>
                <w:iCs w:val="1"/>
                <w:color w:val="auto"/>
              </w:rPr>
              <w:t>Severance Benefits</w:t>
            </w:r>
          </w:p>
        </w:tc>
        <w:tc>
          <w:tcPr>
            <w:tcW w:w="3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4400" w:type="dxa"/>
            <w:vAlign w:val="bottom"/>
            <w:gridSpan w:val="2"/>
            <w:shd w:val="clear" w:color="auto" w:fill="CCEEFF"/>
          </w:tcPr>
          <w:p>
            <w:pPr>
              <w:spacing w:after="0"/>
              <w:rPr>
                <w:sz w:val="20"/>
                <w:szCs w:val="20"/>
                <w:color w:val="auto"/>
              </w:rPr>
            </w:pPr>
            <w:r>
              <w:rPr>
                <w:rFonts w:ascii="Arial" w:cs="Arial" w:eastAsia="Arial" w:hAnsi="Arial"/>
                <w:sz w:val="12"/>
                <w:szCs w:val="12"/>
                <w:i w:val="1"/>
                <w:iCs w:val="1"/>
                <w:color w:val="auto"/>
              </w:rPr>
              <w:t>Months Prior to or Two Years Following a</w:t>
            </w:r>
          </w:p>
        </w:tc>
        <w:tc>
          <w:tcPr>
            <w:tcW w:w="200" w:type="dxa"/>
            <w:vAlign w:val="bottom"/>
            <w:shd w:val="clear" w:color="auto" w:fill="CCEEFF"/>
          </w:tcPr>
          <w:p>
            <w:pPr>
              <w:spacing w:after="0"/>
              <w:rPr>
                <w:sz w:val="13"/>
                <w:szCs w:val="13"/>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2"/>
                <w:szCs w:val="12"/>
                <w:color w:val="auto"/>
              </w:rPr>
              <w:t>•  Three times base salary plus target bonus, paid in lump sum</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3,139,692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400" w:type="dxa"/>
            <w:vAlign w:val="bottom"/>
            <w:gridSpan w:val="2"/>
            <w:shd w:val="clear" w:color="auto" w:fill="CCEEFF"/>
          </w:tcPr>
          <w:p>
            <w:pPr>
              <w:spacing w:after="0"/>
              <w:rPr>
                <w:sz w:val="20"/>
                <w:szCs w:val="20"/>
                <w:color w:val="auto"/>
              </w:rPr>
            </w:pPr>
            <w:r>
              <w:rPr>
                <w:rFonts w:ascii="Arial" w:cs="Arial" w:eastAsia="Arial" w:hAnsi="Arial"/>
                <w:sz w:val="12"/>
                <w:szCs w:val="12"/>
                <w:i w:val="1"/>
                <w:iCs w:val="1"/>
                <w:color w:val="auto"/>
              </w:rPr>
              <w:t>Change-in-Control (Double Trigger)*</w:t>
            </w:r>
          </w:p>
        </w:tc>
        <w:tc>
          <w:tcPr>
            <w:tcW w:w="200" w:type="dxa"/>
            <w:vAlign w:val="bottom"/>
            <w:shd w:val="clear" w:color="auto" w:fill="CCEEFF"/>
          </w:tcPr>
          <w:p>
            <w:pPr>
              <w:spacing w:after="0"/>
              <w:rPr>
                <w:sz w:val="13"/>
                <w:szCs w:val="13"/>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2"/>
                <w:szCs w:val="12"/>
                <w:color w:val="auto"/>
              </w:rPr>
              <w:t>•  Continued coverage under health and welfare benefit plans for three years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30,816</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300" w:type="dxa"/>
            <w:vAlign w:val="bottom"/>
            <w:shd w:val="clear" w:color="auto" w:fill="CCEEFF"/>
          </w:tcPr>
          <w:p>
            <w:pPr>
              <w:spacing w:after="0"/>
              <w:rPr>
                <w:sz w:val="13"/>
                <w:szCs w:val="13"/>
                <w:color w:val="auto"/>
              </w:rPr>
            </w:pPr>
          </w:p>
        </w:tc>
        <w:tc>
          <w:tcPr>
            <w:tcW w:w="3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2"/>
                <w:szCs w:val="12"/>
                <w:color w:val="auto"/>
              </w:rPr>
              <w:t>•  Accelerated vesting of restricted stock units(2)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247,827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300" w:type="dxa"/>
            <w:vAlign w:val="bottom"/>
            <w:shd w:val="clear" w:color="auto" w:fill="CCEEFF"/>
          </w:tcPr>
          <w:p>
            <w:pPr>
              <w:spacing w:after="0"/>
              <w:rPr>
                <w:sz w:val="13"/>
                <w:szCs w:val="13"/>
                <w:color w:val="auto"/>
              </w:rPr>
            </w:pPr>
          </w:p>
        </w:tc>
        <w:tc>
          <w:tcPr>
            <w:tcW w:w="3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2"/>
                <w:szCs w:val="12"/>
                <w:color w:val="auto"/>
              </w:rPr>
              <w:t>•  Accelerated payment of performance share units(3)</w:t>
            </w: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1,937,854</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300" w:type="dxa"/>
            <w:vAlign w:val="bottom"/>
            <w:shd w:val="clear" w:color="auto" w:fill="CCEEFF"/>
          </w:tcPr>
          <w:p>
            <w:pPr>
              <w:spacing w:after="0"/>
              <w:rPr>
                <w:sz w:val="13"/>
                <w:szCs w:val="13"/>
                <w:color w:val="auto"/>
              </w:rPr>
            </w:pPr>
          </w:p>
        </w:tc>
        <w:tc>
          <w:tcPr>
            <w:tcW w:w="3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2"/>
                <w:szCs w:val="12"/>
                <w:color w:val="auto"/>
              </w:rPr>
              <w:t>•  Full maximum bonus, prorated to date of termination</w:t>
            </w: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961,708</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300" w:type="dxa"/>
            <w:vAlign w:val="bottom"/>
            <w:shd w:val="clear" w:color="auto" w:fill="CCEEFF"/>
          </w:tcPr>
          <w:p>
            <w:pPr>
              <w:spacing w:after="0"/>
              <w:rPr>
                <w:sz w:val="13"/>
                <w:szCs w:val="13"/>
                <w:color w:val="auto"/>
              </w:rPr>
            </w:pPr>
          </w:p>
        </w:tc>
        <w:tc>
          <w:tcPr>
            <w:tcW w:w="3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2"/>
                <w:szCs w:val="12"/>
                <w:color w:val="auto"/>
              </w:rPr>
              <w:t>•  Gross-up payment for any excise taxes</w:t>
            </w:r>
          </w:p>
        </w:tc>
        <w:tc>
          <w:tcPr>
            <w:tcW w:w="300" w:type="dxa"/>
            <w:vAlign w:val="bottom"/>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2,064,444</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300" w:type="dxa"/>
            <w:vAlign w:val="bottom"/>
            <w:shd w:val="clear" w:color="auto" w:fill="CCEEFF"/>
          </w:tcPr>
          <w:p>
            <w:pPr>
              <w:spacing w:after="0"/>
              <w:rPr>
                <w:sz w:val="13"/>
                <w:szCs w:val="13"/>
                <w:color w:val="auto"/>
              </w:rPr>
            </w:pPr>
          </w:p>
        </w:tc>
        <w:tc>
          <w:tcPr>
            <w:tcW w:w="3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8,382,341</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1300" w:type="dxa"/>
            <w:vAlign w:val="bottom"/>
            <w:tcBorders>
              <w:bottom w:val="single" w:sz="8" w:color="auto"/>
            </w:tcBorders>
          </w:tcPr>
          <w:p>
            <w:pPr>
              <w:spacing w:after="0"/>
              <w:rPr>
                <w:sz w:val="7"/>
                <w:szCs w:val="7"/>
                <w:color w:val="auto"/>
              </w:rPr>
            </w:pPr>
          </w:p>
        </w:tc>
        <w:tc>
          <w:tcPr>
            <w:tcW w:w="3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540" w:hanging="211"/>
        <w:spacing w:after="0" w:line="315" w:lineRule="auto"/>
        <w:tabs>
          <w:tab w:leader="none" w:pos="1000" w:val="left"/>
        </w:tabs>
        <w:numPr>
          <w:ilvl w:val="0"/>
          <w:numId w:val="36"/>
        </w:numPr>
        <w:rPr>
          <w:rFonts w:ascii="Arial" w:cs="Arial" w:eastAsia="Arial" w:hAnsi="Arial"/>
          <w:sz w:val="12"/>
          <w:szCs w:val="12"/>
          <w:color w:val="auto"/>
        </w:rPr>
      </w:pPr>
      <w:r>
        <w:rPr>
          <w:rFonts w:ascii="Arial" w:cs="Arial" w:eastAsia="Arial" w:hAnsi="Arial"/>
          <w:sz w:val="12"/>
          <w:szCs w:val="12"/>
          <w:color w:val="auto"/>
        </w:rPr>
        <w:t>The double trigger refers to the provisions in the named executive officers’ employment agreements. As described in the following footnotes, the restricted stock unit and performance share unit award agreements accelerate payments of those awards in most cases upon a change-in-control without a termination event.</w:t>
      </w:r>
    </w:p>
    <w:p>
      <w:pPr>
        <w:spacing w:after="0" w:line="1" w:lineRule="exact"/>
        <w:rPr>
          <w:sz w:val="20"/>
          <w:szCs w:val="20"/>
          <w:color w:val="auto"/>
        </w:rPr>
      </w:pPr>
    </w:p>
    <w:p>
      <w:pPr>
        <w:ind w:left="1000" w:right="180" w:hanging="266"/>
        <w:spacing w:after="0" w:line="291" w:lineRule="auto"/>
        <w:tabs>
          <w:tab w:leader="none" w:pos="10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Although these provisions were included in certain named executives’ employment agreements prior to 2004, it is not the Compensation Committee’s current practice to include increased payments in the event of death or disability in employment agreements.</w:t>
      </w:r>
    </w:p>
    <w:p>
      <w:pPr>
        <w:jc w:val="both"/>
        <w:ind w:left="1000" w:right="60" w:hanging="266"/>
        <w:spacing w:after="0" w:line="276" w:lineRule="auto"/>
        <w:tabs>
          <w:tab w:leader="none" w:pos="10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restricted stock unit award agreements provide that the awards will be accelerated upon a change-in-control unless the successor entity assumes the awards and converts them into equivalent grants of the successor regardless of termination of employment; however, if the awards are converted, the agreements also provide for an acceleration of vesting if the employee is terminated without cause during the referenced window period.</w:t>
      </w:r>
    </w:p>
    <w:p>
      <w:pPr>
        <w:spacing w:after="0" w:line="18" w:lineRule="exact"/>
        <w:rPr>
          <w:rFonts w:ascii="Arial" w:cs="Arial" w:eastAsia="Arial" w:hAnsi="Arial"/>
          <w:sz w:val="13"/>
          <w:szCs w:val="13"/>
          <w:color w:val="auto"/>
        </w:rPr>
      </w:pPr>
    </w:p>
    <w:p>
      <w:pPr>
        <w:ind w:left="1000" w:right="20" w:hanging="266"/>
        <w:spacing w:after="0" w:line="265" w:lineRule="auto"/>
        <w:tabs>
          <w:tab w:leader="none" w:pos="10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performance share unit award agreements provide that the awards will be accelerated upon a change-in-control regardless of termination of employment. In the event of a change-in-control, the employee would receive a payout of shares of Common Stock calculated on a shortened performance period plus a restricted stock unit award in the successor entity to compensate for the lost opportunity from the date of the change-in-control to the end of the original performance period. If the employee is thereafter terminated within the window period referenced, he would vest in full in the new restricted stock unit award. The payment in the event of acceleration is based on the achievement, as of the date of the change-in-control, of the performance target interpolated back to the date of the change-in-control. The performance targets of performance share units are for a three-year average; because the achievement of the interpolated target cannot be determined, we</w:t>
      </w:r>
    </w:p>
    <w:p>
      <w:pPr>
        <w:spacing w:after="0" w:line="269"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have assumed the interpolated target was the same as the original target and was met as of the date of the change-in-control.</w:t>
      </w:r>
    </w:p>
    <w:p>
      <w:pPr>
        <w:spacing w:after="0" w:line="102" w:lineRule="exact"/>
        <w:rPr>
          <w:sz w:val="20"/>
          <w:szCs w:val="20"/>
          <w:color w:val="auto"/>
        </w:rPr>
      </w:pPr>
    </w:p>
    <w:p>
      <w:pPr>
        <w:ind w:left="680" w:right="800" w:firstLine="399"/>
        <w:spacing w:after="0" w:line="286" w:lineRule="auto"/>
        <w:rPr>
          <w:sz w:val="20"/>
          <w:szCs w:val="20"/>
          <w:color w:val="auto"/>
        </w:rPr>
      </w:pPr>
      <w:r>
        <w:rPr>
          <w:rFonts w:ascii="Arial" w:cs="Arial" w:eastAsia="Arial" w:hAnsi="Arial"/>
          <w:sz w:val="12"/>
          <w:szCs w:val="12"/>
          <w:color w:val="auto"/>
        </w:rPr>
        <w:t>All of the named executives’ stock options, other than reload options, have vested in full. In the event of termination for cause, all options are immediately cancelled. However, some of our named executive officers have provisions in their employment agreements that give them continued exercisability of stock options in the event of the termination of their employment that is longer than the normal terms contained in the stock option agreements themselves. The employment agreements we entered into with Mr. Steiner, Mr. O’Donnell and Mr. Simpson give them the ability to exercise all stock options granted before 2004 for (i) two years after termination of employment without cause or for good reason and (ii) three years after termination without cause or for good reason six months prior to, or two years following, a change-in-control. Mr. Trevathan’s employment agreement gives him the ability to exercise all stock options granted before 2004 for two years after termination of employment (i) without cause or for good reason or (ii) without cause or for good reason six months prior to, or two years following, a change-in-control. Mr. Wood’s employment agreement does not provide for extended exercisability of his stock options upon termination. The value, if any, of the benefit of continued exercisability to executives is dependent on whether the market value of our Common Stock exceeds the exercise prices of the stock options during the post-termination period of exercisability. We have valued the benefit based on the potential gain the named executive could have realized if the stock options were exercised as of December 31, 2009 as follows: Mr. Steiner — $7,322,721; Mr. O’Donnell — $4,144,217; Mr. Simpson — $1,958,516; Mr. Trevathan — $3,389,500; and Mr. Woods — $872,350.</w:t>
      </w:r>
    </w:p>
    <w:p>
      <w:pPr>
        <w:spacing w:after="0" w:line="218"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RATIFICATION OF INDEPENDENT REGISTERED PUBLIC ACCOUNTING FIRM</w:t>
      </w:r>
    </w:p>
    <w:p>
      <w:pPr>
        <w:spacing w:after="0" w:line="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(Item 2 on the Proxy Card)</w:t>
      </w:r>
    </w:p>
    <w:p>
      <w:pPr>
        <w:spacing w:after="0" w:line="92" w:lineRule="exact"/>
        <w:rPr>
          <w:sz w:val="20"/>
          <w:szCs w:val="20"/>
          <w:color w:val="auto"/>
        </w:rPr>
      </w:pPr>
    </w:p>
    <w:p>
      <w:pPr>
        <w:ind w:left="680" w:right="1280" w:firstLine="399"/>
        <w:spacing w:after="0" w:line="294" w:lineRule="auto"/>
        <w:rPr>
          <w:sz w:val="20"/>
          <w:szCs w:val="20"/>
          <w:color w:val="auto"/>
        </w:rPr>
      </w:pPr>
      <w:r>
        <w:rPr>
          <w:rFonts w:ascii="Arial" w:cs="Arial" w:eastAsia="Arial" w:hAnsi="Arial"/>
          <w:sz w:val="13"/>
          <w:szCs w:val="13"/>
          <w:color w:val="auto"/>
        </w:rPr>
        <w:t>Our Board of Directors, upon the recommendation of the Audit Committee, has ratified the selection of Ernst &amp; Young LLP to serve as our independent registered public accounting firm for fiscal year 2010, subject to ratification by our stockholders.</w:t>
      </w:r>
    </w:p>
    <w:p>
      <w:pPr>
        <w:spacing w:after="0" w:line="47" w:lineRule="exact"/>
        <w:rPr>
          <w:sz w:val="20"/>
          <w:szCs w:val="20"/>
          <w:color w:val="auto"/>
        </w:rPr>
      </w:pPr>
    </w:p>
    <w:p>
      <w:pPr>
        <w:ind w:left="680" w:right="1240" w:firstLine="399"/>
        <w:spacing w:after="0" w:line="294" w:lineRule="auto"/>
        <w:rPr>
          <w:sz w:val="20"/>
          <w:szCs w:val="20"/>
          <w:color w:val="auto"/>
        </w:rPr>
      </w:pPr>
      <w:r>
        <w:rPr>
          <w:rFonts w:ascii="Arial" w:cs="Arial" w:eastAsia="Arial" w:hAnsi="Arial"/>
          <w:sz w:val="13"/>
          <w:szCs w:val="13"/>
          <w:color w:val="auto"/>
        </w:rPr>
        <w:t>Representatives of Ernst &amp; Young LLP will be at the Annual Meeting. They will be able to make a statement if they want, and will be available to answer any appropriate questions stockholders may have.</w:t>
      </w:r>
    </w:p>
    <w:p>
      <w:pPr>
        <w:spacing w:after="0" w:line="47" w:lineRule="exact"/>
        <w:rPr>
          <w:sz w:val="20"/>
          <w:szCs w:val="20"/>
          <w:color w:val="auto"/>
        </w:rPr>
      </w:pPr>
    </w:p>
    <w:p>
      <w:pPr>
        <w:ind w:left="680" w:right="820" w:firstLine="399"/>
        <w:spacing w:after="0" w:line="267" w:lineRule="auto"/>
        <w:rPr>
          <w:sz w:val="20"/>
          <w:szCs w:val="20"/>
          <w:color w:val="auto"/>
        </w:rPr>
      </w:pPr>
      <w:r>
        <w:rPr>
          <w:rFonts w:ascii="Arial" w:cs="Arial" w:eastAsia="Arial" w:hAnsi="Arial"/>
          <w:sz w:val="13"/>
          <w:szCs w:val="13"/>
          <w:color w:val="auto"/>
        </w:rPr>
        <w:t>Although ratification of the selection of Ernst &amp; Young is not required by our Bylaws or otherwise, we are submitting the selection to stockholders for ratification because we value our stockholders’ views on our independent registered public accounting firm and as a matter of good governance. If our stockholders do not ratify our selection, it will be considered a direction to our Board and Audit Committee to consider selecting another firm. Even if the selection is ratified, the Audit Committee may, in its discretion, select a different independent registered public accounting firm, subject to ratification by the Board, at any time during the year if it determines that such a change is in the best interests of the Company and our stockholders.</w:t>
      </w:r>
    </w:p>
    <w:p>
      <w:pPr>
        <w:spacing w:after="0" w:line="63" w:lineRule="exact"/>
        <w:rPr>
          <w:sz w:val="20"/>
          <w:szCs w:val="20"/>
          <w:color w:val="auto"/>
        </w:rPr>
      </w:pPr>
    </w:p>
    <w:p>
      <w:pPr>
        <w:ind w:left="680" w:right="1640" w:firstLine="399"/>
        <w:spacing w:after="0" w:line="297" w:lineRule="auto"/>
        <w:rPr>
          <w:sz w:val="20"/>
          <w:szCs w:val="20"/>
          <w:color w:val="auto"/>
        </w:rPr>
      </w:pPr>
      <w:r>
        <w:rPr>
          <w:rFonts w:ascii="Arial" w:cs="Arial" w:eastAsia="Arial" w:hAnsi="Arial"/>
          <w:sz w:val="13"/>
          <w:szCs w:val="13"/>
          <w:b w:val="1"/>
          <w:bCs w:val="1"/>
          <w:color w:val="auto"/>
        </w:rPr>
        <w:t>THE BOARD OF DIRECTORS RECOMMENDS THAT YOU VOTE FOR THE RATIFICATION OF ERNST &amp; YOUNG LLP AS THE COMPANY’S INDEPENDENT REGISTERED PUBLIC ACCOUNTING FIRM FOR FISCAL YEAR 2010.</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Independent Registered Public Accounting Firm Fee Information</w:t>
      </w:r>
    </w:p>
    <w:p>
      <w:pPr>
        <w:spacing w:after="0" w:line="104" w:lineRule="exact"/>
        <w:rPr>
          <w:sz w:val="20"/>
          <w:szCs w:val="20"/>
          <w:color w:val="auto"/>
        </w:rPr>
      </w:pPr>
    </w:p>
    <w:p>
      <w:pPr>
        <w:ind w:left="680" w:right="1120" w:firstLine="399"/>
        <w:spacing w:after="0" w:line="294" w:lineRule="auto"/>
        <w:rPr>
          <w:sz w:val="20"/>
          <w:szCs w:val="20"/>
          <w:color w:val="auto"/>
        </w:rPr>
      </w:pPr>
      <w:r>
        <w:rPr>
          <w:rFonts w:ascii="Arial" w:cs="Arial" w:eastAsia="Arial" w:hAnsi="Arial"/>
          <w:sz w:val="13"/>
          <w:szCs w:val="13"/>
          <w:color w:val="auto"/>
        </w:rPr>
        <w:t>Fees for professional services provided by our independent registered public accounting firm in each of the last two fiscal years, in each of the following categories, were as follows: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8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5880" w:type="dxa"/>
            <w:vAlign w:val="bottom"/>
          </w:tcPr>
          <w:p>
            <w:pPr>
              <w:spacing w:after="0"/>
              <w:rPr>
                <w:sz w:val="11"/>
                <w:szCs w:val="11"/>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97"/>
              </w:rPr>
              <w:t>2009</w:t>
            </w:r>
          </w:p>
        </w:tc>
        <w:tc>
          <w:tcPr>
            <w:tcW w:w="400" w:type="dxa"/>
            <w:vAlign w:val="bottom"/>
          </w:tcPr>
          <w:p>
            <w:pPr>
              <w:spacing w:after="0"/>
              <w:rPr>
                <w:sz w:val="11"/>
                <w:szCs w:val="11"/>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2008</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6"/>
        </w:trPr>
        <w:tc>
          <w:tcPr>
            <w:tcW w:w="68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5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4"/>
          </w:tcPr>
          <w:p>
            <w:pPr>
              <w:ind w:left="120"/>
              <w:spacing w:after="0"/>
              <w:rPr>
                <w:sz w:val="20"/>
                <w:szCs w:val="20"/>
                <w:color w:val="auto"/>
              </w:rPr>
            </w:pPr>
            <w:r>
              <w:rPr>
                <w:rFonts w:ascii="Arial" w:cs="Arial" w:eastAsia="Arial" w:hAnsi="Arial"/>
                <w:sz w:val="11"/>
                <w:szCs w:val="11"/>
                <w:b w:val="1"/>
                <w:bCs w:val="1"/>
                <w:color w:val="auto"/>
              </w:rPr>
              <w:t>(In millions)</w:t>
            </w:r>
          </w:p>
        </w:tc>
        <w:tc>
          <w:tcPr>
            <w:tcW w:w="800" w:type="dxa"/>
            <w:vAlign w:val="bottom"/>
          </w:tcPr>
          <w:p>
            <w:pPr>
              <w:spacing w:after="0"/>
              <w:rPr>
                <w:sz w:val="11"/>
                <w:szCs w:val="11"/>
                <w:color w:val="auto"/>
              </w:rPr>
            </w:pPr>
          </w:p>
        </w:tc>
      </w:tr>
      <w:tr>
        <w:trPr>
          <w:trHeight w:val="167"/>
        </w:trPr>
        <w:tc>
          <w:tcPr>
            <w:tcW w:w="680" w:type="dxa"/>
            <w:vAlign w:val="bottom"/>
          </w:tcPr>
          <w:p>
            <w:pPr>
              <w:spacing w:after="0"/>
              <w:rPr>
                <w:sz w:val="14"/>
                <w:szCs w:val="14"/>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Audit Fees</w:t>
            </w:r>
          </w:p>
        </w:tc>
        <w:tc>
          <w:tcPr>
            <w:tcW w:w="598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b w:val="1"/>
                <w:bCs w:val="1"/>
                <w:color w:val="auto"/>
                <w:w w:val="99"/>
              </w:rPr>
              <w:t>7.1</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w w:val="96"/>
              </w:rPr>
              <w:t>$ 7.7</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020" w:type="dxa"/>
            <w:vAlign w:val="bottom"/>
          </w:tcPr>
          <w:p>
            <w:pPr>
              <w:spacing w:after="0"/>
              <w:rPr>
                <w:sz w:val="20"/>
                <w:szCs w:val="20"/>
                <w:color w:val="auto"/>
              </w:rPr>
            </w:pPr>
            <w:r>
              <w:rPr>
                <w:rFonts w:ascii="Arial" w:cs="Arial" w:eastAsia="Arial" w:hAnsi="Arial"/>
                <w:sz w:val="13"/>
                <w:szCs w:val="13"/>
                <w:b w:val="1"/>
                <w:bCs w:val="1"/>
                <w:color w:val="auto"/>
              </w:rPr>
              <w:t>Audit-Related Fees</w:t>
            </w:r>
          </w:p>
        </w:tc>
        <w:tc>
          <w:tcPr>
            <w:tcW w:w="5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w w:val="99"/>
              </w:rPr>
              <w:t>1.2</w:t>
            </w:r>
          </w:p>
        </w:tc>
        <w:tc>
          <w:tcPr>
            <w:tcW w:w="38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1.2</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Tax Fees</w:t>
            </w:r>
          </w:p>
        </w:tc>
        <w:tc>
          <w:tcPr>
            <w:tcW w:w="5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b w:val="1"/>
                <w:bCs w:val="1"/>
                <w:color w:val="auto"/>
                <w:w w:val="99"/>
              </w:rPr>
              <w:t>0.1</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0.0</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020" w:type="dxa"/>
            <w:vAlign w:val="bottom"/>
          </w:tcPr>
          <w:p>
            <w:pPr>
              <w:spacing w:after="0"/>
              <w:rPr>
                <w:sz w:val="20"/>
                <w:szCs w:val="20"/>
                <w:color w:val="auto"/>
              </w:rPr>
            </w:pPr>
            <w:r>
              <w:rPr>
                <w:rFonts w:ascii="Arial" w:cs="Arial" w:eastAsia="Arial" w:hAnsi="Arial"/>
                <w:sz w:val="13"/>
                <w:szCs w:val="13"/>
                <w:b w:val="1"/>
                <w:bCs w:val="1"/>
                <w:color w:val="auto"/>
              </w:rPr>
              <w:t>All Other Fees</w:t>
            </w:r>
          </w:p>
        </w:tc>
        <w:tc>
          <w:tcPr>
            <w:tcW w:w="5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9"/>
              </w:rPr>
              <w:t>0.0</w:t>
            </w:r>
          </w:p>
        </w:tc>
        <w:tc>
          <w:tcPr>
            <w:tcW w:w="40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0.0</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w:t>
            </w:r>
          </w:p>
        </w:tc>
        <w:tc>
          <w:tcPr>
            <w:tcW w:w="598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b w:val="1"/>
                <w:bCs w:val="1"/>
                <w:color w:val="auto"/>
                <w:w w:val="99"/>
              </w:rPr>
              <w:t>8.4</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w w:val="96"/>
              </w:rPr>
              <w:t>$ 8.9</w:t>
            </w:r>
          </w:p>
        </w:tc>
        <w:tc>
          <w:tcPr>
            <w:tcW w:w="800" w:type="dxa"/>
            <w:vAlign w:val="bottom"/>
          </w:tcPr>
          <w:p>
            <w:pPr>
              <w:spacing w:after="0"/>
              <w:rPr>
                <w:sz w:val="14"/>
                <w:szCs w:val="14"/>
                <w:color w:val="auto"/>
              </w:rPr>
            </w:pPr>
          </w:p>
        </w:tc>
      </w:tr>
      <w:tr>
        <w:trPr>
          <w:trHeight w:val="463"/>
        </w:trPr>
        <w:tc>
          <w:tcPr>
            <w:tcW w:w="6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5880" w:type="dxa"/>
            <w:vAlign w:val="bottom"/>
          </w:tcPr>
          <w:p>
            <w:pPr>
              <w:jc w:val="right"/>
              <w:ind w:right="3773"/>
              <w:spacing w:after="0"/>
              <w:rPr>
                <w:sz w:val="20"/>
                <w:szCs w:val="20"/>
                <w:color w:val="auto"/>
              </w:rPr>
            </w:pPr>
            <w:r>
              <w:rPr>
                <w:rFonts w:ascii="Arial" w:cs="Arial" w:eastAsia="Arial" w:hAnsi="Arial"/>
                <w:sz w:val="13"/>
                <w:szCs w:val="13"/>
                <w:color w:val="auto"/>
              </w:rPr>
              <w:t>43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3020" w:type="dxa"/>
            <w:vAlign w:val="bottom"/>
            <w:tcBorders>
              <w:bottom w:val="single" w:sz="8" w:color="808080"/>
            </w:tcBorders>
          </w:tcPr>
          <w:p>
            <w:pPr>
              <w:spacing w:after="0"/>
              <w:rPr>
                <w:sz w:val="14"/>
                <w:szCs w:val="14"/>
                <w:color w:val="auto"/>
              </w:rPr>
            </w:pPr>
          </w:p>
        </w:tc>
        <w:tc>
          <w:tcPr>
            <w:tcW w:w="58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80" w:firstLine="399"/>
        <w:spacing w:after="0" w:line="309" w:lineRule="auto"/>
        <w:rPr>
          <w:sz w:val="20"/>
          <w:szCs w:val="20"/>
          <w:color w:val="auto"/>
        </w:rPr>
      </w:pPr>
      <w:r>
        <w:rPr>
          <w:rFonts w:ascii="Arial" w:cs="Arial" w:eastAsia="Arial" w:hAnsi="Arial"/>
          <w:sz w:val="12"/>
          <w:szCs w:val="12"/>
          <w:color w:val="auto"/>
        </w:rPr>
        <w:t>Audit includes fees for the annual audit, reviews of the Company’s Quarterly Reports on Form 10-Q, work performed to support the Company’s debt issuances, accounting consultations, and separate subsidiary audits required by statute or regulation, both domestically and internationally. Audit-related fees principally include separate subsidiary audits not required by statute or regulation and employee benefit plan audits. Tax fees were for tax audit and compliance assistance in certain foreign jurisdictions.</w:t>
      </w:r>
    </w:p>
    <w:p>
      <w:pPr>
        <w:spacing w:after="0" w:line="41" w:lineRule="exact"/>
        <w:rPr>
          <w:sz w:val="20"/>
          <w:szCs w:val="20"/>
          <w:color w:val="auto"/>
        </w:rPr>
      </w:pPr>
    </w:p>
    <w:p>
      <w:pPr>
        <w:ind w:left="680" w:firstLine="399"/>
        <w:spacing w:after="0" w:line="292" w:lineRule="auto"/>
        <w:rPr>
          <w:sz w:val="20"/>
          <w:szCs w:val="20"/>
          <w:color w:val="auto"/>
        </w:rPr>
      </w:pPr>
      <w:r>
        <w:rPr>
          <w:rFonts w:ascii="Arial" w:cs="Arial" w:eastAsia="Arial" w:hAnsi="Arial"/>
          <w:sz w:val="12"/>
          <w:szCs w:val="12"/>
          <w:color w:val="auto"/>
        </w:rPr>
        <w:t>The Audit Committee has adopted procedures for the approval of Ernst &amp; Young’s services and related fees. At the beginning of each year, all audit and audit-related services, tax fees and other fees for the upcoming audit are provided to the Audit Committee for approval. The services are grouped into significant categories and provided to the Audit Committee in the format shown above. All projects that have the potential to exceed $100,000 are separately identified and reported to the Committee for approval. The Audit Committee Chairman has the authority to approve additional services, not previously approved, between Committee meetings. Any additional services approved by the Audit Committee Chairman between Committee meetings are ratified by the full Committee at the next regularly scheduled meeting. The Audit Committee is updated on the status of all services and related fees at every regular meeting. In 2009 and 2008, the Audit Committee pre-approved all audit, audit-related and tax services performed by Ernst &amp; Young.</w:t>
      </w:r>
    </w:p>
    <w:p>
      <w:pPr>
        <w:spacing w:after="0" w:line="51" w:lineRule="exact"/>
        <w:rPr>
          <w:sz w:val="20"/>
          <w:szCs w:val="20"/>
          <w:color w:val="auto"/>
        </w:rPr>
      </w:pPr>
    </w:p>
    <w:p>
      <w:pPr>
        <w:ind w:left="680" w:right="280" w:firstLine="399"/>
        <w:spacing w:after="0" w:line="294" w:lineRule="auto"/>
        <w:rPr>
          <w:sz w:val="20"/>
          <w:szCs w:val="20"/>
          <w:color w:val="auto"/>
        </w:rPr>
      </w:pPr>
      <w:r>
        <w:rPr>
          <w:rFonts w:ascii="Arial" w:cs="Arial" w:eastAsia="Arial" w:hAnsi="Arial"/>
          <w:sz w:val="13"/>
          <w:szCs w:val="13"/>
          <w:color w:val="auto"/>
        </w:rPr>
        <w:t>As set forth in the Audit Committee Report on page 7, the Audit Committee has considered whether the provision of these non-audit services is compatible with maintaining auditor independence and has determined that they are.</w:t>
      </w:r>
    </w:p>
    <w:p>
      <w:pPr>
        <w:spacing w:after="0" w:line="20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PROPOSAL TO AMEND THE COMPANY’S SECOND RESTATED</w:t>
      </w:r>
    </w:p>
    <w:p>
      <w:pPr>
        <w:spacing w:after="0" w:line="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CERTIFICATE OF INCORPORATION</w:t>
      </w:r>
    </w:p>
    <w:p>
      <w:pPr>
        <w:spacing w:after="0" w:line="12"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(Item 3 on the Proxy Card)</w:t>
      </w:r>
    </w:p>
    <w:p>
      <w:pPr>
        <w:spacing w:after="0" w:line="92" w:lineRule="exact"/>
        <w:rPr>
          <w:sz w:val="20"/>
          <w:szCs w:val="20"/>
          <w:color w:val="auto"/>
        </w:rPr>
      </w:pPr>
    </w:p>
    <w:p>
      <w:pPr>
        <w:ind w:left="680" w:right="460" w:firstLine="399"/>
        <w:spacing w:after="0" w:line="294" w:lineRule="auto"/>
        <w:rPr>
          <w:sz w:val="20"/>
          <w:szCs w:val="20"/>
          <w:color w:val="auto"/>
        </w:rPr>
      </w:pPr>
      <w:r>
        <w:rPr>
          <w:rFonts w:ascii="Arial" w:cs="Arial" w:eastAsia="Arial" w:hAnsi="Arial"/>
          <w:sz w:val="13"/>
          <w:szCs w:val="13"/>
          <w:color w:val="auto"/>
        </w:rPr>
        <w:t>The next item on the agenda is a proposal to amend our Second Restated Certificate of Incorporation (the “Certificate”) to eliminate the supermajority stockholder voting provisions, subject to stockholder approval.</w:t>
      </w:r>
    </w:p>
    <w:p>
      <w:pPr>
        <w:spacing w:after="0" w:line="47" w:lineRule="exact"/>
        <w:rPr>
          <w:sz w:val="20"/>
          <w:szCs w:val="20"/>
          <w:color w:val="auto"/>
        </w:rPr>
      </w:pPr>
    </w:p>
    <w:p>
      <w:pPr>
        <w:ind w:left="680" w:right="160" w:firstLine="399"/>
        <w:spacing w:after="0" w:line="294" w:lineRule="auto"/>
        <w:rPr>
          <w:sz w:val="20"/>
          <w:szCs w:val="20"/>
          <w:color w:val="auto"/>
        </w:rPr>
      </w:pPr>
      <w:r>
        <w:rPr>
          <w:rFonts w:ascii="Arial" w:cs="Arial" w:eastAsia="Arial" w:hAnsi="Arial"/>
          <w:sz w:val="13"/>
          <w:szCs w:val="13"/>
          <w:color w:val="auto"/>
        </w:rPr>
        <w:t>After careful consideration and review, and upon the recommendation of the Nominating and Governance Committee, the Board has determined to eliminate the supermajority vote requirement for votes that are contained in our current Certificate and Bylaws.</w:t>
      </w:r>
    </w:p>
    <w:p>
      <w:pPr>
        <w:spacing w:after="0" w:line="47" w:lineRule="exact"/>
        <w:rPr>
          <w:sz w:val="20"/>
          <w:szCs w:val="20"/>
          <w:color w:val="auto"/>
        </w:rPr>
      </w:pPr>
    </w:p>
    <w:p>
      <w:pPr>
        <w:ind w:left="680" w:right="40" w:firstLine="399"/>
        <w:spacing w:after="0" w:line="263" w:lineRule="auto"/>
        <w:rPr>
          <w:sz w:val="20"/>
          <w:szCs w:val="20"/>
          <w:color w:val="auto"/>
        </w:rPr>
      </w:pPr>
      <w:r>
        <w:rPr>
          <w:rFonts w:ascii="Arial" w:cs="Arial" w:eastAsia="Arial" w:hAnsi="Arial"/>
          <w:sz w:val="13"/>
          <w:szCs w:val="13"/>
          <w:color w:val="auto"/>
        </w:rPr>
        <w:t>In general, our supermajority vote provisions were designed to ensure that a director could not be removed by a vote of stockholders representing less than two-thirds of the shares outstanding and entitled to vote. The supermajority vote provisions also allowed the existing Board to control the size of the Company’s Board of Directors in order to limit actions by minority stockholders who may attempt to increase the size of the Board or remove directors to create vacancies that the minority stockholders could seek to fill. While our Board believes these actions should not be taken without the support of a substantial proportion of our stockholders, the Board has determined that an amendment and restatement of the Certificate to eliminate the supermajority vote requirements is advisable and is in the best interests of the Company and its stockholders. Such amendment and restatement, if adopted, would change the provisions contained in Article Ninth of the Certificate that require an affirmative vote of two-thirds of the outstanding shares of capital stock of the Company entitled to vote generally in the election of directors (considered as a single class) to (i) remove directors and (ii) to amend or repeal provisions of Article Ninth of the Certificate or adopt any provision inconsistent with one or more of the provisions contained in that Article.</w:t>
      </w:r>
    </w:p>
    <w:p>
      <w:pPr>
        <w:spacing w:after="0" w:line="70" w:lineRule="exact"/>
        <w:rPr>
          <w:sz w:val="20"/>
          <w:szCs w:val="20"/>
          <w:color w:val="auto"/>
        </w:rPr>
      </w:pPr>
    </w:p>
    <w:p>
      <w:pPr>
        <w:ind w:left="680" w:right="560" w:firstLine="399"/>
        <w:spacing w:after="0" w:line="294" w:lineRule="auto"/>
        <w:rPr>
          <w:sz w:val="20"/>
          <w:szCs w:val="20"/>
          <w:color w:val="auto"/>
        </w:rPr>
      </w:pPr>
      <w:r>
        <w:rPr>
          <w:rFonts w:ascii="Arial" w:cs="Arial" w:eastAsia="Arial" w:hAnsi="Arial"/>
          <w:sz w:val="13"/>
          <w:szCs w:val="13"/>
          <w:color w:val="auto"/>
        </w:rPr>
        <w:t>The Board has adopted resolutions approving and declaring the advisability of adopting the proposed amended and Restated Certificate (the “Restated Certificate”) and recommends that stockholders approve the Restated Certificate by voting in favor of this Proposal.</w:t>
      </w:r>
    </w:p>
    <w:p>
      <w:pPr>
        <w:spacing w:after="0" w:line="47"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color w:val="auto"/>
        </w:rPr>
        <w:t>In determining whether eliminating the current supermajority voting requirements is in the best interests of the Company’s stockholders, the Nominating and Governance Committee and the Board noted that such provisions are designed to provide safeguards and avoid disruption to the Company’s Board of Directors unless such actions are with the consensus of the holders of at least two-thirds of stockholders.</w:t>
      </w:r>
    </w:p>
    <w:p>
      <w:pPr>
        <w:spacing w:after="0" w:line="27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60" w:firstLine="399"/>
        <w:spacing w:after="0" w:line="267" w:lineRule="auto"/>
        <w:rPr>
          <w:sz w:val="20"/>
          <w:szCs w:val="20"/>
          <w:color w:val="auto"/>
        </w:rPr>
      </w:pPr>
      <w:r>
        <w:rPr>
          <w:rFonts w:ascii="Arial" w:cs="Arial" w:eastAsia="Arial" w:hAnsi="Arial"/>
          <w:sz w:val="13"/>
          <w:szCs w:val="13"/>
          <w:color w:val="auto"/>
        </w:rPr>
        <w:t>The Board also considered the view of investors who believe that supermajority voting provisions are inconsistent with current trends in corporate governance because they may limit the ability of a simple majority of stockholders at any particular time to remove directors by essentially providing a veto to a large minority stockholder or group of stockholders. As a related matter, some commentators note the difficulty of obtaining a two-thirds vote. Other commentators have suggested that a lower threshold for stockholder votes can increase stockholders’ ability to participate effectively in corporate governance. At the Company’s 2009 Annual Meeting of Stockholders, our stockholders approved a proposal to eliminate the supermajority vote requirements contained in our Certificate and Bylaws.</w:t>
      </w:r>
    </w:p>
    <w:p>
      <w:pPr>
        <w:spacing w:after="0" w:line="65"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color w:val="auto"/>
        </w:rPr>
        <w:t>If the proposed amendments are adopted, then the affirmative vote of a majority of the outstanding shares of capital stock of the Company entitled to vote generally in the election of directors (considered as a single class) will be required for stockholders to (i) remove any director; or (ii) amend or repeal, or adopt any provision inconsistent with any one or more provisions contained in Article Ninth of the Restated Certificate. This is the lowest vote allowed by the General Corporation Law of the State of Delaware (the “DGCL”) for the removal of directors, as provided for in Section 141 of the DGCL.</w:t>
      </w:r>
    </w:p>
    <w:p>
      <w:pPr>
        <w:spacing w:after="0" w:line="63"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As currently written, Article Ninth of the Certificate can only be amended by the affirmative vote of at least two-thirds of the outstanding shares of capital stock of the Company entitled to vote generally in the election of directors (considered as a single class). An abstention or other failure to vote on this Proposal is not an affirmative vote and therefore will have the same effect as a vote against this Proposal. Therefore, it is important that you vote your shares in person or by proxy.</w:t>
      </w:r>
    </w:p>
    <w:p>
      <w:pPr>
        <w:spacing w:after="0" w:line="59" w:lineRule="exact"/>
        <w:rPr>
          <w:sz w:val="20"/>
          <w:szCs w:val="20"/>
          <w:color w:val="auto"/>
        </w:rPr>
      </w:pPr>
    </w:p>
    <w:p>
      <w:pPr>
        <w:ind w:left="680" w:right="60" w:firstLine="399"/>
        <w:spacing w:after="0" w:line="267" w:lineRule="auto"/>
        <w:rPr>
          <w:sz w:val="20"/>
          <w:szCs w:val="20"/>
          <w:color w:val="auto"/>
        </w:rPr>
      </w:pPr>
      <w:r>
        <w:rPr>
          <w:rFonts w:ascii="Arial" w:cs="Arial" w:eastAsia="Arial" w:hAnsi="Arial"/>
          <w:sz w:val="13"/>
          <w:szCs w:val="13"/>
          <w:color w:val="auto"/>
        </w:rPr>
        <w:t>If this Proposal is approved by stockholders, it will be effected by the filing of the Restated Certificate with the State of Delaware promptly after the Annual Meeting. The Company’s current Bylaws also provide, in Section 3.3, that two-thirds of the outstanding shares of capital stock of the Company entitled to vote generally in the election of directors (considered as a single class) is necessary to remove directors. If the Proposal is adopted and the Certificate is amended, the Board of Directors also will amend Section 3.3 of the Company’s Bylaws to provide that only a majority of the outstanding shares of capital stock of the Company entitled to vote generally in the election of directors (considered as a single class) is required to remove directors.</w:t>
      </w:r>
    </w:p>
    <w:p>
      <w:pPr>
        <w:spacing w:after="0" w:line="65"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A copy of the Restated Certificate marked to show all changes proposed under this Proposal against the current Certificate is attached as Appendix A to this Proxy Statement, with proposed deletions indicated by strikeout and proposed additions indicated by underline. The above descriptions of the current provisions of the Certificate and the Restated Certificate are qualified in their entirety by reference to the actual text as set forth in Appendix A.</w:t>
      </w:r>
    </w:p>
    <w:p>
      <w:pPr>
        <w:spacing w:after="0" w:line="57" w:lineRule="exact"/>
        <w:rPr>
          <w:sz w:val="20"/>
          <w:szCs w:val="20"/>
          <w:color w:val="auto"/>
        </w:rPr>
      </w:pPr>
    </w:p>
    <w:p>
      <w:pPr>
        <w:ind w:left="680" w:right="760" w:firstLine="399"/>
        <w:spacing w:after="0" w:line="297" w:lineRule="auto"/>
        <w:rPr>
          <w:sz w:val="20"/>
          <w:szCs w:val="20"/>
          <w:color w:val="auto"/>
        </w:rPr>
      </w:pPr>
      <w:r>
        <w:rPr>
          <w:rFonts w:ascii="Arial" w:cs="Arial" w:eastAsia="Arial" w:hAnsi="Arial"/>
          <w:sz w:val="13"/>
          <w:szCs w:val="13"/>
          <w:b w:val="1"/>
          <w:bCs w:val="1"/>
          <w:color w:val="auto"/>
        </w:rPr>
        <w:t>THE BOARD OF DIRECTORS RECOMMENDS THAT YOU VOTE FOR THE APPROVAL OF THE AMENDMENT AND RESTATEMENT OF THE COMPANY’S SECOND RESTATED CERTIFICATE OF INCORPORATION TO ELIMINATE THE SUPERMAJORITY VOTE REQUIREMENTS.</w:t>
      </w:r>
    </w:p>
    <w:p>
      <w:pPr>
        <w:spacing w:after="0" w:line="20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STOCKHOLDER PROPOSAL RELATING TO</w:t>
      </w:r>
    </w:p>
    <w:p>
      <w:pPr>
        <w:spacing w:after="0" w:line="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DISCLOSURE OF POLITICAL CONTRIBUTIONS</w:t>
      </w:r>
    </w:p>
    <w:p>
      <w:pPr>
        <w:spacing w:after="0" w:line="1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(Item 4 on the Proxy Card)</w:t>
      </w:r>
    </w:p>
    <w:p>
      <w:pPr>
        <w:spacing w:after="0" w:line="92" w:lineRule="exact"/>
        <w:rPr>
          <w:sz w:val="20"/>
          <w:szCs w:val="20"/>
          <w:color w:val="auto"/>
        </w:rPr>
      </w:pPr>
    </w:p>
    <w:p>
      <w:pPr>
        <w:ind w:left="680" w:right="560" w:firstLine="399"/>
        <w:spacing w:after="0" w:line="294" w:lineRule="auto"/>
        <w:rPr>
          <w:sz w:val="20"/>
          <w:szCs w:val="20"/>
          <w:color w:val="auto"/>
        </w:rPr>
      </w:pPr>
      <w:r>
        <w:rPr>
          <w:rFonts w:ascii="Arial" w:cs="Arial" w:eastAsia="Arial" w:hAnsi="Arial"/>
          <w:sz w:val="13"/>
          <w:szCs w:val="13"/>
          <w:color w:val="auto"/>
        </w:rPr>
        <w:t>The following proposal was submitted by the International Brotherhood of Teamsters General Fund, 25 Louisiana Avenue, N.W., Washington, D.C. 20001, which owns 143 shares of Waste Management Common Stock. The proposal has been included verbatim as we received it.</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Stockholder Proposal</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RESOLVED: </w:t>
      </w:r>
      <w:r>
        <w:rPr>
          <w:rFonts w:ascii="Arial" w:cs="Arial" w:eastAsia="Arial" w:hAnsi="Arial"/>
          <w:sz w:val="12"/>
          <w:szCs w:val="12"/>
          <w:color w:val="auto"/>
        </w:rPr>
        <w:t>That the shareholders of Waste Management, Inc., (“Company”) hereby request that the Company provide a report, updated semi-annually, disclosing the</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Company’s:</w:t>
      </w:r>
    </w:p>
    <w:p>
      <w:pPr>
        <w:spacing w:after="0" w:line="92" w:lineRule="exact"/>
        <w:rPr>
          <w:sz w:val="20"/>
          <w:szCs w:val="20"/>
          <w:color w:val="auto"/>
        </w:rPr>
      </w:pPr>
    </w:p>
    <w:p>
      <w:pPr>
        <w:ind w:left="5600" w:right="2560" w:hanging="4130"/>
        <w:spacing w:after="0" w:line="779" w:lineRule="auto"/>
        <w:tabs>
          <w:tab w:leader="none" w:pos="1595" w:val="left"/>
        </w:tabs>
        <w:numPr>
          <w:ilvl w:val="0"/>
          <w:numId w:val="38"/>
        </w:numPr>
        <w:rPr>
          <w:rFonts w:ascii="Arial" w:cs="Arial" w:eastAsia="Arial" w:hAnsi="Arial"/>
          <w:sz w:val="13"/>
          <w:szCs w:val="13"/>
          <w:color w:val="auto"/>
        </w:rPr>
      </w:pPr>
      <w:r>
        <w:rPr>
          <w:rFonts w:ascii="Arial" w:cs="Arial" w:eastAsia="Arial" w:hAnsi="Arial"/>
          <w:sz w:val="13"/>
          <w:szCs w:val="13"/>
          <w:color w:val="auto"/>
        </w:rPr>
        <w:t>Policies and procedures for political contributions and expenditures (both direct and indirect) made with corporate funds.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7287895"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1080" w:firstLine="390"/>
        <w:spacing w:after="0" w:line="299" w:lineRule="auto"/>
        <w:tabs>
          <w:tab w:leader="none" w:pos="1597" w:val="left"/>
        </w:tabs>
        <w:numPr>
          <w:ilvl w:val="0"/>
          <w:numId w:val="39"/>
        </w:numPr>
        <w:rPr>
          <w:rFonts w:ascii="Arial" w:cs="Arial" w:eastAsia="Arial" w:hAnsi="Arial"/>
          <w:sz w:val="12"/>
          <w:szCs w:val="12"/>
          <w:color w:val="auto"/>
        </w:rPr>
      </w:pPr>
      <w:r>
        <w:rPr>
          <w:rFonts w:ascii="Arial" w:cs="Arial" w:eastAsia="Arial" w:hAnsi="Arial"/>
          <w:sz w:val="12"/>
          <w:szCs w:val="12"/>
          <w:color w:val="auto"/>
        </w:rPr>
        <w:t>Monetary and non-monetary political contributions and expenditures not deductible under Section 162 (e)(1)(B) of the Internal Revenue Code, including but not limited to contributions to or expenditures on behalf of political candidates, political parties, political committees and other political entities organized and operating under 26 USC Sec. 527 of the Internal Revenue Code and any portion of any dues or similar payments made to any tax exempt organization that is used for an expenditure or contribution that, if made directly by the corporation, would not be deductible under Section 162 (e)(1)(B) of the Internal Revenue Code. The report shall include the following:</w:t>
      </w:r>
    </w:p>
    <w:p>
      <w:pPr>
        <w:spacing w:after="0" w:line="47" w:lineRule="exact"/>
        <w:rPr>
          <w:rFonts w:ascii="Arial" w:cs="Arial" w:eastAsia="Arial" w:hAnsi="Arial"/>
          <w:sz w:val="12"/>
          <w:szCs w:val="12"/>
          <w:color w:val="auto"/>
        </w:rPr>
      </w:pPr>
    </w:p>
    <w:p>
      <w:pPr>
        <w:ind w:left="1980" w:hanging="126"/>
        <w:spacing w:after="0"/>
        <w:tabs>
          <w:tab w:leader="none" w:pos="1980" w:val="left"/>
        </w:tabs>
        <w:numPr>
          <w:ilvl w:val="1"/>
          <w:numId w:val="39"/>
        </w:numPr>
        <w:rPr>
          <w:rFonts w:ascii="Arial" w:cs="Arial" w:eastAsia="Arial" w:hAnsi="Arial"/>
          <w:sz w:val="13"/>
          <w:szCs w:val="13"/>
          <w:color w:val="auto"/>
        </w:rPr>
      </w:pPr>
      <w:r>
        <w:rPr>
          <w:rFonts w:ascii="Arial" w:cs="Arial" w:eastAsia="Arial" w:hAnsi="Arial"/>
          <w:sz w:val="13"/>
          <w:szCs w:val="13"/>
          <w:color w:val="auto"/>
        </w:rPr>
        <w:t>An accounting of the Company’s funds that are used for political contributions or expenditures as described above;</w:t>
      </w:r>
    </w:p>
    <w:p>
      <w:pPr>
        <w:spacing w:after="0" w:line="102" w:lineRule="exact"/>
        <w:rPr>
          <w:rFonts w:ascii="Arial" w:cs="Arial" w:eastAsia="Arial" w:hAnsi="Arial"/>
          <w:sz w:val="13"/>
          <w:szCs w:val="13"/>
          <w:color w:val="auto"/>
        </w:rPr>
      </w:pPr>
    </w:p>
    <w:p>
      <w:pPr>
        <w:ind w:left="1980" w:hanging="126"/>
        <w:spacing w:after="0"/>
        <w:tabs>
          <w:tab w:leader="none" w:pos="1980" w:val="left"/>
        </w:tabs>
        <w:numPr>
          <w:ilvl w:val="1"/>
          <w:numId w:val="39"/>
        </w:numPr>
        <w:rPr>
          <w:rFonts w:ascii="Arial" w:cs="Arial" w:eastAsia="Arial" w:hAnsi="Arial"/>
          <w:sz w:val="13"/>
          <w:szCs w:val="13"/>
          <w:color w:val="auto"/>
        </w:rPr>
      </w:pPr>
      <w:r>
        <w:rPr>
          <w:rFonts w:ascii="Arial" w:cs="Arial" w:eastAsia="Arial" w:hAnsi="Arial"/>
          <w:sz w:val="13"/>
          <w:szCs w:val="13"/>
          <w:color w:val="auto"/>
        </w:rPr>
        <w:t>Identification of the person or persons in the Company who participated in making the decisions to make the political contribution or expenditure; and,</w:t>
      </w:r>
    </w:p>
    <w:p>
      <w:pPr>
        <w:spacing w:after="0" w:line="102" w:lineRule="exact"/>
        <w:rPr>
          <w:rFonts w:ascii="Arial" w:cs="Arial" w:eastAsia="Arial" w:hAnsi="Arial"/>
          <w:sz w:val="13"/>
          <w:szCs w:val="13"/>
          <w:color w:val="auto"/>
        </w:rPr>
      </w:pPr>
    </w:p>
    <w:p>
      <w:pPr>
        <w:ind w:left="1980" w:hanging="126"/>
        <w:spacing w:after="0"/>
        <w:tabs>
          <w:tab w:leader="none" w:pos="1980" w:val="left"/>
        </w:tabs>
        <w:numPr>
          <w:ilvl w:val="1"/>
          <w:numId w:val="39"/>
        </w:numPr>
        <w:rPr>
          <w:rFonts w:ascii="Arial" w:cs="Arial" w:eastAsia="Arial" w:hAnsi="Arial"/>
          <w:sz w:val="13"/>
          <w:szCs w:val="13"/>
          <w:color w:val="auto"/>
        </w:rPr>
      </w:pPr>
      <w:r>
        <w:rPr>
          <w:rFonts w:ascii="Arial" w:cs="Arial" w:eastAsia="Arial" w:hAnsi="Arial"/>
          <w:sz w:val="13"/>
          <w:szCs w:val="13"/>
          <w:color w:val="auto"/>
        </w:rPr>
        <w:t>The internal guidelines or policies, if any, governing the Company’s political contributions and expenditures.</w:t>
      </w:r>
    </w:p>
    <w:p>
      <w:pPr>
        <w:spacing w:after="0" w:line="102" w:lineRule="exact"/>
        <w:rPr>
          <w:sz w:val="20"/>
          <w:szCs w:val="20"/>
          <w:color w:val="auto"/>
        </w:rPr>
      </w:pPr>
    </w:p>
    <w:p>
      <w:pPr>
        <w:ind w:left="680" w:right="520" w:firstLine="399"/>
        <w:spacing w:after="0" w:line="294" w:lineRule="auto"/>
        <w:rPr>
          <w:sz w:val="20"/>
          <w:szCs w:val="20"/>
          <w:color w:val="auto"/>
        </w:rPr>
      </w:pPr>
      <w:r>
        <w:rPr>
          <w:rFonts w:ascii="Arial" w:cs="Arial" w:eastAsia="Arial" w:hAnsi="Arial"/>
          <w:sz w:val="13"/>
          <w:szCs w:val="13"/>
          <w:color w:val="auto"/>
        </w:rPr>
        <w:t>The report shall be presented to the Board of Directors’ Audit Committee or other relevant oversight committee and posted on the Company’s website to reduce costs to shareholders.</w:t>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SUPPORTING STATEMENT: </w:t>
      </w:r>
      <w:r>
        <w:rPr>
          <w:rFonts w:ascii="Arial" w:cs="Arial" w:eastAsia="Arial" w:hAnsi="Arial"/>
          <w:sz w:val="12"/>
          <w:szCs w:val="12"/>
          <w:color w:val="auto"/>
        </w:rPr>
        <w:t>As long-term Waste Management shareholders, we support policies that apply transparency and accountability to corporate political spending.</w:t>
      </w:r>
    </w:p>
    <w:p>
      <w:pPr>
        <w:spacing w:after="0" w:line="114"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Absent a system of accountability, we are concerned that Company assets may be used for policy objectives that may be inimical to Waste Management’s long-term interests.</w:t>
      </w:r>
    </w:p>
    <w:p>
      <w:pPr>
        <w:spacing w:after="0" w:line="114" w:lineRule="exact"/>
        <w:rPr>
          <w:sz w:val="20"/>
          <w:szCs w:val="20"/>
          <w:color w:val="auto"/>
        </w:rPr>
      </w:pPr>
    </w:p>
    <w:p>
      <w:pPr>
        <w:ind w:left="680" w:firstLine="399"/>
        <w:spacing w:after="0" w:line="267" w:lineRule="auto"/>
        <w:rPr>
          <w:sz w:val="20"/>
          <w:szCs w:val="20"/>
          <w:color w:val="auto"/>
        </w:rPr>
      </w:pPr>
      <w:r>
        <w:rPr>
          <w:rFonts w:ascii="Arial" w:cs="Arial" w:eastAsia="Arial" w:hAnsi="Arial"/>
          <w:sz w:val="13"/>
          <w:szCs w:val="13"/>
          <w:color w:val="auto"/>
        </w:rPr>
        <w:t xml:space="preserve">For example, Waste Management is trying to establish itself as the industry leader for waste and environmental services in a new green economy. A Waste Management senior executive sits on the Board of Directors of The National Association of Manufacturers (NAM), which has reportedly fought legislation that caps greenhouse gas emissions. According to news reports, Duke Energy, one of the country’s largest utilities, decided to leave NAM in part because of the group’s opposition to climate change legislation. (“Duke Energy ditches manufacturing group,” </w:t>
      </w:r>
      <w:r>
        <w:rPr>
          <w:rFonts w:ascii="Arial" w:cs="Arial" w:eastAsia="Arial" w:hAnsi="Arial"/>
          <w:sz w:val="13"/>
          <w:szCs w:val="13"/>
          <w:i w:val="1"/>
          <w:iCs w:val="1"/>
          <w:color w:val="auto"/>
        </w:rPr>
        <w:t>Politico,</w:t>
      </w:r>
      <w:r>
        <w:rPr>
          <w:rFonts w:ascii="Arial" w:cs="Arial" w:eastAsia="Arial" w:hAnsi="Arial"/>
          <w:sz w:val="13"/>
          <w:szCs w:val="13"/>
          <w:color w:val="auto"/>
        </w:rPr>
        <w:t xml:space="preserve"> May 8, 2009). Without disclosure, it is impossible for shareholders to know whether Waste Management payments to NAM are used for the group’s political activities, including those opposing climate change legislation.</w:t>
      </w:r>
    </w:p>
    <w:p>
      <w:pPr>
        <w:spacing w:after="0" w:line="6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Based on available public records, Waste Management has contributed at least $4 million in corporate funds since the 2002 election cycle.</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(http://moneyline.cq.com/pml/home.do; http://www.followthemoney.org).</w:t>
      </w:r>
    </w:p>
    <w:p>
      <w:pPr>
        <w:spacing w:after="0" w:line="92" w:lineRule="exact"/>
        <w:rPr>
          <w:sz w:val="20"/>
          <w:szCs w:val="20"/>
          <w:color w:val="auto"/>
        </w:rPr>
      </w:pPr>
    </w:p>
    <w:p>
      <w:pPr>
        <w:ind w:left="680" w:right="200" w:firstLine="399"/>
        <w:spacing w:after="0" w:line="294" w:lineRule="auto"/>
        <w:rPr>
          <w:sz w:val="20"/>
          <w:szCs w:val="20"/>
          <w:color w:val="auto"/>
        </w:rPr>
      </w:pPr>
      <w:r>
        <w:rPr>
          <w:rFonts w:ascii="Arial" w:cs="Arial" w:eastAsia="Arial" w:hAnsi="Arial"/>
          <w:sz w:val="13"/>
          <w:szCs w:val="13"/>
          <w:color w:val="auto"/>
        </w:rPr>
        <w:t>Relying on publicly available data does not provide a complete picture of the Company’s political expenditures. Payments to trade associations used for political activities are undisclosed and unknown.</w:t>
      </w:r>
    </w:p>
    <w:p>
      <w:pPr>
        <w:spacing w:after="0" w:line="47" w:lineRule="exact"/>
        <w:rPr>
          <w:sz w:val="20"/>
          <w:szCs w:val="20"/>
          <w:color w:val="auto"/>
        </w:rPr>
      </w:pPr>
    </w:p>
    <w:p>
      <w:pPr>
        <w:ind w:left="680" w:right="260" w:firstLine="399"/>
        <w:spacing w:after="0" w:line="294" w:lineRule="auto"/>
        <w:rPr>
          <w:sz w:val="20"/>
          <w:szCs w:val="20"/>
          <w:color w:val="auto"/>
        </w:rPr>
      </w:pPr>
      <w:r>
        <w:rPr>
          <w:rFonts w:ascii="Arial" w:cs="Arial" w:eastAsia="Arial" w:hAnsi="Arial"/>
          <w:sz w:val="13"/>
          <w:szCs w:val="13"/>
          <w:color w:val="auto"/>
        </w:rPr>
        <w:t>Waste Management does not disclose its political expenditures, the executives who authorize them, or the guidelines that help the Company determine the appropriateness of such expenditures.</w:t>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Last year this proposal received approximately 32 percent support.</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xml:space="preserve">We urge your support </w:t>
      </w:r>
      <w:r>
        <w:rPr>
          <w:rFonts w:ascii="Arial" w:cs="Arial" w:eastAsia="Arial" w:hAnsi="Arial"/>
          <w:sz w:val="13"/>
          <w:szCs w:val="13"/>
          <w:b w:val="1"/>
          <w:bCs w:val="1"/>
          <w:color w:val="auto"/>
        </w:rPr>
        <w:t>FOR</w:t>
      </w:r>
      <w:r>
        <w:rPr>
          <w:rFonts w:ascii="Arial" w:cs="Arial" w:eastAsia="Arial" w:hAnsi="Arial"/>
          <w:sz w:val="13"/>
          <w:szCs w:val="13"/>
          <w:color w:val="auto"/>
        </w:rPr>
        <w:t xml:space="preserve"> this proposal.</w:t>
      </w:r>
    </w:p>
    <w:p>
      <w:pPr>
        <w:spacing w:after="0" w:line="18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Waste Management Response to Stockholder Proposal Relating to Disclosure of Political Contributions</w:t>
      </w:r>
    </w:p>
    <w:p>
      <w:pPr>
        <w:spacing w:after="0" w:line="104"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Waste Management is fully committed to complying with all applicable laws concerning political contributions, including laws requiring public disclosure of political contributions and lobbying expenses. Accordingly, Waste Management believes this proposal is unnecessary because a comprehensive system of reporting and accountability for political contributions already exists.</w:t>
      </w:r>
    </w:p>
    <w:p>
      <w:pPr>
        <w:spacing w:after="0" w:line="59" w:lineRule="exact"/>
        <w:rPr>
          <w:sz w:val="20"/>
          <w:szCs w:val="20"/>
          <w:color w:val="auto"/>
        </w:rPr>
      </w:pPr>
    </w:p>
    <w:p>
      <w:pPr>
        <w:ind w:left="680" w:right="100" w:firstLine="399"/>
        <w:spacing w:after="0" w:line="309" w:lineRule="auto"/>
        <w:rPr>
          <w:sz w:val="20"/>
          <w:szCs w:val="20"/>
          <w:color w:val="auto"/>
        </w:rPr>
      </w:pPr>
      <w:r>
        <w:rPr>
          <w:rFonts w:ascii="Arial" w:cs="Arial" w:eastAsia="Arial" w:hAnsi="Arial"/>
          <w:sz w:val="12"/>
          <w:szCs w:val="12"/>
          <w:color w:val="auto"/>
        </w:rPr>
        <w:t>Current law limits the amounts of political contributions that can be made, restricts the organizations or entities that can receive corporate funding, and requires that a clear system of accountability be in place, as established by regulatory agencies in the United States. Political contributions or donations made by the Company and its Political Action Committee (PAC) are required to be disclosed under federal, state and local campaign finance law. The Company fully complies with these disclosure and reporting requirements. As a</w:t>
      </w:r>
    </w:p>
    <w:p>
      <w:pPr>
        <w:spacing w:after="0" w:line="253"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result, information on the Company’s political contributions is available to stockholders and interested parties through public sources.</w:t>
      </w:r>
    </w:p>
    <w:p>
      <w:pPr>
        <w:spacing w:after="0" w:line="102" w:lineRule="exact"/>
        <w:rPr>
          <w:sz w:val="20"/>
          <w:szCs w:val="20"/>
          <w:color w:val="auto"/>
        </w:rPr>
      </w:pPr>
    </w:p>
    <w:p>
      <w:pPr>
        <w:ind w:left="680" w:right="120" w:firstLine="399"/>
        <w:spacing w:after="0" w:line="270" w:lineRule="auto"/>
        <w:rPr>
          <w:sz w:val="20"/>
          <w:szCs w:val="20"/>
          <w:color w:val="auto"/>
        </w:rPr>
      </w:pPr>
      <w:r>
        <w:rPr>
          <w:rFonts w:ascii="Arial" w:cs="Arial" w:eastAsia="Arial" w:hAnsi="Arial"/>
          <w:sz w:val="13"/>
          <w:szCs w:val="13"/>
          <w:color w:val="auto"/>
        </w:rPr>
        <w:t xml:space="preserve">Waste Management believes that it is important to participate in the political process because it is of intrinsic benefit to our business and employees. Our policy on political contributions is published in the Company’s </w:t>
      </w:r>
      <w:r>
        <w:rPr>
          <w:rFonts w:ascii="Arial" w:cs="Arial" w:eastAsia="Arial" w:hAnsi="Arial"/>
          <w:sz w:val="13"/>
          <w:szCs w:val="13"/>
          <w:i w:val="1"/>
          <w:iCs w:val="1"/>
          <w:color w:val="auto"/>
        </w:rPr>
        <w:t>Code of Conduct</w:t>
      </w:r>
      <w:r>
        <w:rPr>
          <w:rFonts w:ascii="Arial" w:cs="Arial" w:eastAsia="Arial" w:hAnsi="Arial"/>
          <w:sz w:val="13"/>
          <w:szCs w:val="13"/>
          <w:color w:val="auto"/>
        </w:rPr>
        <w:t>, which is disseminated to all employees. We do not expect the candidates to whom we contribute funds to agree with our positions on all issues at all times. We do, however, seek to support candidates who recognize the importance of the environmental services we provide, while also recognizing that a fair, free market system provides the best environment for continued improvement of cost-effective services.</w:t>
      </w:r>
    </w:p>
    <w:p>
      <w:pPr>
        <w:spacing w:after="0" w:line="63" w:lineRule="exact"/>
        <w:rPr>
          <w:sz w:val="20"/>
          <w:szCs w:val="20"/>
          <w:color w:val="auto"/>
        </w:rPr>
      </w:pPr>
    </w:p>
    <w:p>
      <w:pPr>
        <w:ind w:left="680" w:right="20" w:firstLine="399"/>
        <w:spacing w:after="0" w:line="292" w:lineRule="auto"/>
        <w:rPr>
          <w:sz w:val="20"/>
          <w:szCs w:val="20"/>
          <w:color w:val="auto"/>
        </w:rPr>
      </w:pPr>
      <w:r>
        <w:rPr>
          <w:rFonts w:ascii="Arial" w:cs="Arial" w:eastAsia="Arial" w:hAnsi="Arial"/>
          <w:sz w:val="12"/>
          <w:szCs w:val="12"/>
          <w:color w:val="auto"/>
        </w:rPr>
        <w:t>Contributions of funds from the Company’s PAC to federal, state and local candidates and all other Company contributions are approved, in advance, by the Government Affairs Department. The PAC files monthly reports of receipts and disbursements to the Federal Election Commission (FEC), as well as pre-election and post-election FEC reports. Those publicly available reports identify the names of candidates supported and amounts contributed by the PAC. In addition, all political contributions to federal candidates over $200 are publicly disclosed by the FEC. Under the Lobbying Disclosure Act of 1995, Waste Management submits to Congress semi-annual reports of amounts spent on lobbying and the subjects lobbied, which are also publicly available. Those reports have been submitted quarterly since April 2008 under the Honest Leadership and Open Government Act of 2007, and semi-annual reports include a list of all federal election candidates to whom the PAC contributed during the previous six months.</w:t>
      </w:r>
    </w:p>
    <w:p>
      <w:pPr>
        <w:spacing w:after="0" w:line="51" w:lineRule="exact"/>
        <w:rPr>
          <w:sz w:val="20"/>
          <w:szCs w:val="20"/>
          <w:color w:val="auto"/>
        </w:rPr>
      </w:pPr>
    </w:p>
    <w:p>
      <w:pPr>
        <w:ind w:left="680" w:firstLine="399"/>
        <w:spacing w:after="0" w:line="295" w:lineRule="auto"/>
        <w:rPr>
          <w:sz w:val="20"/>
          <w:szCs w:val="20"/>
          <w:color w:val="auto"/>
        </w:rPr>
      </w:pPr>
      <w:r>
        <w:rPr>
          <w:rFonts w:ascii="Arial" w:cs="Arial" w:eastAsia="Arial" w:hAnsi="Arial"/>
          <w:sz w:val="12"/>
          <w:szCs w:val="12"/>
          <w:color w:val="auto"/>
        </w:rPr>
        <w:t>A senior executive of the Company sits on the Board of Directors of the National Association of Manufacturers (NAM) in an effort to ensure that the Company’s interests are represented by that trade association. NAM has supported inclusion of landfill gas-to-energy and waste-to-energy in the Federal Renewable Portfolio Standard contained in the House-passed climate change bill and the pending Senate bill. It has opposed the House bill but has not opposed the Senate bill. It has stated that climate change legislation should maintain a level playing field for US companies in the global marketplace. NAM has called for legislation that ensures a national approach; enhances our economic leadership; is technology-driven; provides flexibility and fosters innovation; and promotes global participation. Those elements have broad support in the deliberations currently under consideration in the Senate.</w:t>
      </w:r>
    </w:p>
    <w:p>
      <w:pPr>
        <w:spacing w:after="0" w:line="49" w:lineRule="exact"/>
        <w:rPr>
          <w:sz w:val="20"/>
          <w:szCs w:val="20"/>
          <w:color w:val="auto"/>
        </w:rPr>
      </w:pPr>
    </w:p>
    <w:p>
      <w:pPr>
        <w:ind w:left="680" w:right="340" w:firstLine="399"/>
        <w:spacing w:after="0" w:line="294" w:lineRule="auto"/>
        <w:rPr>
          <w:sz w:val="20"/>
          <w:szCs w:val="20"/>
          <w:color w:val="auto"/>
        </w:rPr>
      </w:pPr>
      <w:r>
        <w:rPr>
          <w:rFonts w:ascii="Arial" w:cs="Arial" w:eastAsia="Arial" w:hAnsi="Arial"/>
          <w:sz w:val="13"/>
          <w:szCs w:val="13"/>
          <w:color w:val="auto"/>
        </w:rPr>
        <w:t>Adoption of this proposal would require Waste Management to expend resources unnecessarily to create a semi-annual report disclosing political contributions, duplicating reports already publicly available.</w:t>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This proposal was submitted to the vote of our stockholders at the 2008 and 2009 annual meetings and failed to pass on both occasions.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auto"/>
        </w:rPr>
        <w:t>THE BOARD OF DIRECTORS RECOMMENDS THAT YOU VOTE AGAINST THE ADOPTION OF THIS PROPOSAL.</w:t>
      </w:r>
    </w:p>
    <w:p>
      <w:pPr>
        <w:spacing w:after="0" w:line="264"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STOCKHOLDER PROPOSAL RELATING TO RIGHT OF STOCKHOLDERS TO</w:t>
      </w:r>
    </w:p>
    <w:p>
      <w:pPr>
        <w:spacing w:after="0" w:line="24"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CALL SPECIAL STOCKHOLDER MEETINGS</w:t>
      </w:r>
    </w:p>
    <w:p>
      <w:pPr>
        <w:spacing w:after="0" w:line="12"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(Item 5 on the Proxy Card)</w:t>
      </w:r>
    </w:p>
    <w:p>
      <w:pPr>
        <w:spacing w:after="0" w:line="92" w:lineRule="exact"/>
        <w:rPr>
          <w:sz w:val="20"/>
          <w:szCs w:val="20"/>
          <w:color w:val="auto"/>
        </w:rPr>
      </w:pPr>
    </w:p>
    <w:p>
      <w:pPr>
        <w:ind w:left="680" w:right="320" w:firstLine="399"/>
        <w:spacing w:after="0" w:line="294" w:lineRule="auto"/>
        <w:rPr>
          <w:sz w:val="20"/>
          <w:szCs w:val="20"/>
          <w:color w:val="auto"/>
        </w:rPr>
      </w:pPr>
      <w:r>
        <w:rPr>
          <w:rFonts w:ascii="Arial" w:cs="Arial" w:eastAsia="Arial" w:hAnsi="Arial"/>
          <w:sz w:val="13"/>
          <w:szCs w:val="13"/>
          <w:color w:val="auto"/>
        </w:rPr>
        <w:t>The following proposal was submitted by William Steiner, 112 Abbottsford Gate, Piermont, NY 10968, who owns 7,600 shares of Waste Management Common Stock. The proposal has been included verbatim as we received it.</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Stockholder Proposal</w:t>
      </w:r>
    </w:p>
    <w:p>
      <w:pPr>
        <w:spacing w:after="0" w:line="18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5 — Special Shareowner Meetings</w:t>
      </w:r>
    </w:p>
    <w:p>
      <w:pPr>
        <w:spacing w:after="0" w:line="104" w:lineRule="exact"/>
        <w:rPr>
          <w:sz w:val="20"/>
          <w:szCs w:val="20"/>
          <w:color w:val="auto"/>
        </w:rPr>
      </w:pPr>
    </w:p>
    <w:p>
      <w:pPr>
        <w:ind w:left="680" w:right="220" w:firstLine="399"/>
        <w:spacing w:after="0" w:line="294" w:lineRule="auto"/>
        <w:rPr>
          <w:sz w:val="20"/>
          <w:szCs w:val="20"/>
          <w:color w:val="auto"/>
        </w:rPr>
      </w:pPr>
      <w:r>
        <w:rPr>
          <w:rFonts w:ascii="Arial" w:cs="Arial" w:eastAsia="Arial" w:hAnsi="Arial"/>
          <w:sz w:val="13"/>
          <w:szCs w:val="13"/>
          <w:color w:val="auto"/>
        </w:rPr>
        <w:t>RESOLVED, Shareowners ask our board to take the steps necessary to amend our bylaws and each applicable governing document to give holders of 10% of our outstanding common stock (or the lowest percentage allowed by law above 10%) the power to call a special shareowner meeting. This includes multiple</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160"/>
        <w:spacing w:after="0" w:line="294" w:lineRule="auto"/>
        <w:rPr>
          <w:sz w:val="20"/>
          <w:szCs w:val="20"/>
          <w:color w:val="auto"/>
        </w:rPr>
      </w:pPr>
      <w:r>
        <w:rPr>
          <w:rFonts w:ascii="Arial" w:cs="Arial" w:eastAsia="Arial" w:hAnsi="Arial"/>
          <w:sz w:val="13"/>
          <w:szCs w:val="13"/>
          <w:color w:val="auto"/>
        </w:rPr>
        <w:t>shareowners combining their holdings to equal the 10%-of-outstanding-common threshold. This includes that such bylaw and/or charter text will not have any exception or exclusion conditions (to the fullest extent permitted by state law) that apply only to shareowners but not to management and/or the board.</w:t>
      </w:r>
    </w:p>
    <w:p>
      <w:pPr>
        <w:spacing w:after="0" w:line="47"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A special meeting allows shareowners to vote on important matters, such as electing new directors, that can arise between annual meetings. If shareowners cannot call a special meeting investor returns may suffer. Shareowners should have the ability to call a special meeting when a matter merits prompt attention. This proposal does not impact our board’s current power to call a special meeting.</w:t>
      </w:r>
    </w:p>
    <w:p>
      <w:pPr>
        <w:spacing w:after="0" w:line="59" w:lineRule="exact"/>
        <w:rPr>
          <w:sz w:val="20"/>
          <w:szCs w:val="20"/>
          <w:color w:val="auto"/>
        </w:rPr>
      </w:pPr>
    </w:p>
    <w:p>
      <w:pPr>
        <w:ind w:left="680" w:right="580" w:firstLine="399"/>
        <w:spacing w:after="0" w:line="338" w:lineRule="auto"/>
        <w:rPr>
          <w:sz w:val="20"/>
          <w:szCs w:val="20"/>
          <w:color w:val="auto"/>
        </w:rPr>
      </w:pPr>
      <w:r>
        <w:rPr>
          <w:rFonts w:ascii="Arial" w:cs="Arial" w:eastAsia="Arial" w:hAnsi="Arial"/>
          <w:sz w:val="12"/>
          <w:szCs w:val="12"/>
          <w:color w:val="auto"/>
        </w:rPr>
        <w:t xml:space="preserve">The Simple Majority Vote topic won our overwhelming 80% support at our 2009 annual meeting. The Council of Institutional Investors </w:t>
      </w:r>
      <w:r>
        <w:rPr>
          <w:rFonts w:ascii="Arial" w:cs="Arial" w:eastAsia="Arial" w:hAnsi="Arial"/>
          <w:sz w:val="12"/>
          <w:szCs w:val="12"/>
          <w:u w:val="single" w:color="auto"/>
          <w:color w:val="auto"/>
        </w:rPr>
        <w:t>www.cii.org</w:t>
      </w:r>
      <w:r>
        <w:rPr>
          <w:rFonts w:ascii="Arial" w:cs="Arial" w:eastAsia="Arial" w:hAnsi="Arial"/>
          <w:sz w:val="12"/>
          <w:szCs w:val="12"/>
          <w:color w:val="auto"/>
        </w:rPr>
        <w:t xml:space="preserve"> recommends that management adopt shareholder proposals upon receiving their first 50%-plus vote. The Simple Majority Vote topic even won 57%-support from all our shares outstanding.</w:t>
      </w:r>
    </w:p>
    <w:p>
      <w:pPr>
        <w:spacing w:after="0" w:line="24"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This proposal topic also won more than 60% support the following companies in 2009: CVS Caremark (CVS), Sprint Nextel (S), Safeway (SWY), Motorola (MOT) and R. R.</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Donnelley (RRD). William Steiner and Nick Rossi sponsored these proposals.</w:t>
      </w:r>
    </w:p>
    <w:p>
      <w:pPr>
        <w:spacing w:after="0" w:line="92" w:lineRule="exact"/>
        <w:rPr>
          <w:sz w:val="20"/>
          <w:szCs w:val="20"/>
          <w:color w:val="auto"/>
        </w:rPr>
      </w:pPr>
    </w:p>
    <w:p>
      <w:pPr>
        <w:ind w:left="680" w:right="460" w:firstLine="399"/>
        <w:spacing w:after="0" w:line="294" w:lineRule="auto"/>
        <w:rPr>
          <w:sz w:val="20"/>
          <w:szCs w:val="20"/>
          <w:color w:val="auto"/>
        </w:rPr>
      </w:pPr>
      <w:r>
        <w:rPr>
          <w:rFonts w:ascii="Arial" w:cs="Arial" w:eastAsia="Arial" w:hAnsi="Arial"/>
          <w:sz w:val="13"/>
          <w:szCs w:val="13"/>
          <w:color w:val="auto"/>
        </w:rPr>
        <w:t>The merit of this Special Shareowner Meetings proposal should also be considered in the context of the need for improvement in our company’s 2009 reported corporate governance status:</w:t>
      </w:r>
    </w:p>
    <w:p>
      <w:pPr>
        <w:spacing w:after="0" w:line="47" w:lineRule="exact"/>
        <w:rPr>
          <w:sz w:val="20"/>
          <w:szCs w:val="20"/>
          <w:color w:val="auto"/>
        </w:rPr>
      </w:pPr>
    </w:p>
    <w:p>
      <w:pPr>
        <w:ind w:left="680" w:right="200" w:firstLine="399"/>
        <w:spacing w:after="0" w:line="309" w:lineRule="auto"/>
        <w:rPr>
          <w:sz w:val="20"/>
          <w:szCs w:val="20"/>
          <w:color w:val="auto"/>
        </w:rPr>
      </w:pPr>
      <w:r>
        <w:rPr>
          <w:rFonts w:ascii="Arial" w:cs="Arial" w:eastAsia="Arial" w:hAnsi="Arial"/>
          <w:sz w:val="12"/>
          <w:szCs w:val="12"/>
          <w:color w:val="auto"/>
        </w:rPr>
        <w:t>John Pope (our Chairman and on our three most important board committees, audit, nomination and executive pay) was designated as a “Flagged (Problem) Director” by The Corporate Library due to his involvement with the Federal-Mogul (FDML) bankruptcy. Pastora San Juan Cafferty had 15-years director tenure (independence concern) and yet was assigned to two of our most important board committees. John Pope and Patrick Gross each held five board seats — over-extension concern.</w:t>
      </w:r>
    </w:p>
    <w:p>
      <w:pPr>
        <w:spacing w:after="0" w:line="41"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 xml:space="preserve">Our directors served on six boards rated “D” by The Corporate Library </w:t>
      </w:r>
      <w:r>
        <w:rPr>
          <w:rFonts w:ascii="Arial" w:cs="Arial" w:eastAsia="Arial" w:hAnsi="Arial"/>
          <w:sz w:val="12"/>
          <w:szCs w:val="12"/>
          <w:u w:val="single" w:color="auto"/>
          <w:color w:val="auto"/>
        </w:rPr>
        <w:t>www.thecorporatelibrary.com,</w:t>
      </w:r>
      <w:r>
        <w:rPr>
          <w:rFonts w:ascii="Arial" w:cs="Arial" w:eastAsia="Arial" w:hAnsi="Arial"/>
          <w:sz w:val="12"/>
          <w:szCs w:val="12"/>
          <w:color w:val="auto"/>
        </w:rPr>
        <w:t xml:space="preserve"> an independent investment research firm: John Pope, Kraft Foods Inc.</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(KFT); David Steiner, FedEx (FDX) and Tyco Electronics (TEL); Patrick Gross, Capital One Financial (COF) and Taleo (TLEO) and Steven Rothmeier, ArvinMeritor (ARM).</w:t>
      </w:r>
    </w:p>
    <w:p>
      <w:pPr>
        <w:spacing w:after="0" w:line="92" w:lineRule="exact"/>
        <w:rPr>
          <w:sz w:val="20"/>
          <w:szCs w:val="20"/>
          <w:color w:val="auto"/>
        </w:rPr>
      </w:pPr>
    </w:p>
    <w:p>
      <w:pPr>
        <w:jc w:val="both"/>
        <w:ind w:left="680" w:right="20" w:firstLine="399"/>
        <w:spacing w:after="0" w:line="309" w:lineRule="auto"/>
        <w:rPr>
          <w:sz w:val="20"/>
          <w:szCs w:val="20"/>
          <w:color w:val="auto"/>
        </w:rPr>
      </w:pPr>
      <w:r>
        <w:rPr>
          <w:rFonts w:ascii="Arial" w:cs="Arial" w:eastAsia="Arial" w:hAnsi="Arial"/>
          <w:sz w:val="12"/>
          <w:szCs w:val="12"/>
          <w:color w:val="auto"/>
        </w:rPr>
        <w:t>In order to best align our CEO’s interests with shareholders, the minimum stockholding requirement should be 10X base salary according to the Corporate Library. Yet our CEO David Steiner was required to hold only 5X base salary. We had no shareholder right to cumulative voting, a lead director to call a special meeting or vote on executive pay. Shareholder proposals to address all or some of these topics have received majority votes at other companies and would be excellent topics for our next annual meeting.</w:t>
      </w:r>
    </w:p>
    <w:p>
      <w:pPr>
        <w:spacing w:after="0" w:line="41"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above concerns show there is need for improvement. Please encourage our board to respond positively to this proposal: Special Shareowner Meetings — Yes on 5.</w:t>
      </w:r>
    </w:p>
    <w:p>
      <w:pPr>
        <w:spacing w:after="0" w:line="19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Waste Management Response to Stockholder Proposal Relating to the Right of Stockholders to Call Special Stockholder Meetings</w:t>
      </w:r>
    </w:p>
    <w:p>
      <w:pPr>
        <w:spacing w:after="0" w:line="104" w:lineRule="exact"/>
        <w:rPr>
          <w:sz w:val="20"/>
          <w:szCs w:val="20"/>
          <w:color w:val="auto"/>
        </w:rPr>
      </w:pPr>
    </w:p>
    <w:p>
      <w:pPr>
        <w:ind w:left="680" w:firstLine="399"/>
        <w:spacing w:after="0" w:line="265" w:lineRule="auto"/>
        <w:rPr>
          <w:sz w:val="20"/>
          <w:szCs w:val="20"/>
          <w:color w:val="auto"/>
        </w:rPr>
      </w:pPr>
      <w:r>
        <w:rPr>
          <w:rFonts w:ascii="Arial" w:cs="Arial" w:eastAsia="Arial" w:hAnsi="Arial"/>
          <w:sz w:val="13"/>
          <w:szCs w:val="13"/>
          <w:color w:val="auto"/>
        </w:rPr>
        <w:t>Our Board believes that this proposal is contrary to the interests of the Company and its stockholders. Our Bylaws currently provide that a special meeting may be called by a majority of the Board of Directors, the Chairman of the Board or the Chief Executive Officer. The current Bylaw provision is an appropriate corporate governance provision for a public company of our size because it allows the directors and our most senior management to exercise their judgment to determine when it is in the best interests of our stockholders to convene a special meeting. A special meeting should only be called to consider extraordinary events, which cannot wait until the next annual meeting. State law and regulatory provisions require that our Board seek stockholders approval for most significant actions, such as the acceptance of merger proposals, the adoption of new equity incentive plans and amendments to the Company’s Certificate of Incorporation.</w:t>
      </w:r>
    </w:p>
    <w:p>
      <w:pPr>
        <w:spacing w:after="0" w:line="68"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This proposal, if implemented, would permit stockholders holding only 10% of our outstanding Common Stock or groups of small stockholders whose aggregate holdings equal only 10% to call a special meeting at any time and with any frequency. This would be true regardless of how long those stockholders have held our stock. Additionally, the meetings called could cover agenda items in which stockholders generally have little</w:t>
      </w:r>
    </w:p>
    <w:p>
      <w:pPr>
        <w:spacing w:after="0" w:line="27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20"/>
          </w:cols>
          <w:pgMar w:left="220" w:top="349" w:right="105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jc w:val="both"/>
        <w:ind w:left="680"/>
        <w:spacing w:after="0" w:line="276" w:lineRule="auto"/>
        <w:rPr>
          <w:sz w:val="20"/>
          <w:szCs w:val="20"/>
          <w:color w:val="auto"/>
        </w:rPr>
      </w:pPr>
      <w:r>
        <w:rPr>
          <w:rFonts w:ascii="Arial" w:cs="Arial" w:eastAsia="Arial" w:hAnsi="Arial"/>
          <w:sz w:val="13"/>
          <w:szCs w:val="13"/>
          <w:color w:val="auto"/>
        </w:rPr>
        <w:t>or no interest or that are relevant to only very narrow constituencies. Allowing meetings to be called in this manner could be disruptive to the Company’s operations and time-consuming for management. Meetings of stockholders are expensive, and allowing a possibly unlimited number of meetings to be called by a small ownership percentage is not a responsible use of time or financial resources. Our Board believes that adopting such a Bylaw would not be in the best interests of our stockholders.</w:t>
      </w:r>
    </w:p>
    <w:p>
      <w:pPr>
        <w:spacing w:after="0" w:line="59"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Our stockholders have other rights available to them that are effective and far less costly to the Company, such as the ability to act by written consent. We also provide significant opportunity for our stockholders to raise matters at our annual meetings. Stockholders have frequently used our annual meetings to propose business by making proposals through the proxy rules, such as this one, and are able to communicate their concerns during the question and answer session of an annual meeting.</w:t>
      </w:r>
    </w:p>
    <w:p>
      <w:pPr>
        <w:spacing w:after="0" w:line="59" w:lineRule="exact"/>
        <w:rPr>
          <w:sz w:val="20"/>
          <w:szCs w:val="20"/>
          <w:color w:val="auto"/>
        </w:rPr>
      </w:pPr>
    </w:p>
    <w:p>
      <w:pPr>
        <w:ind w:left="680" w:right="60" w:firstLine="399"/>
        <w:spacing w:after="0" w:line="270" w:lineRule="auto"/>
        <w:rPr>
          <w:sz w:val="20"/>
          <w:szCs w:val="20"/>
          <w:color w:val="auto"/>
        </w:rPr>
      </w:pPr>
      <w:r>
        <w:rPr>
          <w:rFonts w:ascii="Arial" w:cs="Arial" w:eastAsia="Arial" w:hAnsi="Arial"/>
          <w:sz w:val="13"/>
          <w:szCs w:val="13"/>
          <w:color w:val="auto"/>
        </w:rPr>
        <w:t>Our Board is strongly committed to good governance practices and is keenly interested in the views and concerns of our stockholders. We do not have a classified Board, which means each of our directors is elected annually. Further, our directors are elected by a majority of votes cast at each meeting. Additionally, as described in this Proxy Statement, our Board is currently seeking stockholder approval for amendments to our governing documents that will reduce any supermajority stockholder voting provision to require the vote of only a majority of the outstanding shares.</w:t>
      </w:r>
    </w:p>
    <w:p>
      <w:pPr>
        <w:spacing w:after="0" w:line="63" w:lineRule="exact"/>
        <w:rPr>
          <w:sz w:val="20"/>
          <w:szCs w:val="20"/>
          <w:color w:val="auto"/>
        </w:rPr>
      </w:pPr>
    </w:p>
    <w:p>
      <w:pPr>
        <w:jc w:val="both"/>
        <w:ind w:left="680" w:right="20" w:firstLine="399"/>
        <w:spacing w:after="0" w:line="276" w:lineRule="auto"/>
        <w:rPr>
          <w:sz w:val="20"/>
          <w:szCs w:val="20"/>
          <w:color w:val="auto"/>
        </w:rPr>
      </w:pPr>
      <w:r>
        <w:rPr>
          <w:rFonts w:ascii="Arial" w:cs="Arial" w:eastAsia="Arial" w:hAnsi="Arial"/>
          <w:sz w:val="13"/>
          <w:szCs w:val="13"/>
          <w:color w:val="auto"/>
        </w:rPr>
        <w:t>This proposal should be evaluated in the context of these practices, as well as our overall governance practices. Our Board has a wide range and depth of experience that benefits our stockholders. RiskMetrics Group has ranked our corporate governance practices in the 97</w:t>
      </w:r>
      <w:r>
        <w:rPr>
          <w:rFonts w:ascii="Arial" w:cs="Arial" w:eastAsia="Arial" w:hAnsi="Arial"/>
          <w:sz w:val="11"/>
          <w:szCs w:val="11"/>
          <w:color w:val="auto"/>
        </w:rPr>
        <w:t>th</w:t>
      </w:r>
      <w:r>
        <w:rPr>
          <w:rFonts w:ascii="Arial" w:cs="Arial" w:eastAsia="Arial" w:hAnsi="Arial"/>
          <w:sz w:val="13"/>
          <w:szCs w:val="13"/>
          <w:color w:val="auto"/>
        </w:rPr>
        <w:t xml:space="preserve"> percentile for our industry group. The Corporate Library has assigned our Board a “Low” Corporate Governance Risk Assessment, indicating that our Company’s governance practices are not a cause for concern.</w:t>
      </w:r>
    </w:p>
    <w:p>
      <w:pPr>
        <w:spacing w:after="0" w:line="59" w:lineRule="exact"/>
        <w:rPr>
          <w:sz w:val="20"/>
          <w:szCs w:val="20"/>
          <w:color w:val="auto"/>
        </w:rPr>
      </w:pPr>
    </w:p>
    <w:p>
      <w:pPr>
        <w:ind w:left="680" w:right="420" w:firstLine="399"/>
        <w:spacing w:after="0" w:line="294" w:lineRule="auto"/>
        <w:rPr>
          <w:sz w:val="20"/>
          <w:szCs w:val="20"/>
          <w:color w:val="auto"/>
        </w:rPr>
      </w:pPr>
      <w:r>
        <w:rPr>
          <w:rFonts w:ascii="Arial" w:cs="Arial" w:eastAsia="Arial" w:hAnsi="Arial"/>
          <w:sz w:val="13"/>
          <w:szCs w:val="13"/>
          <w:color w:val="auto"/>
        </w:rPr>
        <w:t>In light of our Board’s continuing commitment to ensuring effective corporate governance, and the other reasons outlined in this response, our Board does not believe that adoption of the proposal is necessary.</w:t>
      </w:r>
    </w:p>
    <w:p>
      <w:pPr>
        <w:spacing w:after="0" w:line="45"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auto"/>
        </w:rPr>
        <w:t>THE BOARD OF DIRECTORS RECOMMENDS THAT YOU VOTE AGAINST THE ADOPTION OF THIS PROPOSAL.</w:t>
      </w:r>
    </w:p>
    <w:p>
      <w:pPr>
        <w:spacing w:after="0" w:line="26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OTHER MATTERS</w:t>
      </w:r>
    </w:p>
    <w:p>
      <w:pPr>
        <w:spacing w:after="0" w:line="104" w:lineRule="exact"/>
        <w:rPr>
          <w:sz w:val="20"/>
          <w:szCs w:val="20"/>
          <w:color w:val="auto"/>
        </w:rPr>
      </w:pPr>
    </w:p>
    <w:p>
      <w:pPr>
        <w:ind w:left="680" w:right="20" w:firstLine="399"/>
        <w:spacing w:after="0" w:line="294" w:lineRule="auto"/>
        <w:rPr>
          <w:sz w:val="20"/>
          <w:szCs w:val="20"/>
          <w:color w:val="auto"/>
        </w:rPr>
      </w:pPr>
      <w:r>
        <w:rPr>
          <w:rFonts w:ascii="Arial" w:cs="Arial" w:eastAsia="Arial" w:hAnsi="Arial"/>
          <w:sz w:val="13"/>
          <w:szCs w:val="13"/>
          <w:color w:val="auto"/>
        </w:rPr>
        <w:t>We do not intend to bring any other matters before the Annual Meeting, nor do we have any present knowledge that any other matters will be presented by others for action at the meeting. If any other matters are properly presented, your proxy card authorizes the people named as proxies to vote as they think best.</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w:t>
      </w:r>
      <w:r>
        <w:rPr>
          <w:rFonts w:ascii="Arial" w:cs="Arial" w:eastAsia="Arial" w:hAnsi="Arial"/>
          <w:sz w:val="9"/>
          <w:szCs w:val="9"/>
          <w:b w:val="1"/>
          <w:bCs w:val="1"/>
          <w:color w:val="auto"/>
        </w:rPr>
        <w:t>PPENDIX</w:t>
      </w:r>
      <w:r>
        <w:rPr>
          <w:rFonts w:ascii="Arial" w:cs="Arial" w:eastAsia="Arial" w:hAnsi="Arial"/>
          <w:sz w:val="13"/>
          <w:szCs w:val="13"/>
          <w:b w:val="1"/>
          <w:bCs w:val="1"/>
          <w:color w:val="auto"/>
        </w:rPr>
        <w:t xml:space="preserve"> A</w:t>
      </w:r>
    </w:p>
    <w:p>
      <w:pPr>
        <w:spacing w:after="0" w:line="10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strike w:val="1"/>
        </w:rPr>
        <w:t>SECOND</w:t>
      </w:r>
      <w:r>
        <w:rPr>
          <w:rFonts w:ascii="Arial" w:cs="Arial" w:eastAsia="Arial" w:hAnsi="Arial"/>
          <w:sz w:val="13"/>
          <w:szCs w:val="13"/>
          <w:b w:val="1"/>
          <w:bCs w:val="1"/>
          <w:u w:val="single" w:color="auto"/>
          <w:color w:val="auto"/>
        </w:rPr>
        <w:t>THIRD</w:t>
      </w:r>
      <w:r>
        <w:rPr>
          <w:rFonts w:ascii="Arial" w:cs="Arial" w:eastAsia="Arial" w:hAnsi="Arial"/>
          <w:sz w:val="13"/>
          <w:szCs w:val="13"/>
          <w:b w:val="1"/>
          <w:bCs w:val="1"/>
          <w:color w:val="auto"/>
        </w:rPr>
        <w:t xml:space="preserve"> RESTATED CERTIFICATE OF INCORPORATION</w:t>
      </w:r>
    </w:p>
    <w:p>
      <w:pPr>
        <w:spacing w:after="0" w:line="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OF</w:t>
      </w:r>
    </w:p>
    <w:p>
      <w:pPr>
        <w:spacing w:after="0" w:line="1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Waste Management, Inc., a corporation organized and existing under the laws of the State of Delaware (the “Corporation”), hereby certifies as follows:</w:t>
      </w:r>
    </w:p>
    <w:p>
      <w:pPr>
        <w:spacing w:after="0" w:line="102" w:lineRule="exact"/>
        <w:rPr>
          <w:sz w:val="20"/>
          <w:szCs w:val="20"/>
          <w:color w:val="auto"/>
        </w:rPr>
      </w:pPr>
    </w:p>
    <w:p>
      <w:pPr>
        <w:ind w:left="1080" w:right="80" w:firstLine="390"/>
        <w:spacing w:after="0" w:line="294" w:lineRule="auto"/>
        <w:tabs>
          <w:tab w:leader="none" w:pos="1595" w:val="left"/>
        </w:tabs>
        <w:numPr>
          <w:ilvl w:val="0"/>
          <w:numId w:val="40"/>
        </w:numPr>
        <w:rPr>
          <w:rFonts w:ascii="Arial" w:cs="Arial" w:eastAsia="Arial" w:hAnsi="Arial"/>
          <w:sz w:val="13"/>
          <w:szCs w:val="13"/>
          <w:color w:val="auto"/>
        </w:rPr>
      </w:pPr>
      <w:r>
        <w:rPr>
          <w:rFonts w:ascii="Arial" w:cs="Arial" w:eastAsia="Arial" w:hAnsi="Arial"/>
          <w:sz w:val="13"/>
          <w:szCs w:val="13"/>
          <w:color w:val="auto"/>
        </w:rPr>
        <w:t xml:space="preserve">The name of the Corporation is Waste Management, Inc., and the name under which the Corporation was originally incorporated is USA Waste Services, Inc. The date of filing of its original Certificate of Incorporation with the Secretary of State </w:t>
      </w:r>
      <w:r>
        <w:rPr>
          <w:rFonts w:ascii="Arial" w:cs="Arial" w:eastAsia="Arial" w:hAnsi="Arial"/>
          <w:sz w:val="13"/>
          <w:szCs w:val="13"/>
          <w:u w:val="single" w:color="auto"/>
          <w:color w:val="auto"/>
        </w:rPr>
        <w:t>of the State of Delaware</w:t>
      </w:r>
      <w:r>
        <w:rPr>
          <w:rFonts w:ascii="Arial" w:cs="Arial" w:eastAsia="Arial" w:hAnsi="Arial"/>
          <w:sz w:val="13"/>
          <w:szCs w:val="13"/>
          <w:color w:val="auto"/>
        </w:rPr>
        <w:t xml:space="preserve"> was April 28, 1995.</w:t>
      </w:r>
    </w:p>
    <w:p>
      <w:pPr>
        <w:spacing w:after="0" w:line="46" w:lineRule="exact"/>
        <w:rPr>
          <w:rFonts w:ascii="Arial" w:cs="Arial" w:eastAsia="Arial" w:hAnsi="Arial"/>
          <w:sz w:val="13"/>
          <w:szCs w:val="13"/>
          <w:color w:val="auto"/>
        </w:rPr>
      </w:pPr>
    </w:p>
    <w:p>
      <w:pPr>
        <w:ind w:left="1080" w:right="240" w:firstLine="390"/>
        <w:spacing w:after="0" w:line="294" w:lineRule="auto"/>
        <w:tabs>
          <w:tab w:leader="none" w:pos="1595" w:val="left"/>
        </w:tabs>
        <w:numPr>
          <w:ilvl w:val="0"/>
          <w:numId w:val="40"/>
        </w:numPr>
        <w:rPr>
          <w:rFonts w:ascii="Arial" w:cs="Arial" w:eastAsia="Arial" w:hAnsi="Arial"/>
          <w:sz w:val="13"/>
          <w:szCs w:val="13"/>
          <w:color w:val="auto"/>
        </w:rPr>
      </w:pPr>
      <w:r>
        <w:rPr>
          <w:rFonts w:ascii="Arial" w:cs="Arial" w:eastAsia="Arial" w:hAnsi="Arial"/>
          <w:sz w:val="13"/>
          <w:szCs w:val="13"/>
          <w:color w:val="auto"/>
        </w:rPr>
        <w:t xml:space="preserve">This </w:t>
      </w:r>
      <w:r>
        <w:rPr>
          <w:rFonts w:ascii="Arial" w:cs="Arial" w:eastAsia="Arial" w:hAnsi="Arial"/>
          <w:sz w:val="13"/>
          <w:szCs w:val="13"/>
          <w:color w:val="auto"/>
          <w:strike w:val="1"/>
        </w:rPr>
        <w:t>Second</w:t>
      </w:r>
      <w:r>
        <w:rPr>
          <w:rFonts w:ascii="Arial" w:cs="Arial" w:eastAsia="Arial" w:hAnsi="Arial"/>
          <w:sz w:val="13"/>
          <w:szCs w:val="13"/>
          <w:u w:val="single" w:color="auto"/>
          <w:color w:val="auto"/>
        </w:rPr>
        <w:t>Third</w:t>
      </w:r>
      <w:r>
        <w:rPr>
          <w:rFonts w:ascii="Arial" w:cs="Arial" w:eastAsia="Arial" w:hAnsi="Arial"/>
          <w:sz w:val="13"/>
          <w:szCs w:val="13"/>
          <w:color w:val="auto"/>
        </w:rPr>
        <w:t xml:space="preserve"> Restated Certificate of Incorporation </w:t>
      </w:r>
      <w:r>
        <w:rPr>
          <w:rFonts w:ascii="Arial" w:cs="Arial" w:eastAsia="Arial" w:hAnsi="Arial"/>
          <w:sz w:val="13"/>
          <w:szCs w:val="13"/>
          <w:u w:val="single" w:color="auto"/>
          <w:color w:val="auto"/>
        </w:rPr>
        <w:t>(the “Restated Certificate of Incorporation”)</w:t>
      </w:r>
      <w:r>
        <w:rPr>
          <w:rFonts w:ascii="Arial" w:cs="Arial" w:eastAsia="Arial" w:hAnsi="Arial"/>
          <w:sz w:val="13"/>
          <w:szCs w:val="13"/>
          <w:color w:val="auto"/>
        </w:rPr>
        <w:t xml:space="preserve"> restates and integrates and further amends the </w:t>
      </w:r>
      <w:r>
        <w:rPr>
          <w:rFonts w:ascii="Arial" w:cs="Arial" w:eastAsia="Arial" w:hAnsi="Arial"/>
          <w:sz w:val="13"/>
          <w:szCs w:val="13"/>
          <w:u w:val="single" w:color="auto"/>
          <w:color w:val="auto"/>
        </w:rPr>
        <w:t>Second</w:t>
      </w:r>
      <w:r>
        <w:rPr>
          <w:rFonts w:ascii="Arial" w:cs="Arial" w:eastAsia="Arial" w:hAnsi="Arial"/>
          <w:sz w:val="13"/>
          <w:szCs w:val="13"/>
          <w:color w:val="auto"/>
        </w:rPr>
        <w:t xml:space="preserve"> Restated Certificate of Incorporation of this Corporation </w:t>
      </w:r>
      <w:r>
        <w:rPr>
          <w:rFonts w:ascii="Arial" w:cs="Arial" w:eastAsia="Arial" w:hAnsi="Arial"/>
          <w:sz w:val="13"/>
          <w:szCs w:val="13"/>
          <w:color w:val="auto"/>
          <w:strike w:val="1"/>
        </w:rPr>
        <w:t>by amending Article Ninth to provide for the election of directors annually</w:t>
      </w:r>
      <w:r>
        <w:rPr>
          <w:rFonts w:ascii="Arial" w:cs="Arial" w:eastAsia="Arial" w:hAnsi="Arial"/>
          <w:sz w:val="13"/>
          <w:szCs w:val="13"/>
          <w:color w:val="auto"/>
        </w:rPr>
        <w:t>.</w:t>
      </w:r>
    </w:p>
    <w:p>
      <w:pPr>
        <w:spacing w:after="0" w:line="46" w:lineRule="exact"/>
        <w:rPr>
          <w:rFonts w:ascii="Arial" w:cs="Arial" w:eastAsia="Arial" w:hAnsi="Arial"/>
          <w:sz w:val="13"/>
          <w:szCs w:val="13"/>
          <w:color w:val="auto"/>
        </w:rPr>
      </w:pPr>
    </w:p>
    <w:p>
      <w:pPr>
        <w:ind w:left="1600" w:hanging="130"/>
        <w:spacing w:after="0"/>
        <w:tabs>
          <w:tab w:leader="none" w:pos="1600" w:val="left"/>
        </w:tabs>
        <w:numPr>
          <w:ilvl w:val="0"/>
          <w:numId w:val="40"/>
        </w:numPr>
        <w:rPr>
          <w:rFonts w:ascii="Arial" w:cs="Arial" w:eastAsia="Arial" w:hAnsi="Arial"/>
          <w:sz w:val="12"/>
          <w:szCs w:val="12"/>
          <w:color w:val="auto"/>
        </w:rPr>
      </w:pPr>
      <w:r>
        <w:rPr>
          <w:rFonts w:ascii="Arial" w:cs="Arial" w:eastAsia="Arial" w:hAnsi="Arial"/>
          <w:sz w:val="12"/>
          <w:szCs w:val="12"/>
          <w:color w:val="auto"/>
        </w:rPr>
        <w:t xml:space="preserve">The text of the </w:t>
      </w:r>
      <w:r>
        <w:rPr>
          <w:rFonts w:ascii="Arial" w:cs="Arial" w:eastAsia="Arial" w:hAnsi="Arial"/>
          <w:sz w:val="12"/>
          <w:szCs w:val="12"/>
          <w:u w:val="single" w:color="auto"/>
          <w:color w:val="auto"/>
        </w:rPr>
        <w:t>Second</w:t>
      </w:r>
      <w:r>
        <w:rPr>
          <w:rFonts w:ascii="Arial" w:cs="Arial" w:eastAsia="Arial" w:hAnsi="Arial"/>
          <w:sz w:val="12"/>
          <w:szCs w:val="12"/>
          <w:color w:val="auto"/>
        </w:rPr>
        <w:t xml:space="preserve"> Restated Certificate of Incorporation as amended or supplemented heretofore is further amended hereby to read as herein set forth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3353435</wp:posOffset>
            </wp:positionH>
            <wp:positionV relativeFrom="paragraph">
              <wp:posOffset>-393700</wp:posOffset>
            </wp:positionV>
            <wp:extent cx="831850"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31850" cy="6350"/>
                    </a:xfrm>
                    <a:prstGeom prst="rect">
                      <a:avLst/>
                    </a:prstGeom>
                    <a:noFill/>
                  </pic:spPr>
                </pic:pic>
              </a:graphicData>
            </a:graphic>
          </wp:anchor>
        </w:drawing>
        <w:drawing>
          <wp:anchor simplePos="0" relativeHeight="251657728" behindDoc="1" locked="0" layoutInCell="0" allowOverlap="1">
            <wp:simplePos x="0" y="0"/>
            <wp:positionH relativeFrom="column">
              <wp:posOffset>1440180</wp:posOffset>
            </wp:positionH>
            <wp:positionV relativeFrom="paragraph">
              <wp:posOffset>-233680</wp:posOffset>
            </wp:positionV>
            <wp:extent cx="191770"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91770" cy="6350"/>
                    </a:xfrm>
                    <a:prstGeom prst="rect">
                      <a:avLst/>
                    </a:prstGeom>
                    <a:noFill/>
                  </pic:spPr>
                </pic:pic>
              </a:graphicData>
            </a:graphic>
          </wp:anchor>
        </w:drawing>
        <w:drawing>
          <wp:anchor simplePos="0" relativeHeight="251657728" behindDoc="1" locked="0" layoutInCell="0" allowOverlap="1">
            <wp:simplePos x="0" y="0"/>
            <wp:positionH relativeFrom="column">
              <wp:posOffset>2924175</wp:posOffset>
            </wp:positionH>
            <wp:positionV relativeFrom="paragraph">
              <wp:posOffset>-233680</wp:posOffset>
            </wp:positionV>
            <wp:extent cx="1510030"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510030" cy="6350"/>
                    </a:xfrm>
                    <a:prstGeom prst="rect">
                      <a:avLst/>
                    </a:prstGeom>
                    <a:noFill/>
                  </pic:spPr>
                </pic:pic>
              </a:graphicData>
            </a:graphic>
          </wp:anchor>
        </w:drawing>
        <w:drawing>
          <wp:anchor simplePos="0" relativeHeight="251657728" behindDoc="1" locked="0" layoutInCell="0" allowOverlap="1">
            <wp:simplePos x="0" y="0"/>
            <wp:positionH relativeFrom="column">
              <wp:posOffset>6040755</wp:posOffset>
            </wp:positionH>
            <wp:positionV relativeFrom="paragraph">
              <wp:posOffset>-233680</wp:posOffset>
            </wp:positionV>
            <wp:extent cx="249555"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49555" cy="6350"/>
                    </a:xfrm>
                    <a:prstGeom prst="rect">
                      <a:avLst/>
                    </a:prstGeom>
                    <a:noFill/>
                  </pic:spPr>
                </pic:pic>
              </a:graphicData>
            </a:graphic>
          </wp:anchor>
        </w:drawing>
        <w:drawing>
          <wp:anchor simplePos="0" relativeHeight="251657728" behindDoc="1" locked="0" layoutInCell="0" allowOverlap="1">
            <wp:simplePos x="0" y="0"/>
            <wp:positionH relativeFrom="column">
              <wp:posOffset>1536065</wp:posOffset>
            </wp:positionH>
            <wp:positionV relativeFrom="paragraph">
              <wp:posOffset>27940</wp:posOffset>
            </wp:positionV>
            <wp:extent cx="255905"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55905" cy="6350"/>
                    </a:xfrm>
                    <a:prstGeom prst="rect">
                      <a:avLst/>
                    </a:prstGeom>
                    <a:noFill/>
                  </pic:spPr>
                </pic:pic>
              </a:graphicData>
            </a:graphic>
          </wp:anchor>
        </w:drawing>
      </w:r>
    </w:p>
    <w:p>
      <w:pPr>
        <w:spacing w:after="0" w:line="94" w:lineRule="exact"/>
        <w:rPr>
          <w:sz w:val="20"/>
          <w:szCs w:val="20"/>
          <w:color w:val="auto"/>
        </w:rPr>
      </w:pPr>
    </w:p>
    <w:p>
      <w:pPr>
        <w:ind w:left="1080"/>
        <w:spacing w:after="0"/>
        <w:rPr>
          <w:sz w:val="20"/>
          <w:szCs w:val="20"/>
          <w:color w:val="auto"/>
        </w:rPr>
      </w:pPr>
      <w:r>
        <w:rPr>
          <w:rFonts w:ascii="Arial" w:cs="Arial" w:eastAsia="Arial" w:hAnsi="Arial"/>
          <w:sz w:val="13"/>
          <w:szCs w:val="13"/>
          <w:i w:val="1"/>
          <w:iCs w:val="1"/>
          <w:u w:val="single" w:color="auto"/>
          <w:color w:val="auto"/>
        </w:rPr>
        <w:t>First:</w:t>
      </w:r>
      <w:r>
        <w:rPr>
          <w:rFonts w:ascii="Arial" w:cs="Arial" w:eastAsia="Arial" w:hAnsi="Arial"/>
          <w:sz w:val="13"/>
          <w:szCs w:val="13"/>
          <w:i w:val="1"/>
          <w:iCs w:val="1"/>
          <w:color w:val="auto"/>
        </w:rPr>
        <w:t xml:space="preserve"> </w:t>
      </w:r>
      <w:r>
        <w:rPr>
          <w:rFonts w:ascii="Arial" w:cs="Arial" w:eastAsia="Arial" w:hAnsi="Arial"/>
          <w:sz w:val="13"/>
          <w:szCs w:val="13"/>
          <w:color w:val="auto"/>
        </w:rPr>
        <w:t>The name of the Corporation is “Waste Management, Inc.”</w:t>
      </w:r>
    </w:p>
    <w:p>
      <w:pPr>
        <w:spacing w:after="0" w:line="102" w:lineRule="exact"/>
        <w:rPr>
          <w:sz w:val="20"/>
          <w:szCs w:val="20"/>
          <w:color w:val="auto"/>
        </w:rPr>
      </w:pPr>
    </w:p>
    <w:p>
      <w:pPr>
        <w:ind w:left="680" w:right="100" w:firstLine="399"/>
        <w:spacing w:after="0" w:line="338" w:lineRule="auto"/>
        <w:rPr>
          <w:sz w:val="20"/>
          <w:szCs w:val="20"/>
          <w:color w:val="auto"/>
        </w:rPr>
      </w:pPr>
      <w:r>
        <w:rPr>
          <w:rFonts w:ascii="Arial" w:cs="Arial" w:eastAsia="Arial" w:hAnsi="Arial"/>
          <w:sz w:val="12"/>
          <w:szCs w:val="12"/>
          <w:i w:val="1"/>
          <w:iCs w:val="1"/>
          <w:u w:val="single" w:color="auto"/>
          <w:color w:val="auto"/>
        </w:rPr>
        <w:t>Second:</w:t>
      </w:r>
      <w:r>
        <w:rPr>
          <w:rFonts w:ascii="Arial" w:cs="Arial" w:eastAsia="Arial" w:hAnsi="Arial"/>
          <w:sz w:val="12"/>
          <w:szCs w:val="12"/>
          <w:i w:val="1"/>
          <w:iCs w:val="1"/>
          <w:color w:val="auto"/>
        </w:rPr>
        <w:t xml:space="preserve"> </w:t>
      </w:r>
      <w:r>
        <w:rPr>
          <w:rFonts w:ascii="Arial" w:cs="Arial" w:eastAsia="Arial" w:hAnsi="Arial"/>
          <w:sz w:val="12"/>
          <w:szCs w:val="12"/>
          <w:color w:val="auto"/>
        </w:rPr>
        <w:t>The registered office of the Corporation in the State of Delaware is located at Corporation Trust Center, 1209 Orange Street in the City of Wilmington, County of New</w:t>
      </w:r>
      <w:r>
        <w:rPr>
          <w:rFonts w:ascii="Arial" w:cs="Arial" w:eastAsia="Arial" w:hAnsi="Arial"/>
          <w:sz w:val="12"/>
          <w:szCs w:val="12"/>
          <w:i w:val="1"/>
          <w:iCs w:val="1"/>
          <w:color w:val="auto"/>
        </w:rPr>
        <w:t xml:space="preserve"> </w:t>
      </w:r>
      <w:r>
        <w:rPr>
          <w:rFonts w:ascii="Arial" w:cs="Arial" w:eastAsia="Arial" w:hAnsi="Arial"/>
          <w:sz w:val="12"/>
          <w:szCs w:val="12"/>
          <w:color w:val="auto"/>
        </w:rPr>
        <w:t>Castle. The name and address of its registered agent is The Corporation Trust Company, Corporation Trust Center, 1209 Orange Street, Wilmington, Delaware 19801.</w:t>
      </w:r>
    </w:p>
    <w:p>
      <w:pPr>
        <w:spacing w:after="0" w:line="24" w:lineRule="exact"/>
        <w:rPr>
          <w:sz w:val="20"/>
          <w:szCs w:val="20"/>
          <w:color w:val="auto"/>
        </w:rPr>
      </w:pPr>
    </w:p>
    <w:p>
      <w:pPr>
        <w:ind w:left="1080"/>
        <w:spacing w:after="0"/>
        <w:rPr>
          <w:sz w:val="20"/>
          <w:szCs w:val="20"/>
          <w:color w:val="auto"/>
        </w:rPr>
      </w:pPr>
      <w:r>
        <w:rPr>
          <w:rFonts w:ascii="Arial" w:cs="Arial" w:eastAsia="Arial" w:hAnsi="Arial"/>
          <w:sz w:val="13"/>
          <w:szCs w:val="13"/>
          <w:i w:val="1"/>
          <w:iCs w:val="1"/>
          <w:u w:val="single" w:color="auto"/>
          <w:color w:val="auto"/>
        </w:rPr>
        <w:t>Third:</w:t>
      </w:r>
      <w:r>
        <w:rPr>
          <w:rFonts w:ascii="Arial" w:cs="Arial" w:eastAsia="Arial" w:hAnsi="Arial"/>
          <w:sz w:val="13"/>
          <w:szCs w:val="13"/>
          <w:i w:val="1"/>
          <w:iCs w:val="1"/>
          <w:color w:val="auto"/>
        </w:rPr>
        <w:t xml:space="preserve"> </w:t>
      </w:r>
      <w:r>
        <w:rPr>
          <w:rFonts w:ascii="Arial" w:cs="Arial" w:eastAsia="Arial" w:hAnsi="Arial"/>
          <w:sz w:val="13"/>
          <w:szCs w:val="13"/>
          <w:color w:val="auto"/>
        </w:rPr>
        <w:t>The nature of the business, objects and purposes to be transacted, promoted or carried on by the Corporation is: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To engage in any lawful activity for which corporations may be organized under the General Corporation Law of Delaware.</w:t>
      </w:r>
    </w:p>
    <w:p>
      <w:pPr>
        <w:spacing w:after="0" w:line="102"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i w:val="1"/>
          <w:iCs w:val="1"/>
          <w:u w:val="single" w:color="auto"/>
          <w:color w:val="auto"/>
        </w:rPr>
        <w:t>Fourth:</w:t>
      </w:r>
      <w:r>
        <w:rPr>
          <w:rFonts w:ascii="Arial" w:cs="Arial" w:eastAsia="Arial" w:hAnsi="Arial"/>
          <w:sz w:val="13"/>
          <w:szCs w:val="13"/>
          <w:i w:val="1"/>
          <w:iCs w:val="1"/>
          <w:color w:val="auto"/>
        </w:rPr>
        <w:t xml:space="preserve"> </w:t>
      </w:r>
      <w:r>
        <w:rPr>
          <w:rFonts w:ascii="Arial" w:cs="Arial" w:eastAsia="Arial" w:hAnsi="Arial"/>
          <w:sz w:val="13"/>
          <w:szCs w:val="13"/>
          <w:color w:val="auto"/>
        </w:rPr>
        <w:t>The total number of shares of capital stock which the Corporation shall have authority to issue is one billion, five hundred and ten million (1,510,000,000), divided into</w:t>
      </w:r>
      <w:r>
        <w:rPr>
          <w:rFonts w:ascii="Arial" w:cs="Arial" w:eastAsia="Arial" w:hAnsi="Arial"/>
          <w:sz w:val="13"/>
          <w:szCs w:val="13"/>
          <w:i w:val="1"/>
          <w:iCs w:val="1"/>
          <w:color w:val="auto"/>
        </w:rPr>
        <w:t xml:space="preserve"> </w:t>
      </w:r>
      <w:r>
        <w:rPr>
          <w:rFonts w:ascii="Arial" w:cs="Arial" w:eastAsia="Arial" w:hAnsi="Arial"/>
          <w:sz w:val="13"/>
          <w:szCs w:val="13"/>
          <w:color w:val="auto"/>
        </w:rPr>
        <w:t>one billion five hundred million (1,500,000,000) shares of Common Stock of the par value of one cent ($0.01) per share and ten million (10,000,000) shares of Preferred Stock of the par value of one cent ($0.01) per share.</w:t>
      </w:r>
    </w:p>
    <w:p>
      <w:pPr>
        <w:spacing w:after="0" w:line="59" w:lineRule="exact"/>
        <w:rPr>
          <w:sz w:val="20"/>
          <w:szCs w:val="20"/>
          <w:color w:val="auto"/>
        </w:rPr>
      </w:pPr>
    </w:p>
    <w:p>
      <w:pPr>
        <w:ind w:left="1080" w:firstLine="383"/>
        <w:spacing w:after="0" w:line="265" w:lineRule="auto"/>
        <w:rPr>
          <w:sz w:val="20"/>
          <w:szCs w:val="20"/>
          <w:color w:val="auto"/>
        </w:rPr>
      </w:pPr>
      <w:r>
        <w:rPr>
          <w:rFonts w:ascii="Arial" w:cs="Arial" w:eastAsia="Arial" w:hAnsi="Arial"/>
          <w:sz w:val="13"/>
          <w:szCs w:val="13"/>
          <w:color w:val="auto"/>
        </w:rPr>
        <w:t>A. No holder of Common Stock or Preferred Stock of the Corporation shall have any pre-emptive, preferential, or other right to purchase or subscribe for any shares of the unissued stock of the Corporation or of any stock of the Corporation to be issued by reason of any increase of the authorized capital stock of the Corporation or of the number of its shares, or of any warrants, options, or bonds, certificates of indebtedness, debentures, or other securities convertible into or carrying options or warrants to purchase stock of the Corporation or of any stock of the Corporation purchased by it or its nominee or nominees or other securities held in the treasury of the Corporation, whether issued or sold for cash or other consideration or as a dividend or otherwise other than, with respect to Preferred Stock, such rights, if any, as the Board of Directors in its discretion from time to time may grant and at such price as the Board of Directors in its discretion may fix.</w:t>
      </w:r>
    </w:p>
    <w:p>
      <w:pPr>
        <w:spacing w:after="0" w:line="68" w:lineRule="exact"/>
        <w:rPr>
          <w:sz w:val="20"/>
          <w:szCs w:val="20"/>
          <w:color w:val="auto"/>
        </w:rPr>
      </w:pPr>
    </w:p>
    <w:p>
      <w:pPr>
        <w:ind w:left="1080" w:right="400" w:firstLine="383"/>
        <w:spacing w:after="0" w:line="338" w:lineRule="auto"/>
        <w:rPr>
          <w:sz w:val="20"/>
          <w:szCs w:val="20"/>
          <w:color w:val="auto"/>
        </w:rPr>
      </w:pPr>
      <w:r>
        <w:rPr>
          <w:rFonts w:ascii="Arial" w:cs="Arial" w:eastAsia="Arial" w:hAnsi="Arial"/>
          <w:sz w:val="12"/>
          <w:szCs w:val="12"/>
          <w:color w:val="auto"/>
        </w:rPr>
        <w:t>B. The holders of Common Stock shall have the right to one vote per share on all questions to the exclusion of all other classes of stock, except as by law expressly provided, as otherwise herein expressly provided or as contained within a certificate of designation, with respect to the holders of any other class or classes of stock.</w:t>
      </w:r>
    </w:p>
    <w:p>
      <w:pPr>
        <w:spacing w:after="0" w:line="24" w:lineRule="exact"/>
        <w:rPr>
          <w:sz w:val="20"/>
          <w:szCs w:val="20"/>
          <w:color w:val="auto"/>
        </w:rPr>
      </w:pPr>
    </w:p>
    <w:p>
      <w:pPr>
        <w:jc w:val="both"/>
        <w:ind w:left="1080" w:right="180" w:firstLine="383"/>
        <w:spacing w:after="0" w:line="276" w:lineRule="auto"/>
        <w:rPr>
          <w:sz w:val="20"/>
          <w:szCs w:val="20"/>
          <w:color w:val="auto"/>
        </w:rPr>
      </w:pPr>
      <w:r>
        <w:rPr>
          <w:rFonts w:ascii="Arial" w:cs="Arial" w:eastAsia="Arial" w:hAnsi="Arial"/>
          <w:sz w:val="13"/>
          <w:szCs w:val="13"/>
          <w:color w:val="auto"/>
        </w:rPr>
        <w:t>C. The Board of Directors is authorized, subject to limitations prescribed by law, by resolution or resolutions to provide for the issuance of shares of Preferred Stock in series, and by filing a certificate pursuant to the applicable law of the State of Delaware, to establish from time to time the number of shares to be included in each such series, and to fix the designation, powers, preferences, and rights of</w:t>
      </w:r>
    </w:p>
    <w:p>
      <w:pPr>
        <w:spacing w:after="0" w:line="270"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1080" w:right="120"/>
        <w:spacing w:after="0" w:line="294" w:lineRule="auto"/>
        <w:rPr>
          <w:sz w:val="20"/>
          <w:szCs w:val="20"/>
          <w:color w:val="auto"/>
        </w:rPr>
      </w:pPr>
      <w:r>
        <w:rPr>
          <w:rFonts w:ascii="Arial" w:cs="Arial" w:eastAsia="Arial" w:hAnsi="Arial"/>
          <w:sz w:val="13"/>
          <w:szCs w:val="13"/>
          <w:color w:val="auto"/>
        </w:rPr>
        <w:t>the shares of each such series and the qualifications, limitations or restrictions thereof. The authority of the Board with respect to each series shall include, but not be limited to, determination of the following:</w:t>
      </w:r>
    </w:p>
    <w:p>
      <w:pPr>
        <w:spacing w:after="0" w:line="47" w:lineRule="exact"/>
        <w:rPr>
          <w:sz w:val="20"/>
          <w:szCs w:val="20"/>
          <w:color w:val="auto"/>
        </w:rPr>
      </w:pPr>
    </w:p>
    <w:p>
      <w:pPr>
        <w:ind w:left="2040" w:hanging="186"/>
        <w:spacing w:after="0"/>
        <w:tabs>
          <w:tab w:leader="none" w:pos="2040" w:val="left"/>
        </w:tabs>
        <w:numPr>
          <w:ilvl w:val="1"/>
          <w:numId w:val="41"/>
        </w:numPr>
        <w:rPr>
          <w:rFonts w:ascii="Arial" w:cs="Arial" w:eastAsia="Arial" w:hAnsi="Arial"/>
          <w:sz w:val="13"/>
          <w:szCs w:val="13"/>
          <w:color w:val="auto"/>
        </w:rPr>
      </w:pPr>
      <w:r>
        <w:rPr>
          <w:rFonts w:ascii="Arial" w:cs="Arial" w:eastAsia="Arial" w:hAnsi="Arial"/>
          <w:sz w:val="13"/>
          <w:szCs w:val="13"/>
          <w:color w:val="auto"/>
        </w:rPr>
        <w:t>The number of shares constituting that series and the distinctive designation of that series;</w:t>
      </w:r>
    </w:p>
    <w:p>
      <w:pPr>
        <w:spacing w:after="0" w:line="102" w:lineRule="exact"/>
        <w:rPr>
          <w:rFonts w:ascii="Arial" w:cs="Arial" w:eastAsia="Arial" w:hAnsi="Arial"/>
          <w:sz w:val="13"/>
          <w:szCs w:val="13"/>
          <w:color w:val="auto"/>
        </w:rPr>
      </w:pPr>
    </w:p>
    <w:p>
      <w:pPr>
        <w:ind w:left="1480" w:right="160" w:firstLine="374"/>
        <w:spacing w:after="0" w:line="294" w:lineRule="auto"/>
        <w:tabs>
          <w:tab w:leader="none" w:pos="2035" w:val="left"/>
        </w:tabs>
        <w:numPr>
          <w:ilvl w:val="1"/>
          <w:numId w:val="41"/>
        </w:numPr>
        <w:rPr>
          <w:rFonts w:ascii="Arial" w:cs="Arial" w:eastAsia="Arial" w:hAnsi="Arial"/>
          <w:sz w:val="13"/>
          <w:szCs w:val="13"/>
          <w:color w:val="auto"/>
        </w:rPr>
      </w:pPr>
      <w:r>
        <w:rPr>
          <w:rFonts w:ascii="Arial" w:cs="Arial" w:eastAsia="Arial" w:hAnsi="Arial"/>
          <w:sz w:val="13"/>
          <w:szCs w:val="13"/>
          <w:color w:val="auto"/>
        </w:rPr>
        <w:t>The dividend rights and dividend rate on the shares of that series, whether dividends shall be cumulative, and, if so, from which date or dates, and the relative rights of priority, if any, of payment of dividends on shares of that series;</w:t>
      </w:r>
    </w:p>
    <w:p>
      <w:pPr>
        <w:spacing w:after="0" w:line="46" w:lineRule="exact"/>
        <w:rPr>
          <w:rFonts w:ascii="Arial" w:cs="Arial" w:eastAsia="Arial" w:hAnsi="Arial"/>
          <w:sz w:val="13"/>
          <w:szCs w:val="13"/>
          <w:color w:val="auto"/>
        </w:rPr>
      </w:pPr>
    </w:p>
    <w:p>
      <w:pPr>
        <w:ind w:left="2040" w:hanging="186"/>
        <w:spacing w:after="0"/>
        <w:tabs>
          <w:tab w:leader="none" w:pos="2040" w:val="left"/>
        </w:tabs>
        <w:numPr>
          <w:ilvl w:val="1"/>
          <w:numId w:val="41"/>
        </w:numPr>
        <w:rPr>
          <w:rFonts w:ascii="Arial" w:cs="Arial" w:eastAsia="Arial" w:hAnsi="Arial"/>
          <w:sz w:val="13"/>
          <w:szCs w:val="13"/>
          <w:color w:val="auto"/>
        </w:rPr>
      </w:pPr>
      <w:r>
        <w:rPr>
          <w:rFonts w:ascii="Arial" w:cs="Arial" w:eastAsia="Arial" w:hAnsi="Arial"/>
          <w:sz w:val="13"/>
          <w:szCs w:val="13"/>
          <w:color w:val="auto"/>
        </w:rPr>
        <w:t>Whether that series shall have voting rights, in addition to the voting rights provided by law, and, if so, the terms of such voting rights;</w:t>
      </w:r>
    </w:p>
    <w:p>
      <w:pPr>
        <w:spacing w:after="0" w:line="102" w:lineRule="exact"/>
        <w:rPr>
          <w:rFonts w:ascii="Arial" w:cs="Arial" w:eastAsia="Arial" w:hAnsi="Arial"/>
          <w:sz w:val="13"/>
          <w:szCs w:val="13"/>
          <w:color w:val="auto"/>
        </w:rPr>
      </w:pPr>
    </w:p>
    <w:p>
      <w:pPr>
        <w:ind w:left="1480" w:right="180" w:firstLine="374"/>
        <w:spacing w:after="0" w:line="294" w:lineRule="auto"/>
        <w:tabs>
          <w:tab w:leader="none" w:pos="2035" w:val="left"/>
        </w:tabs>
        <w:numPr>
          <w:ilvl w:val="1"/>
          <w:numId w:val="41"/>
        </w:numPr>
        <w:rPr>
          <w:rFonts w:ascii="Arial" w:cs="Arial" w:eastAsia="Arial" w:hAnsi="Arial"/>
          <w:sz w:val="13"/>
          <w:szCs w:val="13"/>
          <w:color w:val="auto"/>
        </w:rPr>
      </w:pPr>
      <w:r>
        <w:rPr>
          <w:rFonts w:ascii="Arial" w:cs="Arial" w:eastAsia="Arial" w:hAnsi="Arial"/>
          <w:sz w:val="13"/>
          <w:szCs w:val="13"/>
          <w:color w:val="auto"/>
        </w:rPr>
        <w:t>Whether that series shall have conversion or exchange privileges, and, if so, the terms and conditions of such conversion or exchange including provision for adjustment of the conversion or exchange rate in such events as the Board of Directors shall determine;</w:t>
      </w:r>
    </w:p>
    <w:p>
      <w:pPr>
        <w:spacing w:after="0" w:line="46" w:lineRule="exact"/>
        <w:rPr>
          <w:rFonts w:ascii="Arial" w:cs="Arial" w:eastAsia="Arial" w:hAnsi="Arial"/>
          <w:sz w:val="13"/>
          <w:szCs w:val="13"/>
          <w:color w:val="auto"/>
        </w:rPr>
      </w:pPr>
    </w:p>
    <w:p>
      <w:pPr>
        <w:ind w:left="1480" w:right="100" w:firstLine="374"/>
        <w:spacing w:after="0" w:line="276" w:lineRule="auto"/>
        <w:tabs>
          <w:tab w:leader="none" w:pos="2035" w:val="left"/>
        </w:tabs>
        <w:numPr>
          <w:ilvl w:val="1"/>
          <w:numId w:val="41"/>
        </w:numPr>
        <w:rPr>
          <w:rFonts w:ascii="Arial" w:cs="Arial" w:eastAsia="Arial" w:hAnsi="Arial"/>
          <w:sz w:val="13"/>
          <w:szCs w:val="13"/>
          <w:color w:val="auto"/>
        </w:rPr>
      </w:pPr>
      <w:r>
        <w:rPr>
          <w:rFonts w:ascii="Arial" w:cs="Arial" w:eastAsia="Arial" w:hAnsi="Arial"/>
          <w:sz w:val="13"/>
          <w:szCs w:val="13"/>
          <w:color w:val="auto"/>
        </w:rPr>
        <w:t>Whether or not the shares of that series shall be redeemable, and, if so, the terms and conditions of such redemption, including the date or dates upon or after which they shall be redeemable, and the amount per share payable in cash on redemption, which amount may vary under different conditions and at different redemption dates;</w:t>
      </w:r>
    </w:p>
    <w:p>
      <w:pPr>
        <w:spacing w:after="0" w:line="58" w:lineRule="exact"/>
        <w:rPr>
          <w:rFonts w:ascii="Arial" w:cs="Arial" w:eastAsia="Arial" w:hAnsi="Arial"/>
          <w:sz w:val="13"/>
          <w:szCs w:val="13"/>
          <w:color w:val="auto"/>
        </w:rPr>
      </w:pPr>
    </w:p>
    <w:p>
      <w:pPr>
        <w:ind w:left="2040" w:hanging="186"/>
        <w:spacing w:after="0"/>
        <w:tabs>
          <w:tab w:leader="none" w:pos="2040" w:val="left"/>
        </w:tabs>
        <w:numPr>
          <w:ilvl w:val="1"/>
          <w:numId w:val="41"/>
        </w:numPr>
        <w:rPr>
          <w:rFonts w:ascii="Arial" w:cs="Arial" w:eastAsia="Arial" w:hAnsi="Arial"/>
          <w:sz w:val="12"/>
          <w:szCs w:val="12"/>
          <w:color w:val="auto"/>
        </w:rPr>
      </w:pPr>
      <w:r>
        <w:rPr>
          <w:rFonts w:ascii="Arial" w:cs="Arial" w:eastAsia="Arial" w:hAnsi="Arial"/>
          <w:sz w:val="12"/>
          <w:szCs w:val="12"/>
          <w:color w:val="auto"/>
        </w:rPr>
        <w:t>Whether that series shall have a sinking fund for the redemption or purchase of shares of that series, and, if so, the terms and amount of such sinking fund;</w:t>
      </w:r>
    </w:p>
    <w:p>
      <w:pPr>
        <w:spacing w:after="0" w:line="113" w:lineRule="exact"/>
        <w:rPr>
          <w:rFonts w:ascii="Arial" w:cs="Arial" w:eastAsia="Arial" w:hAnsi="Arial"/>
          <w:sz w:val="12"/>
          <w:szCs w:val="12"/>
          <w:color w:val="auto"/>
        </w:rPr>
      </w:pPr>
    </w:p>
    <w:p>
      <w:pPr>
        <w:ind w:left="1480" w:right="20" w:firstLine="374"/>
        <w:spacing w:after="0" w:line="294" w:lineRule="auto"/>
        <w:tabs>
          <w:tab w:leader="none" w:pos="2035" w:val="left"/>
        </w:tabs>
        <w:numPr>
          <w:ilvl w:val="1"/>
          <w:numId w:val="41"/>
        </w:numPr>
        <w:rPr>
          <w:rFonts w:ascii="Arial" w:cs="Arial" w:eastAsia="Arial" w:hAnsi="Arial"/>
          <w:sz w:val="13"/>
          <w:szCs w:val="13"/>
          <w:color w:val="auto"/>
        </w:rPr>
      </w:pPr>
      <w:r>
        <w:rPr>
          <w:rFonts w:ascii="Arial" w:cs="Arial" w:eastAsia="Arial" w:hAnsi="Arial"/>
          <w:sz w:val="13"/>
          <w:szCs w:val="13"/>
          <w:color w:val="auto"/>
        </w:rPr>
        <w:t>The rights of the shares of that series in the event of voluntary or involuntary liquidation, dissolution or winding up of the Corporation, and the relative rights of priority, if any, of payment of shares of that series;</w:t>
      </w:r>
    </w:p>
    <w:p>
      <w:pPr>
        <w:spacing w:after="0" w:line="46" w:lineRule="exact"/>
        <w:rPr>
          <w:rFonts w:ascii="Arial" w:cs="Arial" w:eastAsia="Arial" w:hAnsi="Arial"/>
          <w:sz w:val="13"/>
          <w:szCs w:val="13"/>
          <w:color w:val="auto"/>
        </w:rPr>
      </w:pPr>
    </w:p>
    <w:p>
      <w:pPr>
        <w:ind w:left="2040" w:hanging="186"/>
        <w:spacing w:after="0"/>
        <w:tabs>
          <w:tab w:leader="none" w:pos="2040" w:val="left"/>
        </w:tabs>
        <w:numPr>
          <w:ilvl w:val="1"/>
          <w:numId w:val="41"/>
        </w:numPr>
        <w:rPr>
          <w:rFonts w:ascii="Arial" w:cs="Arial" w:eastAsia="Arial" w:hAnsi="Arial"/>
          <w:sz w:val="13"/>
          <w:szCs w:val="13"/>
          <w:color w:val="auto"/>
        </w:rPr>
      </w:pPr>
      <w:r>
        <w:rPr>
          <w:rFonts w:ascii="Arial" w:cs="Arial" w:eastAsia="Arial" w:hAnsi="Arial"/>
          <w:sz w:val="13"/>
          <w:szCs w:val="13"/>
          <w:color w:val="auto"/>
        </w:rPr>
        <w:t>Any other relative rights, preferences and limitations of that series; or</w:t>
      </w:r>
    </w:p>
    <w:p>
      <w:pPr>
        <w:spacing w:after="0" w:line="102" w:lineRule="exact"/>
        <w:rPr>
          <w:rFonts w:ascii="Arial" w:cs="Arial" w:eastAsia="Arial" w:hAnsi="Arial"/>
          <w:sz w:val="13"/>
          <w:szCs w:val="13"/>
          <w:color w:val="auto"/>
        </w:rPr>
      </w:pPr>
    </w:p>
    <w:p>
      <w:pPr>
        <w:ind w:left="2040" w:hanging="186"/>
        <w:spacing w:after="0"/>
        <w:tabs>
          <w:tab w:leader="none" w:pos="2040" w:val="left"/>
        </w:tabs>
        <w:numPr>
          <w:ilvl w:val="1"/>
          <w:numId w:val="41"/>
        </w:numPr>
        <w:rPr>
          <w:rFonts w:ascii="Arial" w:cs="Arial" w:eastAsia="Arial" w:hAnsi="Arial"/>
          <w:sz w:val="13"/>
          <w:szCs w:val="13"/>
          <w:color w:val="auto"/>
        </w:rPr>
      </w:pPr>
      <w:r>
        <w:rPr>
          <w:rFonts w:ascii="Arial" w:cs="Arial" w:eastAsia="Arial" w:hAnsi="Arial"/>
          <w:sz w:val="13"/>
          <w:szCs w:val="13"/>
          <w:color w:val="auto"/>
        </w:rPr>
        <w:t>Any or all of the foregoing terms.</w:t>
      </w:r>
    </w:p>
    <w:p>
      <w:pPr>
        <w:spacing w:after="0" w:line="102" w:lineRule="exact"/>
        <w:rPr>
          <w:rFonts w:ascii="Arial" w:cs="Arial" w:eastAsia="Arial" w:hAnsi="Arial"/>
          <w:sz w:val="13"/>
          <w:szCs w:val="13"/>
          <w:color w:val="auto"/>
        </w:rPr>
      </w:pPr>
    </w:p>
    <w:p>
      <w:pPr>
        <w:ind w:left="1080" w:right="60" w:firstLine="390"/>
        <w:spacing w:after="0" w:line="270" w:lineRule="auto"/>
        <w:tabs>
          <w:tab w:leader="none" w:pos="1627" w:val="left"/>
        </w:tabs>
        <w:numPr>
          <w:ilvl w:val="0"/>
          <w:numId w:val="42"/>
        </w:numPr>
        <w:rPr>
          <w:rFonts w:ascii="Arial" w:cs="Arial" w:eastAsia="Arial" w:hAnsi="Arial"/>
          <w:sz w:val="13"/>
          <w:szCs w:val="13"/>
          <w:color w:val="auto"/>
        </w:rPr>
      </w:pPr>
      <w:r>
        <w:rPr>
          <w:rFonts w:ascii="Arial" w:cs="Arial" w:eastAsia="Arial" w:hAnsi="Arial"/>
          <w:sz w:val="13"/>
          <w:szCs w:val="13"/>
          <w:color w:val="auto"/>
        </w:rPr>
        <w:t>Except where otherwise set forth in the resolution or resolutions adopted by the Board of Directors of the Corporation providing for the issue of any series of Preferred Stock created thereby, the number of shares comprising such series may be increased or decreased (but not below the number of shares then outstanding) from time to time by like action of the Board of Directors of the Corporation. Should the number of shares of any series be so decreased, the shares constituting such decrease shall resume the status which they had prior to adoption of the resolution originally fixing the number of shares of such series.</w:t>
      </w:r>
    </w:p>
    <w:p>
      <w:pPr>
        <w:spacing w:after="0" w:line="62" w:lineRule="exact"/>
        <w:rPr>
          <w:rFonts w:ascii="Arial" w:cs="Arial" w:eastAsia="Arial" w:hAnsi="Arial"/>
          <w:sz w:val="13"/>
          <w:szCs w:val="13"/>
          <w:color w:val="auto"/>
        </w:rPr>
      </w:pPr>
    </w:p>
    <w:p>
      <w:pPr>
        <w:ind w:left="1080" w:right="100" w:firstLine="390"/>
        <w:spacing w:after="0" w:line="295" w:lineRule="auto"/>
        <w:tabs>
          <w:tab w:leader="none" w:pos="1612" w:val="left"/>
        </w:tabs>
        <w:numPr>
          <w:ilvl w:val="0"/>
          <w:numId w:val="42"/>
        </w:numPr>
        <w:rPr>
          <w:rFonts w:ascii="Arial" w:cs="Arial" w:eastAsia="Arial" w:hAnsi="Arial"/>
          <w:sz w:val="12"/>
          <w:szCs w:val="12"/>
          <w:color w:val="auto"/>
        </w:rPr>
      </w:pPr>
      <w:r>
        <w:rPr>
          <w:rFonts w:ascii="Arial" w:cs="Arial" w:eastAsia="Arial" w:hAnsi="Arial"/>
          <w:sz w:val="12"/>
          <w:szCs w:val="12"/>
          <w:color w:val="auto"/>
        </w:rPr>
        <w:t>Shares of any series of Preferred Stock which have been redeemed (whether through the operation of a sinking fund or otherwise), purchased or otherwise acquired by the Corporation, or which, if convertible or exchangeable, have been converted into or exchanged for shares of stock of any other class or classes, shall have the status of authorized and unissued shares of Preferred Stock and may be reissued as a part of the series of which they were originally a part or may be reclassified or reissued as part of a new series of Preferred Stock to be created by resolution or resolutions of the Board of Directors or as part of any other series of Preferred Stock, all subject to the conditions or restrictions adopted by the Board of Directors of the Corporation providing for the issue of any series of Preferred Stock and to any filing required by law.</w:t>
      </w:r>
    </w:p>
    <w:p>
      <w:pPr>
        <w:spacing w:after="0" w:line="49" w:lineRule="exact"/>
        <w:rPr>
          <w:sz w:val="20"/>
          <w:szCs w:val="20"/>
          <w:color w:val="auto"/>
        </w:rPr>
      </w:pPr>
    </w:p>
    <w:p>
      <w:pPr>
        <w:ind w:left="1080"/>
        <w:spacing w:after="0"/>
        <w:rPr>
          <w:sz w:val="20"/>
          <w:szCs w:val="20"/>
          <w:color w:val="auto"/>
        </w:rPr>
      </w:pPr>
      <w:r>
        <w:rPr>
          <w:rFonts w:ascii="Arial" w:cs="Arial" w:eastAsia="Arial" w:hAnsi="Arial"/>
          <w:sz w:val="13"/>
          <w:szCs w:val="13"/>
          <w:i w:val="1"/>
          <w:iCs w:val="1"/>
          <w:u w:val="single" w:color="auto"/>
          <w:color w:val="auto"/>
        </w:rPr>
        <w:t>Fifth:</w:t>
      </w:r>
      <w:r>
        <w:rPr>
          <w:rFonts w:ascii="Arial" w:cs="Arial" w:eastAsia="Arial" w:hAnsi="Arial"/>
          <w:sz w:val="13"/>
          <w:szCs w:val="13"/>
          <w:i w:val="1"/>
          <w:iCs w:val="1"/>
          <w:color w:val="auto"/>
        </w:rPr>
        <w:t xml:space="preserve"> </w:t>
      </w:r>
      <w:r>
        <w:rPr>
          <w:rFonts w:ascii="Arial" w:cs="Arial" w:eastAsia="Arial" w:hAnsi="Arial"/>
          <w:sz w:val="13"/>
          <w:szCs w:val="13"/>
          <w:color w:val="auto"/>
        </w:rPr>
        <w:t>The Corporation is to have perpetual existence.</w:t>
      </w:r>
    </w:p>
    <w:p>
      <w:pPr>
        <w:spacing w:after="0" w:line="102"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i w:val="1"/>
          <w:iCs w:val="1"/>
          <w:u w:val="single" w:color="auto"/>
          <w:color w:val="auto"/>
        </w:rPr>
        <w:t>Sixth:</w:t>
      </w:r>
      <w:r>
        <w:rPr>
          <w:rFonts w:ascii="Arial" w:cs="Arial" w:eastAsia="Arial" w:hAnsi="Arial"/>
          <w:sz w:val="13"/>
          <w:szCs w:val="13"/>
          <w:i w:val="1"/>
          <w:iCs w:val="1"/>
          <w:color w:val="auto"/>
        </w:rPr>
        <w:t xml:space="preserve"> </w:t>
      </w:r>
      <w:r>
        <w:rPr>
          <w:rFonts w:ascii="Arial" w:cs="Arial" w:eastAsia="Arial" w:hAnsi="Arial"/>
          <w:sz w:val="13"/>
          <w:szCs w:val="13"/>
          <w:color w:val="auto"/>
        </w:rPr>
        <w:t>Elections of directors need not be by written ballot unless the bylaws of the Corporation shall so provide. Meetings of stockholders may be held within or without the State</w:t>
      </w:r>
      <w:r>
        <w:rPr>
          <w:rFonts w:ascii="Arial" w:cs="Arial" w:eastAsia="Arial" w:hAnsi="Arial"/>
          <w:sz w:val="13"/>
          <w:szCs w:val="13"/>
          <w:i w:val="1"/>
          <w:iCs w:val="1"/>
          <w:color w:val="auto"/>
        </w:rPr>
        <w:t xml:space="preserve"> </w:t>
      </w:r>
      <w:r>
        <w:rPr>
          <w:rFonts w:ascii="Arial" w:cs="Arial" w:eastAsia="Arial" w:hAnsi="Arial"/>
          <w:sz w:val="13"/>
          <w:szCs w:val="13"/>
          <w:color w:val="auto"/>
        </w:rPr>
        <w:t>of Delaware, as the bylaws may provide. The books of the Corporation may be kept (subject to any provision contained in the statutes of the State of Delaware) outside the State of Delaware at such place or places as may be designated from time to time by the Board of Directors or in the bylaws of the Corporation.</w:t>
      </w:r>
    </w:p>
    <w:p>
      <w:pPr>
        <w:spacing w:after="0" w:line="59" w:lineRule="exact"/>
        <w:rPr>
          <w:sz w:val="20"/>
          <w:szCs w:val="20"/>
          <w:color w:val="auto"/>
        </w:rPr>
      </w:pPr>
    </w:p>
    <w:p>
      <w:pPr>
        <w:ind w:left="680" w:right="20" w:firstLine="399"/>
        <w:spacing w:after="0" w:line="294" w:lineRule="auto"/>
        <w:rPr>
          <w:sz w:val="20"/>
          <w:szCs w:val="20"/>
          <w:color w:val="auto"/>
        </w:rPr>
      </w:pPr>
      <w:r>
        <w:rPr>
          <w:rFonts w:ascii="Arial" w:cs="Arial" w:eastAsia="Arial" w:hAnsi="Arial"/>
          <w:sz w:val="13"/>
          <w:szCs w:val="13"/>
          <w:i w:val="1"/>
          <w:iCs w:val="1"/>
          <w:u w:val="single" w:color="auto"/>
          <w:color w:val="auto"/>
        </w:rPr>
        <w:t>Seventh:</w:t>
      </w:r>
      <w:r>
        <w:rPr>
          <w:rFonts w:ascii="Arial" w:cs="Arial" w:eastAsia="Arial" w:hAnsi="Arial"/>
          <w:sz w:val="13"/>
          <w:szCs w:val="13"/>
          <w:i w:val="1"/>
          <w:iCs w:val="1"/>
          <w:color w:val="auto"/>
        </w:rPr>
        <w:t xml:space="preserve"> </w:t>
      </w:r>
      <w:r>
        <w:rPr>
          <w:rFonts w:ascii="Arial" w:cs="Arial" w:eastAsia="Arial" w:hAnsi="Arial"/>
          <w:sz w:val="13"/>
          <w:szCs w:val="13"/>
          <w:color w:val="auto"/>
        </w:rPr>
        <w:t>No director of the Corporation shall be personally liable to the Corporation or its stockholders for monetary damages for breach of fiduciary duty as a director, provided</w:t>
      </w:r>
      <w:r>
        <w:rPr>
          <w:rFonts w:ascii="Arial" w:cs="Arial" w:eastAsia="Arial" w:hAnsi="Arial"/>
          <w:sz w:val="13"/>
          <w:szCs w:val="13"/>
          <w:i w:val="1"/>
          <w:iCs w:val="1"/>
          <w:color w:val="auto"/>
        </w:rPr>
        <w:t xml:space="preserve"> </w:t>
      </w:r>
      <w:r>
        <w:rPr>
          <w:rFonts w:ascii="Arial" w:cs="Arial" w:eastAsia="Arial" w:hAnsi="Arial"/>
          <w:sz w:val="13"/>
          <w:szCs w:val="13"/>
          <w:color w:val="auto"/>
        </w:rPr>
        <w:t>that this provision shall not</w:t>
      </w:r>
    </w:p>
    <w:p>
      <w:pPr>
        <w:spacing w:after="0" w:line="25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20"/>
        <w:spacing w:after="0" w:line="286" w:lineRule="auto"/>
        <w:rPr>
          <w:sz w:val="20"/>
          <w:szCs w:val="20"/>
          <w:color w:val="auto"/>
        </w:rPr>
      </w:pPr>
      <w:r>
        <w:rPr>
          <w:rFonts w:ascii="Arial" w:cs="Arial" w:eastAsia="Arial" w:hAnsi="Arial"/>
          <w:sz w:val="12"/>
          <w:szCs w:val="12"/>
          <w:color w:val="auto"/>
        </w:rPr>
        <w:t>eliminate or limit the liability of a director (i) for any breach of the director’s duty of loyalty to the Corporation or its stockholders, (ii) for acts or omissions not in good faith or which involve intentional misconduct or a knowing violation of law, (iii) under Section 174 of the General Corporation Law of Delaware or any amendment thereto or successor provision thereto, or (iv) for any transaction from which the director derived an improper personal benefit. If the General Corporation Law of Delaware hereafter is amended to authorize the further elimination or limitation of the liability of directors, then the liability of a director of the Corporation, in addition to the limitation on personal liability provided herein, shall be limited to the fullest extent permitted by the amended General Corporation Law of Delaware. Neither this</w:t>
      </w:r>
      <w:r>
        <w:rPr>
          <w:rFonts w:ascii="Arial" w:cs="Arial" w:eastAsia="Arial" w:hAnsi="Arial"/>
          <w:sz w:val="12"/>
          <w:szCs w:val="12"/>
          <w:color w:val="auto"/>
          <w:strike w:val="1"/>
        </w:rPr>
        <w:t>Second</w:t>
      </w:r>
      <w:r>
        <w:rPr>
          <w:rFonts w:ascii="Arial" w:cs="Arial" w:eastAsia="Arial" w:hAnsi="Arial"/>
          <w:sz w:val="12"/>
          <w:szCs w:val="12"/>
          <w:color w:val="auto"/>
        </w:rPr>
        <w:t xml:space="preserve">Restated Certificate of Incorporation nor any amendment, alteration, or repeal of this Article, nor the adoption of any provision of the </w:t>
      </w:r>
      <w:r>
        <w:rPr>
          <w:rFonts w:ascii="Arial" w:cs="Arial" w:eastAsia="Arial" w:hAnsi="Arial"/>
          <w:sz w:val="12"/>
          <w:szCs w:val="12"/>
          <w:color w:val="auto"/>
          <w:strike w:val="1"/>
        </w:rPr>
        <w:t>Second</w:t>
      </w:r>
      <w:r>
        <w:rPr>
          <w:rFonts w:ascii="Arial" w:cs="Arial" w:eastAsia="Arial" w:hAnsi="Arial"/>
          <w:sz w:val="12"/>
          <w:szCs w:val="12"/>
          <w:color w:val="auto"/>
        </w:rPr>
        <w:t xml:space="preserve">Restated Certificate of Incorporation inconsistent with this Article, shall adversely affect, eliminate, or reduce any right or protection of a director of the Corporation hereunder with respect to any act, omission or matter occurring, or any action, suit, or claim that, but for this Article, would accrue or arise, prior to the time of such amendment, modification, repeal, or adoption of an inconsistent provision. All references in this Article to a “director” shall also be deemed to refer to such person or persons, if any, who pursuant to a provision of the </w:t>
      </w:r>
      <w:r>
        <w:rPr>
          <w:rFonts w:ascii="Arial" w:cs="Arial" w:eastAsia="Arial" w:hAnsi="Arial"/>
          <w:sz w:val="12"/>
          <w:szCs w:val="12"/>
          <w:color w:val="auto"/>
          <w:strike w:val="1"/>
        </w:rPr>
        <w:t>Second</w:t>
      </w:r>
      <w:r>
        <w:rPr>
          <w:rFonts w:ascii="Arial" w:cs="Arial" w:eastAsia="Arial" w:hAnsi="Arial"/>
          <w:sz w:val="12"/>
          <w:szCs w:val="12"/>
          <w:color w:val="auto"/>
        </w:rPr>
        <w:t>Restated Certificate of Incorporation in accordance with subsection (a) of Section 141 of the Delaware General Corporation Law, exercise or perform any of the powers or duties otherwise conferred or imposed upon the Board of Directors by the Delaware General Corporation Law.</w:t>
      </w:r>
    </w:p>
    <w:p>
      <w:pPr>
        <w:spacing w:after="0" w:line="58" w:lineRule="exact"/>
        <w:rPr>
          <w:sz w:val="20"/>
          <w:szCs w:val="20"/>
          <w:color w:val="auto"/>
        </w:rPr>
      </w:pPr>
    </w:p>
    <w:p>
      <w:pPr>
        <w:ind w:left="680" w:firstLine="399"/>
        <w:spacing w:after="0" w:line="262" w:lineRule="auto"/>
        <w:rPr>
          <w:sz w:val="20"/>
          <w:szCs w:val="20"/>
          <w:color w:val="auto"/>
        </w:rPr>
      </w:pPr>
      <w:r>
        <w:rPr>
          <w:rFonts w:ascii="Arial" w:cs="Arial" w:eastAsia="Arial" w:hAnsi="Arial"/>
          <w:sz w:val="13"/>
          <w:szCs w:val="13"/>
          <w:i w:val="1"/>
          <w:iCs w:val="1"/>
          <w:u w:val="single" w:color="auto"/>
          <w:color w:val="auto"/>
        </w:rPr>
        <w:t>Eighth:</w:t>
      </w:r>
      <w:r>
        <w:rPr>
          <w:rFonts w:ascii="Arial" w:cs="Arial" w:eastAsia="Arial" w:hAnsi="Arial"/>
          <w:sz w:val="13"/>
          <w:szCs w:val="13"/>
          <w:i w:val="1"/>
          <w:iCs w:val="1"/>
          <w:color w:val="auto"/>
        </w:rPr>
        <w:t xml:space="preserve"> </w:t>
      </w:r>
      <w:r>
        <w:rPr>
          <w:rFonts w:ascii="Arial" w:cs="Arial" w:eastAsia="Arial" w:hAnsi="Arial"/>
          <w:sz w:val="13"/>
          <w:szCs w:val="13"/>
          <w:color w:val="auto"/>
        </w:rPr>
        <w:t>This Corporation shall, to the maximum extent permitted from time to time under the law of the State of Delaware, indemnify and upon request shall advance expenses</w:t>
      </w:r>
      <w:r>
        <w:rPr>
          <w:rFonts w:ascii="Arial" w:cs="Arial" w:eastAsia="Arial" w:hAnsi="Arial"/>
          <w:sz w:val="13"/>
          <w:szCs w:val="13"/>
          <w:i w:val="1"/>
          <w:iCs w:val="1"/>
          <w:color w:val="auto"/>
        </w:rPr>
        <w:t xml:space="preserve"> </w:t>
      </w:r>
      <w:r>
        <w:rPr>
          <w:rFonts w:ascii="Arial" w:cs="Arial" w:eastAsia="Arial" w:hAnsi="Arial"/>
          <w:sz w:val="13"/>
          <w:szCs w:val="13"/>
          <w:color w:val="auto"/>
        </w:rPr>
        <w:t>to any person who is or was a party or is threatened to be made a party to any threatened, pending or completed action, suit, proceeding or claim, whether civil, criminal, administrative or investigative, by reason of the fact that such person is or was or has agreed to be a director or officer of this Corporation or any of its direct or indirect subsidiaries or while such a director or officer is or was serving at the request of this Corporation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incurred in connection with the investigation, preparation to defend or defense of such action, suit, proceeding or claim; provided, however, that the foregoing shall not require this Corporation to indemnify or advance expenses to any person in connection with any action, suit, proceeding, claim or counterclaim initiated by or on behalf of such person. Such indemnification shall not be exclusive of other indemnification rights arising under any bylaws, agreement, vote of directors or stockholders or otherwise and shall inure to the benefit of the heirs and legal representatives of such person. Any person seeking indemnification under this Article shall be deemed to have met the standard of conduct required for such indemnification unless the contrary shall be established.</w:t>
      </w:r>
    </w:p>
    <w:p>
      <w:pPr>
        <w:spacing w:after="0" w:line="71"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i w:val="1"/>
          <w:iCs w:val="1"/>
          <w:u w:val="single" w:color="auto"/>
          <w:color w:val="auto"/>
        </w:rPr>
        <w:t>Ninth:</w:t>
      </w:r>
      <w:r>
        <w:rPr>
          <w:rFonts w:ascii="Arial" w:cs="Arial" w:eastAsia="Arial" w:hAnsi="Arial"/>
          <w:sz w:val="13"/>
          <w:szCs w:val="13"/>
          <w:i w:val="1"/>
          <w:iCs w:val="1"/>
          <w:color w:val="auto"/>
        </w:rPr>
        <w:t xml:space="preserve"> </w:t>
      </w:r>
      <w:r>
        <w:rPr>
          <w:rFonts w:ascii="Arial" w:cs="Arial" w:eastAsia="Arial" w:hAnsi="Arial"/>
          <w:sz w:val="13"/>
          <w:szCs w:val="13"/>
          <w:color w:val="auto"/>
        </w:rPr>
        <w:t>(A) Except as otherwise provided in this</w:t>
      </w:r>
      <w:r>
        <w:rPr>
          <w:rFonts w:ascii="Arial" w:cs="Arial" w:eastAsia="Arial" w:hAnsi="Arial"/>
          <w:sz w:val="13"/>
          <w:szCs w:val="13"/>
          <w:i w:val="1"/>
          <w:iCs w:val="1"/>
          <w:color w:val="auto"/>
        </w:rPr>
        <w:t xml:space="preserve"> </w:t>
      </w:r>
      <w:r>
        <w:rPr>
          <w:rFonts w:ascii="Arial" w:cs="Arial" w:eastAsia="Arial" w:hAnsi="Arial"/>
          <w:sz w:val="13"/>
          <w:szCs w:val="13"/>
          <w:color w:val="auto"/>
          <w:strike w:val="1"/>
        </w:rPr>
        <w:t>Second</w:t>
      </w:r>
      <w:r>
        <w:rPr>
          <w:rFonts w:ascii="Arial" w:cs="Arial" w:eastAsia="Arial" w:hAnsi="Arial"/>
          <w:sz w:val="13"/>
          <w:szCs w:val="13"/>
          <w:i w:val="1"/>
          <w:iCs w:val="1"/>
          <w:color w:val="auto"/>
        </w:rPr>
        <w:t xml:space="preserve"> </w:t>
      </w:r>
      <w:r>
        <w:rPr>
          <w:rFonts w:ascii="Arial" w:cs="Arial" w:eastAsia="Arial" w:hAnsi="Arial"/>
          <w:sz w:val="13"/>
          <w:szCs w:val="13"/>
          <w:color w:val="auto"/>
        </w:rPr>
        <w:t>Restated Certificate of Incorporation or the bylaws of the Corporation relating to the rights of the holders of any class or</w:t>
      </w:r>
      <w:r>
        <w:rPr>
          <w:rFonts w:ascii="Arial" w:cs="Arial" w:eastAsia="Arial" w:hAnsi="Arial"/>
          <w:sz w:val="13"/>
          <w:szCs w:val="13"/>
          <w:i w:val="1"/>
          <w:iCs w:val="1"/>
          <w:color w:val="auto"/>
        </w:rPr>
        <w:t xml:space="preserve"> </w:t>
      </w:r>
      <w:r>
        <w:rPr>
          <w:rFonts w:ascii="Arial" w:cs="Arial" w:eastAsia="Arial" w:hAnsi="Arial"/>
          <w:sz w:val="13"/>
          <w:szCs w:val="13"/>
          <w:color w:val="auto"/>
        </w:rPr>
        <w:t>series of Preferred Stock, voting separately by class or series, to elect additional directors under specified circumstances, the number of directors of the Corporation shall be as fixed from time to time by, or in the manner provided in, the bylaws of the Corporation. Unless approved by at least two-thirds of the incumbent directors, the number of directors which shall constitute the whole Board of Directors shall be no fewer than three and no more than nine.</w:t>
      </w:r>
    </w:p>
    <w:p>
      <w:pPr>
        <w:spacing w:after="0" w:line="63" w:lineRule="exact"/>
        <w:rPr>
          <w:sz w:val="20"/>
          <w:szCs w:val="20"/>
          <w:color w:val="auto"/>
        </w:rPr>
      </w:pPr>
    </w:p>
    <w:p>
      <w:pPr>
        <w:ind w:left="680" w:right="260" w:firstLine="407"/>
        <w:spacing w:after="0" w:line="276" w:lineRule="auto"/>
        <w:tabs>
          <w:tab w:leader="none" w:pos="1292" w:val="left"/>
        </w:tabs>
        <w:numPr>
          <w:ilvl w:val="0"/>
          <w:numId w:val="43"/>
        </w:numPr>
        <w:rPr>
          <w:rFonts w:ascii="Arial" w:cs="Arial" w:eastAsia="Arial" w:hAnsi="Arial"/>
          <w:sz w:val="13"/>
          <w:szCs w:val="13"/>
          <w:color w:val="auto"/>
        </w:rPr>
      </w:pPr>
      <w:r>
        <w:rPr>
          <w:rFonts w:ascii="Arial" w:cs="Arial" w:eastAsia="Arial" w:hAnsi="Arial"/>
          <w:sz w:val="13"/>
          <w:szCs w:val="13"/>
          <w:color w:val="auto"/>
        </w:rPr>
        <w:t>Commencing with the election of directors at the 2003 Annual Meeting of Stockholders, all directors, other than those who may be elected by the holders of any class or series of Preferred Stock voting separately by class or series, shall be elected annually. Notwithstanding the foregoing provision of this Article, each director shall serve until his successor is duly elected and qualified or until his earlier death, resignation or removal.</w:t>
      </w:r>
    </w:p>
    <w:p>
      <w:pPr>
        <w:spacing w:after="0" w:line="58" w:lineRule="exact"/>
        <w:rPr>
          <w:rFonts w:ascii="Arial" w:cs="Arial" w:eastAsia="Arial" w:hAnsi="Arial"/>
          <w:sz w:val="13"/>
          <w:szCs w:val="13"/>
          <w:color w:val="auto"/>
        </w:rPr>
      </w:pPr>
    </w:p>
    <w:p>
      <w:pPr>
        <w:jc w:val="both"/>
        <w:ind w:left="680" w:right="60" w:firstLine="407"/>
        <w:spacing w:after="0" w:line="270" w:lineRule="auto"/>
        <w:tabs>
          <w:tab w:leader="none" w:pos="1292" w:val="left"/>
        </w:tabs>
        <w:numPr>
          <w:ilvl w:val="0"/>
          <w:numId w:val="43"/>
        </w:numPr>
        <w:rPr>
          <w:rFonts w:ascii="Arial" w:cs="Arial" w:eastAsia="Arial" w:hAnsi="Arial"/>
          <w:sz w:val="13"/>
          <w:szCs w:val="13"/>
          <w:color w:val="auto"/>
        </w:rPr>
      </w:pPr>
      <w:r>
        <w:rPr>
          <w:rFonts w:ascii="Arial" w:cs="Arial" w:eastAsia="Arial" w:hAnsi="Arial"/>
          <w:sz w:val="13"/>
          <w:szCs w:val="13"/>
          <w:color w:val="auto"/>
        </w:rPr>
        <w:t xml:space="preserve">Except as otherwise provided pursuant to the provisions of this </w:t>
      </w:r>
      <w:r>
        <w:rPr>
          <w:rFonts w:ascii="Arial" w:cs="Arial" w:eastAsia="Arial" w:hAnsi="Arial"/>
          <w:sz w:val="13"/>
          <w:szCs w:val="13"/>
          <w:color w:val="auto"/>
          <w:strike w:val="1"/>
        </w:rPr>
        <w:t>Second</w:t>
      </w:r>
      <w:r>
        <w:rPr>
          <w:rFonts w:ascii="Arial" w:cs="Arial" w:eastAsia="Arial" w:hAnsi="Arial"/>
          <w:sz w:val="13"/>
          <w:szCs w:val="13"/>
          <w:color w:val="auto"/>
        </w:rPr>
        <w:t xml:space="preserve"> Restated Certificate of Incorporation or the bylaws of the Corporation relating to the rights of the holders of any class or series of Preferred Stock, voting separately by class or series, to elect directors under specified circumstances, any director or directors may be removed from office at any time, with or without cause but only by the affirmative vote, at any annual meeting or special meeting (as the case may be) of the stockholders, of not less than </w:t>
      </w:r>
      <w:r>
        <w:rPr>
          <w:rFonts w:ascii="Arial" w:cs="Arial" w:eastAsia="Arial" w:hAnsi="Arial"/>
          <w:sz w:val="13"/>
          <w:szCs w:val="13"/>
          <w:color w:val="auto"/>
          <w:strike w:val="1"/>
        </w:rPr>
        <w:t>two thirds</w:t>
      </w:r>
      <w:r>
        <w:rPr>
          <w:rFonts w:ascii="Arial" w:cs="Arial" w:eastAsia="Arial" w:hAnsi="Arial"/>
          <w:sz w:val="13"/>
          <w:szCs w:val="13"/>
          <w:u w:val="single" w:color="auto"/>
          <w:color w:val="auto"/>
        </w:rPr>
        <w:t>a</w:t>
      </w:r>
      <w:r>
        <w:rPr>
          <w:rFonts w:ascii="Arial" w:cs="Arial" w:eastAsia="Arial" w:hAnsi="Arial"/>
          <w:sz w:val="13"/>
          <w:szCs w:val="13"/>
          <w:color w:val="auto"/>
        </w:rPr>
        <w:t xml:space="preserve"> </w:t>
      </w:r>
      <w:r>
        <w:rPr>
          <w:rFonts w:ascii="Arial" w:cs="Arial" w:eastAsia="Arial" w:hAnsi="Arial"/>
          <w:sz w:val="13"/>
          <w:szCs w:val="13"/>
          <w:u w:val="single" w:color="auto"/>
          <w:color w:val="auto"/>
        </w:rPr>
        <w:t>majority</w:t>
      </w:r>
      <w:r>
        <w:rPr>
          <w:rFonts w:ascii="Arial" w:cs="Arial" w:eastAsia="Arial" w:hAnsi="Arial"/>
          <w:sz w:val="13"/>
          <w:szCs w:val="13"/>
          <w:color w:val="auto"/>
        </w:rPr>
        <w:t xml:space="preserve"> of the total number of votes of the then outstanding shares of capital stock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6667500</wp:posOffset>
            </wp:positionH>
            <wp:positionV relativeFrom="paragraph">
              <wp:posOffset>-106045</wp:posOffset>
            </wp:positionV>
            <wp:extent cx="31750"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1750" cy="6350"/>
                    </a:xfrm>
                    <a:prstGeom prst="rect">
                      <a:avLst/>
                    </a:prstGeom>
                    <a:noFill/>
                  </pic:spPr>
                </pic:pic>
              </a:graphicData>
            </a:graphic>
          </wp:anchor>
        </w:drawing>
        <w:drawing>
          <wp:anchor simplePos="0" relativeHeight="251657728" behindDoc="1" locked="0" layoutInCell="0" allowOverlap="1">
            <wp:simplePos x="0" y="0"/>
            <wp:positionH relativeFrom="column">
              <wp:posOffset>435610</wp:posOffset>
            </wp:positionH>
            <wp:positionV relativeFrom="paragraph">
              <wp:posOffset>-3810</wp:posOffset>
            </wp:positionV>
            <wp:extent cx="287655"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87655" cy="6350"/>
                    </a:xfrm>
                    <a:prstGeom prst="rect">
                      <a:avLst/>
                    </a:prstGeom>
                    <a:noFill/>
                  </pic:spPr>
                </pic:pic>
              </a:graphicData>
            </a:graphic>
          </wp:anchor>
        </w:drawing>
      </w:r>
    </w:p>
    <w:p>
      <w:pPr>
        <w:spacing w:after="0" w:line="25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20"/>
          </w:cols>
          <w:pgMar w:left="220" w:top="349" w:right="105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Corporation entitled to vote generally in the election of directors, voting together as a single class, but only if notice of such proposal was contained in the notice of such meeting.</w:t>
      </w:r>
    </w:p>
    <w:p>
      <w:pPr>
        <w:spacing w:after="0" w:line="114" w:lineRule="exact"/>
        <w:rPr>
          <w:sz w:val="20"/>
          <w:szCs w:val="20"/>
          <w:color w:val="auto"/>
        </w:rPr>
      </w:pPr>
    </w:p>
    <w:p>
      <w:pPr>
        <w:ind w:left="680" w:right="60" w:firstLine="407"/>
        <w:spacing w:after="0" w:line="276" w:lineRule="auto"/>
        <w:tabs>
          <w:tab w:leader="none" w:pos="1299" w:val="left"/>
        </w:tabs>
        <w:numPr>
          <w:ilvl w:val="0"/>
          <w:numId w:val="44"/>
        </w:numPr>
        <w:rPr>
          <w:rFonts w:ascii="Arial" w:cs="Arial" w:eastAsia="Arial" w:hAnsi="Arial"/>
          <w:sz w:val="13"/>
          <w:szCs w:val="13"/>
          <w:color w:val="auto"/>
        </w:rPr>
      </w:pPr>
      <w:r>
        <w:rPr>
          <w:rFonts w:ascii="Arial" w:cs="Arial" w:eastAsia="Arial" w:hAnsi="Arial"/>
          <w:sz w:val="13"/>
          <w:szCs w:val="13"/>
          <w:color w:val="auto"/>
        </w:rPr>
        <w:t>In the event of any increase or decrease in the authorized number of directors, the newly created or eliminated directorships resulting from such increase or decrease shall be appointed or determined by the Board of Directors. No decrease in the authorized number of directors constituting the Board of Directors shall shorten the term of any incumbent director.</w:t>
      </w:r>
    </w:p>
    <w:p>
      <w:pPr>
        <w:spacing w:after="0" w:line="58" w:lineRule="exact"/>
        <w:rPr>
          <w:rFonts w:ascii="Arial" w:cs="Arial" w:eastAsia="Arial" w:hAnsi="Arial"/>
          <w:sz w:val="13"/>
          <w:szCs w:val="13"/>
          <w:color w:val="auto"/>
        </w:rPr>
      </w:pPr>
    </w:p>
    <w:p>
      <w:pPr>
        <w:ind w:left="680" w:right="60" w:firstLine="407"/>
        <w:spacing w:after="0" w:line="294" w:lineRule="auto"/>
        <w:tabs>
          <w:tab w:leader="none" w:pos="1282" w:val="left"/>
        </w:tabs>
        <w:numPr>
          <w:ilvl w:val="0"/>
          <w:numId w:val="44"/>
        </w:numPr>
        <w:rPr>
          <w:rFonts w:ascii="Arial" w:cs="Arial" w:eastAsia="Arial" w:hAnsi="Arial"/>
          <w:sz w:val="13"/>
          <w:szCs w:val="13"/>
          <w:color w:val="auto"/>
        </w:rPr>
      </w:pPr>
      <w:r>
        <w:rPr>
          <w:rFonts w:ascii="Arial" w:cs="Arial" w:eastAsia="Arial" w:hAnsi="Arial"/>
          <w:sz w:val="13"/>
          <w:szCs w:val="13"/>
          <w:color w:val="auto"/>
        </w:rPr>
        <w:t>Vacancies in the Board of Directors, however caused, and newly-created directorships shall be filled solely by a majority vote of the directors then in office, whether or not a quorum, and any director so chosen shall hold office until his successor is duly elected and qualified or until his earlier death, resignation or removal.</w:t>
      </w:r>
    </w:p>
    <w:p>
      <w:pPr>
        <w:spacing w:after="0" w:line="46" w:lineRule="exact"/>
        <w:rPr>
          <w:rFonts w:ascii="Arial" w:cs="Arial" w:eastAsia="Arial" w:hAnsi="Arial"/>
          <w:sz w:val="13"/>
          <w:szCs w:val="13"/>
          <w:color w:val="auto"/>
        </w:rPr>
      </w:pPr>
    </w:p>
    <w:p>
      <w:pPr>
        <w:ind w:left="680" w:right="60" w:firstLine="407"/>
        <w:spacing w:after="0" w:line="270" w:lineRule="auto"/>
        <w:tabs>
          <w:tab w:leader="none" w:pos="1277" w:val="left"/>
        </w:tabs>
        <w:numPr>
          <w:ilvl w:val="0"/>
          <w:numId w:val="44"/>
        </w:numPr>
        <w:rPr>
          <w:rFonts w:ascii="Arial" w:cs="Arial" w:eastAsia="Arial" w:hAnsi="Arial"/>
          <w:sz w:val="13"/>
          <w:szCs w:val="13"/>
          <w:color w:val="auto"/>
        </w:rPr>
      </w:pPr>
      <w:r>
        <w:rPr>
          <w:rFonts w:ascii="Arial" w:cs="Arial" w:eastAsia="Arial" w:hAnsi="Arial"/>
          <w:sz w:val="13"/>
          <w:szCs w:val="13"/>
          <w:color w:val="auto"/>
        </w:rPr>
        <w:t xml:space="preserve">Notwithstanding the foregoing, whenever the holders of any one or more classes or series of Preferred Stock issued by the Corporation shall have the right, voting separately by class or series, to elect directors at an annual or special meeting of stockholders, the election, term of office, filling of vacancies, and other features of such directorships shall be governed by the terms of this </w:t>
      </w:r>
      <w:r>
        <w:rPr>
          <w:rFonts w:ascii="Arial" w:cs="Arial" w:eastAsia="Arial" w:hAnsi="Arial"/>
          <w:sz w:val="13"/>
          <w:szCs w:val="13"/>
          <w:color w:val="auto"/>
          <w:strike w:val="1"/>
        </w:rPr>
        <w:t>Second</w:t>
      </w:r>
      <w:r>
        <w:rPr>
          <w:rFonts w:ascii="Arial" w:cs="Arial" w:eastAsia="Arial" w:hAnsi="Arial"/>
          <w:sz w:val="13"/>
          <w:szCs w:val="13"/>
          <w:color w:val="auto"/>
        </w:rPr>
        <w:t xml:space="preserve"> Restated Certificate of Incorporation applicable thereto, and such directors so elected shall not be divided into classes pursuant to this Article unless expressly provided by such terms.</w:t>
      </w:r>
    </w:p>
    <w:p>
      <w:pPr>
        <w:spacing w:after="0" w:line="62" w:lineRule="exact"/>
        <w:rPr>
          <w:rFonts w:ascii="Arial" w:cs="Arial" w:eastAsia="Arial" w:hAnsi="Arial"/>
          <w:sz w:val="13"/>
          <w:szCs w:val="13"/>
          <w:color w:val="auto"/>
        </w:rPr>
      </w:pPr>
    </w:p>
    <w:p>
      <w:pPr>
        <w:ind w:left="680" w:firstLine="407"/>
        <w:spacing w:after="0" w:line="267" w:lineRule="auto"/>
        <w:tabs>
          <w:tab w:leader="none" w:pos="1299" w:val="left"/>
        </w:tabs>
        <w:numPr>
          <w:ilvl w:val="0"/>
          <w:numId w:val="44"/>
        </w:numPr>
        <w:rPr>
          <w:rFonts w:ascii="Arial" w:cs="Arial" w:eastAsia="Arial" w:hAnsi="Arial"/>
          <w:sz w:val="13"/>
          <w:szCs w:val="13"/>
          <w:color w:val="auto"/>
        </w:rPr>
      </w:pPr>
      <w:r>
        <w:rPr>
          <w:rFonts w:ascii="Arial" w:cs="Arial" w:eastAsia="Arial" w:hAnsi="Arial"/>
          <w:sz w:val="13"/>
          <w:szCs w:val="13"/>
          <w:color w:val="auto"/>
        </w:rPr>
        <w:t xml:space="preserve">Notwithstanding any other provision of this </w:t>
      </w:r>
      <w:r>
        <w:rPr>
          <w:rFonts w:ascii="Arial" w:cs="Arial" w:eastAsia="Arial" w:hAnsi="Arial"/>
          <w:sz w:val="13"/>
          <w:szCs w:val="13"/>
          <w:color w:val="auto"/>
          <w:strike w:val="1"/>
        </w:rPr>
        <w:t>Second</w:t>
      </w:r>
      <w:r>
        <w:rPr>
          <w:rFonts w:ascii="Arial" w:cs="Arial" w:eastAsia="Arial" w:hAnsi="Arial"/>
          <w:sz w:val="13"/>
          <w:szCs w:val="13"/>
          <w:color w:val="auto"/>
        </w:rPr>
        <w:t xml:space="preserve"> Restated Certificate of Incorporation or the bylaws of the Corporation (and notwithstanding the fact that a lesser percentage may be specified by law, this</w:t>
      </w:r>
      <w:r>
        <w:rPr>
          <w:rFonts w:ascii="Arial" w:cs="Arial" w:eastAsia="Arial" w:hAnsi="Arial"/>
          <w:sz w:val="13"/>
          <w:szCs w:val="13"/>
          <w:color w:val="auto"/>
          <w:strike w:val="1"/>
        </w:rPr>
        <w:t>Second</w:t>
      </w:r>
      <w:r>
        <w:rPr>
          <w:rFonts w:ascii="Arial" w:cs="Arial" w:eastAsia="Arial" w:hAnsi="Arial"/>
          <w:sz w:val="13"/>
          <w:szCs w:val="13"/>
          <w:color w:val="auto"/>
        </w:rPr>
        <w:t xml:space="preserve"> Restated Certificate of Incorporation or the bylaws of the Corporation), the affirmative vote, at any regular meeting or special meeting of the stockholders, of not less than </w:t>
      </w:r>
      <w:r>
        <w:rPr>
          <w:rFonts w:ascii="Arial" w:cs="Arial" w:eastAsia="Arial" w:hAnsi="Arial"/>
          <w:sz w:val="13"/>
          <w:szCs w:val="13"/>
          <w:color w:val="auto"/>
          <w:strike w:val="1"/>
        </w:rPr>
        <w:t>two-thirds</w:t>
      </w:r>
      <w:r>
        <w:rPr>
          <w:rFonts w:ascii="Arial" w:cs="Arial" w:eastAsia="Arial" w:hAnsi="Arial"/>
          <w:sz w:val="13"/>
          <w:szCs w:val="13"/>
          <w:u w:val="single" w:color="auto"/>
          <w:color w:val="auto"/>
        </w:rPr>
        <w:t>a majority</w:t>
      </w:r>
      <w:r>
        <w:rPr>
          <w:rFonts w:ascii="Arial" w:cs="Arial" w:eastAsia="Arial" w:hAnsi="Arial"/>
          <w:sz w:val="13"/>
          <w:szCs w:val="13"/>
          <w:color w:val="auto"/>
        </w:rPr>
        <w:t xml:space="preserve"> of the total number of votes of the then outstanding shares of capital stock of the Corporation entitled to vote generally in the election of directors, voting together as a single class, shall be required to amend or repeal, or to adopt any provision inconsistent with the purpose or intent of, this Article, but only if notice of the proposed alteration or amendment was contained in the notice of such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1926590</wp:posOffset>
            </wp:positionH>
            <wp:positionV relativeFrom="paragraph">
              <wp:posOffset>-207010</wp:posOffset>
            </wp:positionV>
            <wp:extent cx="345440"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5440" cy="6350"/>
                    </a:xfrm>
                    <a:prstGeom prst="rect">
                      <a:avLst/>
                    </a:prstGeom>
                    <a:noFill/>
                  </pic:spPr>
                </pic:pic>
              </a:graphicData>
            </a:graphic>
          </wp:anchor>
        </w:drawing>
      </w:r>
    </w:p>
    <w:p>
      <w:pPr>
        <w:spacing w:after="0" w:line="45" w:lineRule="exact"/>
        <w:rPr>
          <w:sz w:val="20"/>
          <w:szCs w:val="20"/>
          <w:color w:val="auto"/>
        </w:rPr>
      </w:pPr>
    </w:p>
    <w:p>
      <w:pPr>
        <w:ind w:left="680" w:right="180" w:firstLine="399"/>
        <w:spacing w:after="0" w:line="270" w:lineRule="auto"/>
        <w:rPr>
          <w:sz w:val="20"/>
          <w:szCs w:val="20"/>
          <w:color w:val="auto"/>
        </w:rPr>
      </w:pPr>
      <w:r>
        <w:rPr>
          <w:rFonts w:ascii="Arial" w:cs="Arial" w:eastAsia="Arial" w:hAnsi="Arial"/>
          <w:sz w:val="13"/>
          <w:szCs w:val="13"/>
          <w:i w:val="1"/>
          <w:iCs w:val="1"/>
          <w:u w:val="single" w:color="auto"/>
          <w:color w:val="auto"/>
        </w:rPr>
        <w:t>Tenth:</w:t>
      </w:r>
      <w:r>
        <w:rPr>
          <w:rFonts w:ascii="Arial" w:cs="Arial" w:eastAsia="Arial" w:hAnsi="Arial"/>
          <w:sz w:val="13"/>
          <w:szCs w:val="13"/>
          <w:i w:val="1"/>
          <w:iCs w:val="1"/>
          <w:color w:val="auto"/>
        </w:rPr>
        <w:t xml:space="preserve"> </w:t>
      </w:r>
      <w:r>
        <w:rPr>
          <w:rFonts w:ascii="Arial" w:cs="Arial" w:eastAsia="Arial" w:hAnsi="Arial"/>
          <w:sz w:val="13"/>
          <w:szCs w:val="13"/>
          <w:color w:val="auto"/>
        </w:rPr>
        <w:t>In furtherance of, and not in limitation of, the powers conferred by statute, the Board of Directors is expressly authorized to adopt, amend or repeal the bylaws of the</w:t>
      </w:r>
      <w:r>
        <w:rPr>
          <w:rFonts w:ascii="Arial" w:cs="Arial" w:eastAsia="Arial" w:hAnsi="Arial"/>
          <w:sz w:val="13"/>
          <w:szCs w:val="13"/>
          <w:i w:val="1"/>
          <w:iCs w:val="1"/>
          <w:color w:val="auto"/>
        </w:rPr>
        <w:t xml:space="preserve"> </w:t>
      </w:r>
      <w:r>
        <w:rPr>
          <w:rFonts w:ascii="Arial" w:cs="Arial" w:eastAsia="Arial" w:hAnsi="Arial"/>
          <w:sz w:val="13"/>
          <w:szCs w:val="13"/>
          <w:color w:val="auto"/>
        </w:rPr>
        <w:t>Corporation, or adopt new bylaws, without any action on the part of the stockholders; provided, however, that no such adoption, amendment or repeal shall be valid with respect to bylaw provisions which have been adopted, amended or repealed by the stockholders; and further provided, that bylaws adopted or amended by the Directors and any powers thereby conferred may be amended, altered or repealed by the stockholders.</w:t>
      </w:r>
    </w:p>
    <w:p>
      <w:pPr>
        <w:spacing w:after="0" w:line="63" w:lineRule="exact"/>
        <w:rPr>
          <w:sz w:val="20"/>
          <w:szCs w:val="20"/>
          <w:color w:val="auto"/>
        </w:rPr>
      </w:pPr>
    </w:p>
    <w:p>
      <w:pPr>
        <w:ind w:left="680" w:right="40" w:firstLine="399"/>
        <w:spacing w:after="0" w:line="267" w:lineRule="auto"/>
        <w:rPr>
          <w:sz w:val="20"/>
          <w:szCs w:val="20"/>
          <w:color w:val="auto"/>
        </w:rPr>
      </w:pPr>
      <w:r>
        <w:rPr>
          <w:rFonts w:ascii="Arial" w:cs="Arial" w:eastAsia="Arial" w:hAnsi="Arial"/>
          <w:sz w:val="13"/>
          <w:szCs w:val="13"/>
          <w:i w:val="1"/>
          <w:iCs w:val="1"/>
          <w:u w:val="single" w:color="auto"/>
          <w:color w:val="auto"/>
        </w:rPr>
        <w:t>Eleventh:</w:t>
      </w:r>
      <w:r>
        <w:rPr>
          <w:rFonts w:ascii="Arial" w:cs="Arial" w:eastAsia="Arial" w:hAnsi="Arial"/>
          <w:sz w:val="13"/>
          <w:szCs w:val="13"/>
          <w:i w:val="1"/>
          <w:iCs w:val="1"/>
          <w:color w:val="auto"/>
        </w:rPr>
        <w:t xml:space="preserve"> </w:t>
      </w:r>
      <w:r>
        <w:rPr>
          <w:rFonts w:ascii="Arial" w:cs="Arial" w:eastAsia="Arial" w:hAnsi="Arial"/>
          <w:sz w:val="13"/>
          <w:szCs w:val="13"/>
          <w:color w:val="auto"/>
        </w:rPr>
        <w:t>The Corporation reserves the right at any time, and from time to time, to amend, alter, change, or repeal any provision contained in this</w:t>
      </w:r>
      <w:r>
        <w:rPr>
          <w:rFonts w:ascii="Arial" w:cs="Arial" w:eastAsia="Arial" w:hAnsi="Arial"/>
          <w:sz w:val="13"/>
          <w:szCs w:val="13"/>
          <w:i w:val="1"/>
          <w:iCs w:val="1"/>
          <w:color w:val="auto"/>
        </w:rPr>
        <w:t xml:space="preserve"> </w:t>
      </w:r>
      <w:r>
        <w:rPr>
          <w:rFonts w:ascii="Arial" w:cs="Arial" w:eastAsia="Arial" w:hAnsi="Arial"/>
          <w:sz w:val="13"/>
          <w:szCs w:val="13"/>
          <w:color w:val="auto"/>
          <w:strike w:val="1"/>
        </w:rPr>
        <w:t>Second</w:t>
      </w:r>
      <w:r>
        <w:rPr>
          <w:rFonts w:ascii="Arial" w:cs="Arial" w:eastAsia="Arial" w:hAnsi="Arial"/>
          <w:sz w:val="13"/>
          <w:szCs w:val="13"/>
          <w:i w:val="1"/>
          <w:iCs w:val="1"/>
          <w:color w:val="auto"/>
        </w:rPr>
        <w:t xml:space="preserve"> </w:t>
      </w:r>
      <w:r>
        <w:rPr>
          <w:rFonts w:ascii="Arial" w:cs="Arial" w:eastAsia="Arial" w:hAnsi="Arial"/>
          <w:sz w:val="13"/>
          <w:szCs w:val="13"/>
          <w:color w:val="auto"/>
        </w:rPr>
        <w:t>Restated Certificate of</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Incorporation, and other provisions authorized by the laws of the State of Delaware at the time in force may be added or inserted, in the manner now or hereafter prescribed by law; and all rights, preferences, and privileges of whatsoever nature conferred upon stockholders, directors, or any other persons whomsoever by and pursuant to this </w:t>
      </w:r>
      <w:r>
        <w:rPr>
          <w:rFonts w:ascii="Arial" w:cs="Arial" w:eastAsia="Arial" w:hAnsi="Arial"/>
          <w:sz w:val="13"/>
          <w:szCs w:val="13"/>
          <w:color w:val="auto"/>
          <w:strike w:val="1"/>
        </w:rPr>
        <w:t>Second</w:t>
      </w:r>
      <w:r>
        <w:rPr>
          <w:rFonts w:ascii="Arial" w:cs="Arial" w:eastAsia="Arial" w:hAnsi="Arial"/>
          <w:sz w:val="13"/>
          <w:szCs w:val="13"/>
          <w:color w:val="auto"/>
        </w:rPr>
        <w:t xml:space="preserve"> Restated Certificate of Incorporation in its present form or as hereafter amended are granted subject to the rights reserved in this Article; provided, however, that the Corporation shall not amend Article Ninth to be effective on a date other than a date on which directors are elected.</w:t>
      </w:r>
    </w:p>
    <w:p>
      <w:pPr>
        <w:spacing w:after="0" w:line="65" w:lineRule="exact"/>
        <w:rPr>
          <w:sz w:val="20"/>
          <w:szCs w:val="20"/>
          <w:color w:val="auto"/>
        </w:rPr>
      </w:pPr>
    </w:p>
    <w:p>
      <w:pPr>
        <w:ind w:left="680" w:firstLine="407"/>
        <w:spacing w:after="0" w:line="294" w:lineRule="auto"/>
        <w:tabs>
          <w:tab w:leader="none" w:pos="1211" w:val="left"/>
        </w:tabs>
        <w:numPr>
          <w:ilvl w:val="0"/>
          <w:numId w:val="45"/>
        </w:numPr>
        <w:rPr>
          <w:rFonts w:ascii="Arial" w:cs="Arial" w:eastAsia="Arial" w:hAnsi="Arial"/>
          <w:sz w:val="13"/>
          <w:szCs w:val="13"/>
          <w:color w:val="auto"/>
        </w:rPr>
      </w:pPr>
      <w:r>
        <w:rPr>
          <w:rFonts w:ascii="Arial" w:cs="Arial" w:eastAsia="Arial" w:hAnsi="Arial"/>
          <w:sz w:val="13"/>
          <w:szCs w:val="13"/>
          <w:color w:val="auto"/>
        </w:rPr>
        <w:t xml:space="preserve">This </w:t>
      </w:r>
      <w:r>
        <w:rPr>
          <w:rFonts w:ascii="Arial" w:cs="Arial" w:eastAsia="Arial" w:hAnsi="Arial"/>
          <w:sz w:val="13"/>
          <w:szCs w:val="13"/>
          <w:color w:val="auto"/>
          <w:strike w:val="1"/>
        </w:rPr>
        <w:t>Second</w:t>
      </w:r>
      <w:r>
        <w:rPr>
          <w:rFonts w:ascii="Arial" w:cs="Arial" w:eastAsia="Arial" w:hAnsi="Arial"/>
          <w:sz w:val="13"/>
          <w:szCs w:val="13"/>
          <w:color w:val="auto"/>
        </w:rPr>
        <w:t xml:space="preserve"> Restated Certificate of Incorporation was duly adopted by vote of the stockholders in accordance with Section 242 and 245 of the General Corporation Law of the State of Delaware.</w:t>
      </w:r>
    </w:p>
    <w:p>
      <w:pPr>
        <w:spacing w:after="0" w:line="25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jc w:val="right"/>
        <w:spacing w:after="0"/>
        <w:tabs>
          <w:tab w:leader="none" w:pos="1580" w:val="left"/>
          <w:tab w:leader="none" w:pos="1060" w:val="left"/>
          <w:tab w:leader="none" w:pos="20" w:val="left"/>
        </w:tabs>
        <w:rPr>
          <w:sz w:val="20"/>
          <w:szCs w:val="20"/>
          <w:color w:val="auto"/>
        </w:rPr>
      </w:pPr>
      <w:r>
        <w:rPr>
          <w:rFonts w:ascii="Arial" w:cs="Arial" w:eastAsia="Arial" w:hAnsi="Arial"/>
          <w:sz w:val="13"/>
          <w:szCs w:val="13"/>
          <w:color w:val="auto"/>
        </w:rPr>
        <w:t xml:space="preserve">IN WITNESS WHEREOF, WASTE MANAGEMENT, INC. has caused this </w:t>
      </w:r>
      <w:r>
        <w:rPr>
          <w:rFonts w:ascii="Arial" w:cs="Arial" w:eastAsia="Arial" w:hAnsi="Arial"/>
          <w:sz w:val="13"/>
          <w:szCs w:val="13"/>
          <w:u w:val="single" w:color="auto"/>
          <w:color w:val="auto"/>
        </w:rPr>
        <w:t>Third</w:t>
      </w:r>
      <w:r>
        <w:rPr>
          <w:rFonts w:ascii="Arial" w:cs="Arial" w:eastAsia="Arial" w:hAnsi="Arial"/>
          <w:sz w:val="13"/>
          <w:szCs w:val="13"/>
          <w:color w:val="auto"/>
        </w:rPr>
        <w:t xml:space="preserve"> Restated Certificate of Incorporation to be signed by</w:t>
      </w:r>
      <w:r>
        <w:rPr>
          <w:sz w:val="20"/>
          <w:szCs w:val="20"/>
          <w:color w:val="auto"/>
        </w:rPr>
        <w:tab/>
      </w:r>
      <w:r>
        <w:rPr>
          <w:rFonts w:ascii="Arial" w:cs="Arial" w:eastAsia="Arial" w:hAnsi="Arial"/>
          <w:sz w:val="13"/>
          <w:szCs w:val="13"/>
          <w:color w:val="auto"/>
        </w:rPr>
        <w:t>, its</w:t>
      </w:r>
      <w:r>
        <w:rPr>
          <w:sz w:val="20"/>
          <w:szCs w:val="20"/>
          <w:color w:val="auto"/>
        </w:rPr>
        <w:tab/>
      </w:r>
      <w:r>
        <w:rPr>
          <w:rFonts w:ascii="Arial" w:cs="Arial" w:eastAsia="Arial" w:hAnsi="Arial"/>
          <w:sz w:val="13"/>
          <w:szCs w:val="13"/>
          <w:color w:val="auto"/>
        </w:rPr>
        <w:t>, this  day of</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5342890</wp:posOffset>
            </wp:positionH>
            <wp:positionV relativeFrom="paragraph">
              <wp:posOffset>7620</wp:posOffset>
            </wp:positionV>
            <wp:extent cx="1228725"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28725" cy="6350"/>
                    </a:xfrm>
                    <a:prstGeom prst="rect">
                      <a:avLst/>
                    </a:prstGeom>
                    <a:noFill/>
                  </pic:spPr>
                </pic:pic>
              </a:graphicData>
            </a:graphic>
          </wp:anchor>
        </w:drawing>
      </w:r>
    </w:p>
    <w:p>
      <w:pPr>
        <w:spacing w:after="0" w:line="2" w:lineRule="exact"/>
        <w:rPr>
          <w:sz w:val="20"/>
          <w:szCs w:val="20"/>
          <w:color w:val="auto"/>
        </w:rPr>
      </w:pPr>
    </w:p>
    <w:p>
      <w:pPr>
        <w:ind w:left="680"/>
        <w:spacing w:after="0"/>
        <w:rPr>
          <w:sz w:val="20"/>
          <w:szCs w:val="20"/>
          <w:color w:val="auto"/>
        </w:rPr>
      </w:pPr>
      <w:r>
        <w:rPr>
          <w:rFonts w:ascii="Arial" w:cs="Arial" w:eastAsia="Arial" w:hAnsi="Arial"/>
          <w:sz w:val="13"/>
          <w:szCs w:val="13"/>
          <w:u w:val="single" w:color="auto"/>
          <w:color w:val="auto"/>
        </w:rPr>
        <w:t>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3321050</wp:posOffset>
            </wp:positionH>
            <wp:positionV relativeFrom="paragraph">
              <wp:posOffset>-87630</wp:posOffset>
            </wp:positionV>
            <wp:extent cx="191770"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91770" cy="6350"/>
                    </a:xfrm>
                    <a:prstGeom prst="rect">
                      <a:avLst/>
                    </a:prstGeom>
                    <a:noFill/>
                  </pic:spPr>
                </pic:pic>
              </a:graphicData>
            </a:graphic>
          </wp:anchor>
        </w:drawing>
        <w:drawing>
          <wp:anchor simplePos="0" relativeHeight="251657728" behindDoc="1" locked="0" layoutInCell="0" allowOverlap="1">
            <wp:simplePos x="0" y="0"/>
            <wp:positionH relativeFrom="column">
              <wp:posOffset>5342890</wp:posOffset>
            </wp:positionH>
            <wp:positionV relativeFrom="paragraph">
              <wp:posOffset>-87630</wp:posOffset>
            </wp:positionV>
            <wp:extent cx="1228725"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28725" cy="6350"/>
                    </a:xfrm>
                    <a:prstGeom prst="rect">
                      <a:avLst/>
                    </a:prstGeom>
                    <a:noFill/>
                  </pic:spPr>
                </pic:pic>
              </a:graphicData>
            </a:graphic>
          </wp:anchor>
        </w:drawing>
        <w:drawing>
          <wp:anchor simplePos="0" relativeHeight="251657728" behindDoc="1" locked="0" layoutInCell="0" allowOverlap="1">
            <wp:simplePos x="0" y="0"/>
            <wp:positionH relativeFrom="column">
              <wp:posOffset>435610</wp:posOffset>
            </wp:positionH>
            <wp:positionV relativeFrom="paragraph">
              <wp:posOffset>13970</wp:posOffset>
            </wp:positionV>
            <wp:extent cx="191770"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91770" cy="6350"/>
                    </a:xfrm>
                    <a:prstGeom prst="rect">
                      <a:avLst/>
                    </a:prstGeom>
                    <a:noFill/>
                  </pic:spPr>
                </pic:pic>
              </a:graphicData>
            </a:graphic>
          </wp:anchor>
        </w:drawing>
      </w:r>
    </w:p>
    <w:p>
      <w:pPr>
        <w:spacing w:after="0" w:line="314" w:lineRule="exact"/>
        <w:rPr>
          <w:sz w:val="20"/>
          <w:szCs w:val="20"/>
          <w:color w:val="auto"/>
        </w:rPr>
      </w:pPr>
    </w:p>
    <w:p>
      <w:pPr>
        <w:ind w:left="7240"/>
        <w:spacing w:after="0"/>
        <w:rPr>
          <w:sz w:val="20"/>
          <w:szCs w:val="20"/>
          <w:color w:val="auto"/>
        </w:rPr>
      </w:pPr>
      <w:r>
        <w:rPr>
          <w:rFonts w:ascii="Arial" w:cs="Arial" w:eastAsia="Arial" w:hAnsi="Arial"/>
          <w:sz w:val="13"/>
          <w:szCs w:val="13"/>
          <w:color w:val="auto"/>
        </w:rPr>
        <w:t>WASTE MANAGEMENT, INC.</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580"/>
        <w:spacing w:after="0"/>
        <w:rPr>
          <w:sz w:val="20"/>
          <w:szCs w:val="20"/>
          <w:color w:val="auto"/>
        </w:rPr>
      </w:pPr>
      <w:r>
        <w:rPr>
          <w:rFonts w:ascii="Arial" w:cs="Arial" w:eastAsia="Arial" w:hAnsi="Arial"/>
          <w:sz w:val="13"/>
          <w:szCs w:val="13"/>
          <w:u w:val="single" w:color="auto"/>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3538855</wp:posOffset>
            </wp:positionH>
            <wp:positionV relativeFrom="paragraph">
              <wp:posOffset>-93980</wp:posOffset>
            </wp:positionV>
            <wp:extent cx="3789045"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789045" cy="6350"/>
                    </a:xfrm>
                    <a:prstGeom prst="rect">
                      <a:avLst/>
                    </a:prstGeom>
                    <a:noFill/>
                  </pic:spPr>
                </pic:pic>
              </a:graphicData>
            </a:graphic>
          </wp:anchor>
        </w:drawing>
      </w:r>
    </w:p>
    <w:p>
      <w:pPr>
        <w:spacing w:after="0" w:line="2" w:lineRule="exact"/>
        <w:rPr>
          <w:sz w:val="20"/>
          <w:szCs w:val="20"/>
          <w:color w:val="auto"/>
        </w:rPr>
      </w:pPr>
    </w:p>
    <w:p>
      <w:pPr>
        <w:ind w:left="5580"/>
        <w:spacing w:after="0"/>
        <w:rPr>
          <w:sz w:val="20"/>
          <w:szCs w:val="20"/>
          <w:color w:val="auto"/>
        </w:rPr>
      </w:pPr>
      <w:r>
        <w:rPr>
          <w:rFonts w:ascii="Arial" w:cs="Arial" w:eastAsia="Arial" w:hAnsi="Arial"/>
          <w:sz w:val="13"/>
          <w:szCs w:val="13"/>
          <w:u w:val="single" w:color="auto"/>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3538855</wp:posOffset>
            </wp:positionH>
            <wp:positionV relativeFrom="paragraph">
              <wp:posOffset>-87630</wp:posOffset>
            </wp:positionV>
            <wp:extent cx="262255" cy="6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62255" cy="6350"/>
                    </a:xfrm>
                    <a:prstGeom prst="rect">
                      <a:avLst/>
                    </a:prstGeom>
                    <a:noFill/>
                  </pic:spPr>
                </pic:pic>
              </a:graphicData>
            </a:graphic>
          </wp:anchor>
        </w:drawing>
        <w:drawing>
          <wp:anchor simplePos="0" relativeHeight="251657728" behindDoc="1" locked="0" layoutInCell="0" allowOverlap="1">
            <wp:simplePos x="0" y="0"/>
            <wp:positionH relativeFrom="column">
              <wp:posOffset>3538855</wp:posOffset>
            </wp:positionH>
            <wp:positionV relativeFrom="paragraph">
              <wp:posOffset>13970</wp:posOffset>
            </wp:positionV>
            <wp:extent cx="217805"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17805" cy="6350"/>
                    </a:xfrm>
                    <a:prstGeom prst="rect">
                      <a:avLst/>
                    </a:prstGeom>
                    <a:noFill/>
                  </pic:spPr>
                </pic:pic>
              </a:graphicData>
            </a:graphic>
          </wp:anchor>
        </w:drawing>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360"/>
          </w:cols>
          <w:pgMar w:left="220" w:top="349" w:right="131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296545</wp:posOffset>
            </wp:positionV>
            <wp:extent cx="678180" cy="2368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8180" cy="236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60"/>
        <w:spacing w:after="0"/>
        <w:rPr>
          <w:sz w:val="20"/>
          <w:szCs w:val="20"/>
          <w:color w:val="auto"/>
        </w:rPr>
      </w:pPr>
      <w:r>
        <w:rPr>
          <w:rFonts w:ascii="Arial" w:cs="Arial" w:eastAsia="Arial" w:hAnsi="Arial"/>
          <w:sz w:val="11"/>
          <w:szCs w:val="11"/>
          <w:b w:val="1"/>
          <w:bCs w:val="1"/>
          <w:i w:val="1"/>
          <w:iCs w:val="1"/>
          <w:color w:val="auto"/>
        </w:rPr>
        <w:t>WASTE MANAGEMENT, INC.</w:t>
      </w:r>
    </w:p>
    <w:p>
      <w:pPr>
        <w:spacing w:after="0" w:line="29"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1001 FANNIN STREET</w:t>
      </w:r>
    </w:p>
    <w:p>
      <w:pPr>
        <w:spacing w:after="0" w:line="3"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SUITE 4000</w:t>
      </w:r>
    </w:p>
    <w:p>
      <w:pPr>
        <w:spacing w:after="0" w:line="3"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HOUSTON, TX 77002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 xml:space="preserve">VOTE BY INTERNET - </w:t>
      </w:r>
      <w:r>
        <w:rPr>
          <w:rFonts w:ascii="Arial" w:cs="Arial" w:eastAsia="Arial" w:hAnsi="Arial"/>
          <w:sz w:val="9"/>
          <w:szCs w:val="9"/>
          <w:b w:val="1"/>
          <w:bCs w:val="1"/>
          <w:u w:val="single" w:color="auto"/>
          <w:color w:val="auto"/>
        </w:rPr>
        <w:t>www.proxyvote.com</w:t>
      </w:r>
    </w:p>
    <w:p>
      <w:pPr>
        <w:spacing w:after="0" w:line="9" w:lineRule="exact"/>
        <w:rPr>
          <w:sz w:val="20"/>
          <w:szCs w:val="20"/>
          <w:color w:val="auto"/>
        </w:rPr>
      </w:pPr>
    </w:p>
    <w:p>
      <w:pPr>
        <w:jc w:val="both"/>
        <w:ind w:right="1120"/>
        <w:spacing w:after="0" w:line="244" w:lineRule="auto"/>
        <w:rPr>
          <w:sz w:val="20"/>
          <w:szCs w:val="20"/>
          <w:color w:val="auto"/>
        </w:rPr>
      </w:pPr>
      <w:r>
        <w:rPr>
          <w:rFonts w:ascii="Arial" w:cs="Arial" w:eastAsia="Arial" w:hAnsi="Arial"/>
          <w:sz w:val="9"/>
          <w:szCs w:val="9"/>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75"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ELECTRONIC DELIVERY OF FUTURE STOCKHOLDER COMMUNICATIONS</w:t>
      </w:r>
    </w:p>
    <w:p>
      <w:pPr>
        <w:spacing w:after="0" w:line="9" w:lineRule="exact"/>
        <w:rPr>
          <w:sz w:val="20"/>
          <w:szCs w:val="20"/>
          <w:color w:val="auto"/>
        </w:rPr>
      </w:pPr>
    </w:p>
    <w:p>
      <w:pPr>
        <w:jc w:val="both"/>
        <w:ind w:right="1120"/>
        <w:spacing w:after="0" w:line="241" w:lineRule="auto"/>
        <w:rPr>
          <w:sz w:val="20"/>
          <w:szCs w:val="20"/>
          <w:color w:val="auto"/>
        </w:rPr>
      </w:pPr>
      <w:r>
        <w:rPr>
          <w:rFonts w:ascii="Arial" w:cs="Arial" w:eastAsia="Arial" w:hAnsi="Arial"/>
          <w:sz w:val="9"/>
          <w:szCs w:val="9"/>
          <w:color w:val="auto"/>
        </w:rPr>
        <w:t>If you would like to reduce the costs incurred by Waste Management, Inc.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stockholder communications electronically in future years.</w:t>
      </w:r>
    </w:p>
    <w:p>
      <w:pPr>
        <w:spacing w:after="0" w:line="76"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VOTE BY PHONE - 1-800-690-6903</w:t>
      </w:r>
    </w:p>
    <w:p>
      <w:pPr>
        <w:spacing w:after="0" w:line="9" w:lineRule="exact"/>
        <w:rPr>
          <w:sz w:val="20"/>
          <w:szCs w:val="20"/>
          <w:color w:val="auto"/>
        </w:rPr>
      </w:pPr>
    </w:p>
    <w:p>
      <w:pPr>
        <w:jc w:val="both"/>
        <w:ind w:right="1120"/>
        <w:spacing w:after="0" w:line="255" w:lineRule="auto"/>
        <w:rPr>
          <w:sz w:val="20"/>
          <w:szCs w:val="20"/>
          <w:color w:val="auto"/>
        </w:rPr>
      </w:pPr>
      <w:r>
        <w:rPr>
          <w:rFonts w:ascii="Arial" w:cs="Arial" w:eastAsia="Arial" w:hAnsi="Arial"/>
          <w:sz w:val="9"/>
          <w:szCs w:val="9"/>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70"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VOTE BY MAIL</w:t>
      </w:r>
    </w:p>
    <w:p>
      <w:pPr>
        <w:spacing w:after="0" w:line="9" w:lineRule="exact"/>
        <w:rPr>
          <w:sz w:val="20"/>
          <w:szCs w:val="20"/>
          <w:color w:val="auto"/>
        </w:rPr>
      </w:pPr>
    </w:p>
    <w:p>
      <w:pPr>
        <w:jc w:val="both"/>
        <w:ind w:right="1120"/>
        <w:spacing w:after="0" w:line="255" w:lineRule="auto"/>
        <w:rPr>
          <w:sz w:val="20"/>
          <w:szCs w:val="20"/>
          <w:color w:val="auto"/>
        </w:rPr>
      </w:pPr>
      <w:r>
        <w:rPr>
          <w:rFonts w:ascii="Arial" w:cs="Arial" w:eastAsia="Arial" w:hAnsi="Arial"/>
          <w:sz w:val="9"/>
          <w:szCs w:val="9"/>
          <w:color w:val="auto"/>
        </w:rPr>
        <w:t>Mark, sign and date your proxy card and return it in the postage-paid envelope we have provided or return it to Waste Management, Inc., c/o Broadridge, 51 Mercedes Way, Edgewood, NY 11717.</w:t>
      </w:r>
    </w:p>
    <w:p>
      <w:pPr>
        <w:spacing w:after="0" w:line="200" w:lineRule="exact"/>
        <w:rPr>
          <w:sz w:val="20"/>
          <w:szCs w:val="20"/>
          <w:color w:val="auto"/>
        </w:rPr>
      </w:pPr>
    </w:p>
    <w:p>
      <w:pPr>
        <w:sectPr>
          <w:pgSz w:w="11900" w:h="16838" w:orient="portrait"/>
          <w:cols w:equalWidth="0" w:num="2">
            <w:col w:w="4140" w:space="720"/>
            <w:col w:w="6680"/>
          </w:cols>
          <w:pgMar w:left="220" w:top="349"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10" w:type="dxa"/>
        <w:tblCellMar>
          <w:top w:w="0" w:type="dxa"/>
          <w:left w:w="0" w:type="dxa"/>
          <w:bottom w:w="0" w:type="dxa"/>
          <w:right w:w="0" w:type="dxa"/>
        </w:tblCellMar>
      </w:tblPr>
      <w:tr>
        <w:trPr>
          <w:trHeight w:val="111"/>
        </w:trPr>
        <w:tc>
          <w:tcPr>
            <w:tcW w:w="4300" w:type="dxa"/>
            <w:vAlign w:val="bottom"/>
            <w:gridSpan w:val="6"/>
          </w:tcPr>
          <w:p>
            <w:pPr>
              <w:spacing w:after="0"/>
              <w:rPr>
                <w:sz w:val="20"/>
                <w:szCs w:val="20"/>
                <w:color w:val="auto"/>
              </w:rPr>
            </w:pPr>
            <w:r>
              <w:rPr>
                <w:rFonts w:ascii="Arial" w:cs="Arial" w:eastAsia="Arial" w:hAnsi="Arial"/>
                <w:sz w:val="9"/>
                <w:szCs w:val="9"/>
                <w:color w:val="auto"/>
              </w:rPr>
              <w:t>TO VOTE, MARK BLOCKS BELOW IN BLUE OR BLACK INK AS FOLLOWS:</w:t>
            </w: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740" w:type="dxa"/>
            <w:vAlign w:val="bottom"/>
          </w:tcPr>
          <w:p>
            <w:pPr>
              <w:ind w:left="860"/>
              <w:spacing w:after="0"/>
              <w:rPr>
                <w:sz w:val="20"/>
                <w:szCs w:val="20"/>
                <w:color w:val="auto"/>
              </w:rPr>
            </w:pPr>
            <w:r>
              <w:rPr>
                <w:rFonts w:ascii="Arial" w:cs="Arial" w:eastAsia="Arial" w:hAnsi="Arial"/>
                <w:sz w:val="9"/>
                <w:szCs w:val="9"/>
                <w:color w:val="auto"/>
              </w:rPr>
              <w:t>M20887-P89721</w:t>
            </w:r>
          </w:p>
        </w:tc>
        <w:tc>
          <w:tcPr>
            <w:tcW w:w="560" w:type="dxa"/>
            <w:vAlign w:val="bottom"/>
          </w:tcPr>
          <w:p>
            <w:pPr>
              <w:spacing w:after="0"/>
              <w:rPr>
                <w:sz w:val="9"/>
                <w:szCs w:val="9"/>
                <w:color w:val="auto"/>
              </w:rPr>
            </w:pPr>
          </w:p>
        </w:tc>
        <w:tc>
          <w:tcPr>
            <w:tcW w:w="2280" w:type="dxa"/>
            <w:vAlign w:val="bottom"/>
            <w:gridSpan w:val="6"/>
          </w:tcPr>
          <w:p>
            <w:pPr>
              <w:jc w:val="right"/>
              <w:ind w:right="80"/>
              <w:spacing w:after="0"/>
              <w:rPr>
                <w:sz w:val="20"/>
                <w:szCs w:val="20"/>
                <w:color w:val="auto"/>
              </w:rPr>
            </w:pPr>
            <w:r>
              <w:rPr>
                <w:rFonts w:ascii="Arial" w:cs="Arial" w:eastAsia="Arial" w:hAnsi="Arial"/>
                <w:sz w:val="9"/>
                <w:szCs w:val="9"/>
                <w:color w:val="auto"/>
              </w:rPr>
              <w:t>KEEP THIS PORTION FOR YOUR RECORDS</w:t>
            </w:r>
          </w:p>
        </w:tc>
        <w:tc>
          <w:tcPr>
            <w:tcW w:w="0" w:type="dxa"/>
            <w:vAlign w:val="bottom"/>
          </w:tcPr>
          <w:p>
            <w:pPr>
              <w:spacing w:after="0"/>
              <w:rPr>
                <w:sz w:val="1"/>
                <w:szCs w:val="1"/>
                <w:color w:val="auto"/>
              </w:rPr>
            </w:pPr>
          </w:p>
        </w:tc>
      </w:tr>
      <w:tr>
        <w:trPr>
          <w:trHeight w:val="113"/>
        </w:trPr>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360" w:type="dxa"/>
            <w:vAlign w:val="bottom"/>
            <w:gridSpan w:val="5"/>
            <w:vMerge w:val="restart"/>
          </w:tcPr>
          <w:p>
            <w:pPr>
              <w:ind w:left="760"/>
              <w:spacing w:after="0"/>
              <w:rPr>
                <w:sz w:val="20"/>
                <w:szCs w:val="20"/>
                <w:color w:val="auto"/>
              </w:rPr>
            </w:pPr>
            <w:r>
              <w:rPr>
                <w:rFonts w:ascii="Arial" w:cs="Arial" w:eastAsia="Arial" w:hAnsi="Arial"/>
                <w:sz w:val="11"/>
                <w:szCs w:val="11"/>
                <w:b w:val="1"/>
                <w:bCs w:val="1"/>
                <w:color w:val="auto"/>
              </w:rPr>
              <w:t>THIS PROXY CARD IS VALID ONLY WHEN SIGNED AND DATED.</w:t>
            </w:r>
          </w:p>
        </w:tc>
        <w:tc>
          <w:tcPr>
            <w:tcW w:w="560" w:type="dxa"/>
            <w:vAlign w:val="bottom"/>
          </w:tcPr>
          <w:p>
            <w:pPr>
              <w:spacing w:after="0"/>
              <w:rPr>
                <w:sz w:val="9"/>
                <w:szCs w:val="9"/>
                <w:color w:val="auto"/>
              </w:rPr>
            </w:pPr>
          </w:p>
        </w:tc>
        <w:tc>
          <w:tcPr>
            <w:tcW w:w="2280" w:type="dxa"/>
            <w:vAlign w:val="bottom"/>
            <w:gridSpan w:val="6"/>
          </w:tcPr>
          <w:p>
            <w:pPr>
              <w:jc w:val="right"/>
              <w:ind w:right="80"/>
              <w:spacing w:after="0"/>
              <w:rPr>
                <w:sz w:val="20"/>
                <w:szCs w:val="20"/>
                <w:color w:val="auto"/>
              </w:rPr>
            </w:pPr>
            <w:r>
              <w:rPr>
                <w:rFonts w:ascii="Arial" w:cs="Arial" w:eastAsia="Arial" w:hAnsi="Arial"/>
                <w:sz w:val="9"/>
                <w:szCs w:val="9"/>
                <w:color w:val="auto"/>
              </w:rPr>
              <w:t>DETACH AND RETURN THIS PORTION ONLY</w:t>
            </w:r>
          </w:p>
        </w:tc>
        <w:tc>
          <w:tcPr>
            <w:tcW w:w="0" w:type="dxa"/>
            <w:vAlign w:val="bottom"/>
          </w:tcPr>
          <w:p>
            <w:pPr>
              <w:spacing w:after="0"/>
              <w:rPr>
                <w:sz w:val="1"/>
                <w:szCs w:val="1"/>
                <w:color w:val="auto"/>
              </w:rPr>
            </w:pPr>
          </w:p>
        </w:tc>
      </w:tr>
      <w:tr>
        <w:trPr>
          <w:trHeight w:val="125"/>
        </w:trPr>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360" w:type="dxa"/>
            <w:vAlign w:val="bottom"/>
            <w:gridSpan w:val="5"/>
            <w:vMerge w:val="continue"/>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
        </w:trPr>
        <w:tc>
          <w:tcPr>
            <w:tcW w:w="240" w:type="dxa"/>
            <w:vAlign w:val="bottom"/>
            <w:tcBorders>
              <w:bottom w:val="single" w:sz="8" w:color="auto"/>
            </w:tcBorders>
          </w:tcPr>
          <w:p>
            <w:pPr>
              <w:spacing w:after="0"/>
              <w:rPr>
                <w:sz w:val="4"/>
                <w:szCs w:val="4"/>
                <w:color w:val="auto"/>
              </w:rPr>
            </w:pPr>
          </w:p>
        </w:tc>
        <w:tc>
          <w:tcPr>
            <w:tcW w:w="2520" w:type="dxa"/>
            <w:vAlign w:val="bottom"/>
            <w:tcBorders>
              <w:bottom w:val="single" w:sz="8" w:color="auto"/>
            </w:tcBorders>
            <w:gridSpan w:val="3"/>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7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9"/>
        </w:trPr>
        <w:tc>
          <w:tcPr>
            <w:tcW w:w="2760" w:type="dxa"/>
            <w:vAlign w:val="bottom"/>
            <w:tcBorders>
              <w:left w:val="single" w:sz="8" w:color="auto"/>
            </w:tcBorders>
            <w:gridSpan w:val="4"/>
          </w:tcPr>
          <w:p>
            <w:pPr>
              <w:ind w:left="80"/>
              <w:spacing w:after="0"/>
              <w:rPr>
                <w:sz w:val="20"/>
                <w:szCs w:val="20"/>
                <w:color w:val="auto"/>
              </w:rPr>
            </w:pPr>
            <w:r>
              <w:rPr>
                <w:rFonts w:ascii="Arial" w:cs="Arial" w:eastAsia="Arial" w:hAnsi="Arial"/>
                <w:sz w:val="9"/>
                <w:szCs w:val="9"/>
                <w:b w:val="1"/>
                <w:bCs w:val="1"/>
                <w:color w:val="auto"/>
              </w:rPr>
              <w:t>WASTE MANAGEMENT, INC.</w:t>
            </w:r>
          </w:p>
        </w:tc>
        <w:tc>
          <w:tcPr>
            <w:tcW w:w="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40" w:type="dxa"/>
            <w:vAlign w:val="bottom"/>
            <w:tcBorders>
              <w:left w:val="single" w:sz="8" w:color="auto"/>
            </w:tcBorders>
          </w:tcPr>
          <w:p>
            <w:pPr>
              <w:spacing w:after="0"/>
              <w:rPr>
                <w:sz w:val="2"/>
                <w:szCs w:val="2"/>
                <w:color w:val="auto"/>
              </w:rPr>
            </w:pPr>
          </w:p>
        </w:tc>
        <w:tc>
          <w:tcPr>
            <w:tcW w:w="2520" w:type="dxa"/>
            <w:vAlign w:val="bottom"/>
            <w:gridSpan w:val="3"/>
            <w:vMerge w:val="restart"/>
          </w:tcPr>
          <w:p>
            <w:pPr>
              <w:ind w:left="60"/>
              <w:spacing w:after="0"/>
              <w:rPr>
                <w:sz w:val="20"/>
                <w:szCs w:val="20"/>
                <w:color w:val="auto"/>
              </w:rPr>
            </w:pPr>
            <w:r>
              <w:rPr>
                <w:rFonts w:ascii="Arial" w:cs="Arial" w:eastAsia="Arial" w:hAnsi="Arial"/>
                <w:sz w:val="9"/>
                <w:szCs w:val="9"/>
                <w:b w:val="1"/>
                <w:bCs w:val="1"/>
                <w:color w:val="auto"/>
              </w:rPr>
              <w:t>Vote On Directors</w:t>
            </w: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240" w:type="dxa"/>
            <w:vAlign w:val="bottom"/>
            <w:tcBorders>
              <w:left w:val="single" w:sz="8" w:color="auto"/>
            </w:tcBorders>
          </w:tcPr>
          <w:p>
            <w:pPr>
              <w:spacing w:after="0"/>
              <w:rPr>
                <w:sz w:val="22"/>
                <w:szCs w:val="22"/>
                <w:color w:val="auto"/>
              </w:rPr>
            </w:pPr>
          </w:p>
        </w:tc>
        <w:tc>
          <w:tcPr>
            <w:tcW w:w="2520" w:type="dxa"/>
            <w:vAlign w:val="bottom"/>
            <w:gridSpan w:val="3"/>
            <w:vMerge w:val="continue"/>
          </w:tcPr>
          <w:p>
            <w:pPr>
              <w:spacing w:after="0"/>
              <w:rPr>
                <w:sz w:val="22"/>
                <w:szCs w:val="22"/>
                <w:color w:val="auto"/>
              </w:rPr>
            </w:pPr>
          </w:p>
        </w:tc>
        <w:tc>
          <w:tcPr>
            <w:tcW w:w="5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6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520" w:type="dxa"/>
            <w:vAlign w:val="bottom"/>
            <w:tcBorders>
              <w:left w:val="single" w:sz="8" w:color="auto"/>
            </w:tcBorders>
            <w:gridSpan w:val="2"/>
          </w:tcPr>
          <w:p>
            <w:pPr>
              <w:ind w:left="300"/>
              <w:spacing w:after="0"/>
              <w:rPr>
                <w:sz w:val="20"/>
                <w:szCs w:val="20"/>
                <w:color w:val="auto"/>
              </w:rPr>
            </w:pPr>
            <w:r>
              <w:rPr>
                <w:rFonts w:ascii="Arial" w:cs="Arial" w:eastAsia="Arial" w:hAnsi="Arial"/>
                <w:sz w:val="9"/>
                <w:szCs w:val="9"/>
                <w:color w:val="auto"/>
              </w:rPr>
              <w:t>1.</w:t>
            </w:r>
          </w:p>
        </w:tc>
        <w:tc>
          <w:tcPr>
            <w:tcW w:w="2240" w:type="dxa"/>
            <w:vAlign w:val="bottom"/>
            <w:gridSpan w:val="2"/>
          </w:tcPr>
          <w:p>
            <w:pPr>
              <w:ind w:left="120"/>
              <w:spacing w:after="0"/>
              <w:rPr>
                <w:sz w:val="20"/>
                <w:szCs w:val="20"/>
                <w:color w:val="auto"/>
              </w:rPr>
            </w:pPr>
            <w:r>
              <w:rPr>
                <w:rFonts w:ascii="Arial" w:cs="Arial" w:eastAsia="Arial" w:hAnsi="Arial"/>
                <w:sz w:val="9"/>
                <w:szCs w:val="9"/>
                <w:color w:val="auto"/>
              </w:rPr>
              <w:t>Proposal to elect</w:t>
            </w:r>
          </w:p>
        </w:tc>
        <w:tc>
          <w:tcPr>
            <w:tcW w:w="580" w:type="dxa"/>
            <w:vAlign w:val="bottom"/>
          </w:tcPr>
          <w:p>
            <w:pPr>
              <w:spacing w:after="0"/>
              <w:rPr>
                <w:sz w:val="16"/>
                <w:szCs w:val="16"/>
                <w:color w:val="auto"/>
              </w:rPr>
            </w:pPr>
          </w:p>
        </w:tc>
        <w:tc>
          <w:tcPr>
            <w:tcW w:w="960" w:type="dxa"/>
            <w:vAlign w:val="bottom"/>
          </w:tcPr>
          <w:p>
            <w:pPr>
              <w:jc w:val="center"/>
              <w:ind w:left="592"/>
              <w:spacing w:after="0"/>
              <w:rPr>
                <w:sz w:val="20"/>
                <w:szCs w:val="20"/>
                <w:color w:val="auto"/>
              </w:rPr>
            </w:pPr>
            <w:r>
              <w:rPr>
                <w:rFonts w:ascii="Arial" w:cs="Arial" w:eastAsia="Arial" w:hAnsi="Arial"/>
                <w:sz w:val="9"/>
                <w:szCs w:val="9"/>
                <w:b w:val="1"/>
                <w:bCs w:val="1"/>
                <w:color w:val="auto"/>
              </w:rPr>
              <w:t>For</w:t>
            </w:r>
          </w:p>
        </w:tc>
        <w:tc>
          <w:tcPr>
            <w:tcW w:w="520" w:type="dxa"/>
            <w:vAlign w:val="bottom"/>
          </w:tcPr>
          <w:p>
            <w:pPr>
              <w:jc w:val="center"/>
              <w:spacing w:after="0"/>
              <w:rPr>
                <w:sz w:val="20"/>
                <w:szCs w:val="20"/>
                <w:color w:val="auto"/>
              </w:rPr>
            </w:pPr>
            <w:r>
              <w:rPr>
                <w:rFonts w:ascii="Arial" w:cs="Arial" w:eastAsia="Arial" w:hAnsi="Arial"/>
                <w:sz w:val="9"/>
                <w:szCs w:val="9"/>
                <w:b w:val="1"/>
                <w:bCs w:val="1"/>
                <w:color w:val="auto"/>
              </w:rPr>
              <w:t>Against</w:t>
            </w:r>
          </w:p>
        </w:tc>
        <w:tc>
          <w:tcPr>
            <w:tcW w:w="540" w:type="dxa"/>
            <w:vAlign w:val="bottom"/>
          </w:tcPr>
          <w:p>
            <w:pPr>
              <w:jc w:val="center"/>
              <w:spacing w:after="0"/>
              <w:rPr>
                <w:sz w:val="20"/>
                <w:szCs w:val="20"/>
                <w:color w:val="auto"/>
              </w:rPr>
            </w:pPr>
            <w:r>
              <w:rPr>
                <w:rFonts w:ascii="Arial" w:cs="Arial" w:eastAsia="Arial" w:hAnsi="Arial"/>
                <w:sz w:val="9"/>
                <w:szCs w:val="9"/>
                <w:b w:val="1"/>
                <w:bCs w:val="1"/>
                <w:color w:val="auto"/>
              </w:rPr>
              <w:t>Abstain</w:t>
            </w:r>
          </w:p>
        </w:tc>
        <w:tc>
          <w:tcPr>
            <w:tcW w:w="6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240" w:type="dxa"/>
            <w:vAlign w:val="bottom"/>
            <w:tcBorders>
              <w:lef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240" w:type="dxa"/>
            <w:vAlign w:val="bottom"/>
            <w:gridSpan w:val="2"/>
          </w:tcPr>
          <w:p>
            <w:pPr>
              <w:ind w:left="120"/>
              <w:spacing w:after="0"/>
              <w:rPr>
                <w:sz w:val="20"/>
                <w:szCs w:val="20"/>
                <w:color w:val="auto"/>
              </w:rPr>
            </w:pPr>
            <w:r>
              <w:rPr>
                <w:rFonts w:ascii="Arial" w:cs="Arial" w:eastAsia="Arial" w:hAnsi="Arial"/>
                <w:sz w:val="9"/>
                <w:szCs w:val="9"/>
                <w:color w:val="auto"/>
              </w:rPr>
              <w:t>1a.  Pastora San Juan Cafferty</w:t>
            </w:r>
          </w:p>
        </w:tc>
        <w:tc>
          <w:tcPr>
            <w:tcW w:w="580" w:type="dxa"/>
            <w:vAlign w:val="bottom"/>
          </w:tcPr>
          <w:p>
            <w:pPr>
              <w:spacing w:after="0"/>
              <w:rPr>
                <w:sz w:val="13"/>
                <w:szCs w:val="13"/>
                <w:color w:val="auto"/>
              </w:rPr>
            </w:pPr>
          </w:p>
        </w:tc>
        <w:tc>
          <w:tcPr>
            <w:tcW w:w="960" w:type="dxa"/>
            <w:vAlign w:val="bottom"/>
          </w:tcPr>
          <w:p>
            <w:pPr>
              <w:jc w:val="center"/>
              <w:ind w:left="592"/>
              <w:spacing w:after="0"/>
              <w:rPr>
                <w:sz w:val="20"/>
                <w:szCs w:val="20"/>
                <w:color w:val="auto"/>
              </w:rPr>
            </w:pPr>
            <w:r>
              <w:rPr>
                <w:rFonts w:ascii="Arial" w:cs="Arial" w:eastAsia="Arial" w:hAnsi="Arial"/>
                <w:sz w:val="9"/>
                <w:szCs w:val="9"/>
                <w:color w:val="auto"/>
                <w:w w:val="78"/>
              </w:rPr>
              <w:t>o</w:t>
            </w:r>
          </w:p>
        </w:tc>
        <w:tc>
          <w:tcPr>
            <w:tcW w:w="520" w:type="dxa"/>
            <w:vAlign w:val="bottom"/>
          </w:tcPr>
          <w:p>
            <w:pPr>
              <w:jc w:val="center"/>
              <w:spacing w:after="0"/>
              <w:rPr>
                <w:sz w:val="20"/>
                <w:szCs w:val="20"/>
                <w:color w:val="auto"/>
              </w:rPr>
            </w:pPr>
            <w:r>
              <w:rPr>
                <w:rFonts w:ascii="Arial" w:cs="Arial" w:eastAsia="Arial" w:hAnsi="Arial"/>
                <w:sz w:val="9"/>
                <w:szCs w:val="9"/>
                <w:color w:val="auto"/>
                <w:w w:val="78"/>
              </w:rPr>
              <w:t>o</w:t>
            </w:r>
          </w:p>
        </w:tc>
        <w:tc>
          <w:tcPr>
            <w:tcW w:w="540" w:type="dxa"/>
            <w:vAlign w:val="bottom"/>
          </w:tcPr>
          <w:p>
            <w:pPr>
              <w:jc w:val="center"/>
              <w:spacing w:after="0"/>
              <w:rPr>
                <w:sz w:val="20"/>
                <w:szCs w:val="20"/>
                <w:color w:val="auto"/>
              </w:rPr>
            </w:pPr>
            <w:r>
              <w:rPr>
                <w:rFonts w:ascii="Arial" w:cs="Arial" w:eastAsia="Arial" w:hAnsi="Arial"/>
                <w:sz w:val="9"/>
                <w:szCs w:val="9"/>
                <w:color w:val="auto"/>
              </w:rPr>
              <w:t>o</w:t>
            </w:r>
          </w:p>
        </w:tc>
        <w:tc>
          <w:tcPr>
            <w:tcW w:w="60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40" w:type="dxa"/>
            <w:vAlign w:val="bottom"/>
            <w:tcBorders>
              <w:lef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2"/>
          </w:tcPr>
          <w:p>
            <w:pPr>
              <w:ind w:left="120"/>
              <w:spacing w:after="0"/>
              <w:rPr>
                <w:sz w:val="20"/>
                <w:szCs w:val="20"/>
                <w:color w:val="auto"/>
              </w:rPr>
            </w:pPr>
            <w:r>
              <w:rPr>
                <w:rFonts w:ascii="Arial" w:cs="Arial" w:eastAsia="Arial" w:hAnsi="Arial"/>
                <w:sz w:val="9"/>
                <w:szCs w:val="9"/>
                <w:color w:val="auto"/>
              </w:rPr>
              <w:t>1b.  Frank M. Clark, Jr.</w:t>
            </w:r>
          </w:p>
        </w:tc>
        <w:tc>
          <w:tcPr>
            <w:tcW w:w="580" w:type="dxa"/>
            <w:vAlign w:val="bottom"/>
          </w:tcPr>
          <w:p>
            <w:pPr>
              <w:spacing w:after="0"/>
              <w:rPr>
                <w:sz w:val="16"/>
                <w:szCs w:val="16"/>
                <w:color w:val="auto"/>
              </w:rPr>
            </w:pPr>
          </w:p>
        </w:tc>
        <w:tc>
          <w:tcPr>
            <w:tcW w:w="960" w:type="dxa"/>
            <w:vAlign w:val="bottom"/>
          </w:tcPr>
          <w:p>
            <w:pPr>
              <w:jc w:val="center"/>
              <w:ind w:left="592"/>
              <w:spacing w:after="0"/>
              <w:rPr>
                <w:sz w:val="20"/>
                <w:szCs w:val="20"/>
                <w:color w:val="auto"/>
              </w:rPr>
            </w:pPr>
            <w:r>
              <w:rPr>
                <w:rFonts w:ascii="Arial" w:cs="Arial" w:eastAsia="Arial" w:hAnsi="Arial"/>
                <w:sz w:val="9"/>
                <w:szCs w:val="9"/>
                <w:color w:val="auto"/>
                <w:w w:val="78"/>
              </w:rPr>
              <w:t>o</w:t>
            </w:r>
          </w:p>
        </w:tc>
        <w:tc>
          <w:tcPr>
            <w:tcW w:w="520" w:type="dxa"/>
            <w:vAlign w:val="bottom"/>
          </w:tcPr>
          <w:p>
            <w:pPr>
              <w:jc w:val="center"/>
              <w:spacing w:after="0"/>
              <w:rPr>
                <w:sz w:val="20"/>
                <w:szCs w:val="20"/>
                <w:color w:val="auto"/>
              </w:rPr>
            </w:pPr>
            <w:r>
              <w:rPr>
                <w:rFonts w:ascii="Arial" w:cs="Arial" w:eastAsia="Arial" w:hAnsi="Arial"/>
                <w:sz w:val="9"/>
                <w:szCs w:val="9"/>
                <w:color w:val="auto"/>
                <w:w w:val="78"/>
              </w:rPr>
              <w:t>o</w:t>
            </w:r>
          </w:p>
        </w:tc>
        <w:tc>
          <w:tcPr>
            <w:tcW w:w="540" w:type="dxa"/>
            <w:vAlign w:val="bottom"/>
          </w:tcPr>
          <w:p>
            <w:pPr>
              <w:jc w:val="center"/>
              <w:spacing w:after="0"/>
              <w:rPr>
                <w:sz w:val="20"/>
                <w:szCs w:val="20"/>
                <w:color w:val="auto"/>
              </w:rPr>
            </w:pPr>
            <w:r>
              <w:rPr>
                <w:rFonts w:ascii="Arial" w:cs="Arial" w:eastAsia="Arial" w:hAnsi="Arial"/>
                <w:sz w:val="9"/>
                <w:szCs w:val="9"/>
                <w:color w:val="auto"/>
              </w:rPr>
              <w:t>o</w:t>
            </w:r>
          </w:p>
        </w:tc>
        <w:tc>
          <w:tcPr>
            <w:tcW w:w="3340" w:type="dxa"/>
            <w:vAlign w:val="bottom"/>
            <w:gridSpan w:val="2"/>
          </w:tcPr>
          <w:p>
            <w:pPr>
              <w:ind w:left="80"/>
              <w:spacing w:after="0"/>
              <w:rPr>
                <w:sz w:val="20"/>
                <w:szCs w:val="20"/>
                <w:color w:val="auto"/>
              </w:rPr>
            </w:pPr>
            <w:r>
              <w:rPr>
                <w:rFonts w:ascii="Arial" w:cs="Arial" w:eastAsia="Arial" w:hAnsi="Arial"/>
                <w:sz w:val="9"/>
                <w:szCs w:val="9"/>
                <w:color w:val="auto"/>
              </w:rPr>
              <w:t>Vote on Proposals</w:t>
            </w: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jc w:val="center"/>
              <w:ind w:right="53"/>
              <w:spacing w:after="0"/>
              <w:rPr>
                <w:sz w:val="20"/>
                <w:szCs w:val="20"/>
                <w:color w:val="auto"/>
              </w:rPr>
            </w:pPr>
            <w:r>
              <w:rPr>
                <w:rFonts w:ascii="Arial" w:cs="Arial" w:eastAsia="Arial" w:hAnsi="Arial"/>
                <w:sz w:val="9"/>
                <w:szCs w:val="9"/>
                <w:b w:val="1"/>
                <w:bCs w:val="1"/>
                <w:color w:val="auto"/>
                <w:w w:val="96"/>
              </w:rPr>
              <w:t>For</w:t>
            </w:r>
          </w:p>
        </w:tc>
        <w:tc>
          <w:tcPr>
            <w:tcW w:w="600" w:type="dxa"/>
            <w:vAlign w:val="bottom"/>
          </w:tcPr>
          <w:p>
            <w:pPr>
              <w:jc w:val="right"/>
              <w:ind w:right="53"/>
              <w:spacing w:after="0"/>
              <w:rPr>
                <w:sz w:val="20"/>
                <w:szCs w:val="20"/>
                <w:color w:val="auto"/>
              </w:rPr>
            </w:pPr>
            <w:r>
              <w:rPr>
                <w:rFonts w:ascii="Arial" w:cs="Arial" w:eastAsia="Arial" w:hAnsi="Arial"/>
                <w:sz w:val="9"/>
                <w:szCs w:val="9"/>
                <w:b w:val="1"/>
                <w:bCs w:val="1"/>
                <w:color w:val="auto"/>
              </w:rPr>
              <w:t>Against</w:t>
            </w:r>
          </w:p>
        </w:tc>
        <w:tc>
          <w:tcPr>
            <w:tcW w:w="560" w:type="dxa"/>
            <w:vAlign w:val="bottom"/>
          </w:tcPr>
          <w:p>
            <w:pPr>
              <w:jc w:val="center"/>
              <w:spacing w:after="0"/>
              <w:rPr>
                <w:sz w:val="20"/>
                <w:szCs w:val="20"/>
                <w:color w:val="auto"/>
              </w:rPr>
            </w:pPr>
            <w:r>
              <w:rPr>
                <w:rFonts w:ascii="Arial" w:cs="Arial" w:eastAsia="Arial" w:hAnsi="Arial"/>
                <w:sz w:val="9"/>
                <w:szCs w:val="9"/>
                <w:b w:val="1"/>
                <w:bCs w:val="1"/>
                <w:color w:val="auto"/>
              </w:rPr>
              <w:t>Abstain</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40" w:type="dxa"/>
            <w:vAlign w:val="bottom"/>
            <w:tcBorders>
              <w:lef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ind w:left="120"/>
              <w:spacing w:after="0"/>
              <w:rPr>
                <w:sz w:val="20"/>
                <w:szCs w:val="20"/>
                <w:color w:val="auto"/>
              </w:rPr>
            </w:pPr>
            <w:r>
              <w:rPr>
                <w:rFonts w:ascii="Arial" w:cs="Arial" w:eastAsia="Arial" w:hAnsi="Arial"/>
                <w:sz w:val="9"/>
                <w:szCs w:val="9"/>
                <w:color w:val="auto"/>
              </w:rPr>
              <w:t>1c.</w:t>
            </w:r>
          </w:p>
        </w:tc>
        <w:tc>
          <w:tcPr>
            <w:tcW w:w="1940" w:type="dxa"/>
            <w:vAlign w:val="bottom"/>
          </w:tcPr>
          <w:p>
            <w:pPr>
              <w:ind w:left="60"/>
              <w:spacing w:after="0"/>
              <w:rPr>
                <w:sz w:val="20"/>
                <w:szCs w:val="20"/>
                <w:color w:val="auto"/>
              </w:rPr>
            </w:pPr>
            <w:r>
              <w:rPr>
                <w:rFonts w:ascii="Arial" w:cs="Arial" w:eastAsia="Arial" w:hAnsi="Arial"/>
                <w:sz w:val="9"/>
                <w:szCs w:val="9"/>
                <w:color w:val="auto"/>
              </w:rPr>
              <w:t>Patrick W. Gross</w:t>
            </w:r>
          </w:p>
        </w:tc>
        <w:tc>
          <w:tcPr>
            <w:tcW w:w="580" w:type="dxa"/>
            <w:vAlign w:val="bottom"/>
          </w:tcPr>
          <w:p>
            <w:pPr>
              <w:spacing w:after="0"/>
              <w:rPr>
                <w:sz w:val="15"/>
                <w:szCs w:val="15"/>
                <w:color w:val="auto"/>
              </w:rPr>
            </w:pPr>
          </w:p>
        </w:tc>
        <w:tc>
          <w:tcPr>
            <w:tcW w:w="960" w:type="dxa"/>
            <w:vAlign w:val="bottom"/>
          </w:tcPr>
          <w:p>
            <w:pPr>
              <w:jc w:val="center"/>
              <w:ind w:left="592"/>
              <w:spacing w:after="0"/>
              <w:rPr>
                <w:sz w:val="20"/>
                <w:szCs w:val="20"/>
                <w:color w:val="auto"/>
              </w:rPr>
            </w:pPr>
            <w:r>
              <w:rPr>
                <w:rFonts w:ascii="Arial" w:cs="Arial" w:eastAsia="Arial" w:hAnsi="Arial"/>
                <w:sz w:val="9"/>
                <w:szCs w:val="9"/>
                <w:color w:val="auto"/>
                <w:w w:val="78"/>
              </w:rPr>
              <w:t>o</w:t>
            </w:r>
          </w:p>
        </w:tc>
        <w:tc>
          <w:tcPr>
            <w:tcW w:w="520" w:type="dxa"/>
            <w:vAlign w:val="bottom"/>
          </w:tcPr>
          <w:p>
            <w:pPr>
              <w:jc w:val="center"/>
              <w:spacing w:after="0"/>
              <w:rPr>
                <w:sz w:val="20"/>
                <w:szCs w:val="20"/>
                <w:color w:val="auto"/>
              </w:rPr>
            </w:pPr>
            <w:r>
              <w:rPr>
                <w:rFonts w:ascii="Arial" w:cs="Arial" w:eastAsia="Arial" w:hAnsi="Arial"/>
                <w:sz w:val="9"/>
                <w:szCs w:val="9"/>
                <w:color w:val="auto"/>
                <w:w w:val="78"/>
              </w:rPr>
              <w:t>o</w:t>
            </w:r>
          </w:p>
        </w:tc>
        <w:tc>
          <w:tcPr>
            <w:tcW w:w="540" w:type="dxa"/>
            <w:vAlign w:val="bottom"/>
          </w:tcPr>
          <w:p>
            <w:pPr>
              <w:jc w:val="center"/>
              <w:spacing w:after="0"/>
              <w:rPr>
                <w:sz w:val="20"/>
                <w:szCs w:val="20"/>
                <w:color w:val="auto"/>
              </w:rPr>
            </w:pPr>
            <w:r>
              <w:rPr>
                <w:rFonts w:ascii="Arial" w:cs="Arial" w:eastAsia="Arial" w:hAnsi="Arial"/>
                <w:sz w:val="9"/>
                <w:szCs w:val="9"/>
                <w:color w:val="auto"/>
              </w:rPr>
              <w:t>o</w:t>
            </w:r>
          </w:p>
        </w:tc>
        <w:tc>
          <w:tcPr>
            <w:tcW w:w="4560" w:type="dxa"/>
            <w:vAlign w:val="bottom"/>
            <w:gridSpan w:val="4"/>
          </w:tcPr>
          <w:p>
            <w:pPr>
              <w:ind w:left="80"/>
              <w:spacing w:after="0"/>
              <w:rPr>
                <w:sz w:val="20"/>
                <w:szCs w:val="20"/>
                <w:color w:val="auto"/>
              </w:rPr>
            </w:pPr>
            <w:r>
              <w:rPr>
                <w:rFonts w:ascii="Arial" w:cs="Arial" w:eastAsia="Arial" w:hAnsi="Arial"/>
                <w:sz w:val="9"/>
                <w:szCs w:val="9"/>
                <w:color w:val="auto"/>
              </w:rPr>
              <w:t>2.Proposal to ratify the appointment of Ernst &amp; Young LLP as the independent registered public</w:t>
            </w:r>
          </w:p>
        </w:tc>
        <w:tc>
          <w:tcPr>
            <w:tcW w:w="280" w:type="dxa"/>
            <w:vAlign w:val="bottom"/>
          </w:tcPr>
          <w:p>
            <w:pPr>
              <w:jc w:val="center"/>
              <w:ind w:right="53"/>
              <w:spacing w:after="0"/>
              <w:rPr>
                <w:sz w:val="20"/>
                <w:szCs w:val="20"/>
                <w:color w:val="auto"/>
              </w:rPr>
            </w:pPr>
            <w:r>
              <w:rPr>
                <w:rFonts w:ascii="Arial" w:cs="Arial" w:eastAsia="Arial" w:hAnsi="Arial"/>
                <w:sz w:val="9"/>
                <w:szCs w:val="9"/>
                <w:color w:val="auto"/>
              </w:rPr>
              <w:t>o</w:t>
            </w:r>
          </w:p>
        </w:tc>
        <w:tc>
          <w:tcPr>
            <w:tcW w:w="600" w:type="dxa"/>
            <w:vAlign w:val="bottom"/>
          </w:tcPr>
          <w:p>
            <w:pPr>
              <w:jc w:val="right"/>
              <w:ind w:right="173"/>
              <w:spacing w:after="0"/>
              <w:rPr>
                <w:sz w:val="20"/>
                <w:szCs w:val="20"/>
                <w:color w:val="auto"/>
              </w:rPr>
            </w:pPr>
            <w:r>
              <w:rPr>
                <w:rFonts w:ascii="Arial" w:cs="Arial" w:eastAsia="Arial" w:hAnsi="Arial"/>
                <w:sz w:val="9"/>
                <w:szCs w:val="9"/>
                <w:color w:val="auto"/>
              </w:rPr>
              <w:t>o</w:t>
            </w:r>
          </w:p>
        </w:tc>
        <w:tc>
          <w:tcPr>
            <w:tcW w:w="560" w:type="dxa"/>
            <w:vAlign w:val="bottom"/>
          </w:tcPr>
          <w:p>
            <w:pPr>
              <w:jc w:val="center"/>
              <w:spacing w:after="0"/>
              <w:rPr>
                <w:sz w:val="20"/>
                <w:szCs w:val="20"/>
                <w:color w:val="auto"/>
              </w:rPr>
            </w:pPr>
            <w:r>
              <w:rPr>
                <w:rFonts w:ascii="Arial" w:cs="Arial" w:eastAsia="Arial" w:hAnsi="Arial"/>
                <w:sz w:val="9"/>
                <w:szCs w:val="9"/>
                <w:color w:val="auto"/>
                <w:w w:val="78"/>
              </w:rPr>
              <w:t>o</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40" w:type="dxa"/>
            <w:vAlign w:val="bottom"/>
            <w:tcBorders>
              <w:left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vMerge w:val="restart"/>
          </w:tcPr>
          <w:p>
            <w:pPr>
              <w:ind w:left="120"/>
              <w:spacing w:after="0"/>
              <w:rPr>
                <w:sz w:val="20"/>
                <w:szCs w:val="20"/>
                <w:color w:val="auto"/>
              </w:rPr>
            </w:pPr>
            <w:r>
              <w:rPr>
                <w:rFonts w:ascii="Arial" w:cs="Arial" w:eastAsia="Arial" w:hAnsi="Arial"/>
                <w:sz w:val="9"/>
                <w:szCs w:val="9"/>
                <w:color w:val="auto"/>
              </w:rPr>
              <w:t>1d.</w:t>
            </w:r>
          </w:p>
        </w:tc>
        <w:tc>
          <w:tcPr>
            <w:tcW w:w="1940" w:type="dxa"/>
            <w:vAlign w:val="bottom"/>
            <w:vMerge w:val="restart"/>
          </w:tcPr>
          <w:p>
            <w:pPr>
              <w:ind w:left="60"/>
              <w:spacing w:after="0"/>
              <w:rPr>
                <w:sz w:val="20"/>
                <w:szCs w:val="20"/>
                <w:color w:val="auto"/>
              </w:rPr>
            </w:pPr>
            <w:r>
              <w:rPr>
                <w:rFonts w:ascii="Arial" w:cs="Arial" w:eastAsia="Arial" w:hAnsi="Arial"/>
                <w:sz w:val="9"/>
                <w:szCs w:val="9"/>
                <w:color w:val="auto"/>
              </w:rPr>
              <w:t>John C. Pope</w:t>
            </w:r>
          </w:p>
        </w:tc>
        <w:tc>
          <w:tcPr>
            <w:tcW w:w="580" w:type="dxa"/>
            <w:vAlign w:val="bottom"/>
          </w:tcPr>
          <w:p>
            <w:pPr>
              <w:spacing w:after="0"/>
              <w:rPr>
                <w:sz w:val="9"/>
                <w:szCs w:val="9"/>
                <w:color w:val="auto"/>
              </w:rPr>
            </w:pPr>
          </w:p>
        </w:tc>
        <w:tc>
          <w:tcPr>
            <w:tcW w:w="960" w:type="dxa"/>
            <w:vAlign w:val="bottom"/>
            <w:vMerge w:val="restart"/>
          </w:tcPr>
          <w:p>
            <w:pPr>
              <w:jc w:val="center"/>
              <w:ind w:left="592"/>
              <w:spacing w:after="0"/>
              <w:rPr>
                <w:sz w:val="20"/>
                <w:szCs w:val="20"/>
                <w:color w:val="auto"/>
              </w:rPr>
            </w:pPr>
            <w:r>
              <w:rPr>
                <w:rFonts w:ascii="Arial" w:cs="Arial" w:eastAsia="Arial" w:hAnsi="Arial"/>
                <w:sz w:val="9"/>
                <w:szCs w:val="9"/>
                <w:color w:val="auto"/>
                <w:w w:val="78"/>
              </w:rPr>
              <w:t>o</w:t>
            </w:r>
          </w:p>
        </w:tc>
        <w:tc>
          <w:tcPr>
            <w:tcW w:w="520" w:type="dxa"/>
            <w:vAlign w:val="bottom"/>
            <w:vMerge w:val="restart"/>
          </w:tcPr>
          <w:p>
            <w:pPr>
              <w:jc w:val="center"/>
              <w:spacing w:after="0"/>
              <w:rPr>
                <w:sz w:val="20"/>
                <w:szCs w:val="20"/>
                <w:color w:val="auto"/>
              </w:rPr>
            </w:pPr>
            <w:r>
              <w:rPr>
                <w:rFonts w:ascii="Arial" w:cs="Arial" w:eastAsia="Arial" w:hAnsi="Arial"/>
                <w:sz w:val="9"/>
                <w:szCs w:val="9"/>
                <w:color w:val="auto"/>
                <w:w w:val="78"/>
              </w:rPr>
              <w:t>o</w:t>
            </w:r>
          </w:p>
        </w:tc>
        <w:tc>
          <w:tcPr>
            <w:tcW w:w="540" w:type="dxa"/>
            <w:vAlign w:val="bottom"/>
            <w:vMerge w:val="restart"/>
          </w:tcPr>
          <w:p>
            <w:pPr>
              <w:jc w:val="center"/>
              <w:spacing w:after="0"/>
              <w:rPr>
                <w:sz w:val="20"/>
                <w:szCs w:val="20"/>
                <w:color w:val="auto"/>
              </w:rPr>
            </w:pPr>
            <w:r>
              <w:rPr>
                <w:rFonts w:ascii="Arial" w:cs="Arial" w:eastAsia="Arial" w:hAnsi="Arial"/>
                <w:sz w:val="9"/>
                <w:szCs w:val="9"/>
                <w:color w:val="auto"/>
              </w:rPr>
              <w:t>o</w:t>
            </w:r>
          </w:p>
        </w:tc>
        <w:tc>
          <w:tcPr>
            <w:tcW w:w="3340" w:type="dxa"/>
            <w:vAlign w:val="bottom"/>
            <w:gridSpan w:val="2"/>
          </w:tcPr>
          <w:p>
            <w:pPr>
              <w:ind w:left="340"/>
              <w:spacing w:after="0"/>
              <w:rPr>
                <w:sz w:val="20"/>
                <w:szCs w:val="20"/>
                <w:color w:val="auto"/>
              </w:rPr>
            </w:pPr>
            <w:r>
              <w:rPr>
                <w:rFonts w:ascii="Arial" w:cs="Arial" w:eastAsia="Arial" w:hAnsi="Arial"/>
                <w:sz w:val="9"/>
                <w:szCs w:val="9"/>
                <w:color w:val="auto"/>
              </w:rPr>
              <w:t>accounting firm for 2010.</w:t>
            </w: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40" w:type="dxa"/>
            <w:vAlign w:val="bottom"/>
            <w:tcBorders>
              <w:lef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94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40" w:type="dxa"/>
            <w:vAlign w:val="bottom"/>
            <w:tcBorders>
              <w:lef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ind w:left="120"/>
              <w:spacing w:after="0"/>
              <w:rPr>
                <w:sz w:val="20"/>
                <w:szCs w:val="20"/>
                <w:color w:val="auto"/>
              </w:rPr>
            </w:pPr>
            <w:r>
              <w:rPr>
                <w:rFonts w:ascii="Arial" w:cs="Arial" w:eastAsia="Arial" w:hAnsi="Arial"/>
                <w:sz w:val="9"/>
                <w:szCs w:val="9"/>
                <w:color w:val="auto"/>
              </w:rPr>
              <w:t>1e.</w:t>
            </w:r>
          </w:p>
        </w:tc>
        <w:tc>
          <w:tcPr>
            <w:tcW w:w="1940" w:type="dxa"/>
            <w:vAlign w:val="bottom"/>
          </w:tcPr>
          <w:p>
            <w:pPr>
              <w:ind w:left="60"/>
              <w:spacing w:after="0"/>
              <w:rPr>
                <w:sz w:val="20"/>
                <w:szCs w:val="20"/>
                <w:color w:val="auto"/>
              </w:rPr>
            </w:pPr>
            <w:r>
              <w:rPr>
                <w:rFonts w:ascii="Arial" w:cs="Arial" w:eastAsia="Arial" w:hAnsi="Arial"/>
                <w:sz w:val="9"/>
                <w:szCs w:val="9"/>
                <w:color w:val="auto"/>
              </w:rPr>
              <w:t>W. Robert Reum</w:t>
            </w:r>
          </w:p>
        </w:tc>
        <w:tc>
          <w:tcPr>
            <w:tcW w:w="580" w:type="dxa"/>
            <w:vAlign w:val="bottom"/>
          </w:tcPr>
          <w:p>
            <w:pPr>
              <w:spacing w:after="0"/>
              <w:rPr>
                <w:sz w:val="16"/>
                <w:szCs w:val="16"/>
                <w:color w:val="auto"/>
              </w:rPr>
            </w:pPr>
          </w:p>
        </w:tc>
        <w:tc>
          <w:tcPr>
            <w:tcW w:w="960" w:type="dxa"/>
            <w:vAlign w:val="bottom"/>
          </w:tcPr>
          <w:p>
            <w:pPr>
              <w:jc w:val="center"/>
              <w:ind w:left="592"/>
              <w:spacing w:after="0"/>
              <w:rPr>
                <w:sz w:val="20"/>
                <w:szCs w:val="20"/>
                <w:color w:val="auto"/>
              </w:rPr>
            </w:pPr>
            <w:r>
              <w:rPr>
                <w:rFonts w:ascii="Arial" w:cs="Arial" w:eastAsia="Arial" w:hAnsi="Arial"/>
                <w:sz w:val="9"/>
                <w:szCs w:val="9"/>
                <w:color w:val="auto"/>
                <w:w w:val="78"/>
              </w:rPr>
              <w:t>o</w:t>
            </w:r>
          </w:p>
        </w:tc>
        <w:tc>
          <w:tcPr>
            <w:tcW w:w="520" w:type="dxa"/>
            <w:vAlign w:val="bottom"/>
          </w:tcPr>
          <w:p>
            <w:pPr>
              <w:jc w:val="center"/>
              <w:spacing w:after="0"/>
              <w:rPr>
                <w:sz w:val="20"/>
                <w:szCs w:val="20"/>
                <w:color w:val="auto"/>
              </w:rPr>
            </w:pPr>
            <w:r>
              <w:rPr>
                <w:rFonts w:ascii="Arial" w:cs="Arial" w:eastAsia="Arial" w:hAnsi="Arial"/>
                <w:sz w:val="9"/>
                <w:szCs w:val="9"/>
                <w:color w:val="auto"/>
                <w:w w:val="78"/>
              </w:rPr>
              <w:t>o</w:t>
            </w:r>
          </w:p>
        </w:tc>
        <w:tc>
          <w:tcPr>
            <w:tcW w:w="540" w:type="dxa"/>
            <w:vAlign w:val="bottom"/>
          </w:tcPr>
          <w:p>
            <w:pPr>
              <w:jc w:val="center"/>
              <w:spacing w:after="0"/>
              <w:rPr>
                <w:sz w:val="20"/>
                <w:szCs w:val="20"/>
                <w:color w:val="auto"/>
              </w:rPr>
            </w:pPr>
            <w:r>
              <w:rPr>
                <w:rFonts w:ascii="Arial" w:cs="Arial" w:eastAsia="Arial" w:hAnsi="Arial"/>
                <w:sz w:val="9"/>
                <w:szCs w:val="9"/>
                <w:color w:val="auto"/>
              </w:rPr>
              <w:t>o</w:t>
            </w:r>
          </w:p>
        </w:tc>
        <w:tc>
          <w:tcPr>
            <w:tcW w:w="4560" w:type="dxa"/>
            <w:vAlign w:val="bottom"/>
            <w:gridSpan w:val="4"/>
          </w:tcPr>
          <w:p>
            <w:pPr>
              <w:ind w:left="80"/>
              <w:spacing w:after="0"/>
              <w:rPr>
                <w:sz w:val="20"/>
                <w:szCs w:val="20"/>
                <w:color w:val="auto"/>
              </w:rPr>
            </w:pPr>
            <w:r>
              <w:rPr>
                <w:rFonts w:ascii="Arial" w:cs="Arial" w:eastAsia="Arial" w:hAnsi="Arial"/>
                <w:sz w:val="9"/>
                <w:szCs w:val="9"/>
                <w:color w:val="auto"/>
              </w:rPr>
              <w:t>3.Proposal to amend the Company’s Second Restated Certificate of Incorporation to eliminate the</w:t>
            </w:r>
          </w:p>
        </w:tc>
        <w:tc>
          <w:tcPr>
            <w:tcW w:w="280" w:type="dxa"/>
            <w:vAlign w:val="bottom"/>
          </w:tcPr>
          <w:p>
            <w:pPr>
              <w:jc w:val="center"/>
              <w:ind w:right="53"/>
              <w:spacing w:after="0"/>
              <w:rPr>
                <w:sz w:val="20"/>
                <w:szCs w:val="20"/>
                <w:color w:val="auto"/>
              </w:rPr>
            </w:pPr>
            <w:r>
              <w:rPr>
                <w:rFonts w:ascii="Arial" w:cs="Arial" w:eastAsia="Arial" w:hAnsi="Arial"/>
                <w:sz w:val="9"/>
                <w:szCs w:val="9"/>
                <w:color w:val="auto"/>
              </w:rPr>
              <w:t>o</w:t>
            </w:r>
          </w:p>
        </w:tc>
        <w:tc>
          <w:tcPr>
            <w:tcW w:w="600" w:type="dxa"/>
            <w:vAlign w:val="bottom"/>
          </w:tcPr>
          <w:p>
            <w:pPr>
              <w:jc w:val="right"/>
              <w:ind w:right="173"/>
              <w:spacing w:after="0"/>
              <w:rPr>
                <w:sz w:val="20"/>
                <w:szCs w:val="20"/>
                <w:color w:val="auto"/>
              </w:rPr>
            </w:pPr>
            <w:r>
              <w:rPr>
                <w:rFonts w:ascii="Arial" w:cs="Arial" w:eastAsia="Arial" w:hAnsi="Arial"/>
                <w:sz w:val="9"/>
                <w:szCs w:val="9"/>
                <w:color w:val="auto"/>
              </w:rPr>
              <w:t>o</w:t>
            </w:r>
          </w:p>
        </w:tc>
        <w:tc>
          <w:tcPr>
            <w:tcW w:w="560" w:type="dxa"/>
            <w:vAlign w:val="bottom"/>
          </w:tcPr>
          <w:p>
            <w:pPr>
              <w:jc w:val="center"/>
              <w:spacing w:after="0"/>
              <w:rPr>
                <w:sz w:val="20"/>
                <w:szCs w:val="20"/>
                <w:color w:val="auto"/>
              </w:rPr>
            </w:pPr>
            <w:r>
              <w:rPr>
                <w:rFonts w:ascii="Arial" w:cs="Arial" w:eastAsia="Arial" w:hAnsi="Arial"/>
                <w:sz w:val="9"/>
                <w:szCs w:val="9"/>
                <w:color w:val="auto"/>
                <w:w w:val="78"/>
              </w:rPr>
              <w:t>o</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240" w:type="dxa"/>
            <w:vAlign w:val="bottom"/>
            <w:tcBorders>
              <w:left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vMerge w:val="restart"/>
          </w:tcPr>
          <w:p>
            <w:pPr>
              <w:ind w:left="120"/>
              <w:spacing w:after="0"/>
              <w:rPr>
                <w:sz w:val="20"/>
                <w:szCs w:val="20"/>
                <w:color w:val="auto"/>
              </w:rPr>
            </w:pPr>
            <w:r>
              <w:rPr>
                <w:rFonts w:ascii="Arial" w:cs="Arial" w:eastAsia="Arial" w:hAnsi="Arial"/>
                <w:sz w:val="9"/>
                <w:szCs w:val="9"/>
                <w:color w:val="auto"/>
              </w:rPr>
              <w:t>1f.</w:t>
            </w:r>
          </w:p>
        </w:tc>
        <w:tc>
          <w:tcPr>
            <w:tcW w:w="1940" w:type="dxa"/>
            <w:vAlign w:val="bottom"/>
            <w:vMerge w:val="restart"/>
          </w:tcPr>
          <w:p>
            <w:pPr>
              <w:ind w:left="40"/>
              <w:spacing w:after="0"/>
              <w:rPr>
                <w:sz w:val="20"/>
                <w:szCs w:val="20"/>
                <w:color w:val="auto"/>
              </w:rPr>
            </w:pPr>
            <w:r>
              <w:rPr>
                <w:rFonts w:ascii="Arial" w:cs="Arial" w:eastAsia="Arial" w:hAnsi="Arial"/>
                <w:sz w:val="9"/>
                <w:szCs w:val="9"/>
                <w:color w:val="auto"/>
              </w:rPr>
              <w:t>Steven G. Rothmeier</w:t>
            </w:r>
          </w:p>
        </w:tc>
        <w:tc>
          <w:tcPr>
            <w:tcW w:w="580" w:type="dxa"/>
            <w:vAlign w:val="bottom"/>
          </w:tcPr>
          <w:p>
            <w:pPr>
              <w:spacing w:after="0"/>
              <w:rPr>
                <w:sz w:val="9"/>
                <w:szCs w:val="9"/>
                <w:color w:val="auto"/>
              </w:rPr>
            </w:pPr>
          </w:p>
        </w:tc>
        <w:tc>
          <w:tcPr>
            <w:tcW w:w="960" w:type="dxa"/>
            <w:vAlign w:val="bottom"/>
            <w:vMerge w:val="restart"/>
          </w:tcPr>
          <w:p>
            <w:pPr>
              <w:jc w:val="center"/>
              <w:ind w:left="592"/>
              <w:spacing w:after="0"/>
              <w:rPr>
                <w:sz w:val="20"/>
                <w:szCs w:val="20"/>
                <w:color w:val="auto"/>
              </w:rPr>
            </w:pPr>
            <w:r>
              <w:rPr>
                <w:rFonts w:ascii="Arial" w:cs="Arial" w:eastAsia="Arial" w:hAnsi="Arial"/>
                <w:sz w:val="9"/>
                <w:szCs w:val="9"/>
                <w:color w:val="auto"/>
                <w:w w:val="78"/>
              </w:rPr>
              <w:t>o</w:t>
            </w:r>
          </w:p>
        </w:tc>
        <w:tc>
          <w:tcPr>
            <w:tcW w:w="520" w:type="dxa"/>
            <w:vAlign w:val="bottom"/>
            <w:vMerge w:val="restart"/>
          </w:tcPr>
          <w:p>
            <w:pPr>
              <w:jc w:val="center"/>
              <w:spacing w:after="0"/>
              <w:rPr>
                <w:sz w:val="20"/>
                <w:szCs w:val="20"/>
                <w:color w:val="auto"/>
              </w:rPr>
            </w:pPr>
            <w:r>
              <w:rPr>
                <w:rFonts w:ascii="Arial" w:cs="Arial" w:eastAsia="Arial" w:hAnsi="Arial"/>
                <w:sz w:val="9"/>
                <w:szCs w:val="9"/>
                <w:color w:val="auto"/>
                <w:w w:val="78"/>
              </w:rPr>
              <w:t>o</w:t>
            </w:r>
          </w:p>
        </w:tc>
        <w:tc>
          <w:tcPr>
            <w:tcW w:w="540" w:type="dxa"/>
            <w:vAlign w:val="bottom"/>
            <w:vMerge w:val="restart"/>
          </w:tcPr>
          <w:p>
            <w:pPr>
              <w:jc w:val="center"/>
              <w:spacing w:after="0"/>
              <w:rPr>
                <w:sz w:val="20"/>
                <w:szCs w:val="20"/>
                <w:color w:val="auto"/>
              </w:rPr>
            </w:pPr>
            <w:r>
              <w:rPr>
                <w:rFonts w:ascii="Arial" w:cs="Arial" w:eastAsia="Arial" w:hAnsi="Arial"/>
                <w:sz w:val="9"/>
                <w:szCs w:val="9"/>
                <w:color w:val="auto"/>
              </w:rPr>
              <w:t>o</w:t>
            </w:r>
          </w:p>
        </w:tc>
        <w:tc>
          <w:tcPr>
            <w:tcW w:w="3340" w:type="dxa"/>
            <w:vAlign w:val="bottom"/>
            <w:gridSpan w:val="2"/>
          </w:tcPr>
          <w:p>
            <w:pPr>
              <w:ind w:left="340"/>
              <w:spacing w:after="0"/>
              <w:rPr>
                <w:sz w:val="20"/>
                <w:szCs w:val="20"/>
                <w:color w:val="auto"/>
              </w:rPr>
            </w:pPr>
            <w:r>
              <w:rPr>
                <w:rFonts w:ascii="Arial" w:cs="Arial" w:eastAsia="Arial" w:hAnsi="Arial"/>
                <w:sz w:val="9"/>
                <w:szCs w:val="9"/>
                <w:color w:val="auto"/>
              </w:rPr>
              <w:t>supermajority stockholder voting provisions.</w:t>
            </w: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240" w:type="dxa"/>
            <w:vAlign w:val="bottom"/>
            <w:tcBorders>
              <w:left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94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40" w:type="dxa"/>
            <w:vAlign w:val="bottom"/>
            <w:tcBorders>
              <w:lef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ind w:left="120"/>
              <w:spacing w:after="0"/>
              <w:rPr>
                <w:sz w:val="20"/>
                <w:szCs w:val="20"/>
                <w:color w:val="auto"/>
              </w:rPr>
            </w:pPr>
            <w:r>
              <w:rPr>
                <w:rFonts w:ascii="Arial" w:cs="Arial" w:eastAsia="Arial" w:hAnsi="Arial"/>
                <w:sz w:val="9"/>
                <w:szCs w:val="9"/>
                <w:color w:val="auto"/>
              </w:rPr>
              <w:t>1g.</w:t>
            </w:r>
          </w:p>
        </w:tc>
        <w:tc>
          <w:tcPr>
            <w:tcW w:w="1940" w:type="dxa"/>
            <w:vAlign w:val="bottom"/>
          </w:tcPr>
          <w:p>
            <w:pPr>
              <w:ind w:left="60"/>
              <w:spacing w:after="0"/>
              <w:rPr>
                <w:sz w:val="20"/>
                <w:szCs w:val="20"/>
                <w:color w:val="auto"/>
              </w:rPr>
            </w:pPr>
            <w:r>
              <w:rPr>
                <w:rFonts w:ascii="Arial" w:cs="Arial" w:eastAsia="Arial" w:hAnsi="Arial"/>
                <w:sz w:val="9"/>
                <w:szCs w:val="9"/>
                <w:color w:val="auto"/>
              </w:rPr>
              <w:t>David P. Steiner</w:t>
            </w:r>
          </w:p>
        </w:tc>
        <w:tc>
          <w:tcPr>
            <w:tcW w:w="580" w:type="dxa"/>
            <w:vAlign w:val="bottom"/>
          </w:tcPr>
          <w:p>
            <w:pPr>
              <w:spacing w:after="0"/>
              <w:rPr>
                <w:sz w:val="17"/>
                <w:szCs w:val="17"/>
                <w:color w:val="auto"/>
              </w:rPr>
            </w:pPr>
          </w:p>
        </w:tc>
        <w:tc>
          <w:tcPr>
            <w:tcW w:w="960" w:type="dxa"/>
            <w:vAlign w:val="bottom"/>
          </w:tcPr>
          <w:p>
            <w:pPr>
              <w:jc w:val="center"/>
              <w:ind w:left="592"/>
              <w:spacing w:after="0"/>
              <w:rPr>
                <w:sz w:val="20"/>
                <w:szCs w:val="20"/>
                <w:color w:val="auto"/>
              </w:rPr>
            </w:pPr>
            <w:r>
              <w:rPr>
                <w:rFonts w:ascii="Arial" w:cs="Arial" w:eastAsia="Arial" w:hAnsi="Arial"/>
                <w:sz w:val="9"/>
                <w:szCs w:val="9"/>
                <w:color w:val="auto"/>
                <w:w w:val="78"/>
              </w:rPr>
              <w:t>o</w:t>
            </w:r>
          </w:p>
        </w:tc>
        <w:tc>
          <w:tcPr>
            <w:tcW w:w="520" w:type="dxa"/>
            <w:vAlign w:val="bottom"/>
          </w:tcPr>
          <w:p>
            <w:pPr>
              <w:jc w:val="center"/>
              <w:spacing w:after="0"/>
              <w:rPr>
                <w:sz w:val="20"/>
                <w:szCs w:val="20"/>
                <w:color w:val="auto"/>
              </w:rPr>
            </w:pPr>
            <w:r>
              <w:rPr>
                <w:rFonts w:ascii="Arial" w:cs="Arial" w:eastAsia="Arial" w:hAnsi="Arial"/>
                <w:sz w:val="9"/>
                <w:szCs w:val="9"/>
                <w:color w:val="auto"/>
                <w:w w:val="78"/>
              </w:rPr>
              <w:t>o</w:t>
            </w:r>
          </w:p>
        </w:tc>
        <w:tc>
          <w:tcPr>
            <w:tcW w:w="540" w:type="dxa"/>
            <w:vAlign w:val="bottom"/>
          </w:tcPr>
          <w:p>
            <w:pPr>
              <w:jc w:val="center"/>
              <w:spacing w:after="0"/>
              <w:rPr>
                <w:sz w:val="20"/>
                <w:szCs w:val="20"/>
                <w:color w:val="auto"/>
              </w:rPr>
            </w:pPr>
            <w:r>
              <w:rPr>
                <w:rFonts w:ascii="Arial" w:cs="Arial" w:eastAsia="Arial" w:hAnsi="Arial"/>
                <w:sz w:val="9"/>
                <w:szCs w:val="9"/>
                <w:color w:val="auto"/>
              </w:rPr>
              <w:t>o</w:t>
            </w:r>
          </w:p>
        </w:tc>
        <w:tc>
          <w:tcPr>
            <w:tcW w:w="4560" w:type="dxa"/>
            <w:vAlign w:val="bottom"/>
            <w:gridSpan w:val="4"/>
          </w:tcPr>
          <w:p>
            <w:pPr>
              <w:ind w:left="80"/>
              <w:spacing w:after="0"/>
              <w:rPr>
                <w:sz w:val="20"/>
                <w:szCs w:val="20"/>
                <w:color w:val="auto"/>
              </w:rPr>
            </w:pPr>
            <w:r>
              <w:rPr>
                <w:rFonts w:ascii="Arial" w:cs="Arial" w:eastAsia="Arial" w:hAnsi="Arial"/>
                <w:sz w:val="9"/>
                <w:szCs w:val="9"/>
                <w:color w:val="auto"/>
              </w:rPr>
              <w:t>4.Proposal relating to disclosure of political contributions, if properly presented at the meeting.</w:t>
            </w:r>
          </w:p>
        </w:tc>
        <w:tc>
          <w:tcPr>
            <w:tcW w:w="280" w:type="dxa"/>
            <w:vAlign w:val="bottom"/>
          </w:tcPr>
          <w:p>
            <w:pPr>
              <w:jc w:val="center"/>
              <w:ind w:right="53"/>
              <w:spacing w:after="0"/>
              <w:rPr>
                <w:sz w:val="20"/>
                <w:szCs w:val="20"/>
                <w:color w:val="auto"/>
              </w:rPr>
            </w:pPr>
            <w:r>
              <w:rPr>
                <w:rFonts w:ascii="Arial" w:cs="Arial" w:eastAsia="Arial" w:hAnsi="Arial"/>
                <w:sz w:val="9"/>
                <w:szCs w:val="9"/>
                <w:color w:val="auto"/>
              </w:rPr>
              <w:t>o</w:t>
            </w:r>
          </w:p>
        </w:tc>
        <w:tc>
          <w:tcPr>
            <w:tcW w:w="600" w:type="dxa"/>
            <w:vAlign w:val="bottom"/>
          </w:tcPr>
          <w:p>
            <w:pPr>
              <w:jc w:val="right"/>
              <w:ind w:right="173"/>
              <w:spacing w:after="0"/>
              <w:rPr>
                <w:sz w:val="20"/>
                <w:szCs w:val="20"/>
                <w:color w:val="auto"/>
              </w:rPr>
            </w:pPr>
            <w:r>
              <w:rPr>
                <w:rFonts w:ascii="Arial" w:cs="Arial" w:eastAsia="Arial" w:hAnsi="Arial"/>
                <w:sz w:val="9"/>
                <w:szCs w:val="9"/>
                <w:color w:val="auto"/>
              </w:rPr>
              <w:t>o</w:t>
            </w:r>
          </w:p>
        </w:tc>
        <w:tc>
          <w:tcPr>
            <w:tcW w:w="560" w:type="dxa"/>
            <w:vAlign w:val="bottom"/>
          </w:tcPr>
          <w:p>
            <w:pPr>
              <w:jc w:val="center"/>
              <w:spacing w:after="0"/>
              <w:rPr>
                <w:sz w:val="20"/>
                <w:szCs w:val="20"/>
                <w:color w:val="auto"/>
              </w:rPr>
            </w:pPr>
            <w:r>
              <w:rPr>
                <w:rFonts w:ascii="Arial" w:cs="Arial" w:eastAsia="Arial" w:hAnsi="Arial"/>
                <w:sz w:val="9"/>
                <w:szCs w:val="9"/>
                <w:color w:val="auto"/>
                <w:w w:val="78"/>
              </w:rPr>
              <w:t>o</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9"/>
        </w:trPr>
        <w:tc>
          <w:tcPr>
            <w:tcW w:w="240" w:type="dxa"/>
            <w:vAlign w:val="bottom"/>
            <w:tcBorders>
              <w:lef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ind w:left="120"/>
              <w:spacing w:after="0"/>
              <w:rPr>
                <w:sz w:val="20"/>
                <w:szCs w:val="20"/>
                <w:color w:val="auto"/>
              </w:rPr>
            </w:pPr>
            <w:r>
              <w:rPr>
                <w:rFonts w:ascii="Arial" w:cs="Arial" w:eastAsia="Arial" w:hAnsi="Arial"/>
                <w:sz w:val="9"/>
                <w:szCs w:val="9"/>
                <w:color w:val="auto"/>
              </w:rPr>
              <w:t>1h.</w:t>
            </w:r>
          </w:p>
        </w:tc>
        <w:tc>
          <w:tcPr>
            <w:tcW w:w="1940" w:type="dxa"/>
            <w:vAlign w:val="bottom"/>
          </w:tcPr>
          <w:p>
            <w:pPr>
              <w:ind w:left="60"/>
              <w:spacing w:after="0"/>
              <w:rPr>
                <w:sz w:val="20"/>
                <w:szCs w:val="20"/>
                <w:color w:val="auto"/>
              </w:rPr>
            </w:pPr>
            <w:r>
              <w:rPr>
                <w:rFonts w:ascii="Arial" w:cs="Arial" w:eastAsia="Arial" w:hAnsi="Arial"/>
                <w:sz w:val="9"/>
                <w:szCs w:val="9"/>
                <w:color w:val="auto"/>
              </w:rPr>
              <w:t>Thomas H. Weidemeyer</w:t>
            </w:r>
          </w:p>
        </w:tc>
        <w:tc>
          <w:tcPr>
            <w:tcW w:w="580" w:type="dxa"/>
            <w:vAlign w:val="bottom"/>
          </w:tcPr>
          <w:p>
            <w:pPr>
              <w:spacing w:after="0"/>
              <w:rPr>
                <w:sz w:val="10"/>
                <w:szCs w:val="10"/>
                <w:color w:val="auto"/>
              </w:rPr>
            </w:pPr>
          </w:p>
        </w:tc>
        <w:tc>
          <w:tcPr>
            <w:tcW w:w="960" w:type="dxa"/>
            <w:vAlign w:val="bottom"/>
          </w:tcPr>
          <w:p>
            <w:pPr>
              <w:jc w:val="center"/>
              <w:ind w:left="592"/>
              <w:spacing w:after="0"/>
              <w:rPr>
                <w:sz w:val="20"/>
                <w:szCs w:val="20"/>
                <w:color w:val="auto"/>
              </w:rPr>
            </w:pPr>
            <w:r>
              <w:rPr>
                <w:rFonts w:ascii="Arial" w:cs="Arial" w:eastAsia="Arial" w:hAnsi="Arial"/>
                <w:sz w:val="9"/>
                <w:szCs w:val="9"/>
                <w:color w:val="auto"/>
                <w:w w:val="78"/>
              </w:rPr>
              <w:t>o</w:t>
            </w:r>
          </w:p>
        </w:tc>
        <w:tc>
          <w:tcPr>
            <w:tcW w:w="520" w:type="dxa"/>
            <w:vAlign w:val="bottom"/>
          </w:tcPr>
          <w:p>
            <w:pPr>
              <w:jc w:val="center"/>
              <w:spacing w:after="0"/>
              <w:rPr>
                <w:sz w:val="20"/>
                <w:szCs w:val="20"/>
                <w:color w:val="auto"/>
              </w:rPr>
            </w:pPr>
            <w:r>
              <w:rPr>
                <w:rFonts w:ascii="Arial" w:cs="Arial" w:eastAsia="Arial" w:hAnsi="Arial"/>
                <w:sz w:val="9"/>
                <w:szCs w:val="9"/>
                <w:color w:val="auto"/>
                <w:w w:val="78"/>
              </w:rPr>
              <w:t>o</w:t>
            </w:r>
          </w:p>
        </w:tc>
        <w:tc>
          <w:tcPr>
            <w:tcW w:w="540" w:type="dxa"/>
            <w:vAlign w:val="bottom"/>
          </w:tcPr>
          <w:p>
            <w:pPr>
              <w:jc w:val="center"/>
              <w:spacing w:after="0"/>
              <w:rPr>
                <w:sz w:val="20"/>
                <w:szCs w:val="20"/>
                <w:color w:val="auto"/>
              </w:rPr>
            </w:pPr>
            <w:r>
              <w:rPr>
                <w:rFonts w:ascii="Arial" w:cs="Arial" w:eastAsia="Arial" w:hAnsi="Arial"/>
                <w:sz w:val="9"/>
                <w:szCs w:val="9"/>
                <w:color w:val="auto"/>
              </w:rPr>
              <w:t>o</w:t>
            </w:r>
          </w:p>
        </w:tc>
        <w:tc>
          <w:tcPr>
            <w:tcW w:w="600" w:type="dxa"/>
            <w:vAlign w:val="bottom"/>
          </w:tcPr>
          <w:p>
            <w:pPr>
              <w:ind w:left="80"/>
              <w:spacing w:after="0"/>
              <w:rPr>
                <w:sz w:val="20"/>
                <w:szCs w:val="20"/>
                <w:color w:val="auto"/>
              </w:rPr>
            </w:pPr>
            <w:r>
              <w:rPr>
                <w:rFonts w:ascii="Arial" w:cs="Arial" w:eastAsia="Arial" w:hAnsi="Arial"/>
                <w:sz w:val="9"/>
                <w:szCs w:val="9"/>
                <w:color w:val="auto"/>
              </w:rPr>
              <w:t>5.</w:t>
            </w:r>
          </w:p>
        </w:tc>
        <w:tc>
          <w:tcPr>
            <w:tcW w:w="2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40" w:type="dxa"/>
            <w:vAlign w:val="bottom"/>
            <w:gridSpan w:val="2"/>
          </w:tcPr>
          <w:p>
            <w:pPr>
              <w:ind w:left="460"/>
              <w:spacing w:after="0"/>
              <w:rPr>
                <w:sz w:val="20"/>
                <w:szCs w:val="20"/>
                <w:color w:val="auto"/>
              </w:rPr>
            </w:pPr>
            <w:r>
              <w:rPr>
                <w:rFonts w:ascii="Arial" w:cs="Arial" w:eastAsia="Arial" w:hAnsi="Arial"/>
                <w:sz w:val="9"/>
                <w:szCs w:val="9"/>
                <w:color w:val="auto"/>
              </w:rPr>
              <w:t>Proposal</w:t>
            </w:r>
          </w:p>
        </w:tc>
        <w:tc>
          <w:tcPr>
            <w:tcW w:w="600" w:type="dxa"/>
            <w:vAlign w:val="bottom"/>
          </w:tcPr>
          <w:p>
            <w:pPr>
              <w:jc w:val="right"/>
              <w:ind w:right="173"/>
              <w:spacing w:after="0"/>
              <w:rPr>
                <w:sz w:val="20"/>
                <w:szCs w:val="20"/>
                <w:color w:val="auto"/>
              </w:rPr>
            </w:pPr>
            <w:r>
              <w:rPr>
                <w:rFonts w:ascii="Arial" w:cs="Arial" w:eastAsia="Arial" w:hAnsi="Arial"/>
                <w:sz w:val="9"/>
                <w:szCs w:val="9"/>
                <w:color w:val="auto"/>
              </w:rPr>
              <w:t>o</w:t>
            </w:r>
          </w:p>
        </w:tc>
        <w:tc>
          <w:tcPr>
            <w:tcW w:w="560" w:type="dxa"/>
            <w:vAlign w:val="bottom"/>
          </w:tcPr>
          <w:p>
            <w:pPr>
              <w:jc w:val="center"/>
              <w:spacing w:after="0"/>
              <w:rPr>
                <w:sz w:val="20"/>
                <w:szCs w:val="20"/>
                <w:color w:val="auto"/>
              </w:rPr>
            </w:pPr>
            <w:r>
              <w:rPr>
                <w:rFonts w:ascii="Arial" w:cs="Arial" w:eastAsia="Arial" w:hAnsi="Arial"/>
                <w:sz w:val="9"/>
                <w:szCs w:val="9"/>
                <w:color w:val="auto"/>
                <w:w w:val="78"/>
              </w:rPr>
              <w:t>o</w:t>
            </w:r>
          </w:p>
        </w:tc>
        <w:tc>
          <w:tcPr>
            <w:tcW w:w="180" w:type="dxa"/>
            <w:vAlign w:val="bottom"/>
            <w:gridSpan w:val="2"/>
          </w:tcPr>
          <w:p>
            <w:pPr>
              <w:jc w:val="right"/>
              <w:ind w:right="100"/>
              <w:spacing w:after="0"/>
              <w:rPr>
                <w:sz w:val="20"/>
                <w:szCs w:val="20"/>
                <w:color w:val="auto"/>
              </w:rPr>
            </w:pPr>
            <w:r>
              <w:rPr>
                <w:rFonts w:ascii="Arial" w:cs="Arial" w:eastAsia="Arial" w:hAnsi="Arial"/>
                <w:sz w:val="9"/>
                <w:szCs w:val="9"/>
                <w:color w:val="auto"/>
              </w:rPr>
              <w:t>o</w:t>
            </w:r>
          </w:p>
        </w:tc>
        <w:tc>
          <w:tcPr>
            <w:tcW w:w="0" w:type="dxa"/>
            <w:vAlign w:val="bottom"/>
          </w:tcPr>
          <w:p>
            <w:pPr>
              <w:spacing w:after="0"/>
              <w:rPr>
                <w:sz w:val="1"/>
                <w:szCs w:val="1"/>
                <w:color w:val="auto"/>
              </w:rPr>
            </w:pPr>
          </w:p>
        </w:tc>
      </w:tr>
      <w:tr>
        <w:trPr>
          <w:trHeight w:val="101"/>
        </w:trPr>
        <w:tc>
          <w:tcPr>
            <w:tcW w:w="240" w:type="dxa"/>
            <w:vAlign w:val="bottom"/>
            <w:tcBorders>
              <w:lef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580" w:type="dxa"/>
            <w:vAlign w:val="bottom"/>
          </w:tcPr>
          <w:p>
            <w:pPr>
              <w:spacing w:after="0"/>
              <w:rPr>
                <w:sz w:val="8"/>
                <w:szCs w:val="8"/>
                <w:color w:val="auto"/>
              </w:rPr>
            </w:pP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540" w:type="dxa"/>
            <w:vAlign w:val="bottom"/>
            <w:gridSpan w:val="3"/>
          </w:tcPr>
          <w:p>
            <w:pPr>
              <w:ind w:left="460"/>
              <w:spacing w:after="0" w:line="101" w:lineRule="exact"/>
              <w:rPr>
                <w:sz w:val="20"/>
                <w:szCs w:val="20"/>
                <w:color w:val="auto"/>
              </w:rPr>
            </w:pPr>
            <w:r>
              <w:rPr>
                <w:rFonts w:ascii="Arial" w:cs="Arial" w:eastAsia="Arial" w:hAnsi="Arial"/>
                <w:sz w:val="9"/>
                <w:szCs w:val="9"/>
                <w:color w:val="auto"/>
              </w:rPr>
              <w:t>relating to the</w:t>
            </w: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40" w:type="dxa"/>
            <w:vAlign w:val="bottom"/>
            <w:tcBorders>
              <w:lef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580" w:type="dxa"/>
            <w:vAlign w:val="bottom"/>
          </w:tcPr>
          <w:p>
            <w:pPr>
              <w:spacing w:after="0"/>
              <w:rPr>
                <w:sz w:val="8"/>
                <w:szCs w:val="8"/>
                <w:color w:val="auto"/>
              </w:rPr>
            </w:pP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ind w:left="460"/>
              <w:spacing w:after="0" w:line="101" w:lineRule="exact"/>
              <w:rPr>
                <w:sz w:val="20"/>
                <w:szCs w:val="20"/>
                <w:color w:val="auto"/>
              </w:rPr>
            </w:pPr>
            <w:r>
              <w:rPr>
                <w:rFonts w:ascii="Arial" w:cs="Arial" w:eastAsia="Arial" w:hAnsi="Arial"/>
                <w:sz w:val="9"/>
                <w:szCs w:val="9"/>
                <w:color w:val="auto"/>
              </w:rPr>
              <w:t>right</w:t>
            </w:r>
          </w:p>
        </w:tc>
        <w:tc>
          <w:tcPr>
            <w:tcW w:w="280" w:type="dxa"/>
            <w:vAlign w:val="bottom"/>
          </w:tcPr>
          <w:p>
            <w:pPr>
              <w:spacing w:after="0"/>
              <w:rPr>
                <w:sz w:val="8"/>
                <w:szCs w:val="8"/>
                <w:color w:val="auto"/>
              </w:rPr>
            </w:pPr>
          </w:p>
        </w:tc>
        <w:tc>
          <w:tcPr>
            <w:tcW w:w="600" w:type="dxa"/>
            <w:vAlign w:val="bottom"/>
          </w:tcPr>
          <w:p>
            <w:pPr>
              <w:jc w:val="right"/>
              <w:ind w:right="473"/>
              <w:spacing w:after="0" w:line="101" w:lineRule="exact"/>
              <w:rPr>
                <w:sz w:val="20"/>
                <w:szCs w:val="20"/>
                <w:color w:val="auto"/>
              </w:rPr>
            </w:pPr>
            <w:r>
              <w:rPr>
                <w:rFonts w:ascii="Arial" w:cs="Arial" w:eastAsia="Arial" w:hAnsi="Arial"/>
                <w:sz w:val="9"/>
                <w:szCs w:val="9"/>
                <w:color w:val="auto"/>
                <w:w w:val="79"/>
              </w:rPr>
              <w:t>of</w:t>
            </w: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40" w:type="dxa"/>
            <w:vAlign w:val="bottom"/>
            <w:tcBorders>
              <w:lef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580" w:type="dxa"/>
            <w:vAlign w:val="bottom"/>
          </w:tcPr>
          <w:p>
            <w:pPr>
              <w:spacing w:after="0"/>
              <w:rPr>
                <w:sz w:val="8"/>
                <w:szCs w:val="8"/>
                <w:color w:val="auto"/>
              </w:rPr>
            </w:pP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540" w:type="dxa"/>
            <w:vAlign w:val="bottom"/>
            <w:gridSpan w:val="3"/>
          </w:tcPr>
          <w:p>
            <w:pPr>
              <w:ind w:left="460"/>
              <w:spacing w:after="0" w:line="101" w:lineRule="exact"/>
              <w:rPr>
                <w:sz w:val="20"/>
                <w:szCs w:val="20"/>
                <w:color w:val="auto"/>
              </w:rPr>
            </w:pPr>
            <w:r>
              <w:rPr>
                <w:rFonts w:ascii="Arial" w:cs="Arial" w:eastAsia="Arial" w:hAnsi="Arial"/>
                <w:sz w:val="9"/>
                <w:szCs w:val="9"/>
                <w:color w:val="auto"/>
              </w:rPr>
              <w:t>stockholders</w:t>
            </w: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40" w:type="dxa"/>
            <w:vAlign w:val="bottom"/>
            <w:tcBorders>
              <w:lef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580" w:type="dxa"/>
            <w:vAlign w:val="bottom"/>
          </w:tcPr>
          <w:p>
            <w:pPr>
              <w:spacing w:after="0"/>
              <w:rPr>
                <w:sz w:val="8"/>
                <w:szCs w:val="8"/>
                <w:color w:val="auto"/>
              </w:rPr>
            </w:pP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540" w:type="dxa"/>
            <w:vAlign w:val="bottom"/>
            <w:gridSpan w:val="3"/>
          </w:tcPr>
          <w:p>
            <w:pPr>
              <w:ind w:left="460"/>
              <w:spacing w:after="0" w:line="101" w:lineRule="exact"/>
              <w:rPr>
                <w:sz w:val="20"/>
                <w:szCs w:val="20"/>
                <w:color w:val="auto"/>
              </w:rPr>
            </w:pPr>
            <w:r>
              <w:rPr>
                <w:rFonts w:ascii="Arial" w:cs="Arial" w:eastAsia="Arial" w:hAnsi="Arial"/>
                <w:sz w:val="9"/>
                <w:szCs w:val="9"/>
                <w:color w:val="auto"/>
              </w:rPr>
              <w:t>to call special</w:t>
            </w: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40" w:type="dxa"/>
            <w:vAlign w:val="bottom"/>
            <w:tcBorders>
              <w:lef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580" w:type="dxa"/>
            <w:vAlign w:val="bottom"/>
          </w:tcPr>
          <w:p>
            <w:pPr>
              <w:spacing w:after="0"/>
              <w:rPr>
                <w:sz w:val="8"/>
                <w:szCs w:val="8"/>
                <w:color w:val="auto"/>
              </w:rPr>
            </w:pP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gridSpan w:val="2"/>
          </w:tcPr>
          <w:p>
            <w:pPr>
              <w:ind w:left="460"/>
              <w:spacing w:after="0" w:line="101" w:lineRule="exact"/>
              <w:rPr>
                <w:sz w:val="20"/>
                <w:szCs w:val="20"/>
                <w:color w:val="auto"/>
              </w:rPr>
            </w:pPr>
            <w:r>
              <w:rPr>
                <w:rFonts w:ascii="Arial" w:cs="Arial" w:eastAsia="Arial" w:hAnsi="Arial"/>
                <w:sz w:val="9"/>
                <w:szCs w:val="9"/>
                <w:color w:val="auto"/>
                <w:w w:val="99"/>
              </w:rPr>
              <w:t>stockholder</w:t>
            </w: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40" w:type="dxa"/>
            <w:vAlign w:val="bottom"/>
            <w:tcBorders>
              <w:lef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580" w:type="dxa"/>
            <w:vAlign w:val="bottom"/>
          </w:tcPr>
          <w:p>
            <w:pPr>
              <w:spacing w:after="0"/>
              <w:rPr>
                <w:sz w:val="8"/>
                <w:szCs w:val="8"/>
                <w:color w:val="auto"/>
              </w:rPr>
            </w:pP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gridSpan w:val="2"/>
          </w:tcPr>
          <w:p>
            <w:pPr>
              <w:ind w:left="460"/>
              <w:spacing w:after="0" w:line="101" w:lineRule="exact"/>
              <w:rPr>
                <w:sz w:val="20"/>
                <w:szCs w:val="20"/>
                <w:color w:val="auto"/>
              </w:rPr>
            </w:pPr>
            <w:r>
              <w:rPr>
                <w:rFonts w:ascii="Arial" w:cs="Arial" w:eastAsia="Arial" w:hAnsi="Arial"/>
                <w:sz w:val="9"/>
                <w:szCs w:val="9"/>
                <w:color w:val="auto"/>
              </w:rPr>
              <w:t>meetings,</w:t>
            </w:r>
          </w:p>
        </w:tc>
        <w:tc>
          <w:tcPr>
            <w:tcW w:w="600" w:type="dxa"/>
            <w:vAlign w:val="bottom"/>
          </w:tcPr>
          <w:p>
            <w:pPr>
              <w:jc w:val="right"/>
              <w:ind w:right="473"/>
              <w:spacing w:after="0" w:line="101" w:lineRule="exact"/>
              <w:rPr>
                <w:sz w:val="20"/>
                <w:szCs w:val="20"/>
                <w:color w:val="auto"/>
              </w:rPr>
            </w:pPr>
            <w:r>
              <w:rPr>
                <w:rFonts w:ascii="Arial" w:cs="Arial" w:eastAsia="Arial" w:hAnsi="Arial"/>
                <w:sz w:val="9"/>
                <w:szCs w:val="9"/>
                <w:color w:val="auto"/>
              </w:rPr>
              <w:t>if</w:t>
            </w: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40" w:type="dxa"/>
            <w:vAlign w:val="bottom"/>
            <w:tcBorders>
              <w:lef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580" w:type="dxa"/>
            <w:vAlign w:val="bottom"/>
          </w:tcPr>
          <w:p>
            <w:pPr>
              <w:spacing w:after="0"/>
              <w:rPr>
                <w:sz w:val="8"/>
                <w:szCs w:val="8"/>
                <w:color w:val="auto"/>
              </w:rPr>
            </w:pP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gridSpan w:val="2"/>
          </w:tcPr>
          <w:p>
            <w:pPr>
              <w:ind w:left="460"/>
              <w:spacing w:after="0" w:line="101" w:lineRule="exact"/>
              <w:rPr>
                <w:sz w:val="20"/>
                <w:szCs w:val="20"/>
                <w:color w:val="auto"/>
              </w:rPr>
            </w:pPr>
            <w:r>
              <w:rPr>
                <w:rFonts w:ascii="Arial" w:cs="Arial" w:eastAsia="Arial" w:hAnsi="Arial"/>
                <w:sz w:val="9"/>
                <w:szCs w:val="9"/>
                <w:color w:val="auto"/>
              </w:rPr>
              <w:t>properly</w:t>
            </w: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40" w:type="dxa"/>
            <w:vAlign w:val="bottom"/>
            <w:tcBorders>
              <w:lef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580" w:type="dxa"/>
            <w:vAlign w:val="bottom"/>
          </w:tcPr>
          <w:p>
            <w:pPr>
              <w:spacing w:after="0"/>
              <w:rPr>
                <w:sz w:val="8"/>
                <w:szCs w:val="8"/>
                <w:color w:val="auto"/>
              </w:rPr>
            </w:pP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gridSpan w:val="2"/>
          </w:tcPr>
          <w:p>
            <w:pPr>
              <w:ind w:left="460"/>
              <w:spacing w:after="0" w:line="101" w:lineRule="exact"/>
              <w:rPr>
                <w:sz w:val="20"/>
                <w:szCs w:val="20"/>
                <w:color w:val="auto"/>
              </w:rPr>
            </w:pPr>
            <w:r>
              <w:rPr>
                <w:rFonts w:ascii="Arial" w:cs="Arial" w:eastAsia="Arial" w:hAnsi="Arial"/>
                <w:sz w:val="9"/>
                <w:szCs w:val="9"/>
                <w:color w:val="auto"/>
              </w:rPr>
              <w:t>presented</w:t>
            </w:r>
          </w:p>
        </w:tc>
        <w:tc>
          <w:tcPr>
            <w:tcW w:w="600" w:type="dxa"/>
            <w:vAlign w:val="bottom"/>
          </w:tcPr>
          <w:p>
            <w:pPr>
              <w:jc w:val="right"/>
              <w:ind w:right="473"/>
              <w:spacing w:after="0" w:line="101" w:lineRule="exact"/>
              <w:rPr>
                <w:sz w:val="20"/>
                <w:szCs w:val="20"/>
                <w:color w:val="auto"/>
              </w:rPr>
            </w:pPr>
            <w:r>
              <w:rPr>
                <w:rFonts w:ascii="Arial" w:cs="Arial" w:eastAsia="Arial" w:hAnsi="Arial"/>
                <w:sz w:val="9"/>
                <w:szCs w:val="9"/>
                <w:color w:val="auto"/>
                <w:w w:val="79"/>
              </w:rPr>
              <w:t>at</w:t>
            </w: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40" w:type="dxa"/>
            <w:vAlign w:val="bottom"/>
            <w:tcBorders>
              <w:left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580" w:type="dxa"/>
            <w:vAlign w:val="bottom"/>
          </w:tcPr>
          <w:p>
            <w:pPr>
              <w:spacing w:after="0"/>
              <w:rPr>
                <w:sz w:val="9"/>
                <w:szCs w:val="9"/>
                <w:color w:val="auto"/>
              </w:rPr>
            </w:pPr>
          </w:p>
        </w:tc>
        <w:tc>
          <w:tcPr>
            <w:tcW w:w="9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540" w:type="dxa"/>
            <w:vAlign w:val="bottom"/>
            <w:gridSpan w:val="3"/>
          </w:tcPr>
          <w:p>
            <w:pPr>
              <w:ind w:left="460"/>
              <w:spacing w:after="0"/>
              <w:rPr>
                <w:sz w:val="20"/>
                <w:szCs w:val="20"/>
                <w:color w:val="auto"/>
              </w:rPr>
            </w:pPr>
            <w:r>
              <w:rPr>
                <w:rFonts w:ascii="Arial" w:cs="Arial" w:eastAsia="Arial" w:hAnsi="Arial"/>
                <w:sz w:val="9"/>
                <w:szCs w:val="9"/>
                <w:color w:val="auto"/>
              </w:rPr>
              <w:t>the meeting.</w:t>
            </w: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1"/>
        </w:trPr>
        <w:tc>
          <w:tcPr>
            <w:tcW w:w="240" w:type="dxa"/>
            <w:vAlign w:val="bottom"/>
            <w:tcBorders>
              <w:left w:val="single" w:sz="8" w:color="auto"/>
            </w:tcBorders>
          </w:tcPr>
          <w:p>
            <w:pPr>
              <w:spacing w:after="0"/>
              <w:rPr>
                <w:sz w:val="24"/>
                <w:szCs w:val="24"/>
                <w:color w:val="auto"/>
              </w:rPr>
            </w:pPr>
          </w:p>
        </w:tc>
        <w:tc>
          <w:tcPr>
            <w:tcW w:w="4580" w:type="dxa"/>
            <w:vAlign w:val="bottom"/>
            <w:gridSpan w:val="6"/>
          </w:tcPr>
          <w:p>
            <w:pPr>
              <w:ind w:left="60"/>
              <w:spacing w:after="0"/>
              <w:rPr>
                <w:sz w:val="20"/>
                <w:szCs w:val="20"/>
                <w:color w:val="auto"/>
              </w:rPr>
            </w:pPr>
            <w:r>
              <w:rPr>
                <w:rFonts w:ascii="Arial" w:cs="Arial" w:eastAsia="Arial" w:hAnsi="Arial"/>
                <w:sz w:val="9"/>
                <w:szCs w:val="9"/>
                <w:color w:val="auto"/>
              </w:rPr>
              <w:t>For address changes and/or comments, please check this box and write them on the back where</w:t>
            </w:r>
          </w:p>
        </w:tc>
        <w:tc>
          <w:tcPr>
            <w:tcW w:w="540" w:type="dxa"/>
            <w:vAlign w:val="bottom"/>
          </w:tcPr>
          <w:p>
            <w:pPr>
              <w:jc w:val="center"/>
              <w:spacing w:after="0"/>
              <w:rPr>
                <w:sz w:val="20"/>
                <w:szCs w:val="20"/>
                <w:color w:val="auto"/>
              </w:rPr>
            </w:pPr>
            <w:r>
              <w:rPr>
                <w:rFonts w:ascii="Arial" w:cs="Arial" w:eastAsia="Arial" w:hAnsi="Arial"/>
                <w:sz w:val="9"/>
                <w:szCs w:val="9"/>
                <w:color w:val="auto"/>
              </w:rPr>
              <w:t>o</w:t>
            </w:r>
          </w:p>
        </w:tc>
        <w:tc>
          <w:tcPr>
            <w:tcW w:w="6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240" w:type="dxa"/>
            <w:vAlign w:val="bottom"/>
            <w:tcBorders>
              <w:left w:val="single" w:sz="8" w:color="auto"/>
            </w:tcBorders>
          </w:tcPr>
          <w:p>
            <w:pPr>
              <w:spacing w:after="0"/>
              <w:rPr>
                <w:sz w:val="9"/>
                <w:szCs w:val="9"/>
                <w:color w:val="auto"/>
              </w:rPr>
            </w:pPr>
          </w:p>
        </w:tc>
        <w:tc>
          <w:tcPr>
            <w:tcW w:w="580" w:type="dxa"/>
            <w:vAlign w:val="bottom"/>
            <w:gridSpan w:val="2"/>
          </w:tcPr>
          <w:p>
            <w:pPr>
              <w:ind w:left="60"/>
              <w:spacing w:after="0"/>
              <w:rPr>
                <w:sz w:val="20"/>
                <w:szCs w:val="20"/>
                <w:color w:val="auto"/>
              </w:rPr>
            </w:pPr>
            <w:r>
              <w:rPr>
                <w:rFonts w:ascii="Arial" w:cs="Arial" w:eastAsia="Arial" w:hAnsi="Arial"/>
                <w:sz w:val="9"/>
                <w:szCs w:val="9"/>
                <w:color w:val="auto"/>
              </w:rPr>
              <w:t>indicated.</w:t>
            </w:r>
          </w:p>
        </w:tc>
        <w:tc>
          <w:tcPr>
            <w:tcW w:w="1940" w:type="dxa"/>
            <w:vAlign w:val="bottom"/>
          </w:tcPr>
          <w:p>
            <w:pPr>
              <w:spacing w:after="0"/>
              <w:rPr>
                <w:sz w:val="9"/>
                <w:szCs w:val="9"/>
                <w:color w:val="auto"/>
              </w:rPr>
            </w:pPr>
          </w:p>
        </w:tc>
        <w:tc>
          <w:tcPr>
            <w:tcW w:w="580" w:type="dxa"/>
            <w:vAlign w:val="bottom"/>
          </w:tcPr>
          <w:p>
            <w:pPr>
              <w:spacing w:after="0"/>
              <w:rPr>
                <w:sz w:val="9"/>
                <w:szCs w:val="9"/>
                <w:color w:val="auto"/>
              </w:rPr>
            </w:pPr>
          </w:p>
        </w:tc>
        <w:tc>
          <w:tcPr>
            <w:tcW w:w="9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240" w:type="dxa"/>
            <w:vAlign w:val="bottom"/>
            <w:tcBorders>
              <w:left w:val="single" w:sz="8" w:color="auto"/>
            </w:tcBorders>
          </w:tcPr>
          <w:p>
            <w:pPr>
              <w:spacing w:after="0"/>
              <w:rPr>
                <w:sz w:val="24"/>
                <w:szCs w:val="24"/>
                <w:color w:val="auto"/>
              </w:rPr>
            </w:pPr>
          </w:p>
        </w:tc>
        <w:tc>
          <w:tcPr>
            <w:tcW w:w="4580" w:type="dxa"/>
            <w:vAlign w:val="bottom"/>
            <w:gridSpan w:val="6"/>
          </w:tcPr>
          <w:p>
            <w:pPr>
              <w:ind w:left="60"/>
              <w:spacing w:after="0"/>
              <w:rPr>
                <w:sz w:val="20"/>
                <w:szCs w:val="20"/>
                <w:color w:val="auto"/>
              </w:rPr>
            </w:pPr>
            <w:r>
              <w:rPr>
                <w:rFonts w:ascii="Arial" w:cs="Arial" w:eastAsia="Arial" w:hAnsi="Arial"/>
                <w:sz w:val="9"/>
                <w:szCs w:val="9"/>
                <w:color w:val="auto"/>
              </w:rPr>
              <w:t>The shares represented by this proxy, when properly executed, will be voted in the manner directed herein</w:t>
            </w:r>
          </w:p>
        </w:tc>
        <w:tc>
          <w:tcPr>
            <w:tcW w:w="540" w:type="dxa"/>
            <w:vAlign w:val="bottom"/>
          </w:tcPr>
          <w:p>
            <w:pPr>
              <w:spacing w:after="0"/>
              <w:rPr>
                <w:sz w:val="24"/>
                <w:szCs w:val="24"/>
                <w:color w:val="auto"/>
              </w:rPr>
            </w:pPr>
          </w:p>
        </w:tc>
        <w:tc>
          <w:tcPr>
            <w:tcW w:w="3340" w:type="dxa"/>
            <w:vAlign w:val="bottom"/>
            <w:gridSpan w:val="2"/>
          </w:tcPr>
          <w:p>
            <w:pPr>
              <w:ind w:left="80"/>
              <w:spacing w:after="0"/>
              <w:rPr>
                <w:sz w:val="20"/>
                <w:szCs w:val="20"/>
                <w:color w:val="auto"/>
              </w:rPr>
            </w:pPr>
            <w:r>
              <w:rPr>
                <w:rFonts w:ascii="Arial" w:cs="Arial" w:eastAsia="Arial" w:hAnsi="Arial"/>
                <w:sz w:val="9"/>
                <w:szCs w:val="9"/>
                <w:color w:val="auto"/>
              </w:rPr>
              <w:t>Note:</w:t>
            </w:r>
          </w:p>
        </w:tc>
        <w:tc>
          <w:tcPr>
            <w:tcW w:w="560" w:type="dxa"/>
            <w:vAlign w:val="bottom"/>
          </w:tcPr>
          <w:p>
            <w:pPr>
              <w:spacing w:after="0"/>
              <w:rPr>
                <w:sz w:val="24"/>
                <w:szCs w:val="24"/>
                <w:color w:val="auto"/>
              </w:rPr>
            </w:pPr>
          </w:p>
        </w:tc>
        <w:tc>
          <w:tcPr>
            <w:tcW w:w="660" w:type="dxa"/>
            <w:vAlign w:val="bottom"/>
          </w:tcPr>
          <w:p>
            <w:pPr>
              <w:ind w:left="460"/>
              <w:spacing w:after="0"/>
              <w:rPr>
                <w:sz w:val="20"/>
                <w:szCs w:val="20"/>
                <w:color w:val="auto"/>
              </w:rPr>
            </w:pPr>
            <w:r>
              <w:rPr>
                <w:rFonts w:ascii="Arial" w:cs="Arial" w:eastAsia="Arial" w:hAnsi="Arial"/>
                <w:sz w:val="9"/>
                <w:szCs w:val="9"/>
                <w:color w:val="auto"/>
              </w:rPr>
              <w:t>In</w:t>
            </w:r>
          </w:p>
        </w:tc>
        <w:tc>
          <w:tcPr>
            <w:tcW w:w="880" w:type="dxa"/>
            <w:vAlign w:val="bottom"/>
            <w:gridSpan w:val="2"/>
          </w:tcPr>
          <w:p>
            <w:pPr>
              <w:jc w:val="right"/>
              <w:ind w:right="473"/>
              <w:spacing w:after="0"/>
              <w:rPr>
                <w:sz w:val="20"/>
                <w:szCs w:val="20"/>
                <w:color w:val="auto"/>
              </w:rPr>
            </w:pPr>
            <w:r>
              <w:rPr>
                <w:rFonts w:ascii="Arial" w:cs="Arial" w:eastAsia="Arial" w:hAnsi="Arial"/>
                <w:sz w:val="9"/>
                <w:szCs w:val="9"/>
                <w:color w:val="auto"/>
              </w:rPr>
              <w:t>their</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40" w:type="dxa"/>
            <w:vAlign w:val="bottom"/>
            <w:tcBorders>
              <w:left w:val="single" w:sz="8" w:color="auto"/>
            </w:tcBorders>
          </w:tcPr>
          <w:p>
            <w:pPr>
              <w:spacing w:after="0"/>
              <w:rPr>
                <w:sz w:val="8"/>
                <w:szCs w:val="8"/>
                <w:color w:val="auto"/>
              </w:rPr>
            </w:pPr>
          </w:p>
        </w:tc>
        <w:tc>
          <w:tcPr>
            <w:tcW w:w="4580" w:type="dxa"/>
            <w:vAlign w:val="bottom"/>
            <w:gridSpan w:val="6"/>
          </w:tcPr>
          <w:p>
            <w:pPr>
              <w:ind w:left="60"/>
              <w:spacing w:after="0" w:line="101" w:lineRule="exact"/>
              <w:rPr>
                <w:sz w:val="20"/>
                <w:szCs w:val="20"/>
                <w:color w:val="auto"/>
              </w:rPr>
            </w:pPr>
            <w:r>
              <w:rPr>
                <w:rFonts w:ascii="Arial" w:cs="Arial" w:eastAsia="Arial" w:hAnsi="Arial"/>
                <w:sz w:val="9"/>
                <w:szCs w:val="9"/>
                <w:color w:val="auto"/>
              </w:rPr>
              <w:t>by the undersigned stockholder(s). If no direction is made, this proxy will be voted FOR each of the</w:t>
            </w: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gridSpan w:val="2"/>
          </w:tcPr>
          <w:p>
            <w:pPr>
              <w:ind w:left="460"/>
              <w:spacing w:after="0" w:line="101" w:lineRule="exact"/>
              <w:rPr>
                <w:sz w:val="20"/>
                <w:szCs w:val="20"/>
                <w:color w:val="auto"/>
              </w:rPr>
            </w:pPr>
            <w:r>
              <w:rPr>
                <w:rFonts w:ascii="Arial" w:cs="Arial" w:eastAsia="Arial" w:hAnsi="Arial"/>
                <w:sz w:val="9"/>
                <w:szCs w:val="9"/>
                <w:color w:val="auto"/>
              </w:rPr>
              <w:t>discretion,</w:t>
            </w: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40" w:type="dxa"/>
            <w:vAlign w:val="bottom"/>
            <w:tcBorders>
              <w:left w:val="single" w:sz="8" w:color="auto"/>
            </w:tcBorders>
          </w:tcPr>
          <w:p>
            <w:pPr>
              <w:spacing w:after="0"/>
              <w:rPr>
                <w:sz w:val="8"/>
                <w:szCs w:val="8"/>
                <w:color w:val="auto"/>
              </w:rPr>
            </w:pPr>
          </w:p>
        </w:tc>
        <w:tc>
          <w:tcPr>
            <w:tcW w:w="4580" w:type="dxa"/>
            <w:vAlign w:val="bottom"/>
            <w:gridSpan w:val="6"/>
          </w:tcPr>
          <w:p>
            <w:pPr>
              <w:ind w:left="60"/>
              <w:spacing w:after="0" w:line="101" w:lineRule="exact"/>
              <w:rPr>
                <w:sz w:val="20"/>
                <w:szCs w:val="20"/>
                <w:color w:val="auto"/>
              </w:rPr>
            </w:pPr>
            <w:r>
              <w:rPr>
                <w:rFonts w:ascii="Arial" w:cs="Arial" w:eastAsia="Arial" w:hAnsi="Arial"/>
                <w:sz w:val="9"/>
                <w:szCs w:val="9"/>
                <w:color w:val="auto"/>
              </w:rPr>
              <w:t>directors in item 1, FOR items 2 and 3 and AGAINST items 4 and 5. If any other matters properly come</w:t>
            </w: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ind w:left="460"/>
              <w:spacing w:after="0" w:line="101" w:lineRule="exact"/>
              <w:rPr>
                <w:sz w:val="20"/>
                <w:szCs w:val="20"/>
                <w:color w:val="auto"/>
              </w:rPr>
            </w:pPr>
            <w:r>
              <w:rPr>
                <w:rFonts w:ascii="Arial" w:cs="Arial" w:eastAsia="Arial" w:hAnsi="Arial"/>
                <w:sz w:val="9"/>
                <w:szCs w:val="9"/>
                <w:color w:val="auto"/>
                <w:w w:val="89"/>
              </w:rPr>
              <w:t>upon</w:t>
            </w:r>
          </w:p>
        </w:tc>
        <w:tc>
          <w:tcPr>
            <w:tcW w:w="880" w:type="dxa"/>
            <w:vAlign w:val="bottom"/>
            <w:gridSpan w:val="2"/>
          </w:tcPr>
          <w:p>
            <w:pPr>
              <w:jc w:val="right"/>
              <w:ind w:right="473"/>
              <w:spacing w:after="0" w:line="101" w:lineRule="exact"/>
              <w:rPr>
                <w:sz w:val="20"/>
                <w:szCs w:val="20"/>
                <w:color w:val="auto"/>
              </w:rPr>
            </w:pPr>
            <w:r>
              <w:rPr>
                <w:rFonts w:ascii="Arial" w:cs="Arial" w:eastAsia="Arial" w:hAnsi="Arial"/>
                <w:sz w:val="9"/>
                <w:szCs w:val="9"/>
                <w:color w:val="auto"/>
              </w:rPr>
              <w:t>such</w:t>
            </w: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40" w:type="dxa"/>
            <w:vAlign w:val="bottom"/>
            <w:tcBorders>
              <w:left w:val="single" w:sz="8" w:color="auto"/>
            </w:tcBorders>
          </w:tcPr>
          <w:p>
            <w:pPr>
              <w:spacing w:after="0"/>
              <w:rPr>
                <w:sz w:val="8"/>
                <w:szCs w:val="8"/>
                <w:color w:val="auto"/>
              </w:rPr>
            </w:pPr>
          </w:p>
        </w:tc>
        <w:tc>
          <w:tcPr>
            <w:tcW w:w="4060" w:type="dxa"/>
            <w:vAlign w:val="bottom"/>
            <w:gridSpan w:val="5"/>
          </w:tcPr>
          <w:p>
            <w:pPr>
              <w:ind w:left="60"/>
              <w:spacing w:after="0" w:line="101" w:lineRule="exact"/>
              <w:rPr>
                <w:sz w:val="20"/>
                <w:szCs w:val="20"/>
                <w:color w:val="auto"/>
              </w:rPr>
            </w:pPr>
            <w:r>
              <w:rPr>
                <w:rFonts w:ascii="Arial" w:cs="Arial" w:eastAsia="Arial" w:hAnsi="Arial"/>
                <w:sz w:val="9"/>
                <w:szCs w:val="9"/>
                <w:color w:val="auto"/>
              </w:rPr>
              <w:t>before the meeting, the persons named in this proxy will vote in their discretion.</w:t>
            </w: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540" w:type="dxa"/>
            <w:vAlign w:val="bottom"/>
            <w:gridSpan w:val="3"/>
          </w:tcPr>
          <w:p>
            <w:pPr>
              <w:ind w:left="460"/>
              <w:spacing w:after="0" w:line="101" w:lineRule="exact"/>
              <w:rPr>
                <w:sz w:val="20"/>
                <w:szCs w:val="20"/>
                <w:color w:val="auto"/>
              </w:rPr>
            </w:pPr>
            <w:r>
              <w:rPr>
                <w:rFonts w:ascii="Arial" w:cs="Arial" w:eastAsia="Arial" w:hAnsi="Arial"/>
                <w:sz w:val="9"/>
                <w:szCs w:val="9"/>
                <w:color w:val="auto"/>
              </w:rPr>
              <w:t>other matters</w:t>
            </w: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40" w:type="dxa"/>
            <w:vAlign w:val="bottom"/>
            <w:tcBorders>
              <w:lef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580" w:type="dxa"/>
            <w:vAlign w:val="bottom"/>
          </w:tcPr>
          <w:p>
            <w:pPr>
              <w:spacing w:after="0"/>
              <w:rPr>
                <w:sz w:val="8"/>
                <w:szCs w:val="8"/>
                <w:color w:val="auto"/>
              </w:rPr>
            </w:pP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ind w:left="460"/>
              <w:spacing w:after="0" w:line="101" w:lineRule="exact"/>
              <w:rPr>
                <w:sz w:val="20"/>
                <w:szCs w:val="20"/>
                <w:color w:val="auto"/>
              </w:rPr>
            </w:pPr>
            <w:r>
              <w:rPr>
                <w:rFonts w:ascii="Arial" w:cs="Arial" w:eastAsia="Arial" w:hAnsi="Arial"/>
                <w:sz w:val="9"/>
                <w:szCs w:val="9"/>
                <w:color w:val="auto"/>
              </w:rPr>
              <w:t>that</w:t>
            </w:r>
          </w:p>
        </w:tc>
        <w:tc>
          <w:tcPr>
            <w:tcW w:w="880" w:type="dxa"/>
            <w:vAlign w:val="bottom"/>
            <w:gridSpan w:val="2"/>
          </w:tcPr>
          <w:p>
            <w:pPr>
              <w:jc w:val="right"/>
              <w:ind w:right="473"/>
              <w:spacing w:after="0" w:line="101" w:lineRule="exact"/>
              <w:rPr>
                <w:sz w:val="20"/>
                <w:szCs w:val="20"/>
                <w:color w:val="auto"/>
              </w:rPr>
            </w:pPr>
            <w:r>
              <w:rPr>
                <w:rFonts w:ascii="Arial" w:cs="Arial" w:eastAsia="Arial" w:hAnsi="Arial"/>
                <w:sz w:val="9"/>
                <w:szCs w:val="9"/>
                <w:color w:val="auto"/>
              </w:rPr>
              <w:t>may</w:t>
            </w: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40" w:type="dxa"/>
            <w:vAlign w:val="bottom"/>
            <w:tcBorders>
              <w:lef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580" w:type="dxa"/>
            <w:vAlign w:val="bottom"/>
          </w:tcPr>
          <w:p>
            <w:pPr>
              <w:spacing w:after="0"/>
              <w:rPr>
                <w:sz w:val="8"/>
                <w:szCs w:val="8"/>
                <w:color w:val="auto"/>
              </w:rPr>
            </w:pP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gridSpan w:val="2"/>
          </w:tcPr>
          <w:p>
            <w:pPr>
              <w:ind w:left="460"/>
              <w:spacing w:after="0" w:line="101" w:lineRule="exact"/>
              <w:rPr>
                <w:sz w:val="20"/>
                <w:szCs w:val="20"/>
                <w:color w:val="auto"/>
              </w:rPr>
            </w:pPr>
            <w:r>
              <w:rPr>
                <w:rFonts w:ascii="Arial" w:cs="Arial" w:eastAsia="Arial" w:hAnsi="Arial"/>
                <w:sz w:val="9"/>
                <w:szCs w:val="9"/>
                <w:color w:val="auto"/>
              </w:rPr>
              <w:t>properly</w:t>
            </w: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40" w:type="dxa"/>
            <w:vAlign w:val="bottom"/>
            <w:tcBorders>
              <w:lef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580" w:type="dxa"/>
            <w:vAlign w:val="bottom"/>
          </w:tcPr>
          <w:p>
            <w:pPr>
              <w:spacing w:after="0"/>
              <w:rPr>
                <w:sz w:val="8"/>
                <w:szCs w:val="8"/>
                <w:color w:val="auto"/>
              </w:rPr>
            </w:pP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540" w:type="dxa"/>
            <w:vAlign w:val="bottom"/>
            <w:gridSpan w:val="3"/>
          </w:tcPr>
          <w:p>
            <w:pPr>
              <w:ind w:left="460"/>
              <w:spacing w:after="0" w:line="101" w:lineRule="exact"/>
              <w:rPr>
                <w:sz w:val="20"/>
                <w:szCs w:val="20"/>
                <w:color w:val="auto"/>
              </w:rPr>
            </w:pPr>
            <w:r>
              <w:rPr>
                <w:rFonts w:ascii="Arial" w:cs="Arial" w:eastAsia="Arial" w:hAnsi="Arial"/>
                <w:sz w:val="9"/>
                <w:szCs w:val="9"/>
                <w:color w:val="auto"/>
              </w:rPr>
              <w:t>come  before</w:t>
            </w: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40" w:type="dxa"/>
            <w:vAlign w:val="bottom"/>
            <w:tcBorders>
              <w:lef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580" w:type="dxa"/>
            <w:vAlign w:val="bottom"/>
          </w:tcPr>
          <w:p>
            <w:pPr>
              <w:spacing w:after="0"/>
              <w:rPr>
                <w:sz w:val="8"/>
                <w:szCs w:val="8"/>
                <w:color w:val="auto"/>
              </w:rPr>
            </w:pP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ind w:left="460"/>
              <w:spacing w:after="0" w:line="101" w:lineRule="exact"/>
              <w:rPr>
                <w:sz w:val="20"/>
                <w:szCs w:val="20"/>
                <w:color w:val="auto"/>
              </w:rPr>
            </w:pPr>
            <w:r>
              <w:rPr>
                <w:rFonts w:ascii="Arial" w:cs="Arial" w:eastAsia="Arial" w:hAnsi="Arial"/>
                <w:sz w:val="9"/>
                <w:szCs w:val="9"/>
                <w:color w:val="auto"/>
              </w:rPr>
              <w:t>the</w:t>
            </w:r>
          </w:p>
        </w:tc>
        <w:tc>
          <w:tcPr>
            <w:tcW w:w="880" w:type="dxa"/>
            <w:vAlign w:val="bottom"/>
            <w:gridSpan w:val="2"/>
          </w:tcPr>
          <w:p>
            <w:pPr>
              <w:jc w:val="right"/>
              <w:ind w:right="473"/>
              <w:spacing w:after="0" w:line="101" w:lineRule="exact"/>
              <w:rPr>
                <w:sz w:val="20"/>
                <w:szCs w:val="20"/>
                <w:color w:val="auto"/>
              </w:rPr>
            </w:pPr>
            <w:r>
              <w:rPr>
                <w:rFonts w:ascii="Arial" w:cs="Arial" w:eastAsia="Arial" w:hAnsi="Arial"/>
                <w:sz w:val="9"/>
                <w:szCs w:val="9"/>
                <w:color w:val="auto"/>
              </w:rPr>
              <w:t>meeting</w:t>
            </w: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40" w:type="dxa"/>
            <w:vAlign w:val="bottom"/>
            <w:tcBorders>
              <w:lef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580" w:type="dxa"/>
            <w:vAlign w:val="bottom"/>
          </w:tcPr>
          <w:p>
            <w:pPr>
              <w:spacing w:after="0"/>
              <w:rPr>
                <w:sz w:val="8"/>
                <w:szCs w:val="8"/>
                <w:color w:val="auto"/>
              </w:rPr>
            </w:pP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ind w:left="460"/>
              <w:spacing w:after="0" w:line="101" w:lineRule="exact"/>
              <w:rPr>
                <w:sz w:val="20"/>
                <w:szCs w:val="20"/>
                <w:color w:val="auto"/>
              </w:rPr>
            </w:pPr>
            <w:r>
              <w:rPr>
                <w:rFonts w:ascii="Arial" w:cs="Arial" w:eastAsia="Arial" w:hAnsi="Arial"/>
                <w:sz w:val="9"/>
                <w:szCs w:val="9"/>
                <w:color w:val="auto"/>
              </w:rPr>
              <w:t>or</w:t>
            </w:r>
          </w:p>
        </w:tc>
        <w:tc>
          <w:tcPr>
            <w:tcW w:w="880" w:type="dxa"/>
            <w:vAlign w:val="bottom"/>
            <w:gridSpan w:val="2"/>
          </w:tcPr>
          <w:p>
            <w:pPr>
              <w:jc w:val="right"/>
              <w:ind w:right="473"/>
              <w:spacing w:after="0" w:line="101" w:lineRule="exact"/>
              <w:rPr>
                <w:sz w:val="20"/>
                <w:szCs w:val="20"/>
                <w:color w:val="auto"/>
              </w:rPr>
            </w:pPr>
            <w:r>
              <w:rPr>
                <w:rFonts w:ascii="Arial" w:cs="Arial" w:eastAsia="Arial" w:hAnsi="Arial"/>
                <w:sz w:val="9"/>
                <w:szCs w:val="9"/>
                <w:color w:val="auto"/>
              </w:rPr>
              <w:t>any</w:t>
            </w: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40" w:type="dxa"/>
            <w:vAlign w:val="bottom"/>
            <w:tcBorders>
              <w:lef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580" w:type="dxa"/>
            <w:vAlign w:val="bottom"/>
          </w:tcPr>
          <w:p>
            <w:pPr>
              <w:spacing w:after="0"/>
              <w:rPr>
                <w:sz w:val="8"/>
                <w:szCs w:val="8"/>
                <w:color w:val="auto"/>
              </w:rPr>
            </w:pP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540" w:type="dxa"/>
            <w:vAlign w:val="bottom"/>
            <w:gridSpan w:val="3"/>
          </w:tcPr>
          <w:p>
            <w:pPr>
              <w:ind w:left="460"/>
              <w:spacing w:after="0" w:line="101" w:lineRule="exact"/>
              <w:rPr>
                <w:sz w:val="20"/>
                <w:szCs w:val="20"/>
                <w:color w:val="auto"/>
              </w:rPr>
            </w:pPr>
            <w:r>
              <w:rPr>
                <w:rFonts w:ascii="Arial" w:cs="Arial" w:eastAsia="Arial" w:hAnsi="Arial"/>
                <w:sz w:val="9"/>
                <w:szCs w:val="9"/>
                <w:color w:val="auto"/>
              </w:rPr>
              <w:t>adjournment</w:t>
            </w: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40" w:type="dxa"/>
            <w:vAlign w:val="bottom"/>
            <w:tcBorders>
              <w:lef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580" w:type="dxa"/>
            <w:vAlign w:val="bottom"/>
          </w:tcPr>
          <w:p>
            <w:pPr>
              <w:spacing w:after="0"/>
              <w:rPr>
                <w:sz w:val="8"/>
                <w:szCs w:val="8"/>
                <w:color w:val="auto"/>
              </w:rPr>
            </w:pP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ind w:left="460"/>
              <w:spacing w:after="0" w:line="101" w:lineRule="exact"/>
              <w:rPr>
                <w:sz w:val="20"/>
                <w:szCs w:val="20"/>
                <w:color w:val="auto"/>
              </w:rPr>
            </w:pPr>
            <w:r>
              <w:rPr>
                <w:rFonts w:ascii="Arial" w:cs="Arial" w:eastAsia="Arial" w:hAnsi="Arial"/>
                <w:sz w:val="9"/>
                <w:szCs w:val="9"/>
                <w:color w:val="auto"/>
              </w:rPr>
              <w:t>or</w:t>
            </w: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40" w:type="dxa"/>
            <w:vAlign w:val="bottom"/>
            <w:tcBorders>
              <w:lef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580" w:type="dxa"/>
            <w:vAlign w:val="bottom"/>
          </w:tcPr>
          <w:p>
            <w:pPr>
              <w:spacing w:after="0"/>
              <w:rPr>
                <w:sz w:val="8"/>
                <w:szCs w:val="8"/>
                <w:color w:val="auto"/>
              </w:rPr>
            </w:pP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540" w:type="dxa"/>
            <w:vAlign w:val="bottom"/>
            <w:gridSpan w:val="3"/>
          </w:tcPr>
          <w:p>
            <w:pPr>
              <w:ind w:left="460"/>
              <w:spacing w:after="0" w:line="101" w:lineRule="exact"/>
              <w:rPr>
                <w:sz w:val="20"/>
                <w:szCs w:val="20"/>
                <w:color w:val="auto"/>
              </w:rPr>
            </w:pPr>
            <w:r>
              <w:rPr>
                <w:rFonts w:ascii="Arial" w:cs="Arial" w:eastAsia="Arial" w:hAnsi="Arial"/>
                <w:sz w:val="9"/>
                <w:szCs w:val="9"/>
                <w:color w:val="auto"/>
              </w:rPr>
              <w:t>adjournments</w:t>
            </w: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40" w:type="dxa"/>
            <w:vAlign w:val="bottom"/>
            <w:tcBorders>
              <w:left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580" w:type="dxa"/>
            <w:vAlign w:val="bottom"/>
          </w:tcPr>
          <w:p>
            <w:pPr>
              <w:spacing w:after="0"/>
              <w:rPr>
                <w:sz w:val="9"/>
                <w:szCs w:val="9"/>
                <w:color w:val="auto"/>
              </w:rPr>
            </w:pPr>
          </w:p>
        </w:tc>
        <w:tc>
          <w:tcPr>
            <w:tcW w:w="9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40" w:type="dxa"/>
            <w:vAlign w:val="bottom"/>
            <w:gridSpan w:val="2"/>
          </w:tcPr>
          <w:p>
            <w:pPr>
              <w:ind w:left="460"/>
              <w:spacing w:after="0"/>
              <w:rPr>
                <w:sz w:val="20"/>
                <w:szCs w:val="20"/>
                <w:color w:val="auto"/>
              </w:rPr>
            </w:pPr>
            <w:r>
              <w:rPr>
                <w:rFonts w:ascii="Arial" w:cs="Arial" w:eastAsia="Arial" w:hAnsi="Arial"/>
                <w:sz w:val="9"/>
                <w:szCs w:val="9"/>
                <w:color w:val="auto"/>
              </w:rPr>
              <w:t>thereof.</w:t>
            </w:r>
          </w:p>
        </w:tc>
        <w:tc>
          <w:tcPr>
            <w:tcW w:w="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40" w:type="dxa"/>
            <w:vAlign w:val="bottom"/>
            <w:tcBorders>
              <w:left w:val="single" w:sz="8" w:color="auto"/>
            </w:tcBorders>
          </w:tcPr>
          <w:p>
            <w:pPr>
              <w:spacing w:after="0"/>
              <w:rPr>
                <w:sz w:val="7"/>
                <w:szCs w:val="7"/>
                <w:color w:val="auto"/>
              </w:rPr>
            </w:pPr>
          </w:p>
        </w:tc>
        <w:tc>
          <w:tcPr>
            <w:tcW w:w="2520" w:type="dxa"/>
            <w:vAlign w:val="bottom"/>
            <w:tcBorders>
              <w:bottom w:val="single" w:sz="8" w:color="auto"/>
            </w:tcBorders>
            <w:gridSpan w:val="3"/>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5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7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40" w:type="dxa"/>
            <w:vAlign w:val="bottom"/>
            <w:tcBorders>
              <w:left w:val="single" w:sz="8" w:color="auto"/>
              <w:right w:val="single" w:sz="8" w:color="auto"/>
            </w:tcBorders>
          </w:tcPr>
          <w:p>
            <w:pPr>
              <w:spacing w:after="0"/>
              <w:rPr>
                <w:sz w:val="16"/>
                <w:szCs w:val="16"/>
                <w:color w:val="auto"/>
              </w:rPr>
            </w:pPr>
          </w:p>
        </w:tc>
        <w:tc>
          <w:tcPr>
            <w:tcW w:w="2520" w:type="dxa"/>
            <w:vAlign w:val="bottom"/>
            <w:tcBorders>
              <w:bottom w:val="single" w:sz="8" w:color="auto"/>
              <w:right w:val="single" w:sz="8" w:color="auto"/>
            </w:tcBorders>
            <w:gridSpan w:val="3"/>
          </w:tcPr>
          <w:p>
            <w:pPr>
              <w:spacing w:after="0"/>
              <w:rPr>
                <w:sz w:val="16"/>
                <w:szCs w:val="16"/>
                <w:color w:val="auto"/>
              </w:rPr>
            </w:pPr>
          </w:p>
        </w:tc>
        <w:tc>
          <w:tcPr>
            <w:tcW w:w="580" w:type="dxa"/>
            <w:vAlign w:val="bottom"/>
            <w:tcBorders>
              <w:bottom w:val="single" w:sz="8" w:color="auto"/>
              <w:right w:val="single" w:sz="8" w:color="auto"/>
            </w:tcBorders>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2740" w:type="dxa"/>
            <w:vAlign w:val="bottom"/>
            <w:tcBorders>
              <w:bottom w:val="single" w:sz="8" w:color="auto"/>
              <w:right w:val="single" w:sz="8" w:color="auto"/>
            </w:tcBorders>
          </w:tcPr>
          <w:p>
            <w:pPr>
              <w:spacing w:after="0"/>
              <w:rPr>
                <w:sz w:val="16"/>
                <w:szCs w:val="16"/>
                <w:color w:val="auto"/>
              </w:rPr>
            </w:pPr>
          </w:p>
        </w:tc>
        <w:tc>
          <w:tcPr>
            <w:tcW w:w="560" w:type="dxa"/>
            <w:vAlign w:val="bottom"/>
            <w:tcBorders>
              <w:bottom w:val="single" w:sz="8" w:color="auto"/>
              <w:right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240" w:type="dxa"/>
            <w:vAlign w:val="bottom"/>
            <w:tcBorders>
              <w:left w:val="single" w:sz="8" w:color="auto"/>
            </w:tcBorders>
          </w:tcPr>
          <w:p>
            <w:pPr>
              <w:spacing w:after="0"/>
              <w:rPr>
                <w:sz w:val="8"/>
                <w:szCs w:val="8"/>
                <w:color w:val="auto"/>
              </w:rPr>
            </w:pPr>
          </w:p>
        </w:tc>
        <w:tc>
          <w:tcPr>
            <w:tcW w:w="2520" w:type="dxa"/>
            <w:vAlign w:val="bottom"/>
            <w:gridSpan w:val="3"/>
          </w:tcPr>
          <w:p>
            <w:pPr>
              <w:spacing w:after="0" w:line="93" w:lineRule="exact"/>
              <w:rPr>
                <w:sz w:val="20"/>
                <w:szCs w:val="20"/>
                <w:color w:val="auto"/>
              </w:rPr>
            </w:pPr>
            <w:r>
              <w:rPr>
                <w:rFonts w:ascii="Arial" w:cs="Arial" w:eastAsia="Arial" w:hAnsi="Arial"/>
                <w:sz w:val="9"/>
                <w:szCs w:val="9"/>
                <w:color w:val="auto"/>
              </w:rPr>
              <w:t>Signature [PLEASE SIGN WITHIN BOX]</w:t>
            </w:r>
          </w:p>
        </w:tc>
        <w:tc>
          <w:tcPr>
            <w:tcW w:w="580" w:type="dxa"/>
            <w:vAlign w:val="bottom"/>
          </w:tcPr>
          <w:p>
            <w:pPr>
              <w:spacing w:after="0" w:line="93" w:lineRule="exact"/>
              <w:rPr>
                <w:sz w:val="20"/>
                <w:szCs w:val="20"/>
                <w:color w:val="auto"/>
              </w:rPr>
            </w:pPr>
            <w:r>
              <w:rPr>
                <w:rFonts w:ascii="Arial" w:cs="Arial" w:eastAsia="Arial" w:hAnsi="Arial"/>
                <w:sz w:val="9"/>
                <w:szCs w:val="9"/>
                <w:color w:val="auto"/>
              </w:rPr>
              <w:t>Date</w:t>
            </w: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740" w:type="dxa"/>
            <w:vAlign w:val="bottom"/>
          </w:tcPr>
          <w:p>
            <w:pPr>
              <w:spacing w:after="0" w:line="93" w:lineRule="exact"/>
              <w:rPr>
                <w:sz w:val="20"/>
                <w:szCs w:val="20"/>
                <w:color w:val="auto"/>
              </w:rPr>
            </w:pPr>
            <w:r>
              <w:rPr>
                <w:rFonts w:ascii="Arial" w:cs="Arial" w:eastAsia="Arial" w:hAnsi="Arial"/>
                <w:sz w:val="9"/>
                <w:szCs w:val="9"/>
                <w:color w:val="auto"/>
              </w:rPr>
              <w:t>Signature (Joint Owners)</w:t>
            </w:r>
          </w:p>
        </w:tc>
        <w:tc>
          <w:tcPr>
            <w:tcW w:w="560" w:type="dxa"/>
            <w:vAlign w:val="bottom"/>
          </w:tcPr>
          <w:p>
            <w:pPr>
              <w:spacing w:after="0" w:line="93" w:lineRule="exact"/>
              <w:rPr>
                <w:sz w:val="20"/>
                <w:szCs w:val="20"/>
                <w:color w:val="auto"/>
              </w:rPr>
            </w:pPr>
            <w:r>
              <w:rPr>
                <w:rFonts w:ascii="Arial" w:cs="Arial" w:eastAsia="Arial" w:hAnsi="Arial"/>
                <w:sz w:val="9"/>
                <w:szCs w:val="9"/>
                <w:color w:val="auto"/>
              </w:rPr>
              <w:t>Date</w:t>
            </w: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3"/>
        </w:trPr>
        <w:tc>
          <w:tcPr>
            <w:tcW w:w="240" w:type="dxa"/>
            <w:vAlign w:val="bottom"/>
            <w:tcBorders>
              <w:left w:val="single" w:sz="8" w:color="auto"/>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59"/>
        </w:trPr>
        <w:tc>
          <w:tcPr>
            <w:tcW w:w="2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94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27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-4027170</wp:posOffset>
            </wp:positionV>
            <wp:extent cx="7281545"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1545" cy="6350"/>
                    </a:xfrm>
                    <a:prstGeom prst="rect">
                      <a:avLst/>
                    </a:prstGeom>
                    <a:noFill/>
                  </pic:spPr>
                </pic:pic>
              </a:graphicData>
            </a:graphic>
          </wp:anchor>
        </w:drawing>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540"/>
          </w:cols>
          <w:pgMar w:left="220" w:top="349" w:right="139" w:bottom="1440" w:gutter="0" w:footer="0" w:header="0"/>
          <w:type w:val="continuous"/>
        </w:sectPr>
      </w:pPr>
    </w:p>
    <w:bookmarkStart w:id="59" w:name="page60"/>
    <w:bookmarkEnd w:id="5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0" w:right="300"/>
        <w:spacing w:after="0" w:line="287" w:lineRule="auto"/>
        <w:rPr>
          <w:sz w:val="20"/>
          <w:szCs w:val="20"/>
          <w:color w:val="auto"/>
        </w:rPr>
      </w:pPr>
      <w:r>
        <w:rPr>
          <w:rFonts w:ascii="Arial" w:cs="Arial" w:eastAsia="Arial" w:hAnsi="Arial"/>
          <w:sz w:val="13"/>
          <w:szCs w:val="13"/>
          <w:b w:val="1"/>
          <w:bCs w:val="1"/>
          <w:color w:val="auto"/>
        </w:rPr>
        <w:t xml:space="preserve">Important Notice Regarding Internet Availability of Proxy Materials for the Annual Meeting: </w:t>
      </w:r>
      <w:r>
        <w:rPr>
          <w:rFonts w:ascii="Arial" w:cs="Arial" w:eastAsia="Arial" w:hAnsi="Arial"/>
          <w:sz w:val="13"/>
          <w:szCs w:val="13"/>
          <w:color w:val="auto"/>
        </w:rPr>
        <w:t>The Annual Report on Form 10-K for the year ended December 31, 2009 and 2010</w:t>
      </w:r>
      <w:r>
        <w:rPr>
          <w:rFonts w:ascii="Arial" w:cs="Arial" w:eastAsia="Arial" w:hAnsi="Arial"/>
          <w:sz w:val="13"/>
          <w:szCs w:val="13"/>
          <w:b w:val="1"/>
          <w:bCs w:val="1"/>
          <w:color w:val="auto"/>
        </w:rPr>
        <w:t xml:space="preserve"> </w:t>
      </w:r>
      <w:r>
        <w:rPr>
          <w:rFonts w:ascii="Arial" w:cs="Arial" w:eastAsia="Arial" w:hAnsi="Arial"/>
          <w:sz w:val="13"/>
          <w:szCs w:val="13"/>
          <w:color w:val="auto"/>
        </w:rPr>
        <w:t>Proxy Statement are available at www.wm.com.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0520"/>
        <w:spacing w:after="0"/>
        <w:rPr>
          <w:sz w:val="20"/>
          <w:szCs w:val="20"/>
          <w:color w:val="auto"/>
        </w:rPr>
      </w:pPr>
      <w:r>
        <w:rPr>
          <w:rFonts w:ascii="Arial" w:cs="Arial" w:eastAsia="Arial" w:hAnsi="Arial"/>
          <w:sz w:val="9"/>
          <w:szCs w:val="9"/>
          <w:color w:val="auto"/>
        </w:rPr>
        <w:t>M20888-P89721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33020</wp:posOffset>
            </wp:positionV>
            <wp:extent cx="7327265" cy="24822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327265" cy="248221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jc w:val="center"/>
        <w:ind w:left="420"/>
        <w:spacing w:after="0"/>
        <w:rPr>
          <w:sz w:val="20"/>
          <w:szCs w:val="20"/>
          <w:color w:val="auto"/>
        </w:rPr>
      </w:pPr>
      <w:r>
        <w:rPr>
          <w:rFonts w:ascii="Arial" w:cs="Arial" w:eastAsia="Arial" w:hAnsi="Arial"/>
          <w:sz w:val="16"/>
          <w:szCs w:val="16"/>
          <w:b w:val="1"/>
          <w:bCs w:val="1"/>
          <w:color w:val="auto"/>
        </w:rPr>
        <w:t>WASTE MANAGEMENT, INC.</w:t>
      </w:r>
    </w:p>
    <w:p>
      <w:pPr>
        <w:spacing w:after="0" w:line="183" w:lineRule="exact"/>
        <w:rPr>
          <w:sz w:val="20"/>
          <w:szCs w:val="20"/>
          <w:color w:val="auto"/>
        </w:rPr>
      </w:pPr>
    </w:p>
    <w:p>
      <w:pPr>
        <w:jc w:val="center"/>
        <w:ind w:left="420"/>
        <w:spacing w:after="0"/>
        <w:rPr>
          <w:sz w:val="20"/>
          <w:szCs w:val="20"/>
          <w:color w:val="auto"/>
        </w:rPr>
      </w:pPr>
      <w:r>
        <w:rPr>
          <w:rFonts w:ascii="Arial" w:cs="Arial" w:eastAsia="Arial" w:hAnsi="Arial"/>
          <w:sz w:val="13"/>
          <w:szCs w:val="13"/>
          <w:color w:val="auto"/>
        </w:rPr>
        <w:t>Annual Meeting of Stockholders - May 11, 2010</w:t>
      </w:r>
    </w:p>
    <w:p>
      <w:pPr>
        <w:spacing w:after="0" w:line="163" w:lineRule="exact"/>
        <w:rPr>
          <w:sz w:val="20"/>
          <w:szCs w:val="20"/>
          <w:color w:val="auto"/>
        </w:rPr>
      </w:pPr>
    </w:p>
    <w:p>
      <w:pPr>
        <w:jc w:val="center"/>
        <w:ind w:left="420"/>
        <w:spacing w:after="0"/>
        <w:rPr>
          <w:sz w:val="20"/>
          <w:szCs w:val="20"/>
          <w:color w:val="auto"/>
        </w:rPr>
      </w:pPr>
      <w:r>
        <w:rPr>
          <w:rFonts w:ascii="Arial" w:cs="Arial" w:eastAsia="Arial" w:hAnsi="Arial"/>
          <w:sz w:val="13"/>
          <w:szCs w:val="13"/>
          <w:color w:val="auto"/>
        </w:rPr>
        <w:t>THIS PROXY IS SOLICITED ON BEHALF OF THE BOARD OF DIRECTORS</w:t>
      </w:r>
    </w:p>
    <w:p>
      <w:pPr>
        <w:spacing w:after="0" w:line="163" w:lineRule="exact"/>
        <w:rPr>
          <w:sz w:val="20"/>
          <w:szCs w:val="20"/>
          <w:color w:val="auto"/>
        </w:rPr>
      </w:pPr>
    </w:p>
    <w:p>
      <w:pPr>
        <w:jc w:val="both"/>
        <w:ind w:left="200"/>
        <w:spacing w:after="0" w:line="247" w:lineRule="auto"/>
        <w:rPr>
          <w:sz w:val="20"/>
          <w:szCs w:val="20"/>
          <w:color w:val="auto"/>
        </w:rPr>
      </w:pPr>
      <w:r>
        <w:rPr>
          <w:rFonts w:ascii="Arial" w:cs="Arial" w:eastAsia="Arial" w:hAnsi="Arial"/>
          <w:sz w:val="13"/>
          <w:szCs w:val="13"/>
          <w:color w:val="auto"/>
        </w:rPr>
        <w:t>The undersigned stockholder(s) of Waste Management, Inc., a Delaware corporation, hereby acknowledge(s) receipt of the Proxy Statement dated March 29, 2010, and hereby appoint(s) Dav P. Steiner and Rick L Wittenbraker, and each of them, proxies and attorneys-in-fact, with full power to each of substitution, on behalf and in the name of the undersigned, to represent t undersigned at the Annual Meeting of Stockholders of Waste Management, Inc., to be held May 11, 2010 at 11:00 a.m., Central Time, at The Maury Myers Conference Center, Was Management, Inc., 1021 Main Street, Houston, Texas 77002, and at any adjournment(s) thereof, and to vote all shares of Common Stock which the undersigned would be entitled to vote if th and there personally present, on all matters set forth on the reverse side.</w:t>
      </w:r>
    </w:p>
    <w:p>
      <w:pPr>
        <w:spacing w:after="0" w:line="51" w:lineRule="exact"/>
        <w:rPr>
          <w:sz w:val="20"/>
          <w:szCs w:val="20"/>
          <w:color w:val="auto"/>
        </w:rPr>
      </w:pPr>
    </w:p>
    <w:p>
      <w:pPr>
        <w:jc w:val="both"/>
        <w:ind w:left="200"/>
        <w:spacing w:after="0" w:line="257" w:lineRule="auto"/>
        <w:rPr>
          <w:sz w:val="20"/>
          <w:szCs w:val="20"/>
          <w:color w:val="auto"/>
        </w:rPr>
      </w:pPr>
      <w:r>
        <w:rPr>
          <w:rFonts w:ascii="Arial" w:cs="Arial" w:eastAsia="Arial" w:hAnsi="Arial"/>
          <w:sz w:val="13"/>
          <w:szCs w:val="13"/>
          <w:b w:val="1"/>
          <w:bCs w:val="1"/>
          <w:color w:val="auto"/>
        </w:rPr>
        <w:t xml:space="preserve">Attention participants in 401(k) plans: </w:t>
      </w:r>
      <w:r>
        <w:rPr>
          <w:rFonts w:ascii="Arial" w:cs="Arial" w:eastAsia="Arial" w:hAnsi="Arial"/>
          <w:sz w:val="13"/>
          <w:szCs w:val="13"/>
          <w:color w:val="auto"/>
        </w:rPr>
        <w:t>If you have an interest in the Common Stock of Waste Management, Inc. through participation in the Waste Management Retirement Savings Plan</w:t>
      </w:r>
      <w:r>
        <w:rPr>
          <w:rFonts w:ascii="Arial" w:cs="Arial" w:eastAsia="Arial" w:hAnsi="Arial"/>
          <w:sz w:val="13"/>
          <w:szCs w:val="13"/>
          <w:b w:val="1"/>
          <w:bCs w:val="1"/>
          <w:color w:val="auto"/>
        </w:rPr>
        <w:t xml:space="preserve"> </w:t>
      </w:r>
      <w:r>
        <w:rPr>
          <w:rFonts w:ascii="Arial" w:cs="Arial" w:eastAsia="Arial" w:hAnsi="Arial"/>
          <w:sz w:val="13"/>
          <w:szCs w:val="13"/>
          <w:color w:val="auto"/>
        </w:rPr>
        <w:t>the Waste Management Retirement Savings Plan for Collectively Bargained Employees, you may confidentially instruct the Trustee(s) of the respective plan on how to vote the shar representing your proportionate interest in such plan’s assets. The Trustee(s) shall vote shares in accordance with any instructions received. Any shares for which the Trustee(s) has/have n received timely voting instructions shall be voted by the Trustee(s) in its sole discretion.</w:t>
      </w:r>
    </w:p>
    <w:p>
      <w:pPr>
        <w:spacing w:after="0" w:line="265" w:lineRule="exact"/>
        <w:rPr>
          <w:sz w:val="20"/>
          <w:szCs w:val="20"/>
          <w:color w:val="auto"/>
        </w:rPr>
      </w:pPr>
    </w:p>
    <w:p>
      <w:pPr>
        <w:ind w:left="1100"/>
        <w:spacing w:after="0"/>
        <w:rPr>
          <w:sz w:val="20"/>
          <w:szCs w:val="20"/>
          <w:color w:val="auto"/>
        </w:rPr>
      </w:pPr>
      <w:r>
        <w:rPr>
          <w:rFonts w:ascii="Arial" w:cs="Arial" w:eastAsia="Arial" w:hAnsi="Arial"/>
          <w:sz w:val="11"/>
          <w:szCs w:val="11"/>
          <w:b w:val="1"/>
          <w:bCs w:val="1"/>
          <w:color w:val="auto"/>
        </w:rPr>
        <w:t>Address Change/Comments:</w:t>
      </w:r>
    </w:p>
    <w:p>
      <w:pPr>
        <w:spacing w:after="0" w:line="341" w:lineRule="exact"/>
        <w:rPr>
          <w:sz w:val="20"/>
          <w:szCs w:val="20"/>
          <w:color w:val="auto"/>
        </w:rPr>
      </w:pPr>
    </w:p>
    <w:p>
      <w:pPr>
        <w:jc w:val="center"/>
        <w:ind w:left="420"/>
        <w:spacing w:after="0"/>
        <w:rPr>
          <w:sz w:val="20"/>
          <w:szCs w:val="20"/>
          <w:color w:val="auto"/>
        </w:rPr>
      </w:pPr>
      <w:r>
        <w:rPr>
          <w:rFonts w:ascii="Arial" w:cs="Arial" w:eastAsia="Arial" w:hAnsi="Arial"/>
          <w:sz w:val="9"/>
          <w:szCs w:val="9"/>
          <w:color w:val="auto"/>
        </w:rPr>
        <w:t>(If you noted any Address Change/Comments above, please mark corresponding box on the reverse side.)</w:t>
      </w:r>
    </w:p>
    <w:sectPr>
      <w:pgSz w:w="11900" w:h="16838" w:orient="portrait"/>
      <w:cols w:equalWidth="0" w:num="1">
        <w:col w:w="11540"/>
      </w:cols>
      <w:pgMar w:left="220" w:top="349"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o"/>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o"/>
      <w:numFmt w:val="bullet"/>
      <w:start w:val="1"/>
    </w:lvl>
    <w:lvl w:ilvl="1">
      <w:lvlJc w:val="left"/>
      <w:lvlText w:val="(%2)"/>
      <w:numFmt w:val="decimal"/>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1)"/>
      <w:numFmt w:val="decimal"/>
      <w:start w:val="1"/>
    </w:lvl>
  </w:abstractNum>
  <w:abstractNum w:abstractNumId="14">
    <w:nsid w:val="8138641"/>
    <w:multiLevelType w:val="hybridMultilevel"/>
    <w:lvl w:ilvl="0">
      <w:lvlJc w:val="left"/>
      <w:lvlText w:val="(%1)"/>
      <w:numFmt w:val="decimal"/>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lvl w:ilvl="1">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lvl w:ilvl="1">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1)"/>
      <w:numFmt w:val="decimal"/>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1)"/>
      <w:numFmt w:val="decimal"/>
      <w:start w:val="1"/>
    </w:lvl>
  </w:abstractNum>
  <w:abstractNum w:abstractNumId="27">
    <w:nsid w:val="3804823E"/>
    <w:multiLevelType w:val="hybridMultilevel"/>
    <w:lvl w:ilvl="0">
      <w:lvlJc w:val="left"/>
      <w:lvlText w:val="(%1)"/>
      <w:numFmt w:val="decimal"/>
      <w:start w:val="1"/>
    </w:lvl>
  </w:abstractNum>
  <w:abstractNum w:abstractNumId="28">
    <w:nsid w:val="77465F01"/>
    <w:multiLevelType w:val="hybridMultilevel"/>
    <w:lvl w:ilvl="0">
      <w:lvlJc w:val="left"/>
      <w:lvlText w:val="(%1)"/>
      <w:numFmt w:val="decimal"/>
      <w:start w:val="1"/>
    </w:lvl>
  </w:abstractNum>
  <w:abstractNum w:abstractNumId="29">
    <w:nsid w:val="7724C67E"/>
    <w:multiLevelType w:val="hybridMultilevel"/>
    <w:lvl w:ilvl="0">
      <w:lvlJc w:val="left"/>
      <w:lvlText w:val="(%1)"/>
      <w:numFmt w:val="decimal"/>
      <w:start w:val="1"/>
    </w:lvl>
  </w:abstractNum>
  <w:abstractNum w:abstractNumId="30">
    <w:nsid w:val="5C482A97"/>
    <w:multiLevelType w:val="hybridMultilevel"/>
    <w:lvl w:ilvl="0">
      <w:lvlJc w:val="left"/>
      <w:lvlText w:val="(%1)"/>
      <w:numFmt w:val="decimal"/>
      <w:start w:val="1"/>
    </w:lvl>
  </w:abstractNum>
  <w:abstractNum w:abstractNumId="31">
    <w:nsid w:val="2463B9EA"/>
    <w:multiLevelType w:val="hybridMultilevel"/>
    <w:lvl w:ilvl="0">
      <w:lvlJc w:val="left"/>
      <w:lvlText w:val="(%1)"/>
      <w:numFmt w:val="decimal"/>
      <w:start w:val="3"/>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1)"/>
      <w:numFmt w:val="decimal"/>
      <w:start w:val="1"/>
    </w:lvl>
  </w:abstractNum>
  <w:abstractNum w:abstractNumId="37">
    <w:nsid w:val="3855585C"/>
    <w:multiLevelType w:val="hybridMultilevel"/>
    <w:lvl w:ilvl="0">
      <w:lvlJc w:val="left"/>
      <w:lvlText w:val="%1."/>
      <w:numFmt w:val="decimal"/>
      <w:start w:val="1"/>
    </w:lvl>
  </w:abstractNum>
  <w:abstractNum w:abstractNumId="38">
    <w:nsid w:val="70A64E2A"/>
    <w:multiLevelType w:val="hybridMultilevel"/>
    <w:lvl w:ilvl="0">
      <w:lvlJc w:val="left"/>
      <w:lvlText w:val="%1."/>
      <w:numFmt w:val="decimal"/>
      <w:start w:val="2"/>
    </w:lvl>
    <w:lvl w:ilvl="1">
      <w:lvlJc w:val="left"/>
      <w:lvlText w:val="%2."/>
      <w:numFmt w:val="lowerLetter"/>
      <w:start w:val="1"/>
    </w:lvl>
  </w:abstractNum>
  <w:abstractNum w:abstractNumId="39">
    <w:nsid w:val="6A2342EC"/>
    <w:multiLevelType w:val="hybridMultilevel"/>
    <w:lvl w:ilvl="0">
      <w:lvlJc w:val="left"/>
      <w:lvlText w:val="%1."/>
      <w:numFmt w:val="decimal"/>
      <w:start w:val="1"/>
    </w:lvl>
  </w:abstractNum>
  <w:abstractNum w:abstractNumId="40">
    <w:nsid w:val="2A487CB0"/>
    <w:multiLevelType w:val="hybridMultilevel"/>
    <w:lvl w:ilvl="0">
      <w:lvlJc w:val="left"/>
      <w:lvlText w:val="%1"/>
      <w:numFmt w:val="upperLetter"/>
      <w:start w:val="1"/>
    </w:lvl>
    <w:lvl w:ilvl="1">
      <w:lvlJc w:val="left"/>
      <w:lvlText w:val="(%2)"/>
      <w:numFmt w:val="decimal"/>
      <w:start w:val="1"/>
    </w:lvl>
  </w:abstractNum>
  <w:abstractNum w:abstractNumId="41">
    <w:nsid w:val="1D4ED43B"/>
    <w:multiLevelType w:val="hybridMultilevel"/>
    <w:lvl w:ilvl="0">
      <w:lvlJc w:val="left"/>
      <w:lvlText w:val="%1."/>
      <w:numFmt w:val="upperLetter"/>
      <w:start w:val="4"/>
    </w:lvl>
    <w:lvl w:ilvl="1">
      <w:lvlJc w:val="left"/>
      <w:lvlText w:val="%2"/>
      <w:numFmt w:val="decimal"/>
      <w:start w:val="1"/>
    </w:lvl>
  </w:abstractNum>
  <w:abstractNum w:abstractNumId="42">
    <w:nsid w:val="725A06FB"/>
    <w:multiLevelType w:val="hybridMultilevel"/>
    <w:lvl w:ilvl="0">
      <w:lvlJc w:val="left"/>
      <w:lvlText w:val="(%1)"/>
      <w:numFmt w:val="upperLetter"/>
      <w:start w:val="2"/>
    </w:lvl>
  </w:abstractNum>
  <w:abstractNum w:abstractNumId="43">
    <w:nsid w:val="2CD89A32"/>
    <w:multiLevelType w:val="hybridMultilevel"/>
    <w:lvl w:ilvl="0">
      <w:lvlJc w:val="left"/>
      <w:lvlText w:val="(%1)"/>
      <w:numFmt w:val="upperLetter"/>
      <w:start w:val="4"/>
    </w:lvl>
  </w:abstractNum>
  <w:abstractNum w:abstractNumId="44">
    <w:nsid w:val="57E4CCAF"/>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2019-12-10T08:20:08Z</dcterms:created>
  <dcterms:modified xsi:type="dcterms:W3CDTF">2019-12-10T08:20:08Z</dcterms:modified>
</cp:coreProperties>
</file>